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PRD_IF_EmployeeCreation_SF_to_S4_MDF_copy_100228</w:t>
      </w:r>
    </w:p>
    <w:p>
      <w:pPr>
        <w:jc w:val="center"/>
      </w:pPr>
      <w:r>
        <w:t>Technical Specification Document</w:t>
      </w:r>
    </w:p>
    <w:p>
      <w:r>
        <w:br/>
        <w:br/>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Sindhu</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rPr>
          <w:color w:val="1F3864"/>
        </w:rPr>
        <w:t>Table of Contents</w:t>
      </w:r>
    </w:p>
    <w:p>
      <w:r>
        <w:t>1. Introduction</w:t>
      </w:r>
    </w:p>
    <w:p>
      <w:pPr>
        <w:ind w:left="432"/>
      </w:pPr>
      <w:r>
        <w:t>1.1 Purpose</w:t>
      </w:r>
    </w:p>
    <w:p>
      <w:pPr>
        <w:ind w:left="432"/>
      </w:pPr>
      <w:r>
        <w:t>1.2 Scope</w:t>
      </w:r>
    </w:p>
    <w:p>
      <w:r>
        <w:t>2. Integration Overview</w:t>
      </w:r>
    </w:p>
    <w:p>
      <w:pPr>
        <w:ind w:left="432"/>
      </w:pPr>
      <w:r>
        <w:t>2.1 Integration Architecture</w:t>
      </w:r>
    </w:p>
    <w:p>
      <w:pPr>
        <w:ind w:left="432"/>
      </w:pPr>
      <w:r>
        <w:t>2.2 Integration Components</w:t>
      </w:r>
    </w:p>
    <w:p>
      <w:r>
        <w:t>3. Integration Scenarios</w:t>
      </w:r>
    </w:p>
    <w:p>
      <w:pPr>
        <w:ind w:left="432"/>
      </w:pPr>
      <w:r>
        <w:t>3.1 Scenario Description</w:t>
      </w:r>
    </w:p>
    <w:p>
      <w:pPr>
        <w:ind w:left="432"/>
      </w:pPr>
      <w:r>
        <w:t>3.2 Data Flows</w:t>
      </w:r>
    </w:p>
    <w:p>
      <w:r>
        <w:t>4. Error Handling</w:t>
      </w:r>
    </w:p>
    <w:p>
      <w:r>
        <w:t>5. Testing Validation</w:t>
      </w:r>
    </w:p>
    <w:p>
      <w:r>
        <w:br w:type="page"/>
      </w:r>
    </w:p>
    <w:p>
      <w:pPr>
        <w:pStyle w:val="Heading1"/>
      </w:pPr>
      <w:r>
        <w:rPr>
          <w:color w:val="1F3864"/>
          <w:sz w:val="32"/>
        </w:rPr>
        <w:t>1. Introduction</w:t>
      </w:r>
    </w:p>
    <w:p>
      <w:pPr>
        <w:pStyle w:val="Heading2"/>
      </w:pPr>
      <w:r>
        <w:rPr>
          <w:color w:val="1F3864"/>
          <w:sz w:val="26"/>
        </w:rPr>
        <w:t>1.1 Purpose</w:t>
      </w:r>
    </w:p>
    <w:p>
      <w:r>
        <w:t>This document provides a detailed explanation of the solution as conceptualized for PRD_IF_EmployeeCreation_SF_to_S4_MDF_copy_100228.</w:t>
      </w:r>
    </w:p>
    <w:p>
      <w:pPr>
        <w:pStyle w:val="Heading2"/>
      </w:pPr>
      <w:r>
        <w:rPr>
          <w:color w:val="1F3864"/>
          <w:sz w:val="26"/>
        </w:rPr>
        <w:t>1.2 Scope</w:t>
      </w:r>
    </w:p>
    <w:p>
      <w:r>
        <w:t>The technical specification outlines integration touchpoints and business scenarios required for consistent identity management.</w:t>
      </w:r>
    </w:p>
    <w:p>
      <w:pPr>
        <w:pStyle w:val="Heading1"/>
      </w:pPr>
      <w:r>
        <w:rPr>
          <w:color w:val="1F3864"/>
          <w:sz w:val="32"/>
        </w:rPr>
        <w:t>2. Integration Overview</w:t>
      </w:r>
    </w:p>
    <w:p>
      <w:pPr>
        <w:pStyle w:val="Heading2"/>
      </w:pPr>
      <w:r>
        <w:rPr>
          <w:color w:val="1F3864"/>
          <w:sz w:val="26"/>
        </w:rPr>
        <w:t>2.1 Integration Architecture</w:t>
      </w:r>
    </w:p>
    <w:p>
      <w:r>
        <w:t>The integration architecture follows the standard SAP BTP Cloud Integration pattern.</w:t>
      </w:r>
    </w:p>
    <w:p>
      <w:pPr>
        <w:pStyle w:val="Heading1"/>
      </w:pPr>
      <w:r>
        <w:rPr>
          <w:color w:val="1F3864"/>
          <w:sz w:val="32"/>
        </w:rPr>
        <w:t>3. Integration Scenarios</w:t>
      </w:r>
    </w:p>
    <w:p>
      <w:pPr>
        <w:pStyle w:val="Heading2"/>
      </w:pPr>
      <w:r>
        <w:rPr>
          <w:color w:val="1F3864"/>
          <w:sz w:val="26"/>
        </w:rPr>
        <w:t>3.1 Scenario Description</w:t>
      </w:r>
    </w:p>
    <w:p>
      <w:r>
        <w:t>Certainly! Below is a detailed technical scenario description for the SAP Cloud Platform Integration (CPI) iFlow named `PRD_IF_EmployeeCreation_SF_to_S4_MDF_copy_100228`. This iFlow is designed to facilitate the creation of employee records in an SAP S/4HANA environment based on data coming from SuccessFactors (SF) managed through the Metadata Framework (MDF).</w:t>
        <w:br/>
        <w:br/>
        <w:t>### Overview</w:t>
        <w:br/>
        <w:br/>
        <w:t>The iFlow `PRD_IF_EmployeeCreation_SF_to_S4_MDF_copy_100228` is intended to synchronize employee data from SuccessFactors to SAP S/4HANA. The primary objective is to ensure consistency in employee records across both systems, thereby maintaining data integrity and streamlining HR processes.</w:t>
        <w:br/>
        <w:br/>
        <w:t>### Scenario Details</w:t>
        <w:br/>
        <w:br/>
        <w:t>1. **Source System**: SuccessFactors (SF) - Employee Data is sourced from the SuccessFactors Employee Central via web service API or OData service.</w:t>
        <w:br/>
        <w:br/>
        <w:t>2. **Target System**: SAP S/4HANA - Employee data is persisted in the S/4HANA system's employee master data tables.</w:t>
        <w:br/>
        <w:br/>
        <w:t>3. **Data Format**: Employee data from SuccessFactors is generally transmitted in JSON or XML format, while the target (S/4HANA) expects data in a structured format compatible with its internal table structures.</w:t>
        <w:br/>
        <w:br/>
        <w:t>### iFlow Logic and Steps</w:t>
        <w:br/>
        <w:br/>
        <w:t>1. **Triggering Event**:</w:t>
        <w:br/>
        <w:t xml:space="preserve">   - The iFlow is triggered upon specific events such as the creation of a new employee in SuccessFactors, utilizing an OData service to listen for changes in employee data.</w:t>
        <w:br/>
        <w:br/>
        <w:t>2. **Receiver Determination**:</w:t>
        <w:br/>
        <w:t xml:space="preserve">   - The iFlow includes a step to determine the target endpoint (SAP S/4HANA) by referencing configuration settings typically stored in the integration flow’s properties.</w:t>
        <w:br/>
        <w:br/>
        <w:t>3. **Message Mapping**:</w:t>
        <w:br/>
        <w:t xml:space="preserve">   - **Transformation Logic**:</w:t>
        <w:br/>
        <w:t xml:space="preserve">     - A message mapping step (using Graphical Mapping or XSLT) transforms the incoming employee data from the SuccessFactors format to the S/4HANA employee structure.</w:t>
        <w:br/>
        <w:t xml:space="preserve">     - Key transformations include:</w:t>
        <w:br/>
        <w:t xml:space="preserve">       - Mapping of employee attributes such as **personal information** (first name, last name), **contact details**, **employment details** (start date, job title), and **organizational structure** attributes (department, position).</w:t>
        <w:br/>
        <w:t xml:space="preserve">       - Handling data type conversions between SuccessFactors and S/4HANA data types, such as date formats (e.g., converting ISO 8601 format to SAP date format).</w:t>
        <w:br/>
        <w:t xml:space="preserve">       - Address any required default values or mandatory fields that might not be present in the SuccessFactors data.</w:t>
        <w:br/>
        <w:br/>
        <w:t>4. **Data Enrichment**:</w:t>
        <w:br/>
        <w:t xml:space="preserve">   - If additional data is needed for the employee records in S/4HANA, the iFlow can integrate with a reference data service to enrich the data before the final mapping occurs. For example, lookups for department codes or location codes.</w:t>
        <w:br/>
        <w:br/>
        <w:t>5. **Error Handling**:</w:t>
        <w:br/>
        <w:t xml:space="preserve">   - Error handling mechanisms are in place, including:</w:t>
        <w:br/>
        <w:t xml:space="preserve">     - Sending error messages back to SuccessFactors for logging or triggering corrective actions if required fields are missing.</w:t>
        <w:br/>
        <w:t xml:space="preserve">     - Use of a content enricher to capture any errors during the transformation process and log them into an error storage system (like an SAP Message Queue or API).</w:t>
        <w:br/>
        <w:br/>
        <w:t>6. **HTTP (REST) Adapter Configuration**:</w:t>
        <w:br/>
        <w:t xml:space="preserve">   - The iFlow uses the HTTP (REST) adapter to communicate with the SAP S/4HANA APIs, typically through POST requests to the specific endpoint designated for employee creation (often a specific API or business object).</w:t>
        <w:br/>
        <w:br/>
        <w:t>7. **Payload Construction**:</w:t>
        <w:br/>
        <w:t xml:space="preserve">   - The final payload for the S/4HANA API is constructed in the iFlow after the mapping and transformation stage, ensuring it adheres to the expected JSON or XML schema required by the S/4HANA service.</w:t>
        <w:br/>
        <w:br/>
        <w:t>8. **Logging and Monitoring**:</w:t>
        <w:br/>
        <w:t xml:space="preserve">   - The iFlow implements logging capabilities to monitor the status of processed messages and provide feedback for operational monitoring purposes. Error handling events are captured and categorized within the integration monitoring workspace.</w:t>
        <w:br/>
        <w:br/>
        <w:t>9. **Testing and Validation**:</w:t>
        <w:br/>
        <w:t xml:space="preserve">   - Unit tests and functional tests are prescribed to validate the iFlow before production deployment, ensuring data integrity and functionality under various scenarios.</w:t>
        <w:br/>
        <w:br/>
        <w:t>### Conclusion</w:t>
        <w:br/>
        <w:br/>
        <w:t>The `PRD_IF_EmployeeCreation_SF_to_S4_MDF_copy_100228` iFlow serves as a critical integration component, ensuring efficient and reliable data synchronization between SuccessFactors and SAP S/4HANA. Through careful mapping, transformation, and error handling, it plays an essential role in the broader landscape of enterprise resource planning and human resource management.</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685800" cy="6858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685800" cy="6858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