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rocess-flow-analysis-and-documentation"/>
    <w:p>
      <w:pPr>
        <w:pStyle w:val="Heading3"/>
      </w:pPr>
      <w:r>
        <w:t xml:space="preserve">Process Flow Analysis and Documentation</w:t>
      </w:r>
    </w:p>
    <w:p>
      <w:pPr>
        <w:pStyle w:val="FirstParagraph"/>
      </w:pPr>
      <w:r>
        <w:t xml:space="preserve">The provided BPMN (Business Process Model Notation) XML describes a business process flow that involves multiple participants and activities. Below is a detailed breakdown of the process flow, including the sequence of events, participant involvement, and key process components.</w:t>
      </w:r>
    </w:p>
    <w:p>
      <w:r>
        <w:pict>
          <v:rect style="width:0;height:1.5pt" o:hralign="center" o:hrstd="t" o:hr="t"/>
        </w:pict>
      </w:r>
    </w:p>
    <w:bookmarkStart w:id="20" w:name="process-overview"/>
    <w:p>
      <w:pPr>
        <w:pStyle w:val="Heading4"/>
      </w:pPr>
      <w:r>
        <w:rPr>
          <w:bCs/>
          <w:b/>
        </w:rPr>
        <w:t xml:space="preserve">Process Overview</w:t>
      </w:r>
    </w:p>
    <w:p>
      <w:pPr>
        <w:numPr>
          <w:ilvl w:val="0"/>
          <w:numId w:val="1001"/>
        </w:numPr>
        <w:pStyle w:val="Compact"/>
      </w:pPr>
      <w:r>
        <w:t xml:space="preserve">The process starts with an initial event (</w:t>
      </w:r>
      <w:r>
        <w:rPr>
          <w:rStyle w:val="VerbatimChar"/>
        </w:rPr>
        <w:t xml:space="preserve">StartEvent_2</w:t>
      </w:r>
      <w:r>
        <w:t xml:space="preserve">).</w:t>
      </w:r>
    </w:p>
    <w:p>
      <w:pPr>
        <w:numPr>
          <w:ilvl w:val="0"/>
          <w:numId w:val="1001"/>
        </w:numPr>
        <w:pStyle w:val="Compact"/>
      </w:pPr>
      <w:r>
        <w:t xml:space="preserve">Data processing activities are performed in sequence:</w:t>
      </w:r>
    </w:p>
    <w:p>
      <w:pPr>
        <w:numPr>
          <w:ilvl w:val="1"/>
          <w:numId w:val="1002"/>
        </w:numPr>
        <w:pStyle w:val="Compact"/>
      </w:pPr>
      <w:r>
        <w:rPr>
          <w:rStyle w:val="VerbatimChar"/>
        </w:rPr>
        <w:t xml:space="preserve">CallActivity_4</w:t>
      </w:r>
      <w:r>
        <w:t xml:space="preserve">: Likely involves data manipulation or transformation.</w:t>
      </w:r>
    </w:p>
    <w:p>
      <w:pPr>
        <w:numPr>
          <w:ilvl w:val="1"/>
          <w:numId w:val="1002"/>
        </w:numPr>
        <w:pStyle w:val="Compact"/>
      </w:pPr>
      <w:r>
        <w:rPr>
          <w:rStyle w:val="VerbatimChar"/>
        </w:rPr>
        <w:t xml:space="preserve">CallActivity_6</w:t>
      </w:r>
      <w:r>
        <w:t xml:space="preserve">: Another data processing step, possibly intermediate.</w:t>
      </w:r>
    </w:p>
    <w:p>
      <w:pPr>
        <w:numPr>
          <w:ilvl w:val="1"/>
          <w:numId w:val="1002"/>
        </w:numPr>
        <w:pStyle w:val="Compact"/>
      </w:pPr>
      <w:r>
        <w:rPr>
          <w:rStyle w:val="VerbatimChar"/>
        </w:rPr>
        <w:t xml:space="preserve">CallActivity_8</w:t>
      </w:r>
      <w:r>
        <w:t xml:space="preserve">: A CSV to XML converter, as indicated by its configuration (</w:t>
      </w:r>
      <w:r>
        <w:rPr>
          <w:rStyle w:val="VerbatimChar"/>
        </w:rPr>
        <w:t xml:space="preserve">Field_Separator_in_CSV</w:t>
      </w:r>
      <w:r>
        <w:t xml:space="preserve">,</w:t>
      </w:r>
      <w:r>
        <w:t xml:space="preserve"> </w:t>
      </w:r>
      <w:r>
        <w:rPr>
          <w:rStyle w:val="VerbatimChar"/>
        </w:rPr>
        <w:t xml:space="preserve">XML_Schema_File_Path</w:t>
      </w:r>
      <w:r>
        <w:t xml:space="preserve">).</w:t>
      </w:r>
    </w:p>
    <w:p>
      <w:pPr>
        <w:numPr>
          <w:ilvl w:val="0"/>
          <w:numId w:val="1001"/>
        </w:numPr>
        <w:pStyle w:val="Compact"/>
      </w:pPr>
      <w:r>
        <w:t xml:space="preserve">The process ends with a final event (</w:t>
      </w:r>
      <w:r>
        <w:rPr>
          <w:rStyle w:val="VerbatimChar"/>
        </w:rPr>
        <w:t xml:space="preserve">EndEvent_2</w:t>
      </w:r>
      <w:r>
        <w:t xml:space="preserve">).</w:t>
      </w:r>
    </w:p>
    <w:p>
      <w:pPr>
        <w:pStyle w:val="FirstParagraph"/>
      </w:pPr>
      <w:r>
        <w:t xml:space="preserve">Participants involved:</w:t>
      </w:r>
      <w:r>
        <w:t xml:space="preserve"> </w:t>
      </w:r>
      <w:r>
        <w:t xml:space="preserve">-</w:t>
      </w:r>
      <w:r>
        <w:t xml:space="preserve"> </w:t>
      </w:r>
      <w:r>
        <w:rPr>
          <w:bCs/>
          <w:b/>
        </w:rPr>
        <w:t xml:space="preserve">Participant 1</w:t>
      </w:r>
      <w:r>
        <w:t xml:space="preserve">: Likely responsible for initiating the process or providing input data.</w:t>
      </w:r>
      <w:r>
        <w:t xml:space="preserve"> </w:t>
      </w:r>
      <w:r>
        <w:t xml:space="preserve">-</w:t>
      </w:r>
      <w:r>
        <w:t xml:space="preserve"> </w:t>
      </w:r>
      <w:r>
        <w:rPr>
          <w:bCs/>
          <w:b/>
        </w:rPr>
        <w:t xml:space="preserve">Participant 2</w:t>
      </w:r>
      <w:r>
        <w:t xml:space="preserve">: Involved in later stages of processing, possibly reviewing or consuming the output.</w:t>
      </w:r>
    </w:p>
    <w:p>
      <w:r>
        <w:pict>
          <v:rect style="width:0;height:1.5pt" o:hralign="center" o:hrstd="t" o:hr="t"/>
        </w:pict>
      </w:r>
    </w:p>
    <w:bookmarkEnd w:id="20"/>
    <w:bookmarkStart w:id="21" w:name="detailed-process-flow"/>
    <w:p>
      <w:pPr>
        <w:pStyle w:val="Heading4"/>
      </w:pPr>
      <w:r>
        <w:rPr>
          <w:bCs/>
          <w:b/>
        </w:rPr>
        <w:t xml:space="preserve">Detailed Process Flow</w:t>
      </w:r>
    </w:p>
    <w:p>
      <w:pPr>
        <w:numPr>
          <w:ilvl w:val="0"/>
          <w:numId w:val="1003"/>
        </w:numPr>
        <w:pStyle w:val="Compact"/>
      </w:pPr>
      <w:r>
        <w:rPr>
          <w:bCs/>
          <w:b/>
        </w:rPr>
        <w:t xml:space="preserve">Start Event (</w:t>
      </w:r>
      <w:r>
        <w:rPr>
          <w:rStyle w:val="VerbatimChar"/>
          <w:bCs/>
          <w:b/>
        </w:rPr>
        <w:t xml:space="preserve">StartEvent_2</w:t>
      </w:r>
      <w:r>
        <w:rPr>
          <w:bCs/>
          <w:b/>
        </w:rPr>
        <w:t xml:space="preserve">)</w:t>
      </w:r>
    </w:p>
    <w:p>
      <w:pPr>
        <w:numPr>
          <w:ilvl w:val="1"/>
          <w:numId w:val="1004"/>
        </w:numPr>
        <w:pStyle w:val="Compact"/>
      </w:pPr>
      <w:r>
        <w:t xml:space="preserve">The process begins with a</w:t>
      </w:r>
      <w:r>
        <w:t xml:space="preserve"> </w:t>
      </w:r>
      <w:r>
        <w:rPr>
          <w:rStyle w:val="VerbatimChar"/>
        </w:rPr>
        <w:t xml:space="preserve">StartEvent</w:t>
      </w:r>
      <w:r>
        <w:t xml:space="preserve">, which triggers the initial activity.</w:t>
      </w:r>
    </w:p>
    <w:p>
      <w:pPr>
        <w:numPr>
          <w:ilvl w:val="1"/>
          <w:numId w:val="1004"/>
        </w:numPr>
        <w:pStyle w:val="Compact"/>
      </w:pPr>
      <w:r>
        <w:t xml:space="preserve">This event is represented as an orange circle in BPMN diagrams and has no incoming sequence flows.</w:t>
      </w:r>
    </w:p>
    <w:p>
      <w:pPr>
        <w:numPr>
          <w:ilvl w:val="1"/>
          <w:numId w:val="1004"/>
        </w:numPr>
        <w:pStyle w:val="Compact"/>
      </w:pPr>
      <w:r>
        <w:t xml:space="preserve">It connects to</w:t>
      </w:r>
      <w:r>
        <w:t xml:space="preserve"> </w:t>
      </w:r>
      <w:r>
        <w:rPr>
          <w:rStyle w:val="VerbatimChar"/>
        </w:rPr>
        <w:t xml:space="preserve">CallActivity_4</w:t>
      </w:r>
      <w:r>
        <w:t xml:space="preserve"> </w:t>
      </w:r>
      <w:r>
        <w:t xml:space="preserve">via a sequence flow (</w:t>
      </w:r>
      <w:r>
        <w:rPr>
          <w:rStyle w:val="VerbatimChar"/>
        </w:rPr>
        <w:t xml:space="preserve">SequenceFlow_3</w:t>
      </w:r>
      <w:r>
        <w:t xml:space="preserve">).</w:t>
      </w:r>
    </w:p>
    <w:p>
      <w:pPr>
        <w:numPr>
          <w:ilvl w:val="0"/>
          <w:numId w:val="1003"/>
        </w:numPr>
        <w:pStyle w:val="Compact"/>
      </w:pPr>
      <w:r>
        <w:rPr>
          <w:bCs/>
          <w:b/>
        </w:rPr>
        <w:t xml:space="preserve">Call Activity 1 (</w:t>
      </w:r>
      <w:r>
        <w:rPr>
          <w:rStyle w:val="VerbatimChar"/>
          <w:bCs/>
          <w:b/>
        </w:rPr>
        <w:t xml:space="preserve">CallActivity_4</w:t>
      </w:r>
      <w:r>
        <w:rPr>
          <w:bCs/>
          <w:b/>
        </w:rPr>
        <w:t xml:space="preserve">)</w:t>
      </w:r>
    </w:p>
    <w:p>
      <w:pPr>
        <w:numPr>
          <w:ilvl w:val="1"/>
          <w:numId w:val="1005"/>
        </w:numPr>
        <w:pStyle w:val="Compact"/>
      </w:pPr>
      <w:r>
        <w:t xml:space="preserve">Represents the first processing step in the workflow.</w:t>
      </w:r>
    </w:p>
    <w:p>
      <w:pPr>
        <w:numPr>
          <w:ilvl w:val="1"/>
          <w:numId w:val="1005"/>
        </w:numPr>
        <w:pStyle w:val="Compact"/>
      </w:pPr>
      <w:r>
        <w:t xml:space="preserve">Based on its configuration, this activity likely performs data manipulation or transformation.</w:t>
      </w:r>
    </w:p>
    <w:p>
      <w:pPr>
        <w:numPr>
          <w:ilvl w:val="1"/>
          <w:numId w:val="1005"/>
        </w:numPr>
        <w:pStyle w:val="Compact"/>
      </w:pPr>
      <w:r>
        <w:t xml:space="preserve">It is connected to</w:t>
      </w:r>
      <w:r>
        <w:t xml:space="preserve"> </w:t>
      </w:r>
      <w:r>
        <w:rPr>
          <w:rStyle w:val="VerbatimChar"/>
        </w:rPr>
        <w:t xml:space="preserve">CallActivity_6</w:t>
      </w:r>
      <w:r>
        <w:t xml:space="preserve"> </w:t>
      </w:r>
      <w:r>
        <w:t xml:space="preserve">via a sequence flow (</w:t>
      </w:r>
      <w:r>
        <w:rPr>
          <w:rStyle w:val="VerbatimChar"/>
        </w:rPr>
        <w:t xml:space="preserve">SequenceFlow_11</w:t>
      </w:r>
      <w:r>
        <w:t xml:space="preserve">).</w:t>
      </w:r>
    </w:p>
    <w:p>
      <w:pPr>
        <w:numPr>
          <w:ilvl w:val="0"/>
          <w:numId w:val="1003"/>
        </w:numPr>
        <w:pStyle w:val="Compact"/>
      </w:pPr>
      <w:r>
        <w:rPr>
          <w:bCs/>
          <w:b/>
        </w:rPr>
        <w:t xml:space="preserve">Intermediate Call Activity (</w:t>
      </w:r>
      <w:r>
        <w:rPr>
          <w:rStyle w:val="VerbatimChar"/>
          <w:bCs/>
          <w:b/>
        </w:rPr>
        <w:t xml:space="preserve">CallActivity_6</w:t>
      </w:r>
      <w:r>
        <w:rPr>
          <w:bCs/>
          <w:b/>
        </w:rPr>
        <w:t xml:space="preserve">)</w:t>
      </w:r>
    </w:p>
    <w:p>
      <w:pPr>
        <w:numPr>
          <w:ilvl w:val="1"/>
          <w:numId w:val="1006"/>
        </w:numPr>
        <w:pStyle w:val="Compact"/>
      </w:pPr>
      <w:r>
        <w:t xml:space="preserve">This activity serves as an intermediate step between the first processing step and the final conversion.</w:t>
      </w:r>
    </w:p>
    <w:p>
      <w:pPr>
        <w:numPr>
          <w:ilvl w:val="1"/>
          <w:numId w:val="1006"/>
        </w:numPr>
        <w:pStyle w:val="Compact"/>
      </w:pPr>
      <w:r>
        <w:t xml:space="preserve">It is connected to</w:t>
      </w:r>
      <w:r>
        <w:t xml:space="preserve"> </w:t>
      </w:r>
      <w:r>
        <w:rPr>
          <w:rStyle w:val="VerbatimChar"/>
        </w:rPr>
        <w:t xml:space="preserve">CallActivity_8</w:t>
      </w:r>
      <w:r>
        <w:t xml:space="preserve"> </w:t>
      </w:r>
      <w:r>
        <w:t xml:space="preserve">via a sequence flow (</w:t>
      </w:r>
      <w:r>
        <w:rPr>
          <w:rStyle w:val="VerbatimChar"/>
        </w:rPr>
        <w:t xml:space="preserve">SequenceFlow_12</w:t>
      </w:r>
      <w:r>
        <w:t xml:space="preserve">).</w:t>
      </w:r>
    </w:p>
    <w:p>
      <w:pPr>
        <w:numPr>
          <w:ilvl w:val="0"/>
          <w:numId w:val="1003"/>
        </w:numPr>
        <w:pStyle w:val="Compact"/>
      </w:pPr>
      <w:r>
        <w:rPr>
          <w:bCs/>
          <w:b/>
        </w:rPr>
        <w:t xml:space="preserve">CSV to XML Conversion (</w:t>
      </w:r>
      <w:r>
        <w:rPr>
          <w:rStyle w:val="VerbatimChar"/>
          <w:bCs/>
          <w:b/>
        </w:rPr>
        <w:t xml:space="preserve">CallActivity_8</w:t>
      </w:r>
      <w:r>
        <w:rPr>
          <w:bCs/>
          <w:b/>
        </w:rPr>
        <w:t xml:space="preserve">)</w:t>
      </w:r>
    </w:p>
    <w:p>
      <w:pPr>
        <w:numPr>
          <w:ilvl w:val="1"/>
          <w:numId w:val="1007"/>
        </w:numPr>
        <w:pStyle w:val="Compact"/>
      </w:pPr>
      <w:r>
        <w:t xml:space="preserve">Configured with properties:</w:t>
      </w:r>
    </w:p>
    <w:p>
      <w:pPr>
        <w:numPr>
          <w:ilvl w:val="2"/>
          <w:numId w:val="1008"/>
        </w:numPr>
        <w:pStyle w:val="Compact"/>
      </w:pPr>
      <w:r>
        <w:rPr>
          <w:rStyle w:val="VerbatimChar"/>
        </w:rPr>
        <w:t xml:space="preserve">Field_Separator_in_CSV</w:t>
      </w:r>
      <w:r>
        <w:t xml:space="preserve">: Comma (</w:t>
      </w:r>
      <w:r>
        <w:rPr>
          <w:rStyle w:val="VerbatimChar"/>
        </w:rPr>
        <w:t xml:space="preserve">,</w:t>
      </w:r>
      <w:r>
        <w:t xml:space="preserve">).</w:t>
      </w:r>
    </w:p>
    <w:p>
      <w:pPr>
        <w:numPr>
          <w:ilvl w:val="2"/>
          <w:numId w:val="1008"/>
        </w:numPr>
        <w:pStyle w:val="Compact"/>
      </w:pPr>
      <w:r>
        <w:rPr>
          <w:rStyle w:val="VerbatimChar"/>
        </w:rPr>
        <w:t xml:space="preserve">ignoreFirstLineAsHeader</w:t>
      </w:r>
      <w:r>
        <w:t xml:space="preserve">: False.</w:t>
      </w:r>
    </w:p>
    <w:p>
      <w:pPr>
        <w:numPr>
          <w:ilvl w:val="2"/>
          <w:numId w:val="1008"/>
        </w:numPr>
        <w:pStyle w:val="Compact"/>
      </w:pPr>
      <w:r>
        <w:rPr>
          <w:rStyle w:val="VerbatimChar"/>
        </w:rPr>
        <w:t xml:space="preserve">headerMapping</w:t>
      </w:r>
      <w:r>
        <w:t xml:space="preserve">:</w:t>
      </w:r>
      <w:r>
        <w:t xml:space="preserve"> </w:t>
      </w:r>
      <w:r>
        <w:rPr>
          <w:rStyle w:val="VerbatimChar"/>
        </w:rPr>
        <w:t xml:space="preserve">mapHeadersToXSD</w:t>
      </w:r>
      <w:r>
        <w:t xml:space="preserve">.</w:t>
      </w:r>
    </w:p>
    <w:p>
      <w:pPr>
        <w:numPr>
          <w:ilvl w:val="1"/>
          <w:numId w:val="1007"/>
        </w:numPr>
        <w:pStyle w:val="Compact"/>
      </w:pPr>
      <w:r>
        <w:t xml:space="preserve">This activity converts CSV data into XML format, likely using an XSD schema for validation.</w:t>
      </w:r>
    </w:p>
    <w:p>
      <w:pPr>
        <w:numPr>
          <w:ilvl w:val="1"/>
          <w:numId w:val="1007"/>
        </w:numPr>
        <w:pStyle w:val="Compact"/>
      </w:pPr>
      <w:r>
        <w:t xml:space="preserve">It connects to the final</w:t>
      </w:r>
      <w:r>
        <w:t xml:space="preserve"> </w:t>
      </w:r>
      <w:r>
        <w:rPr>
          <w:rStyle w:val="VerbatimChar"/>
        </w:rPr>
        <w:t xml:space="preserve">EndEvent</w:t>
      </w:r>
      <w:r>
        <w:t xml:space="preserve"> </w:t>
      </w:r>
      <w:r>
        <w:t xml:space="preserve">via a sequence flow (</w:t>
      </w:r>
      <w:r>
        <w:rPr>
          <w:rStyle w:val="VerbatimChar"/>
        </w:rPr>
        <w:t xml:space="preserve">SequenceFlow_13</w:t>
      </w:r>
      <w:r>
        <w:t xml:space="preserve">).</w:t>
      </w:r>
    </w:p>
    <w:p>
      <w:pPr>
        <w:numPr>
          <w:ilvl w:val="0"/>
          <w:numId w:val="1003"/>
        </w:numPr>
        <w:pStyle w:val="Compact"/>
      </w:pPr>
      <w:r>
        <w:rPr>
          <w:bCs/>
          <w:b/>
        </w:rPr>
        <w:t xml:space="preserve">End Event (</w:t>
      </w:r>
      <w:r>
        <w:rPr>
          <w:rStyle w:val="VerbatimChar"/>
          <w:bCs/>
          <w:b/>
        </w:rPr>
        <w:t xml:space="preserve">EndEvent_2</w:t>
      </w:r>
      <w:r>
        <w:rPr>
          <w:bCs/>
          <w:b/>
        </w:rPr>
        <w:t xml:space="preserve">)</w:t>
      </w:r>
    </w:p>
    <w:p>
      <w:pPr>
        <w:numPr>
          <w:ilvl w:val="1"/>
          <w:numId w:val="1009"/>
        </w:numPr>
        <w:pStyle w:val="Compact"/>
      </w:pPr>
      <w:r>
        <w:t xml:space="preserve">Marks the completion of the process.</w:t>
      </w:r>
    </w:p>
    <w:p>
      <w:pPr>
        <w:numPr>
          <w:ilvl w:val="1"/>
          <w:numId w:val="1009"/>
        </w:numPr>
        <w:pStyle w:val="Compact"/>
      </w:pPr>
      <w:r>
        <w:t xml:space="preserve">Represented as a green circle in BPMN diagrams and has no outgoing sequence flows.</w:t>
      </w:r>
    </w:p>
    <w:p>
      <w:r>
        <w:pict>
          <v:rect style="width:0;height:1.5pt" o:hralign="center" o:hrstd="t" o:hr="t"/>
        </w:pict>
      </w:r>
    </w:p>
    <w:bookmarkEnd w:id="21"/>
    <w:bookmarkStart w:id="22" w:name="participant-collaboration"/>
    <w:p>
      <w:pPr>
        <w:pStyle w:val="Heading4"/>
      </w:pPr>
      <w:r>
        <w:rPr>
          <w:bCs/>
          <w:b/>
        </w:rPr>
        <w:t xml:space="preserve">Participant Collaboration</w:t>
      </w:r>
    </w:p>
    <w:p>
      <w:pPr>
        <w:numPr>
          <w:ilvl w:val="0"/>
          <w:numId w:val="1010"/>
        </w:numPr>
        <w:pStyle w:val="Compact"/>
      </w:pPr>
      <w:r>
        <w:rPr>
          <w:bCs/>
          <w:b/>
        </w:rPr>
        <w:t xml:space="preserve">Participant 1</w:t>
      </w:r>
      <w:r>
        <w:t xml:space="preserve">:</w:t>
      </w:r>
    </w:p>
    <w:p>
      <w:pPr>
        <w:numPr>
          <w:ilvl w:val="1"/>
          <w:numId w:val="1011"/>
        </w:numPr>
        <w:pStyle w:val="Compact"/>
      </w:pPr>
      <w:r>
        <w:t xml:space="preserve">Involved at the beginning of the process (left side of the diagram).</w:t>
      </w:r>
    </w:p>
    <w:p>
      <w:pPr>
        <w:numPr>
          <w:ilvl w:val="1"/>
          <w:numId w:val="1011"/>
        </w:numPr>
        <w:pStyle w:val="Compact"/>
      </w:pPr>
      <w:r>
        <w:t xml:space="preserve">Likely responsible for initiating the process or providing input data to</w:t>
      </w:r>
      <w:r>
        <w:t xml:space="preserve"> </w:t>
      </w:r>
      <w:r>
        <w:rPr>
          <w:rStyle w:val="VerbatimChar"/>
        </w:rPr>
        <w:t xml:space="preserve">CallActivity_4</w:t>
      </w:r>
      <w:r>
        <w:t xml:space="preserve">.</w:t>
      </w:r>
    </w:p>
    <w:p>
      <w:pPr>
        <w:numPr>
          <w:ilvl w:val="0"/>
          <w:numId w:val="1010"/>
        </w:numPr>
        <w:pStyle w:val="Compact"/>
      </w:pPr>
      <w:r>
        <w:rPr>
          <w:bCs/>
          <w:b/>
        </w:rPr>
        <w:t xml:space="preserve">Participant 2</w:t>
      </w:r>
      <w:r>
        <w:t xml:space="preserve">:</w:t>
      </w:r>
    </w:p>
    <w:p>
      <w:pPr>
        <w:numPr>
          <w:ilvl w:val="1"/>
          <w:numId w:val="1012"/>
        </w:numPr>
        <w:pStyle w:val="Compact"/>
      </w:pPr>
      <w:r>
        <w:t xml:space="preserve">Involved later in the process (right side of the diagram).</w:t>
      </w:r>
    </w:p>
    <w:p>
      <w:pPr>
        <w:numPr>
          <w:ilvl w:val="1"/>
          <w:numId w:val="1012"/>
        </w:numPr>
        <w:pStyle w:val="Compact"/>
      </w:pPr>
      <w:r>
        <w:t xml:space="preserve">Likely responsible for consuming the final XML output or performing post-processing tasks.</w:t>
      </w:r>
    </w:p>
    <w:p>
      <w:pPr>
        <w:numPr>
          <w:ilvl w:val="0"/>
          <w:numId w:val="1010"/>
        </w:numPr>
        <w:pStyle w:val="Compact"/>
      </w:pPr>
      <w:r>
        <w:rPr>
          <w:bCs/>
          <w:b/>
        </w:rPr>
        <w:t xml:space="preserve">Participant_Process_1</w:t>
      </w:r>
      <w:r>
        <w:t xml:space="preserve">:</w:t>
      </w:r>
    </w:p>
    <w:p>
      <w:pPr>
        <w:numPr>
          <w:ilvl w:val="1"/>
          <w:numId w:val="1013"/>
        </w:numPr>
        <w:pStyle w:val="Compact"/>
      </w:pPr>
      <w:r>
        <w:t xml:space="preserve">Represents the main process flow (</w:t>
      </w:r>
      <w:r>
        <w:rPr>
          <w:rStyle w:val="VerbatimChar"/>
        </w:rPr>
        <w:t xml:space="preserve">BPMNPlane_1</w:t>
      </w:r>
      <w:r>
        <w:t xml:space="preserve">), which integrates all activities and sequence flows.</w:t>
      </w:r>
    </w:p>
    <w:p>
      <w:pPr>
        <w:numPr>
          <w:ilvl w:val="1"/>
          <w:numId w:val="1013"/>
        </w:numPr>
        <w:pStyle w:val="Compact"/>
      </w:pPr>
      <w:r>
        <w:t xml:space="preserve">The bounds suggest it spans the entire workflow from initiation to completion.</w:t>
      </w:r>
    </w:p>
    <w:p>
      <w:r>
        <w:pict>
          <v:rect style="width:0;height:1.5pt" o:hralign="center" o:hrstd="t" o:hr="t"/>
        </w:pict>
      </w:r>
    </w:p>
    <w:bookmarkEnd w:id="22"/>
    <w:bookmarkStart w:id="23" w:name="key-observations"/>
    <w:p>
      <w:pPr>
        <w:pStyle w:val="Heading4"/>
      </w:pPr>
      <w:r>
        <w:rPr>
          <w:bCs/>
          <w:b/>
        </w:rPr>
        <w:t xml:space="preserve">Key Observations</w:t>
      </w:r>
    </w:p>
    <w:p>
      <w:pPr>
        <w:numPr>
          <w:ilvl w:val="0"/>
          <w:numId w:val="1014"/>
        </w:numPr>
        <w:pStyle w:val="Compact"/>
      </w:pPr>
      <w:r>
        <w:rPr>
          <w:bCs/>
          <w:b/>
        </w:rPr>
        <w:t xml:space="preserve">Data Transformation Flow</w:t>
      </w:r>
      <w:r>
        <w:t xml:space="preserve">:</w:t>
      </w:r>
    </w:p>
    <w:p>
      <w:pPr>
        <w:numPr>
          <w:ilvl w:val="1"/>
          <w:numId w:val="1015"/>
        </w:numPr>
        <w:pStyle w:val="Compact"/>
      </w:pPr>
      <w:r>
        <w:t xml:space="preserve">The process begins with generic data processing, followed by intermediate steps, and culminates in CSV-to-XML conversion.</w:t>
      </w:r>
    </w:p>
    <w:p>
      <w:pPr>
        <w:numPr>
          <w:ilvl w:val="1"/>
          <w:numId w:val="1015"/>
        </w:numPr>
        <w:pStyle w:val="Compact"/>
      </w:pPr>
      <w:r>
        <w:t xml:space="preserve">This suggests a focus on transforming unstructured or semi-structured data (CSV) into structured XML format for further use.</w:t>
      </w:r>
    </w:p>
    <w:p>
      <w:pPr>
        <w:numPr>
          <w:ilvl w:val="0"/>
          <w:numId w:val="1014"/>
        </w:numPr>
        <w:pStyle w:val="Compact"/>
      </w:pPr>
      <w:r>
        <w:rPr>
          <w:bCs/>
          <w:b/>
        </w:rPr>
        <w:t xml:space="preserve">Participant Involvement</w:t>
      </w:r>
      <w:r>
        <w:t xml:space="preserve">:</w:t>
      </w:r>
    </w:p>
    <w:p>
      <w:pPr>
        <w:numPr>
          <w:ilvl w:val="1"/>
          <w:numId w:val="1016"/>
        </w:numPr>
        <w:pStyle w:val="Compact"/>
      </w:pPr>
      <w:r>
        <w:t xml:space="preserve">The separation of participants indicates collaboration between different teams or systems.</w:t>
      </w:r>
    </w:p>
    <w:p>
      <w:pPr>
        <w:numPr>
          <w:ilvl w:val="1"/>
          <w:numId w:val="1016"/>
        </w:numPr>
        <w:pStyle w:val="Compact"/>
      </w:pPr>
      <w:r>
        <w:t xml:space="preserve">Participant 1 likely provides input, while Participant 2 handles the output or downstream processes.</w:t>
      </w:r>
    </w:p>
    <w:p>
      <w:pPr>
        <w:numPr>
          <w:ilvl w:val="0"/>
          <w:numId w:val="1014"/>
        </w:numPr>
        <w:pStyle w:val="Compact"/>
      </w:pPr>
      <w:r>
        <w:rPr>
          <w:bCs/>
          <w:b/>
        </w:rPr>
        <w:t xml:space="preserve">XML Conversion Importance</w:t>
      </w:r>
      <w:r>
        <w:t xml:space="preserve">:</w:t>
      </w:r>
    </w:p>
    <w:p>
      <w:pPr>
        <w:numPr>
          <w:ilvl w:val="1"/>
          <w:numId w:val="1017"/>
        </w:numPr>
        <w:pStyle w:val="Compact"/>
      </w:pPr>
      <w:r>
        <w:t xml:space="preserve">The final step involves converting CSV data into XML, which is a common requirement for integration with enterprise systems that consume structured data.</w:t>
      </w:r>
    </w:p>
    <w:p>
      <w:pPr>
        <w:numPr>
          <w:ilvl w:val="0"/>
          <w:numId w:val="1014"/>
        </w:numPr>
        <w:pStyle w:val="Compact"/>
      </w:pPr>
      <w:r>
        <w:rPr>
          <w:bCs/>
          <w:b/>
        </w:rPr>
        <w:t xml:space="preserve">Missing Configurations</w:t>
      </w:r>
      <w:r>
        <w:t xml:space="preserve">:</w:t>
      </w:r>
    </w:p>
    <w:p>
      <w:pPr>
        <w:numPr>
          <w:ilvl w:val="1"/>
          <w:numId w:val="1018"/>
        </w:numPr>
        <w:pStyle w:val="Compact"/>
      </w:pPr>
      <w:r>
        <w:t xml:space="preserve">Properties like</w:t>
      </w:r>
      <w:r>
        <w:t xml:space="preserve"> </w:t>
      </w:r>
      <w:r>
        <w:rPr>
          <w:rStyle w:val="VerbatimChar"/>
        </w:rPr>
        <w:t xml:space="preserve">Record_Identifier_in_CSV</w:t>
      </w:r>
      <w:r>
        <w:t xml:space="preserve"> </w:t>
      </w:r>
      <w:r>
        <w:t xml:space="preserve">and</w:t>
      </w:r>
      <w:r>
        <w:t xml:space="preserve"> </w:t>
      </w:r>
      <w:r>
        <w:rPr>
          <w:rStyle w:val="VerbatimChar"/>
        </w:rPr>
        <w:t xml:space="preserve">XML_Schema_File_Path</w:t>
      </w:r>
      <w:r>
        <w:t xml:space="preserve"> </w:t>
      </w:r>
      <w:r>
        <w:t xml:space="preserve">are not specified in the provided XML.</w:t>
      </w:r>
    </w:p>
    <w:p>
      <w:pPr>
        <w:numPr>
          <w:ilvl w:val="1"/>
          <w:numId w:val="1018"/>
        </w:numPr>
        <w:pStyle w:val="Compact"/>
      </w:pPr>
      <w:r>
        <w:t xml:space="preserve">This could indicate missing or incomplete process configuration details.</w:t>
      </w:r>
    </w:p>
    <w:p>
      <w:r>
        <w:pict>
          <v:rect style="width:0;height:1.5pt" o:hralign="center" o:hrstd="t" o:hr="t"/>
        </w:pict>
      </w:r>
    </w:p>
    <w:bookmarkEnd w:id="23"/>
    <w:bookmarkStart w:id="24" w:name="best-practices-considerations"/>
    <w:p>
      <w:pPr>
        <w:pStyle w:val="Heading4"/>
      </w:pPr>
      <w:r>
        <w:rPr>
          <w:bCs/>
          <w:b/>
        </w:rPr>
        <w:t xml:space="preserve">Best Practices Considerations</w:t>
      </w:r>
    </w:p>
    <w:p>
      <w:pPr>
        <w:numPr>
          <w:ilvl w:val="0"/>
          <w:numId w:val="1019"/>
        </w:numPr>
        <w:pStyle w:val="Compact"/>
      </w:pPr>
      <w:r>
        <w:rPr>
          <w:bCs/>
          <w:b/>
        </w:rPr>
        <w:t xml:space="preserve">Data Validation</w:t>
      </w:r>
      <w:r>
        <w:t xml:space="preserve">:</w:t>
      </w:r>
    </w:p>
    <w:p>
      <w:pPr>
        <w:numPr>
          <w:ilvl w:val="1"/>
          <w:numId w:val="1020"/>
        </w:numPr>
        <w:pStyle w:val="Compact"/>
      </w:pPr>
      <w:r>
        <w:t xml:space="preserve">Ensure that the CSV-to-XML conversion step includes proper validation to handle edge cases (e.g., missing fields, invalid data types).</w:t>
      </w:r>
    </w:p>
    <w:p>
      <w:pPr>
        <w:numPr>
          <w:ilvl w:val="0"/>
          <w:numId w:val="1019"/>
        </w:numPr>
        <w:pStyle w:val="Compact"/>
      </w:pPr>
      <w:r>
        <w:rPr>
          <w:bCs/>
          <w:b/>
        </w:rPr>
        <w:t xml:space="preserve">Error Handling</w:t>
      </w:r>
      <w:r>
        <w:t xml:space="preserve">:</w:t>
      </w:r>
    </w:p>
    <w:p>
      <w:pPr>
        <w:numPr>
          <w:ilvl w:val="1"/>
          <w:numId w:val="1021"/>
        </w:numPr>
        <w:pStyle w:val="Compact"/>
      </w:pPr>
      <w:r>
        <w:t xml:space="preserve">Add error handling for scenarios where the XML conversion fails or input data is invalid.</w:t>
      </w:r>
    </w:p>
    <w:p>
      <w:pPr>
        <w:numPr>
          <w:ilvl w:val="0"/>
          <w:numId w:val="1019"/>
        </w:numPr>
        <w:pStyle w:val="Compact"/>
      </w:pPr>
      <w:r>
        <w:rPr>
          <w:bCs/>
          <w:b/>
        </w:rPr>
        <w:t xml:space="preserve">Logging and Monitoring</w:t>
      </w:r>
      <w:r>
        <w:t xml:space="preserve">:</w:t>
      </w:r>
    </w:p>
    <w:p>
      <w:pPr>
        <w:numPr>
          <w:ilvl w:val="1"/>
          <w:numId w:val="1022"/>
        </w:numPr>
        <w:pStyle w:val="Compact"/>
      </w:pPr>
      <w:r>
        <w:t xml:space="preserve">Implement logging at each activity to track process execution and identify bottlenecks.</w:t>
      </w:r>
    </w:p>
    <w:p>
      <w:pPr>
        <w:numPr>
          <w:ilvl w:val="0"/>
          <w:numId w:val="1019"/>
        </w:numPr>
        <w:pStyle w:val="Compact"/>
      </w:pPr>
      <w:r>
        <w:rPr>
          <w:bCs/>
          <w:b/>
        </w:rPr>
        <w:t xml:space="preserve">Testing</w:t>
      </w:r>
      <w:r>
        <w:t xml:space="preserve">:</w:t>
      </w:r>
    </w:p>
    <w:p>
      <w:pPr>
        <w:numPr>
          <w:ilvl w:val="1"/>
          <w:numId w:val="1023"/>
        </w:numPr>
        <w:pStyle w:val="Compact"/>
      </w:pPr>
      <w:r>
        <w:t xml:space="preserve">Test the entire workflow with sample CSV inputs to ensure smooth operation and correct XML output.</w:t>
      </w:r>
    </w:p>
    <w:p>
      <w:pPr>
        <w:numPr>
          <w:ilvl w:val="0"/>
          <w:numId w:val="1019"/>
        </w:numPr>
        <w:pStyle w:val="Compact"/>
      </w:pPr>
      <w:r>
        <w:rPr>
          <w:bCs/>
          <w:b/>
        </w:rPr>
        <w:t xml:space="preserve">Documentation</w:t>
      </w:r>
      <w:r>
        <w:t xml:space="preserve">:</w:t>
      </w:r>
    </w:p>
    <w:p>
      <w:pPr>
        <w:numPr>
          <w:ilvl w:val="1"/>
          <w:numId w:val="1024"/>
        </w:numPr>
        <w:pStyle w:val="Compact"/>
      </w:pPr>
      <w:r>
        <w:t xml:space="preserve">Document the purpose of each activity, input/output formats, and expected outcomes for better process understanding and maintenance.</w:t>
      </w:r>
    </w:p>
    <w:p>
      <w:r>
        <w:pict>
          <v:rect style="width:0;height:1.5pt" o:hralign="center" o:hrstd="t" o:hr="t"/>
        </w:pict>
      </w:r>
    </w:p>
    <w:bookmarkEnd w:id="24"/>
    <w:bookmarkEnd w:id="25"/>
    <w:bookmarkStart w:id="26" w:name="summary"/>
    <w:p>
      <w:pPr>
        <w:pStyle w:val="Heading3"/>
      </w:pPr>
      <w:r>
        <w:t xml:space="preserve">Summary</w:t>
      </w:r>
    </w:p>
    <w:p>
      <w:pPr>
        <w:pStyle w:val="FirstParagraph"/>
      </w:pPr>
      <w:r>
        <w:t xml:space="preserve">The provided BPMN model represents a business process that initiates with an event, processes data through multiple steps, and concludes with CSV-to-XML conversion. The collaboration between participants highlights the importance of integrating diverse teams or systems in achieving the desired outcome. By following best practices for process design and implementation, this workflow can be optimized for reliability, efficiency, and scalability.</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2025-12-05T12:09:05Z</dcterms:created>
  <dcterms:modified xsi:type="dcterms:W3CDTF">2025-12-05T12:09:05Z</dcterms:modified>
</cp:coreProperties>
</file>

<file path=docProps/custom.xml><?xml version="1.0" encoding="utf-8"?>
<Properties xmlns="http://schemas.openxmlformats.org/officeDocument/2006/custom-properties" xmlns:vt="http://schemas.openxmlformats.org/officeDocument/2006/docPropsVTypes"/>
</file>