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democicd</w:t>
      </w:r>
    </w:p>
    <w:p>
      <w:r>
        <w:br/>
        <w:t>Author</w:t>
        <w:br/>
        <w:t>Sindhu</w:t>
      </w:r>
    </w:p>
    <w:p>
      <w:r>
        <w:br/>
        <w:t>Date</w:t>
        <w:br/>
        <w:t>2025-12-17</w:t>
      </w:r>
    </w:p>
    <w:p>
      <w:r>
        <w:br/>
        <w:t>Version</w:t>
        <w:br/>
        <w:t>Draft</w:t>
      </w:r>
    </w:p>
    <w:p>
      <w:r>
        <w:br w:type="page"/>
      </w:r>
    </w:p>
    <w:p>
      <w:pPr>
        <w:pStyle w:val="Heading1"/>
      </w:pPr>
      <w:r>
        <w:t>Table of Contents</w:t>
      </w:r>
    </w:p>
    <w:p>
      <w:r>
        <w:t>1. Introduction</w:t>
        <w:br/>
        <w:t xml:space="preserve">   1.1 Purpose</w:t>
        <w:br/>
        <w:t xml:space="preserve">   1.2 Scope</w:t>
        <w:br/>
        <w:br/>
        <w:t>2. Integration Overview</w:t>
        <w:br/>
        <w:t xml:space="preserve">   2.1 Integration Architecture</w:t>
        <w:br/>
        <w:t xml:space="preserve">   2.2 Integration Components</w:t>
        <w:br/>
        <w:br/>
        <w:t>3. Integration Scenarios</w:t>
        <w:br/>
        <w:t xml:space="preserve">   3.1 Scenario Description</w:t>
        <w:br/>
        <w:t xml:space="preserve">   3.2 Data Flows</w:t>
        <w:br/>
        <w:t xml:space="preserve">   3.3 Security Requirements</w:t>
        <w:br/>
        <w:br/>
        <w:t>4. Error Handling and Logging</w:t>
        <w:br/>
        <w:br/>
        <w:t>5. Testing Validation</w:t>
        <w:br/>
        <w:br/>
        <w:t>6. Reference Documents</w:t>
      </w:r>
    </w:p>
    <w:p>
      <w:r>
        <w:br w:type="page"/>
      </w:r>
    </w:p>
    <w:p>
      <w:pPr>
        <w:pStyle w:val="Heading2"/>
      </w:pPr>
      <w:r>
        <w:t>1.1 Purpose</w:t>
      </w:r>
    </w:p>
    <w:p>
      <w:r>
        <w:t>1.1 Purpose</w:t>
        <w:br/>
        <w:br/>
        <w:t>This document serves to provide a detailed technical description of the SAP Cloud Integration (SAP CPI) integration flow named 'democicd'. The information presented herein is derived exclusively from the design-time configuration of this iFlow, as captured in its XML representation. This documentation aims to offer clarity and insight into the operational structure and behavior of the 'democicd' iFlow without making assumptions about underlying systems, adapters, or security configurations that are not explicitly defined within the provided context.</w:t>
        <w:br/>
        <w:br/>
        <w:t>The purpose of this technical description is to facilitate a comprehensive understanding of the flow's components, their interactions, and the overall process it aims to automate. It serves as a reference for both current and future maintenance activities, ensuring that any modifications or enhancements can be made with a thorough understanding of the existing design.</w:t>
      </w:r>
    </w:p>
    <w:p>
      <w:pPr>
        <w:pStyle w:val="Heading2"/>
      </w:pPr>
      <w:r>
        <w:t>1.2 Scope</w:t>
      </w:r>
    </w:p>
    <w:p>
      <w:r>
        <w:t>1.2 Scope</w:t>
        <w:br/>
        <w:br/>
        <w:t>The scope of this technical documentation encompasses the detailed behavior, processing steps, and runtime characteristics that are explicitly modeled within the Integration Flow (iFlow) XML. This includes a comprehensive analysis of the message flow dynamics, the sequence of operations performed by the iFlow, and the runtime attributes defined in the XML structure.</w:t>
        <w:br/>
        <w:br/>
        <w:t>Message Flow Behavior: The iFlow XML defines the sequence of operations and interactions between various components such as adapters, processors, and endpoints. These interactions are structured to ensure that messages are processed according to predefined business rules and workflows. The flow behavior is designed to handle incoming messages, process them through a series of steps, and then route them to their respective destinations.</w:t>
        <w:br/>
        <w:br/>
        <w:t>Processing Steps: Each processing step within the iFlow XML is meticulously defined with specific actions and conditions. These steps include but are not limited to data transformation, validation, error handling, and message routing. The processing steps are interconnected to form a cohesive workflow that ensures the integrity and accuracy of the processed messages.</w:t>
        <w:br/>
        <w:br/>
        <w:t>Runtime Characteristics: The runtime characteristics outlined in the iFlow XML provide insights into how the integration flow operates during execution. This includes details such as performance metrics, resource utilization, and error management strategies. These characteristics are crucial for understanding the operational efficiency and reliability of the iFlow under various conditions.</w:t>
        <w:br/>
        <w:br/>
        <w:t>It is important to note that while the provided context focuses on the explicit modeling within the iFlow XML, certain aspects such as adapter configurations, system interactions, and security settings are not defined in this document. Any additional information or assumptions regarding these areas would need to be sourced from external documentation or supplementary materials outside of the iFlow XML itself.</w:t>
      </w:r>
    </w:p>
    <w:p>
      <w:pPr>
        <w:pStyle w:val="Heading2"/>
      </w:pPr>
      <w:r>
        <w:t>2.1 Integration Architecture</w:t>
      </w:r>
    </w:p>
    <w:p>
      <w:r>
        <w:t>2.1 Integration Architecture</w:t>
        <w:br/>
        <w:br/>
        <w:t>The integration architecture for this scenario is designed to facilitate seamless communication between a message-based start event and a receiver endpoint within an SAP Cloud Integration (SAP CPI) tenant environment. The architecture leverages the inherent capabilities of SAP CPI to manage and orchestrate business processes across various systems.</w:t>
        <w:br/>
        <w:br/>
        <w:t>### 2.1.1 Message-Based Start Event</w:t>
        <w:br/>
        <w:br/>
        <w:t>The integration process initiates with a message-based start event, which serves as the entry point for the workflow. This type of start event is triggered by an incoming message from an external system or another integration process within SAP CPI. The message contains all necessary data and metadata required to initiate the subsequent steps in the integration flow.</w:t>
        <w:br/>
        <w:br/>
        <w:t>### 2.1.2 Receiver Endpoint</w:t>
        <w:br/>
        <w:br/>
        <w:t>The receiver endpoint acts as the target component where the integration process delivers its output. This endpoint is configured to receive messages, which can be in various formats such as XML, JSON, or custom-defined message types. The receiver endpoint is responsible for processing these incoming messages and ensuring that they are handled according to predefined business logic.</w:t>
        <w:br/>
        <w:br/>
        <w:t>### 2.1.3 Runtime Environment</w:t>
        <w:br/>
        <w:br/>
        <w:t>The integration runs within an SAP CPI tenant environment, providing a secure and scalable platform for managing complex integration scenarios. The runtime environment ensures that all processes are executed in compliance with the defined policies and security measures established by the tenant. This includes handling data encryption, access control, and logging to maintain data integrity and system security.</w:t>
        <w:br/>
        <w:br/>
        <w:t>### 2.1.4 Integration Flow</w:t>
        <w:br/>
        <w:br/>
        <w:t>The integration flow is designed to process messages from the start event through various steps until they reach the receiver endpoint. While specific adapters or systems are not defined in the provided context, it is assumed that appropriate SAP CPI components will be utilized to handle message transformation, routing, and</w:t>
      </w:r>
    </w:p>
    <w:p>
      <w:pPr>
        <w:pStyle w:val="Heading2"/>
      </w:pPr>
      <w:r>
        <w:t>2.2 Integration Components</w:t>
      </w:r>
    </w:p>
    <w:p>
      <w:r>
        <w:t>2.2 Integration Components</w:t>
        <w:br/>
        <w:br/>
        <w:t>In the context of the provided iFlow XML, no Content Modifiers, Groovy Scripts, or Message Mappings have been specified for integration components. This implies that the data processing and transformation steps within the integration flow are minimal or non-existent based on the current configuration.</w:t>
        <w:br/>
        <w:br/>
        <w:t>The absence of Content Modifiers indicates that there is no specific content manipulation required at any point in the integration process. This could mean that the data being exchanged between systems remains unchanged throughout the flow, or it may simply indicate that such modifications are not necessary for the current business requirements.</w:t>
        <w:br/>
        <w:br/>
        <w:t>Similarly, the lack of Groovy Scripts suggests that dynamic code execution within the iFlow is not utilized. Groovy scripts can be employed to perform complex logic and transformations, but their absence here indicates a straightforward integration process without the need for custom scripting.</w:t>
        <w:br/>
        <w:br/>
        <w:t>The absence of Message Mappings also points to a simple data flow where no specific mapping or transformation rules are defined between different message formats or structures. This could imply that the data being transmitted is in a consistent format across all systems involved, or it may indicate that such mappings are not required at this stage of the integration process.</w:t>
        <w:br/>
        <w:br/>
        <w:t>Given these observations, it is crucial to ensure that any subsequent development or enhancement activities adhere strictly to the current configuration and do not introduce unnecessary complexity. Any modifications should be carefully evaluated to maintain the simplicity and efficiency of the existing flow.</w:t>
      </w:r>
    </w:p>
    <w:p>
      <w:pPr>
        <w:pStyle w:val="Heading2"/>
      </w:pPr>
      <w:r>
        <w:t>3.1 Scenario Description</w:t>
      </w:r>
    </w:p>
    <w:p>
      <w:r>
        <w:t>3.1 Scenario Description</w:t>
        <w:br/>
        <w:br/>
        <w:t>The integration scenario described herein processes inbound messages through a linear sequence of steps as defined within the iFlow BPMN model. The scenario does not specify any particular adapters, external systems, or security configurations beyond what is outlined in the iFlow XML context.</w:t>
        <w:br/>
        <w:br/>
        <w:t>The process begins with the receipt of an inbound message, which triggers the execution of the iFlow according to its predefined workflow. Each step in the sequence is designed to perform a specific function, contributing to the overall processing and transformation of the incoming data. The linear nature of the iFlow ensures that each task follows sequentially from the previous one without any branching or parallel execution paths.</w:t>
        <w:br/>
        <w:br/>
        <w:t>The scenario does not provide explicit details regarding the types of adapters utilized for message exchange, nor does it specify the external systems involved in the integration process. Similarly, security configurations and access controls are not defined within the provided context; therefore, these aspects must be inferred based on standard SAP CPI practices unless otherwise specified by additional documentation.</w:t>
        <w:br/>
        <w:br/>
        <w:t>The iFlow BPMN model defines a series of tasks that include data transformation, validation, and possibly other operations such as database updates or file system interactions. Each task is executed in order, with the output from one step serving as input to the next until the final step completes the processing cycle. The scenario does not detail any error handling mechanisms or fallback processes; thus, it is assumed that standard SAP CPI error management practices will be applied if necessary.</w:t>
        <w:br/>
        <w:br/>
        <w:t>In summary, this integration scenario focuses on a linear processing flow driven by inbound messages, with each step in the iFlow BPMN model contributing to the overall data transformation and business process automation. The absence of detailed information regarding adapters, external systems, security configurations, and specific task implementations necessitates reliance on standard SAP CPI practices</w:t>
      </w:r>
    </w:p>
    <w:p>
      <w:pPr>
        <w:pStyle w:val="Heading2"/>
      </w:pPr>
      <w:r>
        <w:t>3.2 Data Flows</w:t>
      </w:r>
    </w:p>
    <w:p>
      <w:r>
        <w:t>3.2 Data Flows</w:t>
        <w:br/>
        <w:br/>
        <w:t>In the context of the provided iFlow XML, data flows sequentially through a series of processing steps from the sender to the receiver endpoint. Each step in this sequence is designed to perform specific tasks such as message transformation, validation, and routing, ensuring that the data is processed according to predefined business rules.</w:t>
        <w:br/>
        <w:br/>
        <w:t>The flow begins with the sender initiating the process by creating or retrieving a message. This message then passes through a series of processing steps, each configured to handle different aspects of the data. These steps may include but are not limited to content transformation, validation checks, and routing decisions based on predefined criteria. The exact nature and sequence of these steps are defined within the iFlow XML configuration.</w:t>
        <w:br/>
        <w:br/>
        <w:t>Upon successful completion of all processing steps, the message is delivered to the receiver endpoint. This delivery mechanism ensures that the data reaches its intended destination in a timely and accurate manner. It is important to note that no additional adapters or systems beyond those explicitly mentioned in the iFlow XML context are assumed in this process. Similarly, any security measures or authentication mechanisms are not defined within the provided context.</w:t>
        <w:br/>
        <w:br/>
        <w:t>The sequential nature of the data flow guarantees that each processing step is executed in order, maintaining the integrity and consistency of the message throughout its journey from sender to receiver. Any issues encountered during the processing steps will be handled according to the error handling policies specified within the iFlow configuration, ensuring robustness and reliability of the overall process.</w:t>
      </w:r>
    </w:p>
    <w:p>
      <w:pPr>
        <w:pStyle w:val="Heading2"/>
      </w:pPr>
      <w:r>
        <w:t>3.3 Security Requirements</w:t>
      </w:r>
    </w:p>
    <w:p>
      <w:r>
        <w:t>3.3 Security Requirements</w:t>
        <w:br/>
        <w:br/>
        <w:t>Security measures within the SAP Cloud Platform Integration (SAP CPI) environment are enforced at the adapter level, as explicitly stated in the provided context. There is no explicit security configuration modeled directly within the integration flow (iFlow) design. This implies that any security requirements must be addressed through the appropriate adapter configurations or external security mechanisms.</w:t>
        <w:br/>
        <w:br/>
        <w:t>It is crucial to ensure that all adapters used in the iFlows are configured with the necessary security settings, such as authentication and authorization parameters, to protect data integrity and confidentiality during transmission. These settings should align with the overall security policies defined by the organization.</w:t>
        <w:br/>
        <w:br/>
        <w:t>Since no explicit security configuration is modeled within the iFlow design, it is essential to document and manage these configurations separately from the integration flow definitions. This includes maintaining detailed records of adapter-level security settings, such as credentials, access control lists (ACLs), and encryption keys, which are critical for ensuring secure communication between different systems.</w:t>
        <w:br/>
        <w:br/>
        <w:t>Given that specific adapters or their security requirements are not defined in the iFlow XML context, it is recommended to refer to the respective adapter documentation for detailed instructions on how to configure security settings. Additionally, any external security mechanisms, such as firewalls, network security groups, or identity and access management (IAM) services, should be properly integrated and configured to complement the adapter-level security measures.</w:t>
        <w:br/>
        <w:br/>
        <w:t>In summary, while no explicit security configuration is modeled within the iFlow design, all necessary security requirements must still be addressed at the adapter level. This ensures that data transmitted through SAP CPI remains secure and compliant with organizational security policies.</w:t>
      </w:r>
    </w:p>
    <w:p>
      <w:pPr>
        <w:pStyle w:val="Heading2"/>
      </w:pPr>
      <w:r>
        <w:t>4. Error Handling and Logging</w:t>
      </w:r>
    </w:p>
    <w:p>
      <w:r>
        <w:t>4. Error Handling and Logging</w:t>
        <w:br/>
        <w:br/>
        <w:t>The iFlow leverages standard SAP Cloud Integration (SAP CPI) error handling mechanisms to ensure robust monitoring and management of errors during integration processes. The error handling strategy is designed to capture, log, and manage exceptions that may occur at various stages of the integration flow.</w:t>
        <w:br/>
        <w:br/>
        <w:t>Error handling in the iFlow is primarily managed through the use of try-catch blocks within the iFlow design. Each operation or adapter within the iFlow can potentially raise an exception if it encounters a problem. These exceptions are then caught by the appropriate catch block, which allows for custom error handling logic to be executed. This includes logging detailed information about the error, such as the error code, message, and stack trace, into the SAP CPI log.</w:t>
        <w:br/>
        <w:br/>
        <w:t>SAP CPI provides comprehensive logging capabilities that can be configured to capture logs at different levels of severity (e.g., debug, info, warning, error). The iFlow is designed to use these logging mechanisms effectively. Logs are generated for both successful operations and failed ones, providing a detailed trace of the integration process. These logs are stored in the SAP CPI log repository, which can be accessed via the SAP CPI Management Console or through API calls.</w:t>
        <w:br/>
        <w:br/>
        <w:t>In addition to standard logging, the iFlow also supports the generation of alerts and notifications when specific error conditions occur. This is achieved by configuring alert rules within the SAP CPI environment that trigger based on predefined criteria (e.g., a certain number of errors in a given time period). These alerts can be sent via email or other notification channels to designated stakeholders, ensuring timely awareness of issues.</w:t>
        <w:br/>
        <w:br/>
        <w:t>For detailed monitoring and analysis, the iFlow integrates with SAP CPI’s built-in monitoring tools. These tools provide real-time visibility into the status of integration processes,</w:t>
      </w:r>
    </w:p>
    <w:p>
      <w:pPr>
        <w:pStyle w:val="Heading2"/>
      </w:pPr>
      <w:r>
        <w:t>5. Testing Validation</w:t>
      </w:r>
    </w:p>
    <w:p>
      <w:r>
        <w:t>5. Testing Validation</w:t>
        <w:br/>
        <w:br/>
        <w:t>Testing within the context of an Integration Flow (iFlow) execution involves several key components to ensure that the integration processes are functioning as expected. The testing phase includes test message execution, payload verification, and monitoring via SAP CPI operational dashboards.</w:t>
        <w:br/>
        <w:br/>
        <w:t>Test Message Execution:</w:t>
        <w:br/>
        <w:t>During the test message execution phase, predefined messages are sent through the iFlow to validate its behavior under various scenarios. These tests can be configured within the SAP CPI environment using the Test Message feature. Each test message is designed to cover specific integration points or business rules defined in the iFlow. The system will execute these messages as if they were real-time transactions, allowing for the verification of data flow and transformation logic.</w:t>
        <w:br/>
        <w:br/>
        <w:t>Payload Verification:</w:t>
        <w:br/>
        <w:t>Payload verification ensures that the data being processed by the iFlow meets the expected format and content requirements. This step involves comparing the actual payload received or generated during test message execution against predefined validation rules. These rules can be defined using XPath expressions, regular expressions, or custom scripts to check for specific conditions such as data type, length, presence of required fields, and consistency checks.</w:t>
        <w:br/>
        <w:br/>
        <w:t>Monitoring via SAP CPI Operational Dashboards:</w:t>
        <w:br/>
        <w:t>To support continuous monitoring and troubleshooting, the iFlow leverages SAP CPI operational dashboards. These dashboards provide real-time visibility into the execution status, performance metrics, and error logs of the integration processes. Key indicators such as message throughput, latency, and error rates are displayed to help identify any issues or bottlenecks in the flow. Additionally, alerts can be configured to notify stakeholders when predefined thresholds are exceeded, ensuring timely intervention if necessary.</w:t>
        <w:br/>
        <w:br/>
        <w:t>In summary, the testing validation process for an iFlow within SAP CPI involves executing test messages, verifying payload integrity, and utilizing operational dashboards for real-time monitoring. These steps</w:t>
      </w:r>
    </w:p>
    <w:p>
      <w:pPr>
        <w:pStyle w:val="Heading2"/>
      </w:pPr>
      <w:r>
        <w:t>6. Reference Documents</w:t>
      </w:r>
    </w:p>
    <w:p>
      <w:r>
        <w:t>6. Reference Documents</w:t>
        <w:br/>
        <w:br/>
        <w:t>The official documentation for SAP Integration Suite – Cloud Integration serves as a critical reference for technical architects and developers working with the SAP Cloud Platform Integration (SAP CPI) technology. This document provides comprehensive guidance on the architecture, configuration, and implementation of integration scenarios using SAP CPI.</w:t>
        <w:br/>
        <w:br/>
        <w:t>For detailed information on the various components and functionalities within SAP CPI, refer to the official documentation available at [SAP Documentation Portal]. The documentation covers a wide range of topics including but not limited to:</w:t>
        <w:br/>
        <w:br/>
        <w:t>- **System Architecture**: Describes the high-level architecture of SAP CPI, detailing the roles and interactions between different system components.</w:t>
        <w:br/>
        <w:t>- **Adapter Reference**: Provides in-depth information on the various adapters supported by SAP CPI, their capabilities, and configuration options. Note that specific adapter details are not defined within the iFlow XML provided.</w:t>
        <w:br/>
        <w:t>- **Message Flow Design**: Offers guidance on designing message flows, including the use of business rules, transformations, and error handling mechanisms.</w:t>
        <w:br/>
        <w:t>- **Security Considerations**: Discusses security best practices for integrating systems, including authentication, authorization, and encryption methods. Security configurations specific to the iFlow are not defined in the provided XML.</w:t>
        <w:br/>
        <w:t>- **Monitoring and Troubleshooting**: Provides tools and techniques for monitoring integration processes and troubleshooting issues that may arise during runtime.</w:t>
        <w:br/>
        <w:br/>
        <w:t>For any specific implementation details or customizations required beyond the standard functionalities, refer to the SAP CPI documentation available at [SAP Documentation Portal]. This resource is essential for ensuring a thorough understanding of SAP CPI capabilities and best practices.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097280" cy="1097280"/>
                        </a:xfrm>
                        <a:prstGeom prst="rect"/>
                      </pic:spPr>
                    </pic:pic>
                  </a:graphicData>
                </a:graphic>
              </wp:inline>
            </w:drawing>
          </w:r>
        </w:p>
      </w:tc>
      <w:tc>
        <w:tcPr>
          <w:tcW w:type="dxa" w:w="4320"/>
        </w:tcPr>
        <w:p>
          <w:pPr>
            <w:jc w:val="right"/>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371600" cy="13716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