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864"/>
          <w:sz w:val="64"/>
        </w:rPr>
        <w:t>PRD_IF_EmployeeCreation_SF_to_S4_MDF_copy_100228</w:t>
      </w:r>
    </w:p>
    <w:p>
      <w:pPr>
        <w:jc w:val="center"/>
      </w:pPr>
      <w:r>
        <w:t>Technical Specification Document</w:t>
      </w:r>
    </w:p>
    <w:tbl>
      <w:tblPr>
        <w:tblStyle w:val="TableGrid"/>
        <w:tblW w:type="auto" w:w="0"/>
        <w:jc w:val="center"/>
        <w:tblLook w:firstColumn="1" w:firstRow="1" w:lastColumn="0" w:lastRow="0" w:noHBand="0" w:noVBand="1" w:val="04A0"/>
      </w:tblPr>
      <w:tblGrid>
        <w:gridCol w:w="4320"/>
        <w:gridCol w:w="4320"/>
      </w:tblGrid>
      <w:tr>
        <w:tc>
          <w:tcPr>
            <w:tcW w:type="dxa" w:w="4320"/>
          </w:tcPr>
          <w:p>
            <w:r>
              <w:t>Author:</w:t>
            </w:r>
          </w:p>
        </w:tc>
        <w:tc>
          <w:tcPr>
            <w:tcW w:type="dxa" w:w="4320"/>
          </w:tcPr>
          <w:p>
            <w:r>
              <w:t>Sindhu</w:t>
            </w:r>
          </w:p>
        </w:tc>
      </w:tr>
      <w:tr>
        <w:tc>
          <w:tcPr>
            <w:tcW w:type="dxa" w:w="4320"/>
          </w:tcPr>
          <w:p>
            <w:r>
              <w:t>Date:</w:t>
            </w:r>
          </w:p>
        </w:tc>
        <w:tc>
          <w:tcPr>
            <w:tcW w:type="dxa" w:w="4320"/>
          </w:tcPr>
          <w:p>
            <w:r>
              <w:t>2026-01-07</w:t>
            </w:r>
          </w:p>
        </w:tc>
      </w:tr>
      <w:tr>
        <w:tc>
          <w:tcPr>
            <w:tcW w:type="dxa" w:w="4320"/>
          </w:tcPr>
          <w:p>
            <w:r>
              <w:t>Version:</w:t>
            </w:r>
          </w:p>
        </w:tc>
        <w:tc>
          <w:tcPr>
            <w:tcW w:type="dxa" w:w="4320"/>
          </w:tcPr>
          <w:p>
            <w:r>
              <w:t>1.0</w:t>
            </w:r>
          </w:p>
        </w:tc>
      </w:tr>
    </w:tbl>
    <w:p>
      <w:r>
        <w:br w:type="page"/>
      </w:r>
    </w:p>
    <w:p>
      <w:pPr>
        <w:pStyle w:val="Heading1"/>
      </w:pPr>
      <w:r>
        <w:t>Table of Contents</w:t>
      </w:r>
    </w:p>
    <w:p>
      <w:r>
        <w:t>1. Introduction</w:t>
      </w:r>
    </w:p>
    <w:p>
      <w:pPr>
        <w:ind w:left="432"/>
      </w:pPr>
      <w:r>
        <w:t xml:space="preserve">  1.1 Purpose</w:t>
      </w:r>
    </w:p>
    <w:p>
      <w:pPr>
        <w:ind w:left="432"/>
      </w:pPr>
      <w:r>
        <w:t xml:space="preserve">  1.2 Scope</w:t>
      </w:r>
    </w:p>
    <w:p>
      <w:r>
        <w:t>2. Integration Overview</w:t>
      </w:r>
    </w:p>
    <w:p>
      <w:pPr>
        <w:ind w:left="432"/>
      </w:pPr>
      <w:r>
        <w:t xml:space="preserve">  2.1 Integration Architecture</w:t>
      </w:r>
    </w:p>
    <w:p>
      <w:pPr>
        <w:ind w:left="432"/>
      </w:pPr>
      <w:r>
        <w:t xml:space="preserve">  2.2 Integration Components</w:t>
      </w:r>
    </w:p>
    <w:p>
      <w:r>
        <w:t>3. Integration Scenarios</w:t>
      </w:r>
    </w:p>
    <w:p>
      <w:pPr>
        <w:ind w:left="432"/>
      </w:pPr>
      <w:r>
        <w:t xml:space="preserve">  3.1 Scenario Description</w:t>
      </w:r>
    </w:p>
    <w:p>
      <w:pPr>
        <w:ind w:left="432"/>
      </w:pPr>
      <w:r>
        <w:t xml:space="preserve">  3.2 Data Flows</w:t>
      </w:r>
    </w:p>
    <w:p>
      <w:pPr>
        <w:ind w:left="432"/>
      </w:pPr>
      <w:r>
        <w:t xml:space="preserve">  3.3 Security Requirements</w:t>
      </w:r>
    </w:p>
    <w:p>
      <w:r>
        <w:t>4. Error Handling</w:t>
      </w:r>
    </w:p>
    <w:p>
      <w:r>
        <w:t>5. Testing Validation</w:t>
      </w:r>
    </w:p>
    <w:p>
      <w:r>
        <w:br w:type="page"/>
      </w:r>
    </w:p>
    <w:p>
      <w:pPr>
        <w:pStyle w:val="Heading1"/>
      </w:pPr>
      <w:r>
        <w:rPr>
          <w:color w:val="1F3864"/>
          <w:sz w:val="32"/>
        </w:rPr>
        <w:t>1. Introduction</w:t>
      </w:r>
    </w:p>
    <w:p>
      <w:pPr>
        <w:pStyle w:val="Heading2"/>
      </w:pPr>
      <w:r>
        <w:rPr>
          <w:color w:val="1F3864"/>
          <w:sz w:val="26"/>
        </w:rPr>
        <w:t>1.1 Purpose</w:t>
      </w:r>
    </w:p>
    <w:p>
      <w:r>
        <w:t>This iFlow is designed to facilitate the process of employee creation from SuccessFactors (SF) to S/4 HANA using the MDF (Metadata Framework).</w:t>
      </w:r>
    </w:p>
    <w:p>
      <w:pPr>
        <w:pStyle w:val="Heading2"/>
      </w:pPr>
      <w:r>
        <w:rPr>
          <w:color w:val="1F3864"/>
          <w:sz w:val="26"/>
        </w:rPr>
        <w:t>1.2 Scope</w:t>
      </w:r>
    </w:p>
    <w:p>
      <w:r>
        <w:t>The integration flow targets the mapping and transfer of employee-related data from SuccessFactors to the S/4 HANA environment, ensuring that all necessary fields and attributes are correctly populated and synchronized.</w:t>
      </w:r>
    </w:p>
    <w:p>
      <w:pPr>
        <w:pStyle w:val="Heading1"/>
      </w:pPr>
      <w:r>
        <w:rPr>
          <w:color w:val="1F3864"/>
          <w:sz w:val="32"/>
        </w:rPr>
        <w:t>2. Integration Overview</w:t>
      </w:r>
    </w:p>
    <w:p>
      <w:pPr>
        <w:pStyle w:val="Heading2"/>
      </w:pPr>
      <w:r>
        <w:rPr>
          <w:color w:val="1F3864"/>
          <w:sz w:val="26"/>
        </w:rPr>
        <w:t>2.1 Integration Architecture</w:t>
      </w:r>
    </w:p>
    <w:p>
      <w:pPr>
        <w:jc w:val="center"/>
      </w:pPr>
      <w:r>
        <w:drawing>
          <wp:inline xmlns:a="http://schemas.openxmlformats.org/drawingml/2006/main" xmlns:pic="http://schemas.openxmlformats.org/drawingml/2006/picture">
            <wp:extent cx="5029200" cy="7398026"/>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029200" cy="7398026"/>
                    </a:xfrm>
                    <a:prstGeom prst="rect"/>
                  </pic:spPr>
                </pic:pic>
              </a:graphicData>
            </a:graphic>
          </wp:inline>
        </w:drawing>
      </w:r>
    </w:p>
    <w:p>
      <w:pPr>
        <w:pStyle w:val="Heading2"/>
      </w:pPr>
      <w:r>
        <w:rPr>
          <w:color w:val="1F3864"/>
          <w:sz w:val="26"/>
        </w:rPr>
        <w:t>2.2 Integration Components</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Value</w:t>
            </w:r>
          </w:p>
        </w:tc>
      </w:tr>
      <w:tr>
        <w:tc>
          <w:tcPr>
            <w:tcW w:type="dxa" w:w="4320"/>
          </w:tcPr>
          <w:p>
            <w:r>
              <w:t>success_factors_system</w:t>
            </w:r>
          </w:p>
        </w:tc>
        <w:tc>
          <w:tcPr>
            <w:tcW w:type="dxa" w:w="4320"/>
          </w:tcPr>
          <w:p>
            <w:r>
              <w:t>{'type': 'Source', 'description': 'SuccessFactors system where employee data is originated.'}</w:t>
            </w:r>
          </w:p>
        </w:tc>
      </w:tr>
      <w:tr>
        <w:tc>
          <w:tcPr>
            <w:tcW w:type="dxa" w:w="4320"/>
          </w:tcPr>
          <w:p>
            <w:r>
              <w:t>iFlow</w:t>
            </w:r>
          </w:p>
        </w:tc>
        <w:tc>
          <w:tcPr>
            <w:tcW w:type="dxa" w:w="4320"/>
          </w:tcPr>
          <w:p>
            <w:r>
              <w:t>{'type': 'Integration Flow', 'description': 'Handles the logic for transforming and routing data.'}</w:t>
            </w:r>
          </w:p>
        </w:tc>
      </w:tr>
      <w:tr>
        <w:tc>
          <w:tcPr>
            <w:tcW w:type="dxa" w:w="4320"/>
          </w:tcPr>
          <w:p>
            <w:r>
              <w:t>s4hana_system</w:t>
            </w:r>
          </w:p>
        </w:tc>
        <w:tc>
          <w:tcPr>
            <w:tcW w:type="dxa" w:w="4320"/>
          </w:tcPr>
          <w:p>
            <w:r>
              <w:t>{'type': 'Target', 'description': 'S/4 HANA system where employee data is stored.'}</w:t>
            </w:r>
          </w:p>
        </w:tc>
      </w:tr>
      <w:tr>
        <w:tc>
          <w:tcPr>
            <w:tcW w:type="dxa" w:w="4320"/>
          </w:tcPr>
          <w:p>
            <w:r>
              <w:t>data_transformation</w:t>
            </w:r>
          </w:p>
        </w:tc>
        <w:tc>
          <w:tcPr>
            <w:tcW w:type="dxa" w:w="4320"/>
          </w:tcPr>
          <w:p>
            <w:r>
              <w:t>{'type': 'Transformation Logic', 'description': 'Mapping and transformation rules applied to the incoming data.'}</w:t>
            </w:r>
          </w:p>
        </w:tc>
      </w:tr>
      <w:tr>
        <w:tc>
          <w:tcPr>
            <w:tcW w:type="dxa" w:w="4320"/>
          </w:tcPr>
          <w:p>
            <w:r>
              <w:t>notification_service</w:t>
            </w:r>
          </w:p>
        </w:tc>
        <w:tc>
          <w:tcPr>
            <w:tcW w:type="dxa" w:w="4320"/>
          </w:tcPr>
          <w:p>
            <w:r>
              <w:t>{'type': 'Service', 'description': 'Service to send notifications after successful data processing.'}</w:t>
            </w:r>
          </w:p>
        </w:tc>
      </w:tr>
    </w:tbl>
    <w:p>
      <w:pPr>
        <w:pStyle w:val="Heading1"/>
      </w:pPr>
      <w:r>
        <w:rPr>
          <w:color w:val="1F3864"/>
          <w:sz w:val="32"/>
        </w:rPr>
        <w:t>3. Integration Scenarios</w:t>
      </w:r>
    </w:p>
    <w:p>
      <w:pPr>
        <w:pStyle w:val="Heading2"/>
      </w:pPr>
      <w:r>
        <w:rPr>
          <w:color w:val="1F3864"/>
          <w:sz w:val="26"/>
        </w:rPr>
        <w:t>3.1 Scenario Description</w:t>
      </w:r>
    </w:p>
    <w:p>
      <w:r>
        <w:t>The iFlow initiates the employee creation process by extracting employee data from the SuccessFactors system. It then transforms this data to match the structure expected by the S/4 HANA environment and pushes the data into the target system. The process concludes with a notification confirming the successful creation of the employee record.</w:t>
      </w:r>
    </w:p>
    <w:p>
      <w:pPr>
        <w:pStyle w:val="Heading2"/>
      </w:pPr>
      <w:r>
        <w:rPr>
          <w:color w:val="1F3864"/>
          <w:sz w:val="26"/>
        </w:rPr>
        <w:t>3.2 Data Flows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 Field</w:t>
            </w:r>
          </w:p>
        </w:tc>
        <w:tc>
          <w:tcPr>
            <w:tcW w:type="dxa" w:w="2880"/>
          </w:tcPr>
          <w:p>
            <w:r>
              <w:t>Target Field</w:t>
            </w:r>
          </w:p>
        </w:tc>
        <w:tc>
          <w:tcPr>
            <w:tcW w:type="dxa" w:w="2880"/>
          </w:tcPr>
          <w:p>
            <w:r>
              <w:t>Logic</w:t>
            </w:r>
          </w:p>
        </w:tc>
      </w:tr>
      <w:tr>
        <w:tc>
          <w:tcPr>
            <w:tcW w:type="dxa" w:w="2880"/>
          </w:tcPr>
          <w:p>
            <w:r>
              <w:t>SuccessFactors.employeeName</w:t>
            </w:r>
          </w:p>
        </w:tc>
        <w:tc>
          <w:tcPr>
            <w:tcW w:type="dxa" w:w="2880"/>
          </w:tcPr>
          <w:p>
            <w:r>
              <w:t>S4HANA.employeeName</w:t>
            </w:r>
          </w:p>
        </w:tc>
        <w:tc>
          <w:tcPr>
            <w:tcW w:type="dxa" w:w="2880"/>
          </w:tcPr>
          <w:p>
            <w:r>
              <w:t>Direct mapping</w:t>
            </w:r>
          </w:p>
        </w:tc>
      </w:tr>
      <w:tr>
        <w:tc>
          <w:tcPr>
            <w:tcW w:type="dxa" w:w="2880"/>
          </w:tcPr>
          <w:p>
            <w:r>
              <w:t>SuccessFactors.employeeID</w:t>
            </w:r>
          </w:p>
        </w:tc>
        <w:tc>
          <w:tcPr>
            <w:tcW w:type="dxa" w:w="2880"/>
          </w:tcPr>
          <w:p>
            <w:r>
              <w:t>S4HANA.employeeId</w:t>
            </w:r>
          </w:p>
        </w:tc>
        <w:tc>
          <w:tcPr>
            <w:tcW w:type="dxa" w:w="2880"/>
          </w:tcPr>
          <w:p>
            <w:r>
              <w:t>Direct mapping</w:t>
            </w:r>
          </w:p>
        </w:tc>
      </w:tr>
      <w:tr>
        <w:tc>
          <w:tcPr>
            <w:tcW w:type="dxa" w:w="2880"/>
          </w:tcPr>
          <w:p>
            <w:r>
              <w:t>SuccessFactors.position</w:t>
            </w:r>
          </w:p>
        </w:tc>
        <w:tc>
          <w:tcPr>
            <w:tcW w:type="dxa" w:w="2880"/>
          </w:tcPr>
          <w:p>
            <w:r>
              <w:t>S4HANA.jobPosition</w:t>
            </w:r>
          </w:p>
        </w:tc>
        <w:tc>
          <w:tcPr>
            <w:tcW w:type="dxa" w:w="2880"/>
          </w:tcPr>
          <w:p>
            <w:r>
              <w:t>Direct mapping</w:t>
            </w:r>
          </w:p>
        </w:tc>
      </w:tr>
      <w:tr>
        <w:tc>
          <w:tcPr>
            <w:tcW w:type="dxa" w:w="2880"/>
          </w:tcPr>
          <w:p>
            <w:r>
              <w:t>SuccessFactors.department</w:t>
            </w:r>
          </w:p>
        </w:tc>
        <w:tc>
          <w:tcPr>
            <w:tcW w:type="dxa" w:w="2880"/>
          </w:tcPr>
          <w:p>
            <w:r>
              <w:t>S4HANA.departmentCode</w:t>
            </w:r>
          </w:p>
        </w:tc>
        <w:tc>
          <w:tcPr>
            <w:tcW w:type="dxa" w:w="2880"/>
          </w:tcPr>
          <w:p>
            <w:r>
              <w:t>Convert to department code format</w:t>
            </w:r>
          </w:p>
        </w:tc>
      </w:tr>
      <w:tr>
        <w:tc>
          <w:tcPr>
            <w:tcW w:type="dxa" w:w="2880"/>
          </w:tcPr>
          <w:p>
            <w:r>
              <w:t>SuccessFactors.hireDate</w:t>
            </w:r>
          </w:p>
        </w:tc>
        <w:tc>
          <w:tcPr>
            <w:tcW w:type="dxa" w:w="2880"/>
          </w:tcPr>
          <w:p>
            <w:r>
              <w:t>S4HANA.startDate</w:t>
            </w:r>
          </w:p>
        </w:tc>
        <w:tc>
          <w:tcPr>
            <w:tcW w:type="dxa" w:w="2880"/>
          </w:tcPr>
          <w:p>
            <w:r>
              <w:t>Format the date to YYYY-MM-DD</w:t>
            </w:r>
          </w:p>
        </w:tc>
      </w:tr>
    </w:tbl>
    <w:p>
      <w:pPr>
        <w:pStyle w:val="Heading2"/>
      </w:pPr>
      <w:r>
        <w:rPr>
          <w:color w:val="1F3864"/>
          <w:sz w:val="26"/>
        </w:rPr>
        <w:t>3.3 Security Requirements</w:t>
      </w:r>
    </w:p>
    <w:p>
      <w:r>
        <w:t>The iFlow implements secure connections via HTTPS to ensure data security in transit. Additionally, user authentication and authorization mechanisms are in place to restrict access to both the SuccessFactors and S/4 HANA environments.</w:t>
      </w:r>
    </w:p>
    <w:p>
      <w:pPr>
        <w:pStyle w:val="Heading1"/>
      </w:pPr>
      <w:r>
        <w:rPr>
          <w:color w:val="1F3864"/>
          <w:sz w:val="32"/>
        </w:rPr>
        <w:t>4. Error Handling and Logging</w:t>
      </w:r>
    </w:p>
    <w:p>
      <w:r>
        <w:t>In case of an error during data processing, the iFlow is designed to log the error details and send alerts to the integration team for troubleshooting. There are retries configured for transient errors.</w:t>
      </w:r>
    </w:p>
    <w:p>
      <w:pPr>
        <w:pStyle w:val="Heading1"/>
      </w:pPr>
      <w:r>
        <w:rPr>
          <w:color w:val="1F3864"/>
          <w:sz w:val="32"/>
        </w:rPr>
        <w:t>5. Testing Validation</w:t>
      </w:r>
    </w:p>
    <w:p>
      <w:r>
        <w:t>The iFlow has undergone unit testing for individual components, as well as integration testing with both the SuccessFactors and S/4 HANA systems. End-to-end testing is also performed to ensure the complete workflow functions as expected.</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685800" cy="68580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mm.png"/>
                        <pic:cNvPicPr/>
                      </pic:nvPicPr>
                      <pic:blipFill>
                        <a:blip r:embed="rId2"/>
                        <a:stretch>
                          <a:fillRect/>
                        </a:stretch>
                      </pic:blipFill>
                      <pic:spPr>
                        <a:xfrm>
                          <a:off x="0" y="0"/>
                          <a:ext cx="685800" cy="6858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