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integrationflow</w:t>
      </w:r>
    </w:p>
    <w:p>
      <w:pPr>
        <w:pStyle w:val="BodyText"/>
      </w:pPr>
      <w:r>
        <w:t xml:space="preserve">Technical Specification Document</w:t>
      </w:r>
    </w:p>
    <w:p>
      <w:pPr>
        <w:pStyle w:val="BodyText"/>
      </w:pPr>
    </w:p>
    <w:p>
      <w:pPr>
        <w:pStyle w:val="BodyText"/>
      </w:pPr>
      <w:r>
        <w:t xml:space="preserve">Author</w:t>
      </w:r>
    </w:p>
    <w:p>
      <w:pPr>
        <w:pStyle w:val="BodyText"/>
      </w:pPr>
      <w:r>
        <w:t xml:space="preserve">Sindhu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2026-01-07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1.0.0</w:t>
      </w:r>
    </w:p>
    <w:p>
      <w:pPr>
        <w:pStyle w:val="BodyText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Overview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Scenarios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Error Handling and Logging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Testing Validation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Reference Documents</w:t>
      </w:r>
    </w:p>
    <w:bookmarkStart w:id="22" w:name="introduction"/>
    <w:p>
      <w:pPr>
        <w:pStyle w:val="Heading1"/>
      </w:pPr>
      <w:r>
        <w:t xml:space="preserve">1. Introduction</w:t>
      </w:r>
    </w:p>
    <w:bookmarkStart w:id="20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The purpose of this document is to provide a comprehensive overview of the iFlow named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, detailing its integration architecture, components, scenarios, error handling, and testing validation.</w:t>
      </w:r>
    </w:p>
    <w:bookmarkEnd w:id="20"/>
    <w:bookmarkStart w:id="21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This document covers the integration flow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 </w:t>
      </w:r>
      <w:r>
        <w:t xml:space="preserve">within the SAP Cloud Platform Integration (CPI) environment, including its design, data flows, and error handling mechanisms.</w:t>
      </w:r>
    </w:p>
    <w:bookmarkEnd w:id="21"/>
    <w:bookmarkEnd w:id="22"/>
    <w:bookmarkStart w:id="25" w:name="integration-overview"/>
    <w:p>
      <w:pPr>
        <w:pStyle w:val="Heading1"/>
      </w:pPr>
      <w:r>
        <w:t xml:space="preserve">2. Integration Overview</w:t>
      </w:r>
    </w:p>
    <w:bookmarkStart w:id="23" w:name="integration-architecture"/>
    <w:p>
      <w:pPr>
        <w:pStyle w:val="Heading2"/>
      </w:pPr>
      <w:r>
        <w:t xml:space="preserve">2.1 Integration Architecture</w:t>
      </w:r>
    </w:p>
    <w:p>
      <w:pPr>
        <w:pStyle w:val="FirstParagraph"/>
      </w:pPr>
      <w:r>
        <w:t xml:space="preserve">The integration architecture consists of multiple participants including SuccessFactors (SF) and various receivers for personnel, resignations, and cost centers. The flow is designed to handle data retrieval and processing through a series of service tasks and call activities.</w:t>
      </w:r>
    </w:p>
    <w:bookmarkEnd w:id="23"/>
    <w:bookmarkStart w:id="24" w:name="integration-components"/>
    <w:p>
      <w:pPr>
        <w:pStyle w:val="Heading2"/>
      </w:pPr>
      <w:r>
        <w:t xml:space="preserve">2.2 Integration Components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Participants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SF</w:t>
      </w:r>
    </w:p>
    <w:p>
      <w:pPr>
        <w:numPr>
          <w:ilvl w:val="1"/>
          <w:numId w:val="1003"/>
        </w:numPr>
        <w:pStyle w:val="Compact"/>
      </w:pPr>
      <w:r>
        <w:t xml:space="preserve">SF_Receiver_Perpersonal</w:t>
      </w:r>
    </w:p>
    <w:p>
      <w:pPr>
        <w:numPr>
          <w:ilvl w:val="1"/>
          <w:numId w:val="1003"/>
        </w:numPr>
        <w:pStyle w:val="Compact"/>
      </w:pPr>
      <w:r>
        <w:t xml:space="preserve">SF_Receiver_Resignations</w:t>
      </w:r>
    </w:p>
    <w:p>
      <w:pPr>
        <w:numPr>
          <w:ilvl w:val="1"/>
          <w:numId w:val="1003"/>
        </w:numPr>
        <w:pStyle w:val="Compact"/>
      </w:pPr>
      <w:r>
        <w:t xml:space="preserve">SF_Receiver_CostCentres</w:t>
      </w:r>
    </w:p>
    <w:p>
      <w:pPr>
        <w:numPr>
          <w:ilvl w:val="1"/>
          <w:numId w:val="1003"/>
        </w:numPr>
        <w:pStyle w:val="Compact"/>
      </w:pPr>
      <w:r>
        <w:t xml:space="preserve">Receiver1</w:t>
      </w:r>
    </w:p>
    <w:p>
      <w:pPr>
        <w:numPr>
          <w:ilvl w:val="1"/>
          <w:numId w:val="1003"/>
        </w:numPr>
        <w:pStyle w:val="Compact"/>
      </w:pPr>
      <w:r>
        <w:t xml:space="preserve">Receiver3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Processes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GetAllPerPersonal</w:t>
      </w:r>
    </w:p>
    <w:p>
      <w:pPr>
        <w:numPr>
          <w:ilvl w:val="1"/>
          <w:numId w:val="1004"/>
        </w:numPr>
        <w:pStyle w:val="Compact"/>
      </w:pPr>
      <w:r>
        <w:t xml:space="preserve">GetAllResignations</w:t>
      </w:r>
    </w:p>
    <w:p>
      <w:pPr>
        <w:numPr>
          <w:ilvl w:val="1"/>
          <w:numId w:val="1004"/>
        </w:numPr>
        <w:pStyle w:val="Compact"/>
      </w:pPr>
      <w:r>
        <w:t xml:space="preserve">GetAllCostCentres</w:t>
      </w:r>
    </w:p>
    <w:p>
      <w:pPr>
        <w:numPr>
          <w:ilvl w:val="1"/>
          <w:numId w:val="1004"/>
        </w:numPr>
        <w:pStyle w:val="Compact"/>
      </w:pPr>
      <w:r>
        <w:t xml:space="preserve">Integration Process</w:t>
      </w:r>
    </w:p>
    <w:bookmarkEnd w:id="24"/>
    <w:bookmarkEnd w:id="25"/>
    <w:bookmarkStart w:id="29" w:name="integration-scenarios"/>
    <w:p>
      <w:pPr>
        <w:pStyle w:val="Heading1"/>
      </w:pPr>
      <w:r>
        <w:t xml:space="preserve">3. Integration Scenarios</w:t>
      </w:r>
    </w:p>
    <w:bookmarkStart w:id="26" w:name="scenario-description"/>
    <w:p>
      <w:pPr>
        <w:pStyle w:val="Heading2"/>
      </w:pPr>
      <w:r>
        <w:t xml:space="preserve">3.1 Scenario Description</w:t>
      </w:r>
    </w:p>
    <w:p>
      <w:pPr>
        <w:pStyle w:val="FirstParagraph"/>
      </w:pPr>
      <w:r>
        <w:t xml:space="preserve">The integration flow retrieves employee data from SuccessFactors and sends it to various receivers based on specific business requirements. It includes scenarios for personnel data, resignations, and cost centers.</w:t>
      </w:r>
    </w:p>
    <w:bookmarkEnd w:id="26"/>
    <w:bookmarkStart w:id="27" w:name="data-flows"/>
    <w:p>
      <w:pPr>
        <w:pStyle w:val="Heading2"/>
      </w:pPr>
      <w:r>
        <w:t xml:space="preserve">3.2 Data Flows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GetAllPerPersonal</w:t>
      </w:r>
      <w:r>
        <w:t xml:space="preserve">: Retrieves personnel data from SuccessFactors and sends it to SF_Receiver_Perpersonal.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GetAllResignations</w:t>
      </w:r>
      <w:r>
        <w:t xml:space="preserve">: Retrieves resignation data from SuccessFactors and sends it to SF_Receiver_Resignations.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GetAllCostCentres</w:t>
      </w:r>
      <w:r>
        <w:t xml:space="preserve">: Retrieves cost center data from SuccessFactors and sends it to SF_Receiver_CostCentres.</w:t>
      </w:r>
    </w:p>
    <w:bookmarkEnd w:id="27"/>
    <w:bookmarkStart w:id="28" w:name="security-requirements"/>
    <w:p>
      <w:pPr>
        <w:pStyle w:val="Heading2"/>
      </w:pPr>
      <w:r>
        <w:t xml:space="preserve">3.3 Security Requirements</w:t>
      </w:r>
    </w:p>
    <w:p>
      <w:pPr>
        <w:numPr>
          <w:ilvl w:val="0"/>
          <w:numId w:val="1006"/>
        </w:numPr>
        <w:pStyle w:val="Compact"/>
      </w:pPr>
      <w:r>
        <w:t xml:space="preserve">Authentication methods for SuccessFactors and receivers must be configured.</w:t>
      </w:r>
    </w:p>
    <w:p>
      <w:pPr>
        <w:numPr>
          <w:ilvl w:val="0"/>
          <w:numId w:val="1006"/>
        </w:numPr>
        <w:pStyle w:val="Compact"/>
      </w:pPr>
      <w:r>
        <w:t xml:space="preserve">Secure data transmission protocols (HTTPS) should be enforced.</w:t>
      </w:r>
    </w:p>
    <w:p>
      <w:pPr>
        <w:numPr>
          <w:ilvl w:val="0"/>
          <w:numId w:val="1006"/>
        </w:numPr>
        <w:pStyle w:val="Compact"/>
      </w:pPr>
      <w:r>
        <w:t xml:space="preserve">Proper handling of sensitive data in compliance with data protection regulations.</w:t>
      </w:r>
    </w:p>
    <w:bookmarkEnd w:id="28"/>
    <w:bookmarkEnd w:id="29"/>
    <w:bookmarkStart w:id="30" w:name="error-handling-and-logging"/>
    <w:p>
      <w:pPr>
        <w:pStyle w:val="Heading1"/>
      </w:pPr>
      <w:r>
        <w:t xml:space="preserve">4. Error Handling and Logging</w:t>
      </w:r>
    </w:p>
    <w:p>
      <w:pPr>
        <w:pStyle w:val="FirstParagraph"/>
      </w:pPr>
      <w:r>
        <w:t xml:space="preserve">Error handling is implemented through an error subprocess that captures exceptions and logs them for further analysis. The integration flow is designed to return exceptions to the sender if configured.</w:t>
      </w:r>
    </w:p>
    <w:bookmarkEnd w:id="30"/>
    <w:bookmarkStart w:id="31" w:name="testing-validation"/>
    <w:p>
      <w:pPr>
        <w:pStyle w:val="Heading1"/>
      </w:pPr>
      <w:r>
        <w:t xml:space="preserve">5. Testing Validation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2534"/>
        <w:gridCol w:w="4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Personnel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data is successfully retrieved and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Resignation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Resignation data is successfully retrieved and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Cost Center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center data is successfully retrieved and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are logged and handled as per configuration.</w:t>
            </w:r>
          </w:p>
        </w:tc>
      </w:tr>
    </w:tbl>
    <w:bookmarkEnd w:id="31"/>
    <w:bookmarkStart w:id="32" w:name="reference-documents"/>
    <w:p>
      <w:pPr>
        <w:pStyle w:val="Heading1"/>
      </w:pPr>
      <w:r>
        <w:t xml:space="preserve">6. Reference Documents</w:t>
      </w:r>
    </w:p>
    <w:p>
      <w:pPr>
        <w:numPr>
          <w:ilvl w:val="0"/>
          <w:numId w:val="1007"/>
        </w:numPr>
        <w:pStyle w:val="Compact"/>
      </w:pPr>
      <w:r>
        <w:t xml:space="preserve">SAP Cloud Platform Integration Documentation</w:t>
      </w:r>
    </w:p>
    <w:p>
      <w:pPr>
        <w:numPr>
          <w:ilvl w:val="0"/>
          <w:numId w:val="1007"/>
        </w:numPr>
        <w:pStyle w:val="Compact"/>
      </w:pPr>
      <w:r>
        <w:t xml:space="preserve">SuccessFactors API Documentation</w:t>
      </w:r>
    </w:p>
    <w:p>
      <w:pPr>
        <w:numPr>
          <w:ilvl w:val="0"/>
          <w:numId w:val="1007"/>
        </w:numPr>
        <w:pStyle w:val="Compact"/>
      </w:pPr>
      <w:r>
        <w:t xml:space="preserve">Integration Flow Design Guidelines</w:t>
      </w:r>
    </w:p>
    <w:bookmarkEnd w:id="32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60000" cy="126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126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620000" cy="16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16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2026-01-07T06:04:57Z</dcterms:created>
  <dcterms:modified xsi:type="dcterms:W3CDTF">2026-01-07T06:04:57Z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