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integrationflow</w:t>
      </w:r>
    </w:p>
    <w:p>
      <w:pPr>
        <w:pStyle w:val="BodyText"/>
      </w:pPr>
      <w:r>
        <w:t xml:space="preserve">Technical Specification Document</w:t>
      </w:r>
    </w:p>
    <w:p>
      <w:pPr>
        <w:pStyle w:val="BodyText"/>
      </w:pPr>
    </w:p>
    <w:p>
      <w:pPr>
        <w:pStyle w:val="BodyText"/>
      </w:pPr>
      <w:r>
        <w:t xml:space="preserve">Author</w:t>
      </w:r>
    </w:p>
    <w:p>
      <w:pPr>
        <w:pStyle w:val="BodyText"/>
      </w:pPr>
      <w:r>
        <w:t xml:space="preserve">Sindhu</w:t>
      </w:r>
    </w:p>
    <w:p>
      <w:pPr>
        <w:pStyle w:val="BodyText"/>
      </w:pPr>
      <w:r>
        <w:t xml:space="preserve">Date</w:t>
      </w:r>
    </w:p>
    <w:p>
      <w:pPr>
        <w:pStyle w:val="BodyText"/>
      </w:pPr>
      <w:r>
        <w:t xml:space="preserve">2026-01-05</w:t>
      </w:r>
    </w:p>
    <w:p>
      <w:pPr>
        <w:pStyle w:val="BodyText"/>
      </w:pPr>
      <w:r>
        <w:t xml:space="preserve">Version</w:t>
      </w:r>
    </w:p>
    <w:p>
      <w:pPr>
        <w:pStyle w:val="BodyText"/>
      </w:pPr>
      <w:r>
        <w:t xml:space="preserve">1.0.0</w:t>
      </w:r>
    </w:p>
    <w:p>
      <w:pPr>
        <w:pStyle w:val="BodyText"/>
      </w:pPr>
      <w:r>
        <w:t xml:space="preserve">Table of Contents</w:t>
      </w:r>
    </w:p>
    <w:p>
      <w:pPr>
        <w:numPr>
          <w:ilvl w:val="0"/>
          <w:numId w:val="1001"/>
        </w:numPr>
      </w:pPr>
      <w:r>
        <w:t xml:space="preserve">Introduction</w:t>
      </w:r>
      <w:r>
        <w:t xml:space="preserve"> </w:t>
      </w:r>
      <w:r>
        <w:t xml:space="preserve">1.1 Purpose</w:t>
      </w:r>
      <w:r>
        <w:t xml:space="preserve"> </w:t>
      </w:r>
      <w:r>
        <w:t xml:space="preserve">1.2 Scope</w:t>
      </w:r>
    </w:p>
    <w:p>
      <w:pPr>
        <w:numPr>
          <w:ilvl w:val="0"/>
          <w:numId w:val="1001"/>
        </w:numPr>
      </w:pPr>
      <w:r>
        <w:t xml:space="preserve">Integration Overview</w:t>
      </w:r>
      <w:r>
        <w:t xml:space="preserve"> </w:t>
      </w:r>
      <w:r>
        <w:t xml:space="preserve">2.1 Integration Architecture</w:t>
      </w:r>
      <w:r>
        <w:t xml:space="preserve"> </w:t>
      </w:r>
      <w:r>
        <w:t xml:space="preserve">2.2 Integration Components</w:t>
      </w:r>
    </w:p>
    <w:p>
      <w:pPr>
        <w:numPr>
          <w:ilvl w:val="0"/>
          <w:numId w:val="1001"/>
        </w:numPr>
      </w:pPr>
      <w:r>
        <w:t xml:space="preserve">Integration Scenarios</w:t>
      </w:r>
      <w:r>
        <w:t xml:space="preserve"> </w:t>
      </w:r>
      <w:r>
        <w:t xml:space="preserve">3.1 Scenario Description</w:t>
      </w:r>
      <w:r>
        <w:t xml:space="preserve"> </w:t>
      </w:r>
      <w:r>
        <w:t xml:space="preserve">3.2 Data Flows</w:t>
      </w:r>
      <w:r>
        <w:t xml:space="preserve"> </w:t>
      </w:r>
      <w:r>
        <w:t xml:space="preserve">3.3 Security Requirements</w:t>
      </w:r>
    </w:p>
    <w:p>
      <w:pPr>
        <w:numPr>
          <w:ilvl w:val="0"/>
          <w:numId w:val="1001"/>
        </w:numPr>
      </w:pPr>
      <w:r>
        <w:t xml:space="preserve">Error Handling and Logging</w:t>
      </w:r>
    </w:p>
    <w:p>
      <w:pPr>
        <w:numPr>
          <w:ilvl w:val="0"/>
          <w:numId w:val="1001"/>
        </w:numPr>
      </w:pPr>
      <w:r>
        <w:t xml:space="preserve">Testing Validation</w:t>
      </w:r>
    </w:p>
    <w:p>
      <w:pPr>
        <w:numPr>
          <w:ilvl w:val="0"/>
          <w:numId w:val="1001"/>
        </w:numPr>
      </w:pPr>
      <w:r>
        <w:t xml:space="preserve">Reference Documents</w:t>
      </w:r>
    </w:p>
    <w:bookmarkStart w:id="22" w:name="introduction"/>
    <w:p>
      <w:pPr>
        <w:pStyle w:val="Heading1"/>
      </w:pPr>
      <w:r>
        <w:t xml:space="preserve">1. Introduction</w:t>
      </w:r>
    </w:p>
    <w:bookmarkStart w:id="20" w:name="purpose"/>
    <w:p>
      <w:pPr>
        <w:pStyle w:val="Heading2"/>
      </w:pPr>
      <w:r>
        <w:t xml:space="preserve">1.1 Purpose</w:t>
      </w:r>
    </w:p>
    <w:p>
      <w:pPr>
        <w:pStyle w:val="FirstParagraph"/>
      </w:pPr>
      <w:r>
        <w:t xml:space="preserve">The purpose of this document is to provide a comprehensive overview of the iFlow named</w:t>
      </w:r>
      <w:r>
        <w:t xml:space="preserve"> </w:t>
      </w:r>
      <w:r>
        <w:t xml:space="preserve">‘</w:t>
      </w:r>
      <w:r>
        <w:t xml:space="preserve">integrationflow</w:t>
      </w:r>
      <w:r>
        <w:t xml:space="preserve">’</w:t>
      </w:r>
      <w:r>
        <w:t xml:space="preserve">, detailing its integration architecture, components, scenarios, error handling, and testing validation.</w:t>
      </w:r>
    </w:p>
    <w:bookmarkEnd w:id="20"/>
    <w:bookmarkStart w:id="21" w:name="scope"/>
    <w:p>
      <w:pPr>
        <w:pStyle w:val="Heading2"/>
      </w:pPr>
      <w:r>
        <w:t xml:space="preserve">1.2 Scope</w:t>
      </w:r>
    </w:p>
    <w:p>
      <w:pPr>
        <w:pStyle w:val="FirstParagraph"/>
      </w:pPr>
      <w:r>
        <w:t xml:space="preserve">This document covers the integration flow designed to process emails using IMAP for incoming messages and SMTP for outgoing messages, including the associated data transformations and error handling mechanisms.</w:t>
      </w:r>
    </w:p>
    <w:bookmarkEnd w:id="21"/>
    <w:bookmarkEnd w:id="22"/>
    <w:bookmarkStart w:id="25" w:name="integration-overview"/>
    <w:p>
      <w:pPr>
        <w:pStyle w:val="Heading1"/>
      </w:pPr>
      <w:r>
        <w:t xml:space="preserve">2. Integration Overview</w:t>
      </w:r>
    </w:p>
    <w:bookmarkStart w:id="23" w:name="integration-architecture"/>
    <w:p>
      <w:pPr>
        <w:pStyle w:val="Heading2"/>
      </w:pPr>
      <w:r>
        <w:t xml:space="preserve">2.1 Integration Architecture</w:t>
      </w:r>
    </w:p>
    <w:p>
      <w:pPr>
        <w:pStyle w:val="FirstParagraph"/>
      </w:pPr>
      <w:r>
        <w:t xml:space="preserve">The integration architecture consists of a sender and receiver participant, with an integration process that orchestrates the flow of data between them. The sender retrieves emails from an IMAP server, processes the data, and sends it to the receiver via SMTP.</w:t>
      </w:r>
    </w:p>
    <w:bookmarkEnd w:id="23"/>
    <w:bookmarkStart w:id="24" w:name="integration-components"/>
    <w:p>
      <w:pPr>
        <w:pStyle w:val="Heading2"/>
      </w:pPr>
      <w:r>
        <w:t xml:space="preserve">2.2 Integration Components</w:t>
      </w:r>
    </w:p>
    <w:p>
      <w:pPr>
        <w:numPr>
          <w:ilvl w:val="0"/>
          <w:numId w:val="1002"/>
        </w:numPr>
        <w:pStyle w:val="Compact"/>
      </w:pPr>
      <w:r>
        <w:rPr>
          <w:bCs/>
          <w:b/>
        </w:rPr>
        <w:t xml:space="preserve">Sender</w:t>
      </w:r>
      <w:r>
        <w:t xml:space="preserve">: An IMAP endpoint configured to read emails from a Gmail account.</w:t>
      </w:r>
    </w:p>
    <w:p>
      <w:pPr>
        <w:numPr>
          <w:ilvl w:val="0"/>
          <w:numId w:val="1002"/>
        </w:numPr>
        <w:pStyle w:val="Compact"/>
      </w:pPr>
      <w:r>
        <w:rPr>
          <w:bCs/>
          <w:b/>
        </w:rPr>
        <w:t xml:space="preserve">Receiver</w:t>
      </w:r>
      <w:r>
        <w:t xml:space="preserve">: An SMTP endpoint configured to send emails to a specified recipient.</w:t>
      </w:r>
    </w:p>
    <w:p>
      <w:pPr>
        <w:numPr>
          <w:ilvl w:val="0"/>
          <w:numId w:val="1002"/>
        </w:numPr>
        <w:pStyle w:val="Compact"/>
      </w:pPr>
      <w:r>
        <w:rPr>
          <w:bCs/>
          <w:b/>
        </w:rPr>
        <w:t xml:space="preserve">Integration Process</w:t>
      </w:r>
      <w:r>
        <w:t xml:space="preserve">: Contains activities such as Groovy scripts and content modifiers to transform the data.</w:t>
      </w:r>
    </w:p>
    <w:bookmarkEnd w:id="24"/>
    <w:bookmarkEnd w:id="25"/>
    <w:bookmarkStart w:id="29" w:name="integration-scenarios"/>
    <w:p>
      <w:pPr>
        <w:pStyle w:val="Heading1"/>
      </w:pPr>
      <w:r>
        <w:t xml:space="preserve">3. Integration Scenarios</w:t>
      </w:r>
    </w:p>
    <w:bookmarkStart w:id="26" w:name="scenario-description"/>
    <w:p>
      <w:pPr>
        <w:pStyle w:val="Heading2"/>
      </w:pPr>
      <w:r>
        <w:t xml:space="preserve">3.1 Scenario Description</w:t>
      </w:r>
    </w:p>
    <w:p>
      <w:pPr>
        <w:pStyle w:val="FirstParagraph"/>
      </w:pPr>
      <w:r>
        <w:t xml:space="preserve">The integration flow retrieves unread emails from a Gmail inbox, processes the content, and forwards the relevant information as an email to a specified recipient.</w:t>
      </w:r>
    </w:p>
    <w:bookmarkEnd w:id="26"/>
    <w:bookmarkStart w:id="27" w:name="data-flows"/>
    <w:p>
      <w:pPr>
        <w:pStyle w:val="Heading2"/>
      </w:pPr>
      <w:r>
        <w:t xml:space="preserve">3.2 Data Flows</w:t>
      </w:r>
    </w:p>
    <w:p>
      <w:pPr>
        <w:numPr>
          <w:ilvl w:val="0"/>
          <w:numId w:val="1003"/>
        </w:numPr>
        <w:pStyle w:val="Compact"/>
      </w:pPr>
      <w:r>
        <w:rPr>
          <w:bCs/>
          <w:b/>
        </w:rPr>
        <w:t xml:space="preserve">Incoming Flow</w:t>
      </w:r>
      <w:r>
        <w:t xml:space="preserve">:</w:t>
      </w:r>
    </w:p>
    <w:p>
      <w:pPr>
        <w:numPr>
          <w:ilvl w:val="1"/>
          <w:numId w:val="1004"/>
        </w:numPr>
        <w:pStyle w:val="Compact"/>
      </w:pPr>
      <w:r>
        <w:t xml:space="preserve">Emails are fetched from the IMAP server.</w:t>
      </w:r>
    </w:p>
    <w:p>
      <w:pPr>
        <w:numPr>
          <w:ilvl w:val="1"/>
          <w:numId w:val="1004"/>
        </w:numPr>
        <w:pStyle w:val="Compact"/>
      </w:pPr>
      <w:r>
        <w:t xml:space="preserve">The content is processed using Groovy scripts and content modifiers.</w:t>
      </w:r>
    </w:p>
    <w:p>
      <w:pPr>
        <w:numPr>
          <w:ilvl w:val="0"/>
          <w:numId w:val="1003"/>
        </w:numPr>
        <w:pStyle w:val="Compact"/>
      </w:pPr>
      <w:r>
        <w:rPr>
          <w:bCs/>
          <w:b/>
        </w:rPr>
        <w:t xml:space="preserve">Outgoing Flow</w:t>
      </w:r>
      <w:r>
        <w:t xml:space="preserve">:</w:t>
      </w:r>
    </w:p>
    <w:p>
      <w:pPr>
        <w:numPr>
          <w:ilvl w:val="1"/>
          <w:numId w:val="1005"/>
        </w:numPr>
        <w:pStyle w:val="Compact"/>
      </w:pPr>
      <w:r>
        <w:t xml:space="preserve">Processed content is sent as an email via the SMTP server.</w:t>
      </w:r>
    </w:p>
    <w:bookmarkEnd w:id="27"/>
    <w:bookmarkStart w:id="28" w:name="security-requirements"/>
    <w:p>
      <w:pPr>
        <w:pStyle w:val="Heading2"/>
      </w:pPr>
      <w:r>
        <w:t xml:space="preserve">3.3 Security Requirements</w:t>
      </w:r>
    </w:p>
    <w:p>
      <w:pPr>
        <w:numPr>
          <w:ilvl w:val="0"/>
          <w:numId w:val="1006"/>
        </w:numPr>
        <w:pStyle w:val="Compact"/>
      </w:pPr>
      <w:r>
        <w:t xml:space="preserve">Basic authentication is disabled for the sender.</w:t>
      </w:r>
    </w:p>
    <w:p>
      <w:pPr>
        <w:numPr>
          <w:ilvl w:val="0"/>
          <w:numId w:val="1006"/>
        </w:numPr>
        <w:pStyle w:val="Compact"/>
      </w:pPr>
      <w:r>
        <w:t xml:space="preserve">Secure connections are established using SSL/TLS for both IMAP and SMTP protocols.</w:t>
      </w:r>
    </w:p>
    <w:bookmarkEnd w:id="28"/>
    <w:bookmarkEnd w:id="29"/>
    <w:bookmarkStart w:id="30" w:name="error-handling-and-logging"/>
    <w:p>
      <w:pPr>
        <w:pStyle w:val="Heading1"/>
      </w:pPr>
      <w:r>
        <w:t xml:space="preserve">4. Error Handling and Logging</w:t>
      </w:r>
    </w:p>
    <w:p>
      <w:pPr>
        <w:pStyle w:val="FirstParagraph"/>
      </w:pPr>
      <w:r>
        <w:t xml:space="preserve">The integration flow logs all events and handles errors by not returning exceptions to the sender. Any issues encountered during processing will be logged for further analysis.</w:t>
      </w:r>
    </w:p>
    <w:bookmarkEnd w:id="30"/>
    <w:bookmarkStart w:id="31" w:name="testing-validation"/>
    <w:p>
      <w:pPr>
        <w:pStyle w:val="Heading1"/>
      </w:pPr>
      <w:r>
        <w:t xml:space="preserve">5. Testing Validation</w:t>
      </w:r>
    </w:p>
    <w:tbl>
      <w:tblPr>
        <w:tblStyle w:val="Table"/>
        <w:tblW w:type="pct" w:w="5000"/>
        <w:tblLook w:firstRow="1" w:lastRow="0" w:firstColumn="0" w:lastColumn="0" w:noHBand="0" w:noVBand="0" w:val="0020"/>
        <w:jc w:val="start"/>
      </w:tblPr>
      <w:tblGrid>
        <w:gridCol w:w="2640"/>
        <w:gridCol w:w="1885"/>
        <w:gridCol w:w="3394"/>
      </w:tblGrid>
      <w:tr>
        <w:trPr>
          <w:tblHeader w:val="true"/>
        </w:trPr>
        <w:tc>
          <w:tcPr/>
          <w:p>
            <w:pPr>
              <w:pStyle w:val="Compact"/>
              <w:jc w:val="left"/>
            </w:pPr>
            <w:r>
              <w:t xml:space="preserve">Test Case ID</w:t>
            </w:r>
          </w:p>
        </w:tc>
        <w:tc>
          <w:tcPr/>
          <w:p>
            <w:pPr>
              <w:pStyle w:val="Compact"/>
              <w:jc w:val="left"/>
            </w:pPr>
            <w:r>
              <w:t xml:space="preserve">Scenario</w:t>
            </w:r>
          </w:p>
        </w:tc>
        <w:tc>
          <w:tcPr/>
          <w:p>
            <w:pPr>
              <w:pStyle w:val="Compact"/>
              <w:jc w:val="left"/>
            </w:pPr>
            <w:r>
              <w:t xml:space="preserve">Expected Outcome</w:t>
            </w:r>
          </w:p>
        </w:tc>
      </w:tr>
      <w:tr>
        <w:tc>
          <w:tcPr/>
          <w:p>
            <w:pPr>
              <w:pStyle w:val="Compact"/>
              <w:jc w:val="left"/>
            </w:pPr>
            <w:r>
              <w:t xml:space="preserve">TC_001</w:t>
            </w:r>
          </w:p>
        </w:tc>
        <w:tc>
          <w:tcPr/>
          <w:p>
            <w:pPr>
              <w:pStyle w:val="Compact"/>
              <w:jc w:val="left"/>
            </w:pPr>
            <w:r>
              <w:t xml:space="preserve">Fetch unread emails from Gmail</w:t>
            </w:r>
          </w:p>
        </w:tc>
        <w:tc>
          <w:tcPr/>
          <w:p>
            <w:pPr>
              <w:pStyle w:val="Compact"/>
              <w:jc w:val="left"/>
            </w:pPr>
            <w:r>
              <w:t xml:space="preserve">Emails are successfully retrieved from the inbox.</w:t>
            </w:r>
          </w:p>
        </w:tc>
      </w:tr>
      <w:tr>
        <w:tc>
          <w:tcPr/>
          <w:p>
            <w:pPr>
              <w:pStyle w:val="Compact"/>
              <w:jc w:val="left"/>
            </w:pPr>
            <w:r>
              <w:t xml:space="preserve">TC_002</w:t>
            </w:r>
          </w:p>
        </w:tc>
        <w:tc>
          <w:tcPr/>
          <w:p>
            <w:pPr>
              <w:pStyle w:val="Compact"/>
              <w:jc w:val="left"/>
            </w:pPr>
            <w:r>
              <w:t xml:space="preserve">Process email content with Groovy script</w:t>
            </w:r>
          </w:p>
        </w:tc>
        <w:tc>
          <w:tcPr/>
          <w:p>
            <w:pPr>
              <w:pStyle w:val="Compact"/>
              <w:jc w:val="left"/>
            </w:pPr>
            <w:r>
              <w:t xml:space="preserve">Content is transformed as expected without errors.</w:t>
            </w:r>
          </w:p>
        </w:tc>
      </w:tr>
      <w:tr>
        <w:tc>
          <w:tcPr/>
          <w:p>
            <w:pPr>
              <w:pStyle w:val="Compact"/>
              <w:jc w:val="left"/>
            </w:pPr>
            <w:r>
              <w:t xml:space="preserve">TC_003</w:t>
            </w:r>
          </w:p>
        </w:tc>
        <w:tc>
          <w:tcPr/>
          <w:p>
            <w:pPr>
              <w:pStyle w:val="Compact"/>
              <w:jc w:val="left"/>
            </w:pPr>
            <w:r>
              <w:t xml:space="preserve">Send processed email to recipient</w:t>
            </w:r>
          </w:p>
        </w:tc>
        <w:tc>
          <w:tcPr/>
          <w:p>
            <w:pPr>
              <w:pStyle w:val="Compact"/>
              <w:jc w:val="left"/>
            </w:pPr>
            <w:r>
              <w:t xml:space="preserve">Email is sent successfully to the specified recipient.</w:t>
            </w:r>
          </w:p>
        </w:tc>
      </w:tr>
      <w:tr>
        <w:tc>
          <w:tcPr/>
          <w:p>
            <w:pPr>
              <w:pStyle w:val="Compact"/>
              <w:jc w:val="left"/>
            </w:pPr>
            <w:r>
              <w:t xml:space="preserve">TC_004</w:t>
            </w:r>
          </w:p>
        </w:tc>
        <w:tc>
          <w:tcPr/>
          <w:p>
            <w:pPr>
              <w:pStyle w:val="Compact"/>
              <w:jc w:val="left"/>
            </w:pPr>
            <w:r>
              <w:t xml:space="preserve">Handle error during email fetch</w:t>
            </w:r>
          </w:p>
        </w:tc>
        <w:tc>
          <w:tcPr/>
          <w:p>
            <w:pPr>
              <w:pStyle w:val="Compact"/>
              <w:jc w:val="left"/>
            </w:pPr>
            <w:r>
              <w:t xml:space="preserve">Error is logged, and no exception is returned to the sender.</w:t>
            </w:r>
          </w:p>
        </w:tc>
      </w:tr>
    </w:tbl>
    <w:bookmarkEnd w:id="31"/>
    <w:bookmarkStart w:id="32" w:name="reference-documents"/>
    <w:p>
      <w:pPr>
        <w:pStyle w:val="Heading1"/>
      </w:pPr>
      <w:r>
        <w:t xml:space="preserve">6. Reference Documents</w:t>
      </w:r>
    </w:p>
    <w:p>
      <w:pPr>
        <w:numPr>
          <w:ilvl w:val="0"/>
          <w:numId w:val="1007"/>
        </w:numPr>
        <w:pStyle w:val="Compact"/>
      </w:pPr>
      <w:r>
        <w:t xml:space="preserve">SAP CPI Documentation</w:t>
      </w:r>
    </w:p>
    <w:p>
      <w:pPr>
        <w:numPr>
          <w:ilvl w:val="0"/>
          <w:numId w:val="1007"/>
        </w:numPr>
        <w:pStyle w:val="Compact"/>
      </w:pPr>
      <w:r>
        <w:t xml:space="preserve">IMAP and SMTP Protocol Specifications</w:t>
      </w:r>
    </w:p>
    <w:p>
      <w:pPr>
        <w:numPr>
          <w:ilvl w:val="0"/>
          <w:numId w:val="1007"/>
        </w:numPr>
        <w:pStyle w:val="Compact"/>
      </w:pPr>
      <w:r>
        <w:t xml:space="preserve">Groovy Scripting Guide for SAP CPI</w:t>
      </w:r>
    </w:p>
    <w:bookmarkEnd w:id="32"/>
    <w:sectPr w:rsidR="00FC693F" w:rsidRPr="0006063C" w:rsidSect="00034616">
      <w:headerReference r:id="rId9" w:type="defaul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4535"/>
      <w:gridCol w:w="4535"/>
    </w:tblGrid>
    <w:tr>
      <w:tc>
        <w:tcPr>
          <w:tcW w:type="dxa" w:w="4535"/>
        </w:tcPr>
        <w:p>
          <w:pPr>
            <w:jc w:val="left"/>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sap.png"/>
                        <pic:cNvPicPr/>
                      </pic:nvPicPr>
                      <pic:blipFill>
                        <a:blip r:embed="rId1"/>
                        <a:stretch>
                          <a:fillRect/>
                        </a:stretch>
                      </pic:blipFill>
                      <pic:spPr>
                        <a:xfrm>
                          <a:off x="0" y="0"/>
                          <a:ext cx="1260000" cy="1260000"/>
                        </a:xfrm>
                        <a:prstGeom prst="rect"/>
                      </pic:spPr>
                    </pic:pic>
                  </a:graphicData>
                </a:graphic>
              </wp:inline>
            </w:drawing>
          </w:r>
        </w:p>
      </w:tc>
      <w:tc>
        <w:tcPr>
          <w:tcW w:type="dxa" w:w="4535"/>
        </w:tcPr>
        <w:p>
          <w:pPr>
            <w:jc w:val="right"/>
          </w:pPr>
          <w:r>
            <w:drawing>
              <wp:inline xmlns:a="http://schemas.openxmlformats.org/drawingml/2006/main" xmlns:pic="http://schemas.openxmlformats.org/drawingml/2006/picture">
                <wp:extent cx="1620000" cy="1620000"/>
                <wp:docPr id="2" name="Picture 2"/>
                <wp:cNvGraphicFramePr>
                  <a:graphicFrameLocks noChangeAspect="1"/>
                </wp:cNvGraphicFramePr>
                <a:graphic>
                  <a:graphicData uri="http://schemas.openxmlformats.org/drawingml/2006/picture">
                    <pic:pic>
                      <pic:nvPicPr>
                        <pic:cNvPr id="0" name="motiveminds.png"/>
                        <pic:cNvPicPr/>
                      </pic:nvPicPr>
                      <pic:blipFill>
                        <a:blip r:embed="rId2"/>
                        <a:stretch>
                          <a:fillRect/>
                        </a:stretch>
                      </pic:blipFill>
                      <pic:spPr>
                        <a:xfrm>
                          <a:off x="0" y="0"/>
                          <a:ext cx="1620000" cy="1620000"/>
                        </a:xfrm>
                        <a:prstGeom prst="rect"/>
                      </pic:spPr>
                    </pic:pic>
                  </a:graphicData>
                </a:graphic>
              </wp:inline>
            </w:drawing>
          </w:r>
        </w:p>
      </w:tc>
    </w:tr>
  </w:tbl>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2026-01-05T12:24:11Z</dcterms:created>
  <dcterms:modified xsi:type="dcterms:W3CDTF">2026-01-05T12:24:11Z</dcterms:modified>
</cp:coreProperties>
</file>

<file path=docProps/custom.xml><?xml version="1.0" encoding="utf-8"?>
<Properties xmlns="http://schemas.openxmlformats.org/officeDocument/2006/custom-properties" xmlns:vt="http://schemas.openxmlformats.org/officeDocument/2006/docPropsVTypes"/>
</file>