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Mono" w:cs="IBM Plex Mono" w:eastAsia="IBM Plex Mono" w:hAnsi="IBM Plex Mono"/>
          <w:sz w:val="56"/>
          <w:szCs w:val="56"/>
        </w:rPr>
      </w:pPr>
      <w:r w:rsidDel="00000000" w:rsidR="00000000" w:rsidRPr="00000000">
        <w:rPr>
          <w:rFonts w:ascii="IBM Plex Mono" w:cs="IBM Plex Mono" w:eastAsia="IBM Plex Mono" w:hAnsi="IBM Plex Mono"/>
          <w:sz w:val="56"/>
          <w:szCs w:val="56"/>
          <w:rtl w:val="0"/>
        </w:rPr>
        <w:t xml:space="preserve">Project Axis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© 2025 Project Axis. All Rights Reserved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/>
      <w:pict>
        <v:shape id="PowerPlusWaterMarkObject1" style="position:absolute;width:576.8334483055933pt;height:85.01849888501533pt;rotation:315;z-index:-503316481;mso-position-horizontal-relative:margin;mso-position-horizontal:center;mso-position-vertical-relative:margin;mso-position-vertical:center;" fillcolor="#00c853" stroked="f" type="#_x0000_t136">
          <v:fill angle="0" opacity="65536f"/>
          <v:textpath fitshape="t" string="COMING SOON" style="font-family:&amp;quot;Roboto Serif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