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after="0" w:line="240" w:lineRule="auto"/>
        <w:jc w:val="center"/>
        <w:rPr>
          <w:rFonts w:ascii="Times New Roman" w:hAnsi="Times New Roman"/>
          <w:b/>
          <w:sz w:val="28"/>
          <w:szCs w:val="28"/>
        </w:rPr>
      </w:pPr>
      <w:bookmarkStart w:id="0" w:name="_GoBack"/>
      <w:bookmarkEnd w:id="0"/>
      <w:r>
        <w:rPr>
          <w:rFonts w:ascii="Times New Roman" w:hAnsi="Times New Roman"/>
          <w:b/>
          <w:sz w:val="28"/>
          <w:szCs w:val="28"/>
        </w:rPr>
        <w:t xml:space="preserve">EXECUTIVE SUMMARY </w:t>
      </w:r>
    </w:p>
    <w:p>
      <w:pPr>
        <w:spacing w:after="0" w:line="240" w:lineRule="auto"/>
        <w:jc w:val="both"/>
        <w:rPr>
          <w:rFonts w:ascii="Times New Roman" w:hAnsi="Times New Roman"/>
          <w:b/>
          <w:sz w:val="24"/>
          <w:szCs w:val="24"/>
        </w:rPr>
      </w:pPr>
    </w:p>
    <w:p>
      <w:pPr>
        <w:spacing w:after="0" w:line="240" w:lineRule="auto"/>
        <w:jc w:val="both"/>
        <w:rPr>
          <w:rFonts w:ascii="Times New Roman" w:hAnsi="Times New Roman"/>
          <w:b/>
          <w:sz w:val="24"/>
          <w:szCs w:val="24"/>
        </w:rPr>
      </w:pPr>
    </w:p>
    <w:p>
      <w:pPr>
        <w:pStyle w:val="ListParagraph"/>
        <w:numPr>
          <w:ilvl w:val="0"/>
          <w:numId w:val="1"/>
        </w:numPr>
        <w:ind w:left="720" w:hanging="720"/>
        <w:contextualSpacing w:val="0"/>
        <w:rPr>
          <w:rFonts w:ascii="Times New Roman" w:hAnsi="Times New Roman"/>
          <w:b/>
          <w:sz w:val="24"/>
          <w:szCs w:val="24"/>
        </w:rPr>
      </w:pPr>
      <w:r>
        <w:rPr>
          <w:rFonts w:ascii="Times New Roman" w:hAnsi="Times New Roman"/>
          <w:b/>
          <w:sz w:val="24"/>
          <w:szCs w:val="24"/>
        </w:rPr>
        <w:t>Introduction</w:t>
      </w:r>
    </w:p>
    <w:p>
      <w:pPr>
        <w:pStyle w:val="ListParagraph"/>
        <w:contextualSpacing w:val="0"/>
        <w:rPr>
          <w:rFonts w:ascii="Times New Roman" w:hAnsi="Times New Roman"/>
          <w:b/>
          <w:sz w:val="24"/>
          <w:szCs w:val="24"/>
        </w:rPr>
      </w:pPr>
    </w:p>
    <w:p>
      <w:pPr>
        <w:spacing w:after="0"/>
        <w:jc w:val="both"/>
        <w:rPr>
          <w:rFonts w:ascii="Times New Roman" w:hAnsi="Times New Roman"/>
          <w:sz w:val="24"/>
          <w:szCs w:val="24"/>
        </w:rPr>
      </w:pPr>
      <w:r>
        <w:rPr>
          <w:rFonts w:ascii="Times New Roman" w:hAnsi="Times New Roman"/>
          <w:sz w:val="24"/>
          <w:szCs w:val="24"/>
        </w:rPr>
        <w:t xml:space="preserve">The City Government of Panabo, a </w:t>
      </w:r>
      <w:proofErr w:type="gramStart"/>
      <w:r>
        <w:rPr>
          <w:rFonts w:ascii="Times New Roman" w:hAnsi="Times New Roman"/>
          <w:sz w:val="24"/>
          <w:szCs w:val="24"/>
        </w:rPr>
        <w:t>third class</w:t>
      </w:r>
      <w:proofErr w:type="gramEnd"/>
      <w:r>
        <w:rPr>
          <w:rFonts w:ascii="Times New Roman" w:hAnsi="Times New Roman"/>
          <w:sz w:val="24"/>
          <w:szCs w:val="24"/>
        </w:rPr>
        <w:t xml:space="preserve"> component city in the Province of Davao del Norte was created on March 31, 2001 by virtue of Republic Act No. 9015. It has a total land area of 25,123 hectares, 78.76 percent of which is primarily agricultural. The City is comprised of forty (40) barangays with a total population of </w:t>
      </w:r>
      <w:r>
        <w:rPr>
          <w:rFonts w:ascii="Times New Roman" w:hAnsi="Times New Roman"/>
          <w:bCs/>
          <w:sz w:val="24"/>
          <w:szCs w:val="24"/>
        </w:rPr>
        <w:t>184,599 based on the 2015 census by the Philippine Statistics Authority</w:t>
      </w:r>
      <w:r>
        <w:rPr>
          <w:rFonts w:ascii="Times New Roman" w:hAnsi="Times New Roman"/>
          <w:sz w:val="24"/>
          <w:szCs w:val="24"/>
        </w:rPr>
        <w:t xml:space="preserve">.  </w:t>
      </w:r>
    </w:p>
    <w:p>
      <w:pPr>
        <w:spacing w:after="0"/>
        <w:jc w:val="both"/>
        <w:rPr>
          <w:rFonts w:ascii="Times New Roman" w:hAnsi="Times New Roman"/>
          <w:sz w:val="24"/>
          <w:szCs w:val="24"/>
        </w:rPr>
      </w:pPr>
    </w:p>
    <w:p>
      <w:pPr>
        <w:spacing w:after="0"/>
        <w:jc w:val="both"/>
        <w:rPr>
          <w:rFonts w:ascii="Times New Roman" w:hAnsi="Times New Roman"/>
          <w:sz w:val="24"/>
          <w:szCs w:val="24"/>
        </w:rPr>
      </w:pPr>
      <w:r>
        <w:rPr>
          <w:rFonts w:ascii="Times New Roman" w:hAnsi="Times New Roman"/>
          <w:sz w:val="24"/>
          <w:szCs w:val="24"/>
        </w:rPr>
        <w:t>Having been identified as an area for agri-industrialization, the City serves as a gateway to the Province which is thirty-two (32) kilometers away from Davao City and twenty-eight (28) kilometers to Tagum City and is accessible by any means of transportation.</w:t>
      </w:r>
    </w:p>
    <w:p>
      <w:pPr>
        <w:spacing w:after="0"/>
        <w:jc w:val="both"/>
        <w:rPr>
          <w:rFonts w:ascii="Times New Roman" w:hAnsi="Times New Roman"/>
          <w:sz w:val="24"/>
          <w:szCs w:val="24"/>
        </w:rPr>
      </w:pPr>
    </w:p>
    <w:p>
      <w:pPr>
        <w:spacing w:after="0"/>
        <w:jc w:val="both"/>
        <w:rPr>
          <w:rFonts w:ascii="Times New Roman" w:hAnsi="Times New Roman"/>
          <w:sz w:val="24"/>
          <w:szCs w:val="24"/>
        </w:rPr>
      </w:pPr>
      <w:r>
        <w:rPr>
          <w:rFonts w:ascii="Times New Roman" w:hAnsi="Times New Roman"/>
          <w:sz w:val="24"/>
          <w:szCs w:val="24"/>
        </w:rPr>
        <w:t>It is envisioned to be a progressive, ecologically balanced</w:t>
      </w:r>
      <w:r>
        <w:rPr>
          <w:rFonts w:ascii="Times New Roman" w:hAnsi="Times New Roman"/>
          <w:sz w:val="24"/>
          <w:szCs w:val="24"/>
          <w:lang w:val="id-ID"/>
        </w:rPr>
        <w:t>,</w:t>
      </w:r>
      <w:r>
        <w:rPr>
          <w:rFonts w:ascii="Times New Roman" w:hAnsi="Times New Roman"/>
          <w:sz w:val="24"/>
          <w:szCs w:val="24"/>
        </w:rPr>
        <w:t xml:space="preserve"> and peaceful agri-industrial City characterized by a friendly, disciplined, empowered</w:t>
      </w:r>
      <w:r>
        <w:rPr>
          <w:rFonts w:ascii="Times New Roman" w:hAnsi="Times New Roman"/>
          <w:sz w:val="24"/>
          <w:szCs w:val="24"/>
          <w:lang w:val="id-ID"/>
        </w:rPr>
        <w:t>,</w:t>
      </w:r>
      <w:r>
        <w:rPr>
          <w:rFonts w:ascii="Times New Roman" w:hAnsi="Times New Roman"/>
          <w:sz w:val="24"/>
          <w:szCs w:val="24"/>
        </w:rPr>
        <w:t xml:space="preserve"> and self-reliant citizenry led by efficient and effective political leaders under transparent governance with sufficient facilities and services as well as social justice and equality to all Panaboans.</w:t>
      </w:r>
    </w:p>
    <w:p>
      <w:pPr>
        <w:spacing w:after="0"/>
        <w:ind w:firstLine="720"/>
        <w:jc w:val="both"/>
        <w:rPr>
          <w:rFonts w:ascii="Times New Roman" w:hAnsi="Times New Roman"/>
          <w:sz w:val="24"/>
          <w:szCs w:val="24"/>
        </w:rPr>
      </w:pPr>
    </w:p>
    <w:p>
      <w:pPr>
        <w:autoSpaceDE w:val="0"/>
        <w:autoSpaceDN w:val="0"/>
        <w:adjustRightInd w:val="0"/>
        <w:spacing w:after="0"/>
        <w:jc w:val="both"/>
        <w:rPr>
          <w:rFonts w:ascii="Times New Roman" w:hAnsi="Times New Roman"/>
          <w:sz w:val="24"/>
          <w:szCs w:val="24"/>
        </w:rPr>
      </w:pPr>
      <w:r>
        <w:rPr>
          <w:rFonts w:ascii="Times New Roman" w:hAnsi="Times New Roman"/>
          <w:sz w:val="24"/>
          <w:szCs w:val="24"/>
        </w:rPr>
        <w:t>The Commission has been implementing risk-based audit in the conduct of its audit services. However, to meet the evolving developments in public governance and fund management, the results-based approach in audit was incorporated.</w:t>
      </w:r>
      <w:r>
        <w:rPr>
          <w:rFonts w:ascii="Times New Roman" w:hAnsi="Times New Roman"/>
          <w:sz w:val="24"/>
          <w:szCs w:val="24"/>
          <w:lang w:val="id-ID"/>
        </w:rPr>
        <w:t xml:space="preserve"> </w:t>
      </w:r>
      <w:r>
        <w:rPr>
          <w:rFonts w:ascii="Times New Roman" w:hAnsi="Times New Roman"/>
          <w:sz w:val="24"/>
          <w:szCs w:val="24"/>
        </w:rPr>
        <w:t xml:space="preserve">The integration of these approaches through the Financial Audit Manual were applied in the audit of the accounts and operations of the </w:t>
      </w:r>
      <w:r>
        <w:rPr>
          <w:rFonts w:ascii="Times New Roman" w:hAnsi="Times New Roman"/>
          <w:sz w:val="24"/>
          <w:szCs w:val="24"/>
          <w:lang w:val="id-ID"/>
        </w:rPr>
        <w:t>Local Government Unit (</w:t>
      </w:r>
      <w:r>
        <w:rPr>
          <w:rFonts w:ascii="Times New Roman" w:hAnsi="Times New Roman"/>
          <w:sz w:val="24"/>
          <w:szCs w:val="24"/>
        </w:rPr>
        <w:t>LGU</w:t>
      </w:r>
      <w:r>
        <w:rPr>
          <w:rFonts w:ascii="Times New Roman" w:hAnsi="Times New Roman"/>
          <w:sz w:val="24"/>
          <w:szCs w:val="24"/>
          <w:lang w:val="id-ID"/>
        </w:rPr>
        <w:t>)</w:t>
      </w:r>
      <w:r>
        <w:rPr>
          <w:rFonts w:ascii="Times New Roman" w:hAnsi="Times New Roman"/>
          <w:sz w:val="24"/>
          <w:szCs w:val="24"/>
        </w:rPr>
        <w:t>.</w:t>
      </w:r>
    </w:p>
    <w:p>
      <w:pPr>
        <w:autoSpaceDE w:val="0"/>
        <w:autoSpaceDN w:val="0"/>
        <w:adjustRightInd w:val="0"/>
        <w:spacing w:after="0"/>
        <w:ind w:firstLine="720"/>
        <w:jc w:val="both"/>
        <w:rPr>
          <w:rFonts w:ascii="Times New Roman" w:hAnsi="Times New Roman"/>
          <w:sz w:val="24"/>
          <w:szCs w:val="24"/>
        </w:rPr>
      </w:pPr>
    </w:p>
    <w:p>
      <w:pPr>
        <w:tabs>
          <w:tab w:val="left" w:pos="720"/>
          <w:tab w:val="left" w:pos="900"/>
        </w:tabs>
        <w:spacing w:after="0"/>
        <w:jc w:val="both"/>
        <w:rPr>
          <w:rFonts w:ascii="Times New Roman" w:hAnsi="Times New Roman"/>
          <w:sz w:val="24"/>
          <w:szCs w:val="24"/>
        </w:rPr>
      </w:pPr>
      <w:r>
        <w:rPr>
          <w:rFonts w:ascii="Times New Roman" w:hAnsi="Times New Roman"/>
          <w:sz w:val="24"/>
          <w:szCs w:val="24"/>
        </w:rPr>
        <w:t xml:space="preserve">A financial and compliance audit was conducted on the accounts and operations of Panabo City for CY 2022. The audit consisted of review of operating procedures, evaluation of the LGU’s programs and projects, interview of concerned government officials and employees, verification, reconciliation, and analysis of accounts, and such other procedures considered necessary. </w:t>
      </w:r>
    </w:p>
    <w:p>
      <w:pPr>
        <w:tabs>
          <w:tab w:val="left" w:pos="720"/>
          <w:tab w:val="left" w:pos="900"/>
        </w:tabs>
        <w:spacing w:after="0"/>
        <w:jc w:val="both"/>
        <w:rPr>
          <w:rFonts w:ascii="Times New Roman" w:hAnsi="Times New Roman"/>
          <w:b/>
          <w:color w:val="FF0000"/>
          <w:sz w:val="24"/>
          <w:szCs w:val="24"/>
        </w:rPr>
      </w:pPr>
    </w:p>
    <w:p>
      <w:pPr>
        <w:pStyle w:val="ListParagraph"/>
        <w:numPr>
          <w:ilvl w:val="0"/>
          <w:numId w:val="1"/>
        </w:numPr>
        <w:spacing w:line="276" w:lineRule="auto"/>
        <w:ind w:left="720" w:hanging="720"/>
        <w:contextualSpacing w:val="0"/>
        <w:rPr>
          <w:rFonts w:ascii="Times New Roman" w:hAnsi="Times New Roman"/>
          <w:b/>
          <w:sz w:val="24"/>
          <w:szCs w:val="24"/>
        </w:rPr>
      </w:pPr>
      <w:r>
        <w:rPr>
          <w:rFonts w:ascii="Times New Roman" w:hAnsi="Times New Roman"/>
          <w:b/>
          <w:sz w:val="24"/>
          <w:szCs w:val="24"/>
        </w:rPr>
        <w:t>Financial Highlights</w:t>
      </w:r>
    </w:p>
    <w:p>
      <w:pPr>
        <w:pStyle w:val="ListParagraph"/>
        <w:spacing w:line="276" w:lineRule="auto"/>
        <w:contextualSpacing w:val="0"/>
        <w:rPr>
          <w:rFonts w:ascii="Times New Roman" w:hAnsi="Times New Roman"/>
          <w:b/>
          <w:sz w:val="24"/>
          <w:szCs w:val="24"/>
        </w:rPr>
      </w:pPr>
    </w:p>
    <w:p>
      <w:pPr>
        <w:rPr>
          <w:rFonts w:ascii="Times New Roman" w:hAnsi="Times New Roman"/>
          <w:b/>
          <w:sz w:val="24"/>
          <w:szCs w:val="24"/>
        </w:rPr>
      </w:pPr>
      <w:r>
        <w:rPr>
          <w:rFonts w:ascii="Times New Roman" w:hAnsi="Times New Roman"/>
          <w:b/>
          <w:sz w:val="24"/>
          <w:szCs w:val="24"/>
        </w:rPr>
        <w:t>Financial Condition and Operation</w:t>
      </w:r>
    </w:p>
    <w:p>
      <w:pPr>
        <w:tabs>
          <w:tab w:val="left" w:pos="720"/>
        </w:tabs>
        <w:spacing w:after="0"/>
        <w:jc w:val="both"/>
        <w:rPr>
          <w:rFonts w:ascii="Times New Roman" w:hAnsi="Times New Roman"/>
          <w:sz w:val="24"/>
          <w:szCs w:val="24"/>
        </w:rPr>
      </w:pPr>
      <w:r>
        <w:rPr>
          <w:rFonts w:ascii="Times New Roman" w:hAnsi="Times New Roman"/>
          <w:sz w:val="24"/>
          <w:szCs w:val="24"/>
        </w:rPr>
        <w:t>The financial condition and performance of the City Government of Panabo for Calendar Year 2022 with comparative figures for CY 2021 are summarized as follows:</w:t>
      </w:r>
    </w:p>
    <w:p>
      <w:pPr>
        <w:tabs>
          <w:tab w:val="left" w:pos="720"/>
        </w:tabs>
        <w:spacing w:after="0"/>
        <w:jc w:val="both"/>
        <w:rPr>
          <w:rFonts w:ascii="Times New Roman" w:hAnsi="Times New Roman"/>
          <w:sz w:val="24"/>
          <w:szCs w:val="24"/>
        </w:rPr>
      </w:pPr>
    </w:p>
    <w:p>
      <w:pPr>
        <w:tabs>
          <w:tab w:val="left" w:pos="720"/>
        </w:tabs>
        <w:spacing w:after="0"/>
        <w:jc w:val="both"/>
        <w:rPr>
          <w:rFonts w:ascii="Times New Roman" w:hAnsi="Times New Roman"/>
          <w:sz w:val="24"/>
          <w:szCs w:val="24"/>
        </w:rPr>
      </w:pPr>
    </w:p>
    <w:p>
      <w:pPr>
        <w:tabs>
          <w:tab w:val="left" w:pos="720"/>
        </w:tabs>
        <w:spacing w:after="0"/>
        <w:jc w:val="both"/>
        <w:rPr>
          <w:rFonts w:ascii="Times New Roman" w:hAnsi="Times New Roman"/>
          <w:sz w:val="24"/>
          <w:szCs w:val="24"/>
        </w:rPr>
      </w:pPr>
    </w:p>
    <w:tbl>
      <w:tblPr>
        <w:tblW w:w="8647" w:type="dxa"/>
        <w:jc w:val="center"/>
        <w:tblLook w:val="04A0" w:firstRow="1" w:lastRow="0" w:firstColumn="1" w:lastColumn="0" w:noHBand="0" w:noVBand="1"/>
      </w:tblPr>
      <w:tblGrid>
        <w:gridCol w:w="1863"/>
        <w:gridCol w:w="1896"/>
        <w:gridCol w:w="1896"/>
        <w:gridCol w:w="1876"/>
        <w:gridCol w:w="1116"/>
      </w:tblGrid>
      <w:tr>
        <w:trPr>
          <w:trHeight w:val="61"/>
          <w:tblHeader/>
          <w:jc w:val="center"/>
        </w:trPr>
        <w:tc>
          <w:tcPr>
            <w:tcW w:w="1863"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pPr>
              <w:spacing w:after="0"/>
              <w:jc w:val="center"/>
              <w:rPr>
                <w:rFonts w:ascii="Times New Roman" w:eastAsia="Times New Roman" w:hAnsi="Times New Roman"/>
                <w:b/>
                <w:bCs/>
                <w:color w:val="000000"/>
                <w:sz w:val="21"/>
                <w:szCs w:val="21"/>
                <w:lang w:eastAsia="en-PH"/>
              </w:rPr>
            </w:pPr>
            <w:r>
              <w:rPr>
                <w:rFonts w:ascii="Times New Roman" w:eastAsia="Times New Roman" w:hAnsi="Times New Roman"/>
                <w:b/>
                <w:bCs/>
                <w:color w:val="000000"/>
                <w:sz w:val="21"/>
                <w:szCs w:val="21"/>
                <w:lang w:val="en-US" w:eastAsia="en-PH"/>
              </w:rPr>
              <w:lastRenderedPageBreak/>
              <w:t>Account Groups</w:t>
            </w:r>
          </w:p>
        </w:tc>
        <w:tc>
          <w:tcPr>
            <w:tcW w:w="1896"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pPr>
              <w:spacing w:after="0"/>
              <w:jc w:val="center"/>
              <w:rPr>
                <w:rFonts w:ascii="Times New Roman" w:eastAsia="Times New Roman" w:hAnsi="Times New Roman"/>
                <w:b/>
                <w:bCs/>
                <w:color w:val="000000"/>
                <w:sz w:val="21"/>
                <w:szCs w:val="21"/>
                <w:lang w:eastAsia="en-PH"/>
              </w:rPr>
            </w:pPr>
            <w:r>
              <w:rPr>
                <w:rFonts w:ascii="Times New Roman" w:eastAsia="Times New Roman" w:hAnsi="Times New Roman"/>
                <w:b/>
                <w:bCs/>
                <w:color w:val="000000"/>
                <w:sz w:val="21"/>
                <w:szCs w:val="21"/>
                <w:lang w:val="en-US" w:eastAsia="en-PH"/>
              </w:rPr>
              <w:t>2022</w:t>
            </w:r>
          </w:p>
        </w:tc>
        <w:tc>
          <w:tcPr>
            <w:tcW w:w="1896"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pPr>
              <w:spacing w:after="0"/>
              <w:jc w:val="center"/>
              <w:rPr>
                <w:rFonts w:ascii="Times New Roman" w:eastAsia="Times New Roman" w:hAnsi="Times New Roman"/>
                <w:b/>
                <w:bCs/>
                <w:color w:val="000000"/>
                <w:sz w:val="21"/>
                <w:szCs w:val="21"/>
                <w:lang w:eastAsia="en-PH"/>
              </w:rPr>
            </w:pPr>
            <w:r>
              <w:rPr>
                <w:rFonts w:ascii="Times New Roman" w:eastAsia="Times New Roman" w:hAnsi="Times New Roman"/>
                <w:b/>
                <w:bCs/>
                <w:color w:val="000000"/>
                <w:sz w:val="21"/>
                <w:szCs w:val="21"/>
                <w:lang w:val="en-US" w:eastAsia="en-PH"/>
              </w:rPr>
              <w:t>2021</w:t>
            </w:r>
          </w:p>
        </w:tc>
        <w:tc>
          <w:tcPr>
            <w:tcW w:w="2992" w:type="dxa"/>
            <w:gridSpan w:val="2"/>
            <w:tcBorders>
              <w:top w:val="single" w:sz="8" w:space="0" w:color="auto"/>
              <w:left w:val="nil"/>
              <w:bottom w:val="nil"/>
              <w:right w:val="single" w:sz="8" w:space="0" w:color="000000"/>
            </w:tcBorders>
            <w:shd w:val="clear" w:color="000000" w:fill="D9D9D9"/>
            <w:vAlign w:val="center"/>
            <w:hideMark/>
          </w:tcPr>
          <w:p>
            <w:pPr>
              <w:spacing w:after="0"/>
              <w:jc w:val="center"/>
              <w:rPr>
                <w:rFonts w:ascii="Times New Roman" w:eastAsia="Times New Roman" w:hAnsi="Times New Roman"/>
                <w:b/>
                <w:bCs/>
                <w:color w:val="000000"/>
                <w:sz w:val="21"/>
                <w:szCs w:val="21"/>
                <w:lang w:eastAsia="en-PH"/>
              </w:rPr>
            </w:pPr>
            <w:r>
              <w:rPr>
                <w:rFonts w:ascii="Times New Roman" w:eastAsia="Times New Roman" w:hAnsi="Times New Roman"/>
                <w:b/>
                <w:bCs/>
                <w:color w:val="000000"/>
                <w:sz w:val="21"/>
                <w:szCs w:val="21"/>
                <w:lang w:val="id-ID" w:eastAsia="en-PH"/>
              </w:rPr>
              <w:t xml:space="preserve">Difference </w:t>
            </w:r>
          </w:p>
        </w:tc>
      </w:tr>
      <w:tr>
        <w:trPr>
          <w:trHeight w:val="142"/>
          <w:tblHeader/>
          <w:jc w:val="center"/>
        </w:trPr>
        <w:tc>
          <w:tcPr>
            <w:tcW w:w="1863" w:type="dxa"/>
            <w:vMerge/>
            <w:tcBorders>
              <w:top w:val="single" w:sz="8" w:space="0" w:color="auto"/>
              <w:left w:val="single" w:sz="8" w:space="0" w:color="auto"/>
              <w:bottom w:val="single" w:sz="8" w:space="0" w:color="000000"/>
              <w:right w:val="single" w:sz="8" w:space="0" w:color="auto"/>
            </w:tcBorders>
            <w:vAlign w:val="center"/>
            <w:hideMark/>
          </w:tcPr>
          <w:p>
            <w:pPr>
              <w:spacing w:after="0"/>
              <w:rPr>
                <w:rFonts w:ascii="Times New Roman" w:eastAsia="Times New Roman" w:hAnsi="Times New Roman"/>
                <w:b/>
                <w:bCs/>
                <w:color w:val="000000"/>
                <w:sz w:val="21"/>
                <w:szCs w:val="21"/>
                <w:lang w:eastAsia="en-PH"/>
              </w:rPr>
            </w:pPr>
          </w:p>
        </w:tc>
        <w:tc>
          <w:tcPr>
            <w:tcW w:w="1896" w:type="dxa"/>
            <w:vMerge/>
            <w:tcBorders>
              <w:top w:val="single" w:sz="8" w:space="0" w:color="auto"/>
              <w:left w:val="single" w:sz="8" w:space="0" w:color="auto"/>
              <w:bottom w:val="single" w:sz="8" w:space="0" w:color="000000"/>
              <w:right w:val="single" w:sz="8" w:space="0" w:color="auto"/>
            </w:tcBorders>
            <w:vAlign w:val="center"/>
            <w:hideMark/>
          </w:tcPr>
          <w:p>
            <w:pPr>
              <w:spacing w:after="0"/>
              <w:rPr>
                <w:rFonts w:ascii="Times New Roman" w:eastAsia="Times New Roman" w:hAnsi="Times New Roman"/>
                <w:b/>
                <w:bCs/>
                <w:color w:val="000000"/>
                <w:sz w:val="21"/>
                <w:szCs w:val="21"/>
                <w:lang w:eastAsia="en-PH"/>
              </w:rPr>
            </w:pPr>
          </w:p>
        </w:tc>
        <w:tc>
          <w:tcPr>
            <w:tcW w:w="1896" w:type="dxa"/>
            <w:vMerge/>
            <w:tcBorders>
              <w:top w:val="single" w:sz="8" w:space="0" w:color="auto"/>
              <w:left w:val="single" w:sz="8" w:space="0" w:color="auto"/>
              <w:bottom w:val="single" w:sz="8" w:space="0" w:color="000000"/>
              <w:right w:val="single" w:sz="8" w:space="0" w:color="auto"/>
            </w:tcBorders>
            <w:vAlign w:val="center"/>
            <w:hideMark/>
          </w:tcPr>
          <w:p>
            <w:pPr>
              <w:spacing w:after="0"/>
              <w:rPr>
                <w:rFonts w:ascii="Times New Roman" w:eastAsia="Times New Roman" w:hAnsi="Times New Roman"/>
                <w:b/>
                <w:bCs/>
                <w:color w:val="000000"/>
                <w:sz w:val="21"/>
                <w:szCs w:val="21"/>
                <w:lang w:eastAsia="en-PH"/>
              </w:rPr>
            </w:pPr>
          </w:p>
        </w:tc>
        <w:tc>
          <w:tcPr>
            <w:tcW w:w="2992" w:type="dxa"/>
            <w:gridSpan w:val="2"/>
            <w:tcBorders>
              <w:top w:val="nil"/>
              <w:left w:val="nil"/>
              <w:bottom w:val="single" w:sz="8" w:space="0" w:color="auto"/>
              <w:right w:val="single" w:sz="8" w:space="0" w:color="000000"/>
            </w:tcBorders>
            <w:shd w:val="clear" w:color="000000" w:fill="D9D9D9"/>
            <w:vAlign w:val="center"/>
            <w:hideMark/>
          </w:tcPr>
          <w:p>
            <w:pPr>
              <w:spacing w:after="0"/>
              <w:jc w:val="center"/>
              <w:rPr>
                <w:rFonts w:ascii="Times New Roman" w:eastAsia="Times New Roman" w:hAnsi="Times New Roman"/>
                <w:b/>
                <w:bCs/>
                <w:color w:val="000000"/>
                <w:sz w:val="21"/>
                <w:szCs w:val="21"/>
                <w:lang w:eastAsia="en-PH"/>
              </w:rPr>
            </w:pPr>
            <w:proofErr w:type="gramStart"/>
            <w:r>
              <w:rPr>
                <w:rFonts w:ascii="Times New Roman" w:eastAsia="Times New Roman" w:hAnsi="Times New Roman"/>
                <w:b/>
                <w:bCs/>
                <w:color w:val="000000"/>
                <w:sz w:val="21"/>
                <w:szCs w:val="21"/>
                <w:lang w:val="en-US" w:eastAsia="en-PH"/>
              </w:rPr>
              <w:t>Increase  (</w:t>
            </w:r>
            <w:proofErr w:type="gramEnd"/>
            <w:r>
              <w:rPr>
                <w:rFonts w:ascii="Times New Roman" w:eastAsia="Times New Roman" w:hAnsi="Times New Roman"/>
                <w:b/>
                <w:bCs/>
                <w:color w:val="000000"/>
                <w:sz w:val="21"/>
                <w:szCs w:val="21"/>
                <w:lang w:val="en-US" w:eastAsia="en-PH"/>
              </w:rPr>
              <w:t>Decrease)</w:t>
            </w:r>
          </w:p>
        </w:tc>
      </w:tr>
      <w:tr>
        <w:trPr>
          <w:trHeight w:val="53"/>
          <w:tblHeader/>
          <w:jc w:val="center"/>
        </w:trPr>
        <w:tc>
          <w:tcPr>
            <w:tcW w:w="1863" w:type="dxa"/>
            <w:vMerge/>
            <w:tcBorders>
              <w:top w:val="single" w:sz="8" w:space="0" w:color="auto"/>
              <w:left w:val="single" w:sz="8" w:space="0" w:color="auto"/>
              <w:bottom w:val="single" w:sz="8" w:space="0" w:color="000000"/>
              <w:right w:val="single" w:sz="8" w:space="0" w:color="auto"/>
            </w:tcBorders>
            <w:vAlign w:val="center"/>
            <w:hideMark/>
          </w:tcPr>
          <w:p>
            <w:pPr>
              <w:spacing w:after="0"/>
              <w:rPr>
                <w:rFonts w:ascii="Times New Roman" w:eastAsia="Times New Roman" w:hAnsi="Times New Roman"/>
                <w:b/>
                <w:bCs/>
                <w:color w:val="000000"/>
                <w:sz w:val="21"/>
                <w:szCs w:val="21"/>
                <w:lang w:eastAsia="en-PH"/>
              </w:rPr>
            </w:pPr>
          </w:p>
        </w:tc>
        <w:tc>
          <w:tcPr>
            <w:tcW w:w="1896" w:type="dxa"/>
            <w:vMerge/>
            <w:tcBorders>
              <w:top w:val="single" w:sz="8" w:space="0" w:color="auto"/>
              <w:left w:val="single" w:sz="8" w:space="0" w:color="auto"/>
              <w:bottom w:val="single" w:sz="8" w:space="0" w:color="000000"/>
              <w:right w:val="single" w:sz="8" w:space="0" w:color="auto"/>
            </w:tcBorders>
            <w:vAlign w:val="center"/>
            <w:hideMark/>
          </w:tcPr>
          <w:p>
            <w:pPr>
              <w:spacing w:after="0"/>
              <w:rPr>
                <w:rFonts w:ascii="Times New Roman" w:eastAsia="Times New Roman" w:hAnsi="Times New Roman"/>
                <w:b/>
                <w:bCs/>
                <w:color w:val="000000"/>
                <w:sz w:val="21"/>
                <w:szCs w:val="21"/>
                <w:lang w:eastAsia="en-PH"/>
              </w:rPr>
            </w:pPr>
          </w:p>
        </w:tc>
        <w:tc>
          <w:tcPr>
            <w:tcW w:w="1896" w:type="dxa"/>
            <w:vMerge/>
            <w:tcBorders>
              <w:top w:val="single" w:sz="8" w:space="0" w:color="auto"/>
              <w:left w:val="single" w:sz="8" w:space="0" w:color="auto"/>
              <w:bottom w:val="single" w:sz="8" w:space="0" w:color="000000"/>
              <w:right w:val="single" w:sz="8" w:space="0" w:color="auto"/>
            </w:tcBorders>
            <w:vAlign w:val="center"/>
            <w:hideMark/>
          </w:tcPr>
          <w:p>
            <w:pPr>
              <w:spacing w:after="0"/>
              <w:rPr>
                <w:rFonts w:ascii="Times New Roman" w:eastAsia="Times New Roman" w:hAnsi="Times New Roman"/>
                <w:b/>
                <w:bCs/>
                <w:color w:val="000000"/>
                <w:sz w:val="21"/>
                <w:szCs w:val="21"/>
                <w:lang w:eastAsia="en-PH"/>
              </w:rPr>
            </w:pPr>
          </w:p>
        </w:tc>
        <w:tc>
          <w:tcPr>
            <w:tcW w:w="1876" w:type="dxa"/>
            <w:tcBorders>
              <w:top w:val="nil"/>
              <w:left w:val="nil"/>
              <w:bottom w:val="single" w:sz="8" w:space="0" w:color="auto"/>
              <w:right w:val="single" w:sz="8" w:space="0" w:color="auto"/>
            </w:tcBorders>
            <w:shd w:val="clear" w:color="000000" w:fill="D9D9D9"/>
            <w:vAlign w:val="center"/>
            <w:hideMark/>
          </w:tcPr>
          <w:p>
            <w:pPr>
              <w:spacing w:after="0"/>
              <w:jc w:val="center"/>
              <w:rPr>
                <w:rFonts w:ascii="Times New Roman" w:eastAsia="Times New Roman" w:hAnsi="Times New Roman"/>
                <w:b/>
                <w:bCs/>
                <w:color w:val="000000"/>
                <w:sz w:val="21"/>
                <w:szCs w:val="21"/>
                <w:lang w:eastAsia="en-PH"/>
              </w:rPr>
            </w:pPr>
            <w:r>
              <w:rPr>
                <w:rFonts w:ascii="Times New Roman" w:eastAsia="Times New Roman" w:hAnsi="Times New Roman"/>
                <w:b/>
                <w:bCs/>
                <w:color w:val="000000"/>
                <w:sz w:val="21"/>
                <w:szCs w:val="21"/>
                <w:lang w:val="id-ID" w:eastAsia="en-PH"/>
              </w:rPr>
              <w:t>Amount</w:t>
            </w:r>
          </w:p>
        </w:tc>
        <w:tc>
          <w:tcPr>
            <w:tcW w:w="1116" w:type="dxa"/>
            <w:tcBorders>
              <w:top w:val="nil"/>
              <w:left w:val="nil"/>
              <w:bottom w:val="single" w:sz="8" w:space="0" w:color="auto"/>
              <w:right w:val="single" w:sz="8" w:space="0" w:color="auto"/>
            </w:tcBorders>
            <w:shd w:val="clear" w:color="000000" w:fill="D9D9D9"/>
            <w:vAlign w:val="center"/>
            <w:hideMark/>
          </w:tcPr>
          <w:p>
            <w:pPr>
              <w:spacing w:after="0"/>
              <w:jc w:val="center"/>
              <w:rPr>
                <w:rFonts w:ascii="Times New Roman" w:eastAsia="Times New Roman" w:hAnsi="Times New Roman"/>
                <w:b/>
                <w:bCs/>
                <w:color w:val="000000"/>
                <w:sz w:val="21"/>
                <w:szCs w:val="21"/>
                <w:lang w:eastAsia="en-PH"/>
              </w:rPr>
            </w:pPr>
            <w:r>
              <w:rPr>
                <w:rFonts w:ascii="Times New Roman" w:eastAsia="Times New Roman" w:hAnsi="Times New Roman"/>
                <w:b/>
                <w:bCs/>
                <w:color w:val="000000"/>
                <w:sz w:val="21"/>
                <w:szCs w:val="21"/>
                <w:lang w:val="en-US" w:eastAsia="en-PH"/>
              </w:rPr>
              <w:t>%</w:t>
            </w:r>
          </w:p>
        </w:tc>
      </w:tr>
      <w:tr>
        <w:trPr>
          <w:trHeight w:val="53"/>
          <w:jc w:val="center"/>
        </w:trPr>
        <w:tc>
          <w:tcPr>
            <w:tcW w:w="1863" w:type="dxa"/>
            <w:tcBorders>
              <w:top w:val="nil"/>
              <w:left w:val="single" w:sz="8" w:space="0" w:color="auto"/>
              <w:bottom w:val="single" w:sz="8" w:space="0" w:color="auto"/>
              <w:right w:val="single" w:sz="8" w:space="0" w:color="auto"/>
            </w:tcBorders>
            <w:shd w:val="clear" w:color="auto" w:fill="auto"/>
            <w:vAlign w:val="center"/>
            <w:hideMark/>
          </w:tcPr>
          <w:p>
            <w:pPr>
              <w:spacing w:after="0"/>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Assets</w:t>
            </w:r>
          </w:p>
        </w:tc>
        <w:tc>
          <w:tcPr>
            <w:tcW w:w="1896" w:type="dxa"/>
            <w:tcBorders>
              <w:top w:val="nil"/>
              <w:left w:val="nil"/>
              <w:bottom w:val="single" w:sz="8" w:space="0" w:color="auto"/>
              <w:right w:val="single" w:sz="8" w:space="0" w:color="auto"/>
            </w:tcBorders>
            <w:shd w:val="clear" w:color="auto" w:fill="auto"/>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5,176,841,983.35</w:t>
            </w:r>
          </w:p>
        </w:tc>
        <w:tc>
          <w:tcPr>
            <w:tcW w:w="1896" w:type="dxa"/>
            <w:tcBorders>
              <w:top w:val="nil"/>
              <w:left w:val="nil"/>
              <w:bottom w:val="single" w:sz="8" w:space="0" w:color="auto"/>
              <w:right w:val="single" w:sz="8" w:space="0" w:color="auto"/>
            </w:tcBorders>
            <w:shd w:val="clear" w:color="auto" w:fill="auto"/>
            <w:vAlign w:val="center"/>
            <w:hideMark/>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4,183,070,288.90</w:t>
            </w:r>
          </w:p>
        </w:tc>
        <w:tc>
          <w:tcPr>
            <w:tcW w:w="1876" w:type="dxa"/>
            <w:tcBorders>
              <w:top w:val="nil"/>
              <w:left w:val="nil"/>
              <w:bottom w:val="single" w:sz="8" w:space="0" w:color="auto"/>
              <w:right w:val="single" w:sz="8" w:space="0" w:color="auto"/>
            </w:tcBorders>
            <w:shd w:val="clear" w:color="auto" w:fill="auto"/>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993,771,694.45</w:t>
            </w:r>
          </w:p>
        </w:tc>
        <w:tc>
          <w:tcPr>
            <w:tcW w:w="1116" w:type="dxa"/>
            <w:tcBorders>
              <w:top w:val="nil"/>
              <w:left w:val="nil"/>
              <w:bottom w:val="single" w:sz="8" w:space="0" w:color="auto"/>
              <w:right w:val="single" w:sz="8" w:space="0" w:color="auto"/>
            </w:tcBorders>
            <w:shd w:val="clear" w:color="auto" w:fill="auto"/>
            <w:vAlign w:val="center"/>
          </w:tcPr>
          <w:p>
            <w:pPr>
              <w:spacing w:after="0"/>
              <w:jc w:val="center"/>
              <w:rPr>
                <w:rFonts w:ascii="Times New Roman" w:eastAsia="Times New Roman" w:hAnsi="Times New Roman"/>
                <w:color w:val="000000"/>
                <w:sz w:val="21"/>
                <w:szCs w:val="21"/>
                <w:highlight w:val="yellow"/>
                <w:lang w:eastAsia="en-PH"/>
              </w:rPr>
            </w:pPr>
            <w:r>
              <w:rPr>
                <w:rFonts w:ascii="Times New Roman" w:eastAsia="Times New Roman" w:hAnsi="Times New Roman"/>
                <w:color w:val="000000"/>
                <w:sz w:val="21"/>
                <w:szCs w:val="21"/>
                <w:lang w:eastAsia="en-PH"/>
              </w:rPr>
              <w:t>23.76%</w:t>
            </w:r>
          </w:p>
        </w:tc>
      </w:tr>
      <w:tr>
        <w:trPr>
          <w:trHeight w:val="53"/>
          <w:jc w:val="center"/>
        </w:trPr>
        <w:tc>
          <w:tcPr>
            <w:tcW w:w="1863" w:type="dxa"/>
            <w:tcBorders>
              <w:top w:val="nil"/>
              <w:left w:val="single" w:sz="8" w:space="0" w:color="auto"/>
              <w:bottom w:val="single" w:sz="8" w:space="0" w:color="auto"/>
              <w:right w:val="single" w:sz="8" w:space="0" w:color="auto"/>
            </w:tcBorders>
            <w:shd w:val="clear" w:color="auto" w:fill="auto"/>
            <w:vAlign w:val="center"/>
            <w:hideMark/>
          </w:tcPr>
          <w:p>
            <w:pPr>
              <w:spacing w:after="0"/>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Liabilities</w:t>
            </w:r>
          </w:p>
        </w:tc>
        <w:tc>
          <w:tcPr>
            <w:tcW w:w="1896" w:type="dxa"/>
            <w:tcBorders>
              <w:top w:val="nil"/>
              <w:left w:val="nil"/>
              <w:bottom w:val="single" w:sz="8" w:space="0" w:color="auto"/>
              <w:right w:val="single" w:sz="8" w:space="0" w:color="auto"/>
            </w:tcBorders>
            <w:shd w:val="clear" w:color="auto" w:fill="auto"/>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1,606,113,633.53</w:t>
            </w:r>
          </w:p>
        </w:tc>
        <w:tc>
          <w:tcPr>
            <w:tcW w:w="1896" w:type="dxa"/>
            <w:tcBorders>
              <w:top w:val="nil"/>
              <w:left w:val="nil"/>
              <w:bottom w:val="single" w:sz="8" w:space="0" w:color="auto"/>
              <w:right w:val="single" w:sz="8" w:space="0" w:color="auto"/>
            </w:tcBorders>
            <w:shd w:val="clear" w:color="auto" w:fill="auto"/>
            <w:vAlign w:val="center"/>
            <w:hideMark/>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1,156,013,872.51</w:t>
            </w:r>
          </w:p>
        </w:tc>
        <w:tc>
          <w:tcPr>
            <w:tcW w:w="1876" w:type="dxa"/>
            <w:tcBorders>
              <w:top w:val="nil"/>
              <w:left w:val="nil"/>
              <w:bottom w:val="single" w:sz="8" w:space="0" w:color="auto"/>
              <w:right w:val="single" w:sz="8" w:space="0" w:color="auto"/>
            </w:tcBorders>
            <w:shd w:val="clear" w:color="auto" w:fill="auto"/>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450,099,761.02</w:t>
            </w:r>
          </w:p>
        </w:tc>
        <w:tc>
          <w:tcPr>
            <w:tcW w:w="1116" w:type="dxa"/>
            <w:tcBorders>
              <w:top w:val="nil"/>
              <w:left w:val="nil"/>
              <w:bottom w:val="single" w:sz="8" w:space="0" w:color="auto"/>
              <w:right w:val="single" w:sz="8" w:space="0" w:color="auto"/>
            </w:tcBorders>
            <w:shd w:val="clear" w:color="auto" w:fill="auto"/>
            <w:vAlign w:val="center"/>
          </w:tcPr>
          <w:p>
            <w:pPr>
              <w:spacing w:after="0"/>
              <w:jc w:val="center"/>
              <w:rPr>
                <w:rFonts w:ascii="Times New Roman" w:eastAsia="Times New Roman" w:hAnsi="Times New Roman"/>
                <w:color w:val="000000"/>
                <w:sz w:val="21"/>
                <w:szCs w:val="21"/>
                <w:highlight w:val="yellow"/>
                <w:lang w:eastAsia="en-PH"/>
              </w:rPr>
            </w:pPr>
            <w:r>
              <w:rPr>
                <w:rFonts w:ascii="Times New Roman" w:eastAsia="Times New Roman" w:hAnsi="Times New Roman"/>
                <w:color w:val="000000"/>
                <w:sz w:val="21"/>
                <w:szCs w:val="21"/>
                <w:lang w:eastAsia="en-PH"/>
              </w:rPr>
              <w:t>38.94%</w:t>
            </w:r>
          </w:p>
        </w:tc>
      </w:tr>
      <w:tr>
        <w:trPr>
          <w:trHeight w:val="53"/>
          <w:jc w:val="center"/>
        </w:trPr>
        <w:tc>
          <w:tcPr>
            <w:tcW w:w="1863" w:type="dxa"/>
            <w:tcBorders>
              <w:top w:val="nil"/>
              <w:left w:val="single" w:sz="8" w:space="0" w:color="auto"/>
              <w:bottom w:val="single" w:sz="8" w:space="0" w:color="auto"/>
              <w:right w:val="single" w:sz="8" w:space="0" w:color="auto"/>
            </w:tcBorders>
            <w:shd w:val="clear" w:color="auto" w:fill="auto"/>
            <w:vAlign w:val="center"/>
            <w:hideMark/>
          </w:tcPr>
          <w:p>
            <w:pPr>
              <w:spacing w:after="0"/>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Equity</w:t>
            </w:r>
          </w:p>
        </w:tc>
        <w:tc>
          <w:tcPr>
            <w:tcW w:w="1896" w:type="dxa"/>
            <w:tcBorders>
              <w:top w:val="nil"/>
              <w:left w:val="nil"/>
              <w:bottom w:val="single" w:sz="8" w:space="0" w:color="auto"/>
              <w:right w:val="single" w:sz="8" w:space="0" w:color="auto"/>
            </w:tcBorders>
            <w:shd w:val="clear" w:color="auto" w:fill="auto"/>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3,570,728,349.82</w:t>
            </w:r>
          </w:p>
        </w:tc>
        <w:tc>
          <w:tcPr>
            <w:tcW w:w="1896" w:type="dxa"/>
            <w:tcBorders>
              <w:top w:val="nil"/>
              <w:left w:val="nil"/>
              <w:bottom w:val="single" w:sz="8" w:space="0" w:color="auto"/>
              <w:right w:val="single" w:sz="8" w:space="0" w:color="auto"/>
            </w:tcBorders>
            <w:shd w:val="clear" w:color="auto" w:fill="auto"/>
            <w:vAlign w:val="center"/>
            <w:hideMark/>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3,027,056,416.39</w:t>
            </w:r>
          </w:p>
        </w:tc>
        <w:tc>
          <w:tcPr>
            <w:tcW w:w="1876" w:type="dxa"/>
            <w:tcBorders>
              <w:top w:val="nil"/>
              <w:left w:val="nil"/>
              <w:bottom w:val="single" w:sz="8" w:space="0" w:color="auto"/>
              <w:right w:val="single" w:sz="8" w:space="0" w:color="auto"/>
            </w:tcBorders>
            <w:shd w:val="clear" w:color="auto" w:fill="auto"/>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543,671,933.43</w:t>
            </w:r>
          </w:p>
        </w:tc>
        <w:tc>
          <w:tcPr>
            <w:tcW w:w="1116" w:type="dxa"/>
            <w:tcBorders>
              <w:top w:val="nil"/>
              <w:left w:val="nil"/>
              <w:bottom w:val="single" w:sz="8" w:space="0" w:color="auto"/>
              <w:right w:val="single" w:sz="8" w:space="0" w:color="auto"/>
            </w:tcBorders>
            <w:shd w:val="clear" w:color="auto" w:fill="auto"/>
            <w:vAlign w:val="center"/>
          </w:tcPr>
          <w:p>
            <w:pPr>
              <w:spacing w:after="0"/>
              <w:jc w:val="center"/>
              <w:rPr>
                <w:rFonts w:ascii="Times New Roman" w:eastAsia="Times New Roman" w:hAnsi="Times New Roman"/>
                <w:color w:val="000000"/>
                <w:sz w:val="21"/>
                <w:szCs w:val="21"/>
                <w:highlight w:val="yellow"/>
                <w:lang w:eastAsia="en-PH"/>
              </w:rPr>
            </w:pPr>
            <w:r>
              <w:rPr>
                <w:rFonts w:ascii="Times New Roman" w:eastAsia="Times New Roman" w:hAnsi="Times New Roman"/>
                <w:color w:val="000000"/>
                <w:sz w:val="21"/>
                <w:szCs w:val="21"/>
                <w:lang w:eastAsia="en-PH"/>
              </w:rPr>
              <w:t>17.96%</w:t>
            </w:r>
          </w:p>
        </w:tc>
      </w:tr>
      <w:tr>
        <w:trPr>
          <w:trHeight w:val="53"/>
          <w:jc w:val="center"/>
        </w:trPr>
        <w:tc>
          <w:tcPr>
            <w:tcW w:w="1863" w:type="dxa"/>
            <w:tcBorders>
              <w:top w:val="nil"/>
              <w:left w:val="single" w:sz="8" w:space="0" w:color="auto"/>
              <w:bottom w:val="single" w:sz="8" w:space="0" w:color="auto"/>
              <w:right w:val="single" w:sz="8" w:space="0" w:color="auto"/>
            </w:tcBorders>
            <w:shd w:val="clear" w:color="auto" w:fill="auto"/>
            <w:vAlign w:val="center"/>
            <w:hideMark/>
          </w:tcPr>
          <w:p>
            <w:pPr>
              <w:spacing w:after="0"/>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Revenue</w:t>
            </w:r>
          </w:p>
        </w:tc>
        <w:tc>
          <w:tcPr>
            <w:tcW w:w="1896" w:type="dxa"/>
            <w:tcBorders>
              <w:top w:val="nil"/>
              <w:left w:val="nil"/>
              <w:bottom w:val="single" w:sz="8" w:space="0" w:color="auto"/>
              <w:right w:val="single" w:sz="8" w:space="0" w:color="auto"/>
            </w:tcBorders>
            <w:shd w:val="clear" w:color="auto" w:fill="auto"/>
            <w:noWrap/>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1,815,833,563.55</w:t>
            </w:r>
          </w:p>
        </w:tc>
        <w:tc>
          <w:tcPr>
            <w:tcW w:w="1896" w:type="dxa"/>
            <w:tcBorders>
              <w:top w:val="nil"/>
              <w:left w:val="nil"/>
              <w:bottom w:val="single" w:sz="8" w:space="0" w:color="auto"/>
              <w:right w:val="single" w:sz="8" w:space="0" w:color="auto"/>
            </w:tcBorders>
            <w:shd w:val="clear" w:color="auto" w:fill="auto"/>
            <w:noWrap/>
            <w:vAlign w:val="center"/>
            <w:hideMark/>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1,332,017,484.89</w:t>
            </w:r>
          </w:p>
        </w:tc>
        <w:tc>
          <w:tcPr>
            <w:tcW w:w="1876" w:type="dxa"/>
            <w:tcBorders>
              <w:top w:val="nil"/>
              <w:left w:val="nil"/>
              <w:bottom w:val="single" w:sz="8" w:space="0" w:color="auto"/>
              <w:right w:val="single" w:sz="8" w:space="0" w:color="auto"/>
            </w:tcBorders>
            <w:shd w:val="clear" w:color="auto" w:fill="auto"/>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483,816,078.66</w:t>
            </w:r>
          </w:p>
        </w:tc>
        <w:tc>
          <w:tcPr>
            <w:tcW w:w="1116" w:type="dxa"/>
            <w:tcBorders>
              <w:top w:val="nil"/>
              <w:left w:val="nil"/>
              <w:bottom w:val="single" w:sz="8" w:space="0" w:color="auto"/>
              <w:right w:val="single" w:sz="8" w:space="0" w:color="auto"/>
            </w:tcBorders>
            <w:shd w:val="clear" w:color="auto" w:fill="auto"/>
            <w:vAlign w:val="center"/>
          </w:tcPr>
          <w:p>
            <w:pPr>
              <w:spacing w:after="0"/>
              <w:jc w:val="center"/>
              <w:rPr>
                <w:rFonts w:ascii="Times New Roman" w:eastAsia="Times New Roman" w:hAnsi="Times New Roman"/>
                <w:color w:val="000000"/>
                <w:sz w:val="21"/>
                <w:szCs w:val="21"/>
                <w:highlight w:val="yellow"/>
                <w:lang w:eastAsia="en-PH"/>
              </w:rPr>
            </w:pPr>
            <w:r>
              <w:rPr>
                <w:rFonts w:ascii="Times New Roman" w:eastAsia="Times New Roman" w:hAnsi="Times New Roman"/>
                <w:color w:val="000000"/>
                <w:sz w:val="21"/>
                <w:szCs w:val="21"/>
                <w:lang w:eastAsia="en-PH"/>
              </w:rPr>
              <w:t>36.32%</w:t>
            </w:r>
          </w:p>
        </w:tc>
      </w:tr>
      <w:tr>
        <w:trPr>
          <w:trHeight w:val="53"/>
          <w:jc w:val="center"/>
        </w:trPr>
        <w:tc>
          <w:tcPr>
            <w:tcW w:w="1863" w:type="dxa"/>
            <w:tcBorders>
              <w:top w:val="nil"/>
              <w:left w:val="single" w:sz="8" w:space="0" w:color="auto"/>
              <w:bottom w:val="single" w:sz="8" w:space="0" w:color="auto"/>
              <w:right w:val="single" w:sz="8" w:space="0" w:color="auto"/>
            </w:tcBorders>
            <w:shd w:val="clear" w:color="auto" w:fill="auto"/>
            <w:vAlign w:val="center"/>
            <w:hideMark/>
          </w:tcPr>
          <w:p>
            <w:pPr>
              <w:spacing w:after="0"/>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val="id-ID" w:eastAsia="en-PH"/>
              </w:rPr>
              <w:t>Current Operating Expenses</w:t>
            </w:r>
          </w:p>
        </w:tc>
        <w:tc>
          <w:tcPr>
            <w:tcW w:w="1896" w:type="dxa"/>
            <w:tcBorders>
              <w:top w:val="nil"/>
              <w:left w:val="nil"/>
              <w:bottom w:val="single" w:sz="8" w:space="0" w:color="auto"/>
              <w:right w:val="single" w:sz="8" w:space="0" w:color="auto"/>
            </w:tcBorders>
            <w:shd w:val="clear" w:color="auto" w:fill="auto"/>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1,136,927,728.17</w:t>
            </w:r>
          </w:p>
        </w:tc>
        <w:tc>
          <w:tcPr>
            <w:tcW w:w="1896" w:type="dxa"/>
            <w:tcBorders>
              <w:top w:val="nil"/>
              <w:left w:val="nil"/>
              <w:bottom w:val="single" w:sz="8" w:space="0" w:color="auto"/>
              <w:right w:val="single" w:sz="8" w:space="0" w:color="auto"/>
            </w:tcBorders>
            <w:shd w:val="clear" w:color="auto" w:fill="auto"/>
            <w:vAlign w:val="center"/>
            <w:hideMark/>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1,007,934,254.87</w:t>
            </w:r>
          </w:p>
        </w:tc>
        <w:tc>
          <w:tcPr>
            <w:tcW w:w="1876" w:type="dxa"/>
            <w:tcBorders>
              <w:top w:val="nil"/>
              <w:left w:val="nil"/>
              <w:bottom w:val="single" w:sz="8" w:space="0" w:color="auto"/>
              <w:right w:val="single" w:sz="8" w:space="0" w:color="auto"/>
            </w:tcBorders>
            <w:shd w:val="clear" w:color="auto" w:fill="auto"/>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128,993,473.30</w:t>
            </w:r>
          </w:p>
        </w:tc>
        <w:tc>
          <w:tcPr>
            <w:tcW w:w="1116" w:type="dxa"/>
            <w:tcBorders>
              <w:top w:val="nil"/>
              <w:left w:val="nil"/>
              <w:bottom w:val="single" w:sz="8" w:space="0" w:color="auto"/>
              <w:right w:val="single" w:sz="8" w:space="0" w:color="auto"/>
            </w:tcBorders>
            <w:shd w:val="clear" w:color="auto" w:fill="auto"/>
            <w:vAlign w:val="center"/>
          </w:tcPr>
          <w:p>
            <w:pPr>
              <w:spacing w:after="0"/>
              <w:jc w:val="center"/>
              <w:rPr>
                <w:rFonts w:ascii="Times New Roman" w:eastAsia="Times New Roman" w:hAnsi="Times New Roman"/>
                <w:color w:val="000000"/>
                <w:sz w:val="21"/>
                <w:szCs w:val="21"/>
                <w:highlight w:val="yellow"/>
                <w:lang w:eastAsia="en-PH"/>
              </w:rPr>
            </w:pPr>
            <w:r>
              <w:rPr>
                <w:rFonts w:ascii="Times New Roman" w:eastAsia="Times New Roman" w:hAnsi="Times New Roman"/>
                <w:color w:val="000000"/>
                <w:sz w:val="21"/>
                <w:szCs w:val="21"/>
                <w:lang w:eastAsia="en-PH"/>
              </w:rPr>
              <w:t>12.80%</w:t>
            </w:r>
          </w:p>
        </w:tc>
      </w:tr>
      <w:tr>
        <w:trPr>
          <w:trHeight w:val="53"/>
          <w:jc w:val="center"/>
        </w:trPr>
        <w:tc>
          <w:tcPr>
            <w:tcW w:w="1863" w:type="dxa"/>
            <w:tcBorders>
              <w:top w:val="nil"/>
              <w:left w:val="single" w:sz="8" w:space="0" w:color="auto"/>
              <w:bottom w:val="single" w:sz="8" w:space="0" w:color="auto"/>
              <w:right w:val="single" w:sz="8" w:space="0" w:color="auto"/>
            </w:tcBorders>
            <w:shd w:val="clear" w:color="auto" w:fill="auto"/>
            <w:vAlign w:val="center"/>
            <w:hideMark/>
          </w:tcPr>
          <w:p>
            <w:pPr>
              <w:spacing w:after="0"/>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Transfers and Subsidy From</w:t>
            </w:r>
          </w:p>
        </w:tc>
        <w:tc>
          <w:tcPr>
            <w:tcW w:w="1896" w:type="dxa"/>
            <w:tcBorders>
              <w:top w:val="nil"/>
              <w:left w:val="nil"/>
              <w:bottom w:val="single" w:sz="8" w:space="0" w:color="auto"/>
              <w:right w:val="single" w:sz="8" w:space="0" w:color="auto"/>
            </w:tcBorders>
            <w:shd w:val="clear" w:color="auto" w:fill="auto"/>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10,612,957.54</w:t>
            </w:r>
          </w:p>
        </w:tc>
        <w:tc>
          <w:tcPr>
            <w:tcW w:w="1896" w:type="dxa"/>
            <w:tcBorders>
              <w:top w:val="nil"/>
              <w:left w:val="nil"/>
              <w:bottom w:val="single" w:sz="8" w:space="0" w:color="auto"/>
              <w:right w:val="single" w:sz="8" w:space="0" w:color="auto"/>
            </w:tcBorders>
            <w:shd w:val="clear" w:color="auto" w:fill="auto"/>
            <w:vAlign w:val="center"/>
            <w:hideMark/>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153,047,594.01</w:t>
            </w:r>
          </w:p>
        </w:tc>
        <w:tc>
          <w:tcPr>
            <w:tcW w:w="1876" w:type="dxa"/>
            <w:tcBorders>
              <w:top w:val="nil"/>
              <w:left w:val="nil"/>
              <w:bottom w:val="single" w:sz="8" w:space="0" w:color="auto"/>
              <w:right w:val="single" w:sz="8" w:space="0" w:color="auto"/>
            </w:tcBorders>
            <w:shd w:val="clear" w:color="auto" w:fill="auto"/>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(142,434,636.47)</w:t>
            </w:r>
          </w:p>
        </w:tc>
        <w:tc>
          <w:tcPr>
            <w:tcW w:w="1116" w:type="dxa"/>
            <w:tcBorders>
              <w:top w:val="nil"/>
              <w:left w:val="nil"/>
              <w:bottom w:val="single" w:sz="8" w:space="0" w:color="auto"/>
              <w:right w:val="single" w:sz="8" w:space="0" w:color="auto"/>
            </w:tcBorders>
            <w:shd w:val="clear" w:color="auto" w:fill="auto"/>
            <w:vAlign w:val="center"/>
          </w:tcPr>
          <w:p>
            <w:pPr>
              <w:spacing w:after="0"/>
              <w:jc w:val="center"/>
              <w:rPr>
                <w:rFonts w:ascii="Times New Roman" w:eastAsia="Times New Roman" w:hAnsi="Times New Roman"/>
                <w:color w:val="000000"/>
                <w:sz w:val="21"/>
                <w:szCs w:val="21"/>
                <w:highlight w:val="yellow"/>
                <w:lang w:eastAsia="en-PH"/>
              </w:rPr>
            </w:pPr>
            <w:r>
              <w:rPr>
                <w:rFonts w:ascii="Times New Roman" w:eastAsia="Times New Roman" w:hAnsi="Times New Roman"/>
                <w:color w:val="000000"/>
                <w:sz w:val="21"/>
                <w:szCs w:val="21"/>
                <w:lang w:eastAsia="en-PH"/>
              </w:rPr>
              <w:t>(93.07%)</w:t>
            </w:r>
          </w:p>
        </w:tc>
      </w:tr>
      <w:tr>
        <w:trPr>
          <w:trHeight w:val="53"/>
          <w:jc w:val="center"/>
        </w:trPr>
        <w:tc>
          <w:tcPr>
            <w:tcW w:w="1863" w:type="dxa"/>
            <w:tcBorders>
              <w:top w:val="nil"/>
              <w:left w:val="single" w:sz="8" w:space="0" w:color="auto"/>
              <w:bottom w:val="single" w:sz="8" w:space="0" w:color="auto"/>
              <w:right w:val="single" w:sz="8" w:space="0" w:color="auto"/>
            </w:tcBorders>
            <w:shd w:val="clear" w:color="auto" w:fill="auto"/>
            <w:vAlign w:val="center"/>
            <w:hideMark/>
          </w:tcPr>
          <w:p>
            <w:pPr>
              <w:spacing w:after="0"/>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Transfers and Subsidy To</w:t>
            </w:r>
          </w:p>
        </w:tc>
        <w:tc>
          <w:tcPr>
            <w:tcW w:w="1896" w:type="dxa"/>
            <w:tcBorders>
              <w:top w:val="nil"/>
              <w:left w:val="nil"/>
              <w:bottom w:val="single" w:sz="8" w:space="0" w:color="auto"/>
              <w:right w:val="single" w:sz="8" w:space="0" w:color="auto"/>
            </w:tcBorders>
            <w:shd w:val="clear" w:color="auto" w:fill="auto"/>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(21,104,847.27)</w:t>
            </w:r>
          </w:p>
        </w:tc>
        <w:tc>
          <w:tcPr>
            <w:tcW w:w="1896" w:type="dxa"/>
            <w:tcBorders>
              <w:top w:val="nil"/>
              <w:left w:val="nil"/>
              <w:bottom w:val="single" w:sz="8" w:space="0" w:color="auto"/>
              <w:right w:val="single" w:sz="8" w:space="0" w:color="auto"/>
            </w:tcBorders>
            <w:shd w:val="clear" w:color="auto" w:fill="auto"/>
            <w:vAlign w:val="center"/>
            <w:hideMark/>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(55,694,875.47)</w:t>
            </w:r>
          </w:p>
        </w:tc>
        <w:tc>
          <w:tcPr>
            <w:tcW w:w="1876" w:type="dxa"/>
            <w:tcBorders>
              <w:top w:val="nil"/>
              <w:left w:val="nil"/>
              <w:bottom w:val="single" w:sz="8" w:space="0" w:color="auto"/>
              <w:right w:val="single" w:sz="8" w:space="0" w:color="auto"/>
            </w:tcBorders>
            <w:shd w:val="clear" w:color="auto" w:fill="auto"/>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34,590,028.20</w:t>
            </w:r>
          </w:p>
        </w:tc>
        <w:tc>
          <w:tcPr>
            <w:tcW w:w="1116" w:type="dxa"/>
            <w:tcBorders>
              <w:top w:val="nil"/>
              <w:left w:val="nil"/>
              <w:bottom w:val="single" w:sz="8" w:space="0" w:color="auto"/>
              <w:right w:val="single" w:sz="8" w:space="0" w:color="auto"/>
            </w:tcBorders>
            <w:shd w:val="clear" w:color="auto" w:fill="auto"/>
            <w:vAlign w:val="center"/>
          </w:tcPr>
          <w:p>
            <w:pPr>
              <w:spacing w:after="0"/>
              <w:jc w:val="center"/>
              <w:rPr>
                <w:rFonts w:ascii="Times New Roman" w:eastAsia="Times New Roman" w:hAnsi="Times New Roman"/>
                <w:color w:val="000000"/>
                <w:sz w:val="21"/>
                <w:szCs w:val="21"/>
                <w:highlight w:val="yellow"/>
                <w:lang w:eastAsia="en-PH"/>
              </w:rPr>
            </w:pPr>
            <w:r>
              <w:rPr>
                <w:rFonts w:ascii="Times New Roman" w:eastAsia="Times New Roman" w:hAnsi="Times New Roman"/>
                <w:color w:val="000000"/>
                <w:sz w:val="21"/>
                <w:szCs w:val="21"/>
                <w:lang w:eastAsia="en-PH"/>
              </w:rPr>
              <w:t>(62.11%)</w:t>
            </w:r>
          </w:p>
        </w:tc>
      </w:tr>
      <w:tr>
        <w:trPr>
          <w:trHeight w:val="53"/>
          <w:jc w:val="center"/>
        </w:trPr>
        <w:tc>
          <w:tcPr>
            <w:tcW w:w="1863" w:type="dxa"/>
            <w:tcBorders>
              <w:top w:val="nil"/>
              <w:left w:val="single" w:sz="8" w:space="0" w:color="auto"/>
              <w:bottom w:val="single" w:sz="8" w:space="0" w:color="auto"/>
              <w:right w:val="single" w:sz="8" w:space="0" w:color="auto"/>
            </w:tcBorders>
            <w:shd w:val="clear" w:color="auto" w:fill="auto"/>
            <w:vAlign w:val="center"/>
            <w:hideMark/>
          </w:tcPr>
          <w:p>
            <w:pPr>
              <w:spacing w:after="0"/>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Miscellaneous Income</w:t>
            </w:r>
          </w:p>
        </w:tc>
        <w:tc>
          <w:tcPr>
            <w:tcW w:w="1896" w:type="dxa"/>
            <w:tcBorders>
              <w:top w:val="nil"/>
              <w:left w:val="nil"/>
              <w:bottom w:val="single" w:sz="8" w:space="0" w:color="auto"/>
              <w:right w:val="single" w:sz="8" w:space="0" w:color="auto"/>
            </w:tcBorders>
            <w:shd w:val="clear" w:color="auto" w:fill="auto"/>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2,218,956.25</w:t>
            </w:r>
          </w:p>
        </w:tc>
        <w:tc>
          <w:tcPr>
            <w:tcW w:w="1896" w:type="dxa"/>
            <w:tcBorders>
              <w:top w:val="nil"/>
              <w:left w:val="nil"/>
              <w:bottom w:val="single" w:sz="8" w:space="0" w:color="auto"/>
              <w:right w:val="single" w:sz="8" w:space="0" w:color="auto"/>
            </w:tcBorders>
            <w:shd w:val="clear" w:color="auto" w:fill="auto"/>
            <w:vAlign w:val="center"/>
            <w:hideMark/>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1,643,931.51</w:t>
            </w:r>
          </w:p>
        </w:tc>
        <w:tc>
          <w:tcPr>
            <w:tcW w:w="1876" w:type="dxa"/>
            <w:tcBorders>
              <w:top w:val="nil"/>
              <w:left w:val="nil"/>
              <w:bottom w:val="single" w:sz="8" w:space="0" w:color="auto"/>
              <w:right w:val="single" w:sz="8" w:space="0" w:color="auto"/>
            </w:tcBorders>
            <w:shd w:val="clear" w:color="auto" w:fill="auto"/>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575,024.74</w:t>
            </w:r>
          </w:p>
        </w:tc>
        <w:tc>
          <w:tcPr>
            <w:tcW w:w="1116" w:type="dxa"/>
            <w:tcBorders>
              <w:top w:val="nil"/>
              <w:left w:val="nil"/>
              <w:bottom w:val="single" w:sz="8" w:space="0" w:color="auto"/>
              <w:right w:val="single" w:sz="8" w:space="0" w:color="auto"/>
            </w:tcBorders>
            <w:shd w:val="clear" w:color="auto" w:fill="auto"/>
            <w:vAlign w:val="center"/>
          </w:tcPr>
          <w:p>
            <w:pPr>
              <w:spacing w:after="0"/>
              <w:jc w:val="center"/>
              <w:rPr>
                <w:rFonts w:ascii="Times New Roman" w:eastAsia="Times New Roman" w:hAnsi="Times New Roman"/>
                <w:color w:val="000000"/>
                <w:sz w:val="21"/>
                <w:szCs w:val="21"/>
                <w:highlight w:val="yellow"/>
                <w:lang w:eastAsia="en-PH"/>
              </w:rPr>
            </w:pPr>
            <w:r>
              <w:rPr>
                <w:rFonts w:ascii="Times New Roman" w:eastAsia="Times New Roman" w:hAnsi="Times New Roman"/>
                <w:color w:val="000000"/>
                <w:sz w:val="21"/>
                <w:szCs w:val="21"/>
                <w:lang w:eastAsia="en-PH"/>
              </w:rPr>
              <w:t>34.98%</w:t>
            </w:r>
          </w:p>
        </w:tc>
      </w:tr>
      <w:tr>
        <w:trPr>
          <w:trHeight w:val="169"/>
          <w:jc w:val="center"/>
        </w:trPr>
        <w:tc>
          <w:tcPr>
            <w:tcW w:w="1863" w:type="dxa"/>
            <w:tcBorders>
              <w:top w:val="nil"/>
              <w:left w:val="single" w:sz="8" w:space="0" w:color="auto"/>
              <w:bottom w:val="single" w:sz="8" w:space="0" w:color="auto"/>
              <w:right w:val="single" w:sz="8" w:space="0" w:color="auto"/>
            </w:tcBorders>
            <w:shd w:val="clear" w:color="auto" w:fill="auto"/>
            <w:vAlign w:val="center"/>
            <w:hideMark/>
          </w:tcPr>
          <w:p>
            <w:pPr>
              <w:spacing w:after="0"/>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val="id-ID" w:eastAsia="en-PH"/>
              </w:rPr>
              <w:t>Surplus (Deficit) for the period</w:t>
            </w:r>
          </w:p>
        </w:tc>
        <w:tc>
          <w:tcPr>
            <w:tcW w:w="1896" w:type="dxa"/>
            <w:tcBorders>
              <w:top w:val="nil"/>
              <w:left w:val="nil"/>
              <w:bottom w:val="single" w:sz="8" w:space="0" w:color="auto"/>
              <w:right w:val="single" w:sz="8" w:space="0" w:color="auto"/>
            </w:tcBorders>
            <w:shd w:val="clear" w:color="auto" w:fill="auto"/>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670,632,901.90</w:t>
            </w:r>
          </w:p>
        </w:tc>
        <w:tc>
          <w:tcPr>
            <w:tcW w:w="1896" w:type="dxa"/>
            <w:tcBorders>
              <w:top w:val="nil"/>
              <w:left w:val="nil"/>
              <w:bottom w:val="single" w:sz="8" w:space="0" w:color="auto"/>
              <w:right w:val="single" w:sz="8" w:space="0" w:color="auto"/>
            </w:tcBorders>
            <w:shd w:val="clear" w:color="auto" w:fill="auto"/>
            <w:vAlign w:val="center"/>
            <w:hideMark/>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423,079,880.07</w:t>
            </w:r>
          </w:p>
        </w:tc>
        <w:tc>
          <w:tcPr>
            <w:tcW w:w="1876" w:type="dxa"/>
            <w:tcBorders>
              <w:top w:val="nil"/>
              <w:left w:val="nil"/>
              <w:bottom w:val="single" w:sz="8" w:space="0" w:color="auto"/>
              <w:right w:val="single" w:sz="8" w:space="0" w:color="auto"/>
            </w:tcBorders>
            <w:shd w:val="clear" w:color="auto" w:fill="auto"/>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247,553,021.83</w:t>
            </w:r>
          </w:p>
        </w:tc>
        <w:tc>
          <w:tcPr>
            <w:tcW w:w="1116" w:type="dxa"/>
            <w:tcBorders>
              <w:top w:val="nil"/>
              <w:left w:val="nil"/>
              <w:bottom w:val="single" w:sz="8" w:space="0" w:color="auto"/>
              <w:right w:val="single" w:sz="8" w:space="0" w:color="auto"/>
            </w:tcBorders>
            <w:shd w:val="clear" w:color="auto" w:fill="auto"/>
            <w:vAlign w:val="center"/>
          </w:tcPr>
          <w:p>
            <w:pPr>
              <w:spacing w:after="0"/>
              <w:jc w:val="center"/>
              <w:rPr>
                <w:rFonts w:ascii="Times New Roman" w:eastAsia="Times New Roman" w:hAnsi="Times New Roman"/>
                <w:color w:val="000000"/>
                <w:sz w:val="21"/>
                <w:szCs w:val="21"/>
                <w:highlight w:val="yellow"/>
                <w:lang w:eastAsia="en-PH"/>
              </w:rPr>
            </w:pPr>
            <w:r>
              <w:rPr>
                <w:rFonts w:ascii="Times New Roman" w:eastAsia="Times New Roman" w:hAnsi="Times New Roman"/>
                <w:color w:val="000000"/>
                <w:sz w:val="21"/>
                <w:szCs w:val="21"/>
                <w:lang w:eastAsia="en-PH"/>
              </w:rPr>
              <w:t>58.51%</w:t>
            </w:r>
          </w:p>
        </w:tc>
      </w:tr>
    </w:tbl>
    <w:p>
      <w:pPr>
        <w:tabs>
          <w:tab w:val="left" w:pos="720"/>
        </w:tabs>
        <w:spacing w:after="0"/>
        <w:jc w:val="both"/>
        <w:rPr>
          <w:rFonts w:ascii="Times New Roman" w:hAnsi="Times New Roman"/>
          <w:sz w:val="24"/>
          <w:szCs w:val="24"/>
        </w:rPr>
      </w:pPr>
    </w:p>
    <w:p>
      <w:pPr>
        <w:spacing w:after="0"/>
        <w:jc w:val="both"/>
        <w:rPr>
          <w:rFonts w:ascii="Times New Roman" w:hAnsi="Times New Roman"/>
          <w:sz w:val="24"/>
          <w:szCs w:val="24"/>
        </w:rPr>
      </w:pPr>
      <w:r>
        <w:rPr>
          <w:rFonts w:ascii="Times New Roman" w:hAnsi="Times New Roman"/>
          <w:sz w:val="24"/>
          <w:szCs w:val="24"/>
        </w:rPr>
        <w:t>In CY 2022, the total assets of the LGU had increased by P993.772 million or 23.76% which is attributed mainly to the receipt of loan proceeds and additions in property, plant and equipment. The corresponding increase in liabilities by P450 million is mainly attributable to the recorded loans payable as well as the increase in deferred credits.</w:t>
      </w:r>
    </w:p>
    <w:p>
      <w:pPr>
        <w:spacing w:after="0"/>
        <w:jc w:val="both"/>
        <w:rPr>
          <w:rFonts w:ascii="Times New Roman" w:hAnsi="Times New Roman"/>
          <w:sz w:val="24"/>
          <w:szCs w:val="24"/>
        </w:rPr>
      </w:pPr>
    </w:p>
    <w:p>
      <w:pPr>
        <w:spacing w:after="0"/>
        <w:jc w:val="both"/>
        <w:rPr>
          <w:rFonts w:ascii="Times New Roman" w:hAnsi="Times New Roman"/>
          <w:sz w:val="24"/>
          <w:szCs w:val="24"/>
          <w:highlight w:val="yellow"/>
        </w:rPr>
      </w:pPr>
      <w:r>
        <w:rPr>
          <w:rFonts w:ascii="Times New Roman" w:hAnsi="Times New Roman"/>
          <w:sz w:val="24"/>
          <w:szCs w:val="24"/>
        </w:rPr>
        <w:t>The increase in revenues by P483.816 million or 36.32% was derived from the increase in tax revenues, share from internal revenue collections, service and business income and grants and donations in cash. The increase in current operating expenses is primarily due to the increase in payment of personnel services and payment of interest.</w:t>
      </w:r>
    </w:p>
    <w:p>
      <w:pPr>
        <w:spacing w:after="0"/>
        <w:jc w:val="both"/>
        <w:rPr>
          <w:rFonts w:ascii="Times New Roman" w:hAnsi="Times New Roman"/>
          <w:color w:val="FF0000"/>
          <w:sz w:val="24"/>
          <w:szCs w:val="24"/>
          <w:highlight w:val="yellow"/>
        </w:rPr>
      </w:pPr>
    </w:p>
    <w:p>
      <w:pPr>
        <w:spacing w:after="0"/>
        <w:jc w:val="both"/>
        <w:rPr>
          <w:rFonts w:ascii="Times New Roman" w:hAnsi="Times New Roman"/>
          <w:color w:val="FF0000"/>
          <w:sz w:val="24"/>
          <w:szCs w:val="24"/>
        </w:rPr>
      </w:pPr>
      <w:r>
        <w:rPr>
          <w:rFonts w:ascii="Times New Roman" w:hAnsi="Times New Roman"/>
          <w:sz w:val="24"/>
          <w:szCs w:val="24"/>
        </w:rPr>
        <w:t>Of the total realized revenue, P1.830 billion was used to fund the following expenditures appropriated for the City’s operation and the various programs and projects aligned for the year. Comparative information of current appropriations and its corresponding obligation for 2022 and 2021 are as follows:</w:t>
      </w:r>
    </w:p>
    <w:p>
      <w:pPr>
        <w:spacing w:after="0"/>
        <w:jc w:val="both"/>
        <w:rPr>
          <w:rFonts w:ascii="Times New Roman" w:hAnsi="Times New Roman"/>
          <w:sz w:val="24"/>
          <w:szCs w:val="24"/>
        </w:rPr>
      </w:pPr>
    </w:p>
    <w:tbl>
      <w:tblPr>
        <w:tblW w:w="4847" w:type="pct"/>
        <w:jc w:val="center"/>
        <w:tblLayout w:type="fixed"/>
        <w:tblLook w:val="04A0" w:firstRow="1" w:lastRow="0" w:firstColumn="1" w:lastColumn="0" w:noHBand="0" w:noVBand="1"/>
      </w:tblPr>
      <w:tblGrid>
        <w:gridCol w:w="3226"/>
        <w:gridCol w:w="1842"/>
        <w:gridCol w:w="1738"/>
        <w:gridCol w:w="1779"/>
      </w:tblGrid>
      <w:tr>
        <w:trPr>
          <w:trHeight w:val="53"/>
          <w:tblHeader/>
          <w:jc w:val="center"/>
        </w:trPr>
        <w:tc>
          <w:tcPr>
            <w:tcW w:w="1879" w:type="pct"/>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noWrap/>
            <w:vAlign w:val="center"/>
            <w:hideMark/>
          </w:tcPr>
          <w:p>
            <w:pPr>
              <w:spacing w:after="0"/>
              <w:jc w:val="center"/>
              <w:rPr>
                <w:rFonts w:ascii="Times New Roman" w:eastAsia="Times New Roman" w:hAnsi="Times New Roman"/>
                <w:b/>
                <w:bCs/>
                <w:color w:val="000000"/>
                <w:sz w:val="21"/>
                <w:szCs w:val="21"/>
                <w:lang w:eastAsia="en-PH"/>
              </w:rPr>
            </w:pPr>
            <w:r>
              <w:rPr>
                <w:rFonts w:ascii="Times New Roman" w:eastAsia="Times New Roman" w:hAnsi="Times New Roman"/>
                <w:b/>
                <w:bCs/>
                <w:color w:val="000000"/>
                <w:sz w:val="21"/>
                <w:szCs w:val="21"/>
                <w:lang w:eastAsia="en-PH"/>
              </w:rPr>
              <w:t>Expenditure</w:t>
            </w:r>
          </w:p>
        </w:tc>
        <w:tc>
          <w:tcPr>
            <w:tcW w:w="3121" w:type="pct"/>
            <w:gridSpan w:val="3"/>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pPr>
              <w:spacing w:after="0"/>
              <w:jc w:val="center"/>
              <w:rPr>
                <w:rFonts w:ascii="Times New Roman" w:eastAsia="Times New Roman" w:hAnsi="Times New Roman"/>
                <w:b/>
                <w:bCs/>
                <w:color w:val="000000"/>
                <w:sz w:val="21"/>
                <w:szCs w:val="21"/>
                <w:lang w:eastAsia="en-PH"/>
              </w:rPr>
            </w:pPr>
            <w:r>
              <w:rPr>
                <w:rFonts w:ascii="Times New Roman" w:eastAsia="Times New Roman" w:hAnsi="Times New Roman"/>
                <w:b/>
                <w:bCs/>
                <w:color w:val="000000"/>
                <w:sz w:val="21"/>
                <w:szCs w:val="21"/>
                <w:lang w:eastAsia="en-PH"/>
              </w:rPr>
              <w:t>2022</w:t>
            </w:r>
          </w:p>
        </w:tc>
      </w:tr>
      <w:tr>
        <w:trPr>
          <w:trHeight w:val="53"/>
          <w:tblHeader/>
          <w:jc w:val="center"/>
        </w:trPr>
        <w:tc>
          <w:tcPr>
            <w:tcW w:w="1879" w:type="pct"/>
            <w:vMerge/>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pPr>
              <w:spacing w:after="0"/>
              <w:rPr>
                <w:rFonts w:ascii="Times New Roman" w:eastAsia="Times New Roman" w:hAnsi="Times New Roman"/>
                <w:b/>
                <w:bCs/>
                <w:color w:val="000000"/>
                <w:sz w:val="21"/>
                <w:szCs w:val="21"/>
                <w:lang w:eastAsia="en-PH"/>
              </w:rPr>
            </w:pPr>
          </w:p>
        </w:tc>
        <w:tc>
          <w:tcPr>
            <w:tcW w:w="1073" w:type="pct"/>
            <w:tcBorders>
              <w:top w:val="nil"/>
              <w:left w:val="nil"/>
              <w:bottom w:val="single" w:sz="8" w:space="0" w:color="auto"/>
              <w:right w:val="single" w:sz="8" w:space="0" w:color="auto"/>
            </w:tcBorders>
            <w:shd w:val="clear" w:color="auto" w:fill="D9D9D9" w:themeFill="background1" w:themeFillShade="D9"/>
            <w:noWrap/>
            <w:vAlign w:val="center"/>
            <w:hideMark/>
          </w:tcPr>
          <w:p>
            <w:pPr>
              <w:spacing w:after="0"/>
              <w:jc w:val="center"/>
              <w:rPr>
                <w:rFonts w:ascii="Times New Roman" w:eastAsia="Times New Roman" w:hAnsi="Times New Roman"/>
                <w:b/>
                <w:bCs/>
                <w:color w:val="000000"/>
                <w:sz w:val="21"/>
                <w:szCs w:val="21"/>
                <w:lang w:eastAsia="en-PH"/>
              </w:rPr>
            </w:pPr>
            <w:r>
              <w:rPr>
                <w:rFonts w:ascii="Times New Roman" w:eastAsia="Times New Roman" w:hAnsi="Times New Roman"/>
                <w:b/>
                <w:bCs/>
                <w:color w:val="000000"/>
                <w:sz w:val="21"/>
                <w:szCs w:val="21"/>
                <w:lang w:eastAsia="en-PH"/>
              </w:rPr>
              <w:t>Appropriations</w:t>
            </w:r>
          </w:p>
        </w:tc>
        <w:tc>
          <w:tcPr>
            <w:tcW w:w="1012" w:type="pct"/>
            <w:tcBorders>
              <w:top w:val="nil"/>
              <w:left w:val="nil"/>
              <w:bottom w:val="single" w:sz="8" w:space="0" w:color="auto"/>
              <w:right w:val="single" w:sz="8" w:space="0" w:color="auto"/>
            </w:tcBorders>
            <w:shd w:val="clear" w:color="auto" w:fill="D9D9D9" w:themeFill="background1" w:themeFillShade="D9"/>
            <w:noWrap/>
            <w:vAlign w:val="center"/>
            <w:hideMark/>
          </w:tcPr>
          <w:p>
            <w:pPr>
              <w:spacing w:after="0"/>
              <w:jc w:val="center"/>
              <w:rPr>
                <w:rFonts w:ascii="Times New Roman" w:eastAsia="Times New Roman" w:hAnsi="Times New Roman"/>
                <w:b/>
                <w:bCs/>
                <w:color w:val="000000"/>
                <w:sz w:val="21"/>
                <w:szCs w:val="21"/>
                <w:lang w:eastAsia="en-PH"/>
              </w:rPr>
            </w:pPr>
            <w:r>
              <w:rPr>
                <w:rFonts w:ascii="Times New Roman" w:eastAsia="Times New Roman" w:hAnsi="Times New Roman"/>
                <w:b/>
                <w:bCs/>
                <w:color w:val="000000"/>
                <w:sz w:val="21"/>
                <w:szCs w:val="21"/>
                <w:lang w:eastAsia="en-PH"/>
              </w:rPr>
              <w:t>Allotment</w:t>
            </w:r>
          </w:p>
        </w:tc>
        <w:tc>
          <w:tcPr>
            <w:tcW w:w="1035" w:type="pct"/>
            <w:tcBorders>
              <w:top w:val="nil"/>
              <w:left w:val="nil"/>
              <w:bottom w:val="single" w:sz="8" w:space="0" w:color="auto"/>
              <w:right w:val="single" w:sz="8" w:space="0" w:color="auto"/>
            </w:tcBorders>
            <w:shd w:val="clear" w:color="auto" w:fill="D9D9D9" w:themeFill="background1" w:themeFillShade="D9"/>
            <w:noWrap/>
            <w:vAlign w:val="center"/>
            <w:hideMark/>
          </w:tcPr>
          <w:p>
            <w:pPr>
              <w:spacing w:after="0"/>
              <w:jc w:val="center"/>
              <w:rPr>
                <w:rFonts w:ascii="Times New Roman" w:eastAsia="Times New Roman" w:hAnsi="Times New Roman"/>
                <w:b/>
                <w:bCs/>
                <w:color w:val="000000"/>
                <w:sz w:val="21"/>
                <w:szCs w:val="21"/>
                <w:lang w:eastAsia="en-PH"/>
              </w:rPr>
            </w:pPr>
            <w:r>
              <w:rPr>
                <w:rFonts w:ascii="Times New Roman" w:eastAsia="Times New Roman" w:hAnsi="Times New Roman"/>
                <w:b/>
                <w:bCs/>
                <w:color w:val="000000"/>
                <w:sz w:val="21"/>
                <w:szCs w:val="21"/>
                <w:lang w:eastAsia="en-PH"/>
              </w:rPr>
              <w:t>Obligation</w:t>
            </w:r>
          </w:p>
        </w:tc>
      </w:tr>
      <w:tr>
        <w:trPr>
          <w:trHeight w:val="53"/>
          <w:jc w:val="center"/>
        </w:trPr>
        <w:tc>
          <w:tcPr>
            <w:tcW w:w="1879" w:type="pct"/>
            <w:tcBorders>
              <w:top w:val="nil"/>
              <w:left w:val="single" w:sz="8" w:space="0" w:color="auto"/>
              <w:bottom w:val="single" w:sz="8" w:space="0" w:color="auto"/>
              <w:right w:val="single" w:sz="8" w:space="0" w:color="auto"/>
            </w:tcBorders>
            <w:shd w:val="clear" w:color="auto" w:fill="auto"/>
            <w:noWrap/>
            <w:vAlign w:val="center"/>
            <w:hideMark/>
          </w:tcPr>
          <w:p>
            <w:pPr>
              <w:spacing w:after="0"/>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 xml:space="preserve">Personal Services </w:t>
            </w:r>
          </w:p>
        </w:tc>
        <w:tc>
          <w:tcPr>
            <w:tcW w:w="1073" w:type="pct"/>
            <w:tcBorders>
              <w:top w:val="nil"/>
              <w:left w:val="nil"/>
              <w:bottom w:val="single" w:sz="8" w:space="0" w:color="auto"/>
              <w:right w:val="single" w:sz="8" w:space="0" w:color="auto"/>
            </w:tcBorders>
            <w:shd w:val="clear" w:color="auto" w:fill="auto"/>
            <w:noWrap/>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538,738,699.02</w:t>
            </w:r>
          </w:p>
        </w:tc>
        <w:tc>
          <w:tcPr>
            <w:tcW w:w="1012" w:type="pct"/>
            <w:tcBorders>
              <w:top w:val="nil"/>
              <w:left w:val="nil"/>
              <w:bottom w:val="single" w:sz="8" w:space="0" w:color="auto"/>
              <w:right w:val="single" w:sz="8" w:space="0" w:color="auto"/>
            </w:tcBorders>
            <w:shd w:val="clear" w:color="auto" w:fill="auto"/>
            <w:noWrap/>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480,186,570.17</w:t>
            </w:r>
          </w:p>
        </w:tc>
        <w:tc>
          <w:tcPr>
            <w:tcW w:w="1035" w:type="pct"/>
            <w:tcBorders>
              <w:top w:val="nil"/>
              <w:left w:val="nil"/>
              <w:bottom w:val="single" w:sz="8" w:space="0" w:color="auto"/>
              <w:right w:val="single" w:sz="8" w:space="0" w:color="auto"/>
            </w:tcBorders>
            <w:shd w:val="clear" w:color="auto" w:fill="auto"/>
            <w:noWrap/>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480,186,570.17</w:t>
            </w:r>
          </w:p>
        </w:tc>
      </w:tr>
      <w:tr>
        <w:trPr>
          <w:trHeight w:val="53"/>
          <w:jc w:val="center"/>
        </w:trPr>
        <w:tc>
          <w:tcPr>
            <w:tcW w:w="1879" w:type="pct"/>
            <w:tcBorders>
              <w:top w:val="nil"/>
              <w:left w:val="single" w:sz="8" w:space="0" w:color="auto"/>
              <w:bottom w:val="single" w:sz="8" w:space="0" w:color="auto"/>
              <w:right w:val="single" w:sz="8" w:space="0" w:color="auto"/>
            </w:tcBorders>
            <w:shd w:val="clear" w:color="auto" w:fill="auto"/>
            <w:noWrap/>
            <w:vAlign w:val="center"/>
            <w:hideMark/>
          </w:tcPr>
          <w:p>
            <w:pPr>
              <w:spacing w:after="0"/>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Maintenance and Other Operating Expenses</w:t>
            </w:r>
          </w:p>
        </w:tc>
        <w:tc>
          <w:tcPr>
            <w:tcW w:w="1073" w:type="pct"/>
            <w:tcBorders>
              <w:top w:val="nil"/>
              <w:left w:val="nil"/>
              <w:bottom w:val="single" w:sz="8" w:space="0" w:color="auto"/>
              <w:right w:val="single" w:sz="8" w:space="0" w:color="auto"/>
            </w:tcBorders>
            <w:shd w:val="clear" w:color="auto" w:fill="auto"/>
            <w:noWrap/>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747,745,696.12</w:t>
            </w:r>
          </w:p>
        </w:tc>
        <w:tc>
          <w:tcPr>
            <w:tcW w:w="1012" w:type="pct"/>
            <w:tcBorders>
              <w:top w:val="nil"/>
              <w:left w:val="nil"/>
              <w:bottom w:val="single" w:sz="8" w:space="0" w:color="auto"/>
              <w:right w:val="single" w:sz="8" w:space="0" w:color="auto"/>
            </w:tcBorders>
            <w:shd w:val="clear" w:color="auto" w:fill="auto"/>
            <w:noWrap/>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701,552,071.50</w:t>
            </w:r>
          </w:p>
        </w:tc>
        <w:tc>
          <w:tcPr>
            <w:tcW w:w="1035" w:type="pct"/>
            <w:tcBorders>
              <w:top w:val="nil"/>
              <w:left w:val="nil"/>
              <w:bottom w:val="single" w:sz="8" w:space="0" w:color="auto"/>
              <w:right w:val="single" w:sz="8" w:space="0" w:color="auto"/>
            </w:tcBorders>
            <w:shd w:val="clear" w:color="auto" w:fill="auto"/>
            <w:noWrap/>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696,137,010.70</w:t>
            </w:r>
          </w:p>
        </w:tc>
      </w:tr>
      <w:tr>
        <w:trPr>
          <w:trHeight w:val="53"/>
          <w:jc w:val="center"/>
        </w:trPr>
        <w:tc>
          <w:tcPr>
            <w:tcW w:w="1879" w:type="pct"/>
            <w:tcBorders>
              <w:top w:val="nil"/>
              <w:left w:val="single" w:sz="8" w:space="0" w:color="auto"/>
              <w:bottom w:val="single" w:sz="8" w:space="0" w:color="auto"/>
              <w:right w:val="single" w:sz="8" w:space="0" w:color="auto"/>
            </w:tcBorders>
            <w:shd w:val="clear" w:color="auto" w:fill="auto"/>
            <w:noWrap/>
            <w:vAlign w:val="center"/>
            <w:hideMark/>
          </w:tcPr>
          <w:p>
            <w:pPr>
              <w:spacing w:after="0"/>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 xml:space="preserve">Capital Outlay </w:t>
            </w:r>
          </w:p>
        </w:tc>
        <w:tc>
          <w:tcPr>
            <w:tcW w:w="1073" w:type="pct"/>
            <w:tcBorders>
              <w:top w:val="nil"/>
              <w:left w:val="nil"/>
              <w:bottom w:val="single" w:sz="8" w:space="0" w:color="auto"/>
              <w:right w:val="single" w:sz="8" w:space="0" w:color="auto"/>
            </w:tcBorders>
            <w:shd w:val="clear" w:color="auto" w:fill="auto"/>
            <w:noWrap/>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543,767,848.89</w:t>
            </w:r>
          </w:p>
        </w:tc>
        <w:tc>
          <w:tcPr>
            <w:tcW w:w="1012" w:type="pct"/>
            <w:tcBorders>
              <w:top w:val="nil"/>
              <w:left w:val="nil"/>
              <w:bottom w:val="single" w:sz="8" w:space="0" w:color="auto"/>
              <w:right w:val="single" w:sz="8" w:space="0" w:color="auto"/>
            </w:tcBorders>
            <w:shd w:val="clear" w:color="auto" w:fill="auto"/>
            <w:noWrap/>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543,061,741.58</w:t>
            </w:r>
          </w:p>
        </w:tc>
        <w:tc>
          <w:tcPr>
            <w:tcW w:w="1035" w:type="pct"/>
            <w:tcBorders>
              <w:top w:val="nil"/>
              <w:left w:val="nil"/>
              <w:bottom w:val="single" w:sz="8" w:space="0" w:color="auto"/>
              <w:right w:val="single" w:sz="8" w:space="0" w:color="auto"/>
            </w:tcBorders>
            <w:shd w:val="clear" w:color="auto" w:fill="auto"/>
            <w:noWrap/>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130,523,745.88</w:t>
            </w:r>
          </w:p>
        </w:tc>
      </w:tr>
      <w:tr>
        <w:trPr>
          <w:trHeight w:val="53"/>
          <w:jc w:val="center"/>
        </w:trPr>
        <w:tc>
          <w:tcPr>
            <w:tcW w:w="1879" w:type="pct"/>
            <w:tcBorders>
              <w:top w:val="nil"/>
              <w:left w:val="single" w:sz="8" w:space="0" w:color="auto"/>
              <w:bottom w:val="single" w:sz="4" w:space="0" w:color="auto"/>
              <w:right w:val="single" w:sz="8" w:space="0" w:color="auto"/>
            </w:tcBorders>
            <w:shd w:val="clear" w:color="auto" w:fill="auto"/>
            <w:noWrap/>
            <w:vAlign w:val="center"/>
            <w:hideMark/>
          </w:tcPr>
          <w:p>
            <w:pPr>
              <w:spacing w:after="0"/>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Total</w:t>
            </w:r>
          </w:p>
        </w:tc>
        <w:tc>
          <w:tcPr>
            <w:tcW w:w="1073" w:type="pct"/>
            <w:tcBorders>
              <w:top w:val="nil"/>
              <w:left w:val="nil"/>
              <w:bottom w:val="single" w:sz="4" w:space="0" w:color="auto"/>
              <w:right w:val="single" w:sz="8" w:space="0" w:color="auto"/>
            </w:tcBorders>
            <w:shd w:val="clear" w:color="auto" w:fill="auto"/>
            <w:noWrap/>
            <w:vAlign w:val="center"/>
          </w:tcPr>
          <w:p>
            <w:pPr>
              <w:spacing w:after="0"/>
              <w:jc w:val="right"/>
              <w:rPr>
                <w:rFonts w:ascii="Times New Roman" w:eastAsia="Times New Roman" w:hAnsi="Times New Roman"/>
                <w:b/>
                <w:bCs/>
                <w:color w:val="000000"/>
                <w:sz w:val="21"/>
                <w:szCs w:val="21"/>
                <w:lang w:eastAsia="en-PH"/>
              </w:rPr>
            </w:pPr>
            <w:r>
              <w:rPr>
                <w:rFonts w:ascii="Times New Roman" w:eastAsia="Times New Roman" w:hAnsi="Times New Roman"/>
                <w:b/>
                <w:bCs/>
                <w:color w:val="000000"/>
                <w:sz w:val="21"/>
                <w:szCs w:val="21"/>
                <w:lang w:eastAsia="en-PH"/>
              </w:rPr>
              <w:t>1,830,252,244.03</w:t>
            </w:r>
          </w:p>
        </w:tc>
        <w:tc>
          <w:tcPr>
            <w:tcW w:w="1012" w:type="pct"/>
            <w:tcBorders>
              <w:top w:val="nil"/>
              <w:left w:val="nil"/>
              <w:bottom w:val="single" w:sz="4" w:space="0" w:color="auto"/>
              <w:right w:val="single" w:sz="8" w:space="0" w:color="auto"/>
            </w:tcBorders>
            <w:shd w:val="clear" w:color="auto" w:fill="auto"/>
            <w:noWrap/>
            <w:vAlign w:val="center"/>
          </w:tcPr>
          <w:p>
            <w:pPr>
              <w:spacing w:after="0"/>
              <w:jc w:val="right"/>
              <w:rPr>
                <w:rFonts w:ascii="Times New Roman" w:eastAsia="Times New Roman" w:hAnsi="Times New Roman"/>
                <w:b/>
                <w:bCs/>
                <w:color w:val="000000"/>
                <w:sz w:val="21"/>
                <w:szCs w:val="21"/>
                <w:lang w:eastAsia="en-PH"/>
              </w:rPr>
            </w:pPr>
            <w:r>
              <w:rPr>
                <w:rFonts w:ascii="Times New Roman" w:eastAsia="Times New Roman" w:hAnsi="Times New Roman"/>
                <w:b/>
                <w:bCs/>
                <w:color w:val="000000"/>
                <w:sz w:val="21"/>
                <w:szCs w:val="21"/>
                <w:lang w:eastAsia="en-PH"/>
              </w:rPr>
              <w:t>1,724,800,383.25</w:t>
            </w:r>
          </w:p>
        </w:tc>
        <w:tc>
          <w:tcPr>
            <w:tcW w:w="1035" w:type="pct"/>
            <w:tcBorders>
              <w:top w:val="nil"/>
              <w:left w:val="nil"/>
              <w:bottom w:val="single" w:sz="4" w:space="0" w:color="auto"/>
              <w:right w:val="single" w:sz="8" w:space="0" w:color="auto"/>
            </w:tcBorders>
            <w:shd w:val="clear" w:color="auto" w:fill="auto"/>
            <w:noWrap/>
            <w:vAlign w:val="center"/>
          </w:tcPr>
          <w:p>
            <w:pPr>
              <w:spacing w:after="0"/>
              <w:jc w:val="right"/>
              <w:rPr>
                <w:rFonts w:ascii="Times New Roman" w:eastAsia="Times New Roman" w:hAnsi="Times New Roman"/>
                <w:b/>
                <w:bCs/>
                <w:color w:val="000000"/>
                <w:sz w:val="21"/>
                <w:szCs w:val="21"/>
                <w:lang w:eastAsia="en-PH"/>
              </w:rPr>
            </w:pPr>
            <w:r>
              <w:rPr>
                <w:rFonts w:ascii="Times New Roman" w:eastAsia="Times New Roman" w:hAnsi="Times New Roman"/>
                <w:b/>
                <w:bCs/>
                <w:color w:val="000000"/>
                <w:sz w:val="21"/>
                <w:szCs w:val="21"/>
                <w:lang w:eastAsia="en-PH"/>
              </w:rPr>
              <w:t>1,306,847,326.75</w:t>
            </w:r>
          </w:p>
        </w:tc>
      </w:tr>
      <w:tr>
        <w:trPr>
          <w:trHeight w:val="63"/>
          <w:jc w:val="center"/>
        </w:trPr>
        <w:tc>
          <w:tcPr>
            <w:tcW w:w="1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pPr>
              <w:spacing w:after="0"/>
              <w:rPr>
                <w:rFonts w:ascii="Times New Roman" w:eastAsia="Times New Roman" w:hAnsi="Times New Roman"/>
                <w:b/>
                <w:bCs/>
                <w:color w:val="000000"/>
                <w:sz w:val="21"/>
                <w:szCs w:val="21"/>
                <w:lang w:eastAsia="en-PH"/>
              </w:rPr>
            </w:pPr>
            <w:r>
              <w:rPr>
                <w:rFonts w:ascii="Times New Roman" w:eastAsia="Times New Roman" w:hAnsi="Times New Roman"/>
                <w:b/>
                <w:bCs/>
                <w:color w:val="000000"/>
                <w:sz w:val="21"/>
                <w:szCs w:val="21"/>
                <w:lang w:eastAsia="en-PH"/>
              </w:rPr>
              <w:t> </w:t>
            </w:r>
          </w:p>
        </w:tc>
        <w:tc>
          <w:tcPr>
            <w:tcW w:w="3121"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pPr>
              <w:spacing w:after="0"/>
              <w:jc w:val="center"/>
              <w:rPr>
                <w:rFonts w:ascii="Times New Roman" w:eastAsia="Times New Roman" w:hAnsi="Times New Roman"/>
                <w:b/>
                <w:bCs/>
                <w:color w:val="000000"/>
                <w:sz w:val="21"/>
                <w:szCs w:val="21"/>
                <w:lang w:eastAsia="en-PH"/>
              </w:rPr>
            </w:pPr>
            <w:r>
              <w:rPr>
                <w:rFonts w:ascii="Times New Roman" w:eastAsia="Times New Roman" w:hAnsi="Times New Roman"/>
                <w:b/>
                <w:bCs/>
                <w:color w:val="000000"/>
                <w:sz w:val="21"/>
                <w:szCs w:val="21"/>
                <w:lang w:eastAsia="en-PH"/>
              </w:rPr>
              <w:t>2021</w:t>
            </w:r>
          </w:p>
        </w:tc>
      </w:tr>
      <w:tr>
        <w:trPr>
          <w:trHeight w:val="63"/>
          <w:jc w:val="center"/>
        </w:trPr>
        <w:tc>
          <w:tcPr>
            <w:tcW w:w="1879" w:type="pct"/>
            <w:tcBorders>
              <w:top w:val="single" w:sz="4" w:space="0" w:color="auto"/>
              <w:left w:val="single" w:sz="8" w:space="0" w:color="auto"/>
              <w:bottom w:val="single" w:sz="8" w:space="0" w:color="auto"/>
              <w:right w:val="single" w:sz="8" w:space="0" w:color="auto"/>
            </w:tcBorders>
            <w:shd w:val="clear" w:color="auto" w:fill="auto"/>
            <w:noWrap/>
            <w:vAlign w:val="center"/>
            <w:hideMark/>
          </w:tcPr>
          <w:p>
            <w:pPr>
              <w:spacing w:after="0"/>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 xml:space="preserve">Personal Services </w:t>
            </w:r>
          </w:p>
        </w:tc>
        <w:tc>
          <w:tcPr>
            <w:tcW w:w="1073" w:type="pct"/>
            <w:tcBorders>
              <w:top w:val="single" w:sz="4" w:space="0" w:color="auto"/>
              <w:left w:val="nil"/>
              <w:bottom w:val="single" w:sz="8" w:space="0" w:color="auto"/>
              <w:right w:val="single" w:sz="8" w:space="0" w:color="auto"/>
            </w:tcBorders>
            <w:shd w:val="clear" w:color="auto" w:fill="auto"/>
            <w:noWrap/>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477,510,147.77</w:t>
            </w:r>
          </w:p>
        </w:tc>
        <w:tc>
          <w:tcPr>
            <w:tcW w:w="1012" w:type="pct"/>
            <w:tcBorders>
              <w:top w:val="single" w:sz="4" w:space="0" w:color="auto"/>
              <w:left w:val="nil"/>
              <w:bottom w:val="single" w:sz="8" w:space="0" w:color="auto"/>
              <w:right w:val="single" w:sz="8" w:space="0" w:color="auto"/>
            </w:tcBorders>
            <w:shd w:val="clear" w:color="auto" w:fill="auto"/>
            <w:noWrap/>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427,091,365.27</w:t>
            </w:r>
          </w:p>
        </w:tc>
        <w:tc>
          <w:tcPr>
            <w:tcW w:w="1035" w:type="pct"/>
            <w:tcBorders>
              <w:top w:val="single" w:sz="4" w:space="0" w:color="auto"/>
              <w:left w:val="nil"/>
              <w:bottom w:val="single" w:sz="8" w:space="0" w:color="auto"/>
              <w:right w:val="single" w:sz="8" w:space="0" w:color="auto"/>
            </w:tcBorders>
            <w:shd w:val="clear" w:color="auto" w:fill="auto"/>
            <w:noWrap/>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427,091,365.27</w:t>
            </w:r>
          </w:p>
        </w:tc>
      </w:tr>
      <w:tr>
        <w:trPr>
          <w:trHeight w:val="53"/>
          <w:jc w:val="center"/>
        </w:trPr>
        <w:tc>
          <w:tcPr>
            <w:tcW w:w="1879" w:type="pct"/>
            <w:tcBorders>
              <w:top w:val="nil"/>
              <w:left w:val="single" w:sz="8" w:space="0" w:color="auto"/>
              <w:bottom w:val="single" w:sz="8" w:space="0" w:color="auto"/>
              <w:right w:val="single" w:sz="8" w:space="0" w:color="auto"/>
            </w:tcBorders>
            <w:shd w:val="clear" w:color="auto" w:fill="auto"/>
            <w:noWrap/>
            <w:vAlign w:val="center"/>
            <w:hideMark/>
          </w:tcPr>
          <w:p>
            <w:pPr>
              <w:spacing w:after="0"/>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lastRenderedPageBreak/>
              <w:t>Maintenance and Other Operating Expenses</w:t>
            </w:r>
          </w:p>
        </w:tc>
        <w:tc>
          <w:tcPr>
            <w:tcW w:w="1073" w:type="pct"/>
            <w:tcBorders>
              <w:top w:val="nil"/>
              <w:left w:val="nil"/>
              <w:bottom w:val="single" w:sz="8" w:space="0" w:color="auto"/>
              <w:right w:val="single" w:sz="8" w:space="0" w:color="auto"/>
            </w:tcBorders>
            <w:shd w:val="clear" w:color="auto" w:fill="auto"/>
            <w:noWrap/>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643,589,395.32</w:t>
            </w:r>
          </w:p>
        </w:tc>
        <w:tc>
          <w:tcPr>
            <w:tcW w:w="1012" w:type="pct"/>
            <w:tcBorders>
              <w:top w:val="nil"/>
              <w:left w:val="nil"/>
              <w:bottom w:val="single" w:sz="8" w:space="0" w:color="auto"/>
              <w:right w:val="single" w:sz="8" w:space="0" w:color="auto"/>
            </w:tcBorders>
            <w:shd w:val="clear" w:color="auto" w:fill="auto"/>
            <w:noWrap/>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559,139,185.25</w:t>
            </w:r>
          </w:p>
        </w:tc>
        <w:tc>
          <w:tcPr>
            <w:tcW w:w="1035" w:type="pct"/>
            <w:tcBorders>
              <w:top w:val="nil"/>
              <w:left w:val="nil"/>
              <w:bottom w:val="single" w:sz="8" w:space="0" w:color="auto"/>
              <w:right w:val="single" w:sz="8" w:space="0" w:color="auto"/>
            </w:tcBorders>
            <w:shd w:val="clear" w:color="auto" w:fill="auto"/>
            <w:noWrap/>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559,139,185.25</w:t>
            </w:r>
          </w:p>
        </w:tc>
      </w:tr>
      <w:tr>
        <w:trPr>
          <w:trHeight w:val="53"/>
          <w:jc w:val="center"/>
        </w:trPr>
        <w:tc>
          <w:tcPr>
            <w:tcW w:w="1879" w:type="pct"/>
            <w:tcBorders>
              <w:top w:val="nil"/>
              <w:left w:val="single" w:sz="8" w:space="0" w:color="auto"/>
              <w:bottom w:val="single" w:sz="8" w:space="0" w:color="auto"/>
              <w:right w:val="single" w:sz="8" w:space="0" w:color="auto"/>
            </w:tcBorders>
            <w:shd w:val="clear" w:color="auto" w:fill="auto"/>
            <w:noWrap/>
            <w:vAlign w:val="center"/>
            <w:hideMark/>
          </w:tcPr>
          <w:p>
            <w:pPr>
              <w:spacing w:after="0"/>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 xml:space="preserve">Capital Outlay </w:t>
            </w:r>
          </w:p>
        </w:tc>
        <w:tc>
          <w:tcPr>
            <w:tcW w:w="1073" w:type="pct"/>
            <w:tcBorders>
              <w:top w:val="nil"/>
              <w:left w:val="nil"/>
              <w:bottom w:val="single" w:sz="8" w:space="0" w:color="auto"/>
              <w:right w:val="single" w:sz="8" w:space="0" w:color="auto"/>
            </w:tcBorders>
            <w:shd w:val="clear" w:color="auto" w:fill="auto"/>
            <w:noWrap/>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958,144,644.02</w:t>
            </w:r>
          </w:p>
        </w:tc>
        <w:tc>
          <w:tcPr>
            <w:tcW w:w="1012" w:type="pct"/>
            <w:tcBorders>
              <w:top w:val="nil"/>
              <w:left w:val="nil"/>
              <w:bottom w:val="single" w:sz="8" w:space="0" w:color="auto"/>
              <w:right w:val="single" w:sz="8" w:space="0" w:color="auto"/>
            </w:tcBorders>
            <w:shd w:val="clear" w:color="auto" w:fill="auto"/>
            <w:noWrap/>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952,916,566.05</w:t>
            </w:r>
          </w:p>
        </w:tc>
        <w:tc>
          <w:tcPr>
            <w:tcW w:w="1035" w:type="pct"/>
            <w:tcBorders>
              <w:top w:val="nil"/>
              <w:left w:val="nil"/>
              <w:bottom w:val="single" w:sz="8" w:space="0" w:color="auto"/>
              <w:right w:val="single" w:sz="8" w:space="0" w:color="auto"/>
            </w:tcBorders>
            <w:shd w:val="clear" w:color="auto" w:fill="auto"/>
            <w:noWrap/>
            <w:vAlign w:val="center"/>
          </w:tcPr>
          <w:p>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301,184,483.79</w:t>
            </w:r>
          </w:p>
        </w:tc>
      </w:tr>
      <w:tr>
        <w:trPr>
          <w:trHeight w:val="53"/>
          <w:jc w:val="center"/>
        </w:trPr>
        <w:tc>
          <w:tcPr>
            <w:tcW w:w="1879" w:type="pct"/>
            <w:tcBorders>
              <w:top w:val="nil"/>
              <w:left w:val="single" w:sz="8" w:space="0" w:color="auto"/>
              <w:bottom w:val="single" w:sz="8" w:space="0" w:color="auto"/>
              <w:right w:val="single" w:sz="8" w:space="0" w:color="auto"/>
            </w:tcBorders>
            <w:shd w:val="clear" w:color="auto" w:fill="auto"/>
            <w:noWrap/>
            <w:vAlign w:val="center"/>
            <w:hideMark/>
          </w:tcPr>
          <w:p>
            <w:pPr>
              <w:spacing w:after="0"/>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Total</w:t>
            </w:r>
          </w:p>
        </w:tc>
        <w:tc>
          <w:tcPr>
            <w:tcW w:w="1073" w:type="pct"/>
            <w:tcBorders>
              <w:top w:val="nil"/>
              <w:left w:val="nil"/>
              <w:bottom w:val="single" w:sz="8" w:space="0" w:color="auto"/>
              <w:right w:val="single" w:sz="8" w:space="0" w:color="auto"/>
            </w:tcBorders>
            <w:shd w:val="clear" w:color="auto" w:fill="auto"/>
            <w:noWrap/>
            <w:vAlign w:val="center"/>
          </w:tcPr>
          <w:p>
            <w:pPr>
              <w:spacing w:after="0"/>
              <w:jc w:val="right"/>
              <w:rPr>
                <w:rFonts w:ascii="Times New Roman" w:eastAsia="Times New Roman" w:hAnsi="Times New Roman"/>
                <w:b/>
                <w:bCs/>
                <w:color w:val="000000"/>
                <w:sz w:val="21"/>
                <w:szCs w:val="21"/>
                <w:lang w:eastAsia="en-PH"/>
              </w:rPr>
            </w:pPr>
            <w:r>
              <w:rPr>
                <w:rFonts w:ascii="Times New Roman" w:eastAsia="Times New Roman" w:hAnsi="Times New Roman"/>
                <w:b/>
                <w:bCs/>
                <w:color w:val="000000"/>
                <w:sz w:val="21"/>
                <w:szCs w:val="21"/>
                <w:lang w:eastAsia="en-PH"/>
              </w:rPr>
              <w:t>2,079,244,187.11</w:t>
            </w:r>
          </w:p>
        </w:tc>
        <w:tc>
          <w:tcPr>
            <w:tcW w:w="1012" w:type="pct"/>
            <w:tcBorders>
              <w:top w:val="nil"/>
              <w:left w:val="nil"/>
              <w:bottom w:val="single" w:sz="8" w:space="0" w:color="auto"/>
              <w:right w:val="single" w:sz="8" w:space="0" w:color="auto"/>
            </w:tcBorders>
            <w:shd w:val="clear" w:color="auto" w:fill="auto"/>
            <w:noWrap/>
            <w:vAlign w:val="center"/>
          </w:tcPr>
          <w:p>
            <w:pPr>
              <w:spacing w:after="0"/>
              <w:jc w:val="right"/>
              <w:rPr>
                <w:rFonts w:ascii="Times New Roman" w:eastAsia="Times New Roman" w:hAnsi="Times New Roman"/>
                <w:b/>
                <w:bCs/>
                <w:color w:val="000000"/>
                <w:sz w:val="21"/>
                <w:szCs w:val="21"/>
                <w:lang w:eastAsia="en-PH"/>
              </w:rPr>
            </w:pPr>
            <w:r>
              <w:rPr>
                <w:rFonts w:ascii="Times New Roman" w:eastAsia="Times New Roman" w:hAnsi="Times New Roman"/>
                <w:b/>
                <w:bCs/>
                <w:color w:val="000000"/>
                <w:sz w:val="21"/>
                <w:szCs w:val="21"/>
                <w:lang w:eastAsia="en-PH"/>
              </w:rPr>
              <w:t>1,939,147,116.57</w:t>
            </w:r>
          </w:p>
        </w:tc>
        <w:tc>
          <w:tcPr>
            <w:tcW w:w="1035" w:type="pct"/>
            <w:tcBorders>
              <w:top w:val="nil"/>
              <w:left w:val="nil"/>
              <w:bottom w:val="single" w:sz="8" w:space="0" w:color="auto"/>
              <w:right w:val="single" w:sz="8" w:space="0" w:color="auto"/>
            </w:tcBorders>
            <w:shd w:val="clear" w:color="auto" w:fill="auto"/>
            <w:noWrap/>
            <w:vAlign w:val="center"/>
          </w:tcPr>
          <w:p>
            <w:pPr>
              <w:spacing w:after="0"/>
              <w:jc w:val="right"/>
              <w:rPr>
                <w:rFonts w:ascii="Times New Roman" w:eastAsia="Times New Roman" w:hAnsi="Times New Roman"/>
                <w:b/>
                <w:bCs/>
                <w:color w:val="000000"/>
                <w:sz w:val="21"/>
                <w:szCs w:val="21"/>
                <w:lang w:eastAsia="en-PH"/>
              </w:rPr>
            </w:pPr>
            <w:r>
              <w:rPr>
                <w:rFonts w:ascii="Times New Roman" w:eastAsia="Times New Roman" w:hAnsi="Times New Roman"/>
                <w:b/>
                <w:bCs/>
                <w:color w:val="000000"/>
                <w:sz w:val="21"/>
                <w:szCs w:val="21"/>
                <w:lang w:eastAsia="en-PH"/>
              </w:rPr>
              <w:t>1,287,415,034.31</w:t>
            </w:r>
          </w:p>
        </w:tc>
      </w:tr>
    </w:tbl>
    <w:p>
      <w:pPr>
        <w:pStyle w:val="ListParagraph"/>
        <w:spacing w:line="276" w:lineRule="auto"/>
        <w:rPr>
          <w:rFonts w:ascii="Times New Roman" w:hAnsi="Times New Roman"/>
          <w:b/>
          <w:sz w:val="24"/>
          <w:szCs w:val="24"/>
        </w:rPr>
      </w:pPr>
    </w:p>
    <w:p>
      <w:pPr>
        <w:pStyle w:val="ListParagraph"/>
        <w:numPr>
          <w:ilvl w:val="0"/>
          <w:numId w:val="1"/>
        </w:numPr>
        <w:spacing w:line="276" w:lineRule="auto"/>
        <w:ind w:left="720" w:hanging="720"/>
        <w:rPr>
          <w:rFonts w:ascii="Times New Roman" w:hAnsi="Times New Roman"/>
          <w:b/>
          <w:sz w:val="24"/>
          <w:szCs w:val="24"/>
        </w:rPr>
      </w:pPr>
      <w:r>
        <w:rPr>
          <w:rFonts w:ascii="Times New Roman" w:hAnsi="Times New Roman"/>
          <w:b/>
          <w:sz w:val="24"/>
          <w:szCs w:val="24"/>
        </w:rPr>
        <w:t>Auditor’s Opinion on the Financial Statements</w:t>
      </w:r>
    </w:p>
    <w:p>
      <w:pPr>
        <w:spacing w:after="0"/>
        <w:rPr>
          <w:rFonts w:ascii="Times New Roman" w:hAnsi="Times New Roman"/>
          <w:sz w:val="24"/>
          <w:szCs w:val="24"/>
        </w:rPr>
      </w:pPr>
    </w:p>
    <w:p>
      <w:pPr>
        <w:spacing w:after="0"/>
        <w:jc w:val="both"/>
        <w:rPr>
          <w:rFonts w:ascii="Times New Roman" w:hAnsi="Times New Roman"/>
          <w:sz w:val="24"/>
          <w:szCs w:val="24"/>
        </w:rPr>
      </w:pPr>
      <w:r>
        <w:rPr>
          <w:rFonts w:ascii="Times New Roman" w:hAnsi="Times New Roman"/>
          <w:sz w:val="24"/>
          <w:szCs w:val="24"/>
        </w:rPr>
        <w:t xml:space="preserve">The Auditor rendered a qualified opinion on the fairness of presentation of the financial position of the City Government of Panabo, Davao del </w:t>
      </w:r>
      <w:proofErr w:type="gramStart"/>
      <w:r>
        <w:rPr>
          <w:rFonts w:ascii="Times New Roman" w:hAnsi="Times New Roman"/>
          <w:sz w:val="24"/>
          <w:szCs w:val="24"/>
        </w:rPr>
        <w:t>Norte  as</w:t>
      </w:r>
      <w:proofErr w:type="gramEnd"/>
      <w:r>
        <w:rPr>
          <w:rFonts w:ascii="Times New Roman" w:hAnsi="Times New Roman"/>
          <w:sz w:val="24"/>
          <w:szCs w:val="24"/>
        </w:rPr>
        <w:t xml:space="preserve"> at  December 31, 2022, and its financial performance and cash flows for the year then ended due to </w:t>
      </w:r>
      <w:bookmarkStart w:id="1" w:name="_Hlk129951932"/>
      <w:r>
        <w:rPr>
          <w:rFonts w:ascii="Times New Roman" w:hAnsi="Times New Roman"/>
          <w:sz w:val="24"/>
          <w:szCs w:val="24"/>
        </w:rPr>
        <w:t xml:space="preserve">erroneous/non </w:t>
      </w:r>
      <w:r>
        <w:rPr>
          <w:rFonts w:ascii="Times New Roman" w:hAnsi="Times New Roman"/>
          <w:sz w:val="24"/>
          <w:szCs w:val="24"/>
          <w:lang w:eastAsia="en-PH"/>
        </w:rPr>
        <w:t>recording of affected accounts totaling</w:t>
      </w:r>
      <w:bookmarkEnd w:id="1"/>
      <w:r>
        <w:rPr>
          <w:rFonts w:ascii="Times New Roman" w:hAnsi="Times New Roman"/>
          <w:sz w:val="24"/>
          <w:szCs w:val="24"/>
          <w:lang w:eastAsia="en-PH"/>
        </w:rPr>
        <w:t xml:space="preserve"> </w:t>
      </w:r>
      <w:r>
        <w:rPr>
          <w:rFonts w:ascii="Times New Roman" w:hAnsi="Times New Roman"/>
          <w:b/>
          <w:sz w:val="24"/>
          <w:szCs w:val="24"/>
          <w:lang w:eastAsia="en-PH"/>
        </w:rPr>
        <w:t>P 21,521,886.76</w:t>
      </w:r>
      <w:r>
        <w:rPr>
          <w:rFonts w:ascii="Times New Roman" w:hAnsi="Times New Roman"/>
          <w:sz w:val="24"/>
          <w:szCs w:val="24"/>
          <w:lang w:eastAsia="en-PH"/>
        </w:rPr>
        <w:t>,</w:t>
      </w:r>
    </w:p>
    <w:p>
      <w:pPr>
        <w:pStyle w:val="NoSpacing"/>
        <w:spacing w:line="276" w:lineRule="auto"/>
        <w:jc w:val="both"/>
        <w:rPr>
          <w:rFonts w:ascii="Times New Roman" w:hAnsi="Times New Roman"/>
          <w:sz w:val="24"/>
          <w:szCs w:val="24"/>
        </w:rPr>
      </w:pPr>
    </w:p>
    <w:p>
      <w:pPr>
        <w:pStyle w:val="ListParagraph"/>
        <w:numPr>
          <w:ilvl w:val="0"/>
          <w:numId w:val="1"/>
        </w:numPr>
        <w:spacing w:line="276" w:lineRule="auto"/>
        <w:ind w:left="720" w:hanging="720"/>
        <w:rPr>
          <w:rFonts w:ascii="Times New Roman" w:hAnsi="Times New Roman"/>
          <w:b/>
          <w:sz w:val="24"/>
          <w:szCs w:val="24"/>
        </w:rPr>
      </w:pPr>
      <w:r>
        <w:rPr>
          <w:rFonts w:ascii="Times New Roman" w:hAnsi="Times New Roman"/>
          <w:b/>
          <w:sz w:val="24"/>
          <w:szCs w:val="24"/>
        </w:rPr>
        <w:t>Summary of Significant Observations and Recommendations</w:t>
      </w:r>
    </w:p>
    <w:p>
      <w:pPr>
        <w:spacing w:after="0"/>
        <w:jc w:val="both"/>
        <w:rPr>
          <w:rFonts w:ascii="Times New Roman" w:hAnsi="Times New Roman"/>
          <w:b/>
          <w:sz w:val="24"/>
          <w:szCs w:val="24"/>
        </w:rPr>
      </w:pPr>
    </w:p>
    <w:p>
      <w:pPr>
        <w:spacing w:after="0"/>
        <w:jc w:val="both"/>
        <w:rPr>
          <w:rFonts w:ascii="Times New Roman" w:hAnsi="Times New Roman"/>
          <w:sz w:val="24"/>
          <w:szCs w:val="24"/>
        </w:rPr>
      </w:pPr>
      <w:r>
        <w:rPr>
          <w:rFonts w:ascii="Times New Roman" w:hAnsi="Times New Roman"/>
          <w:sz w:val="24"/>
          <w:szCs w:val="24"/>
          <w:lang w:val="id-ID"/>
        </w:rPr>
        <w:t>Presented b</w:t>
      </w:r>
      <w:r>
        <w:rPr>
          <w:rFonts w:ascii="Times New Roman" w:hAnsi="Times New Roman"/>
          <w:sz w:val="24"/>
          <w:szCs w:val="24"/>
        </w:rPr>
        <w:t xml:space="preserve">elow are significant audit observations and corresponding recommendations, the details of which and the other audit observations are presented in Part II of this report: </w:t>
      </w:r>
    </w:p>
    <w:p>
      <w:pPr>
        <w:spacing w:after="0"/>
        <w:jc w:val="both"/>
        <w:rPr>
          <w:rFonts w:ascii="Times New Roman" w:hAnsi="Times New Roman"/>
          <w:sz w:val="24"/>
          <w:szCs w:val="24"/>
        </w:rPr>
      </w:pPr>
    </w:p>
    <w:p>
      <w:pPr>
        <w:pStyle w:val="ListParagraph"/>
        <w:numPr>
          <w:ilvl w:val="0"/>
          <w:numId w:val="2"/>
        </w:numPr>
        <w:spacing w:line="276" w:lineRule="auto"/>
        <w:ind w:left="426" w:hanging="426"/>
        <w:rPr>
          <w:rFonts w:ascii="Times New Roman" w:hAnsi="Times New Roman"/>
          <w:sz w:val="24"/>
          <w:szCs w:val="24"/>
        </w:rPr>
      </w:pPr>
      <w:r>
        <w:rPr>
          <w:rFonts w:ascii="Times New Roman" w:hAnsi="Times New Roman"/>
          <w:sz w:val="24"/>
          <w:szCs w:val="24"/>
        </w:rPr>
        <w:t>Underutilization of allotted funds totaling P415,712,134.30 and delay in the implementation of projects totalling P154,489,595.30 affects the efficiency and economy in the government operation and deprives the constituents of the expected benefits that could have been derived therefrom; while, unexpended balances totaling P5,080,330.04 of completed projects with continuing appropriation were not reverted to the unappropriated surplus which could have been utilized to fund other priority projects/programs/activities of the government.</w:t>
      </w:r>
    </w:p>
    <w:p>
      <w:pPr>
        <w:autoSpaceDE w:val="0"/>
        <w:autoSpaceDN w:val="0"/>
        <w:adjustRightInd w:val="0"/>
        <w:spacing w:after="0"/>
        <w:ind w:left="426"/>
        <w:jc w:val="both"/>
        <w:rPr>
          <w:rFonts w:ascii="Times New Roman" w:hAnsi="Times New Roman"/>
          <w:sz w:val="24"/>
          <w:szCs w:val="24"/>
        </w:rPr>
      </w:pPr>
    </w:p>
    <w:p>
      <w:pPr>
        <w:autoSpaceDE w:val="0"/>
        <w:autoSpaceDN w:val="0"/>
        <w:adjustRightInd w:val="0"/>
        <w:spacing w:after="0"/>
        <w:jc w:val="both"/>
        <w:rPr>
          <w:rFonts w:ascii="Times New Roman" w:hAnsi="Times New Roman"/>
          <w:sz w:val="24"/>
          <w:szCs w:val="24"/>
        </w:rPr>
      </w:pPr>
      <w:r>
        <w:rPr>
          <w:rFonts w:ascii="Times New Roman" w:hAnsi="Times New Roman"/>
          <w:sz w:val="24"/>
          <w:szCs w:val="24"/>
        </w:rPr>
        <w:t>We recommended the City Mayor to strengthen the preliminary engineering activities for the identified priority projects before its inclusion in the AIP/Annual Budget by hiring additional technical personnel to undertake the detailed engineering activities, facilitate the field survey and inspection and the preparation of program of works and design plans to ensure that the infrastructure projects are procurement-and-implementation ready by the time the budget become operative.</w:t>
      </w:r>
    </w:p>
    <w:p>
      <w:pPr>
        <w:autoSpaceDE w:val="0"/>
        <w:autoSpaceDN w:val="0"/>
        <w:adjustRightInd w:val="0"/>
        <w:spacing w:after="0"/>
        <w:ind w:left="709"/>
        <w:jc w:val="both"/>
        <w:rPr>
          <w:rFonts w:ascii="Times New Roman" w:hAnsi="Times New Roman"/>
          <w:sz w:val="24"/>
          <w:szCs w:val="24"/>
        </w:rPr>
      </w:pPr>
    </w:p>
    <w:p>
      <w:pPr>
        <w:autoSpaceDE w:val="0"/>
        <w:autoSpaceDN w:val="0"/>
        <w:adjustRightInd w:val="0"/>
        <w:spacing w:after="0"/>
        <w:jc w:val="both"/>
        <w:rPr>
          <w:rFonts w:ascii="Times New Roman" w:hAnsi="Times New Roman"/>
          <w:sz w:val="24"/>
          <w:szCs w:val="24"/>
        </w:rPr>
      </w:pPr>
      <w:r>
        <w:rPr>
          <w:rFonts w:ascii="Times New Roman" w:hAnsi="Times New Roman"/>
          <w:sz w:val="24"/>
          <w:szCs w:val="24"/>
        </w:rPr>
        <w:t>Also, we recommended to require the implementing offices to fast track the completion of all on-going projects under 20% Development Fund as at December 31, 2022 and impose liquidating damages and applicable legal actions against contractors with incurred significant delays.</w:t>
      </w:r>
    </w:p>
    <w:p>
      <w:pPr>
        <w:autoSpaceDE w:val="0"/>
        <w:autoSpaceDN w:val="0"/>
        <w:adjustRightInd w:val="0"/>
        <w:spacing w:after="0"/>
        <w:jc w:val="both"/>
        <w:rPr>
          <w:rFonts w:ascii="Times New Roman" w:hAnsi="Times New Roman"/>
          <w:sz w:val="24"/>
          <w:szCs w:val="24"/>
        </w:rPr>
      </w:pPr>
      <w:r>
        <w:rPr>
          <w:rFonts w:ascii="Times New Roman" w:hAnsi="Times New Roman"/>
          <w:sz w:val="24"/>
          <w:szCs w:val="24"/>
        </w:rPr>
        <w:t>Finally, we recommended the City Mayor to direct the:</w:t>
      </w:r>
    </w:p>
    <w:p>
      <w:pPr>
        <w:autoSpaceDE w:val="0"/>
        <w:autoSpaceDN w:val="0"/>
        <w:adjustRightInd w:val="0"/>
        <w:spacing w:after="0"/>
        <w:jc w:val="both"/>
        <w:rPr>
          <w:rFonts w:ascii="Times New Roman" w:hAnsi="Times New Roman"/>
          <w:sz w:val="24"/>
          <w:szCs w:val="24"/>
        </w:rPr>
      </w:pPr>
    </w:p>
    <w:p>
      <w:pPr>
        <w:pStyle w:val="ListParagraph"/>
        <w:numPr>
          <w:ilvl w:val="0"/>
          <w:numId w:val="4"/>
        </w:numPr>
        <w:autoSpaceDE w:val="0"/>
        <w:autoSpaceDN w:val="0"/>
        <w:adjustRightInd w:val="0"/>
        <w:spacing w:line="276" w:lineRule="auto"/>
        <w:ind w:left="1134"/>
        <w:rPr>
          <w:rFonts w:ascii="Times New Roman" w:hAnsi="Times New Roman"/>
          <w:sz w:val="24"/>
          <w:szCs w:val="24"/>
        </w:rPr>
      </w:pPr>
      <w:r>
        <w:rPr>
          <w:rFonts w:ascii="Times New Roman" w:hAnsi="Times New Roman"/>
          <w:sz w:val="24"/>
          <w:szCs w:val="24"/>
        </w:rPr>
        <w:lastRenderedPageBreak/>
        <w:t>City Housing Section to conduct initial screening of the intents from landowners and identify the prospective properties for the Land Banking projects prior to its integration in the AIP/preparation of the budget under the 20% Development Fund to minimize the selection process and fast track the acquisition of lot for the housing projects;</w:t>
      </w:r>
    </w:p>
    <w:p>
      <w:pPr>
        <w:pStyle w:val="ListParagraph"/>
        <w:autoSpaceDE w:val="0"/>
        <w:autoSpaceDN w:val="0"/>
        <w:adjustRightInd w:val="0"/>
        <w:spacing w:line="276" w:lineRule="auto"/>
        <w:ind w:left="1134"/>
        <w:rPr>
          <w:rFonts w:ascii="Times New Roman" w:hAnsi="Times New Roman"/>
          <w:sz w:val="24"/>
          <w:szCs w:val="24"/>
        </w:rPr>
      </w:pPr>
    </w:p>
    <w:p>
      <w:pPr>
        <w:pStyle w:val="ListParagraph"/>
        <w:numPr>
          <w:ilvl w:val="0"/>
          <w:numId w:val="4"/>
        </w:numPr>
        <w:autoSpaceDE w:val="0"/>
        <w:autoSpaceDN w:val="0"/>
        <w:adjustRightInd w:val="0"/>
        <w:spacing w:line="276" w:lineRule="auto"/>
        <w:ind w:left="1134"/>
        <w:rPr>
          <w:rFonts w:ascii="Times New Roman" w:hAnsi="Times New Roman"/>
          <w:sz w:val="24"/>
          <w:szCs w:val="24"/>
        </w:rPr>
      </w:pPr>
      <w:r>
        <w:rPr>
          <w:rFonts w:ascii="Times New Roman" w:hAnsi="Times New Roman"/>
          <w:sz w:val="24"/>
          <w:szCs w:val="24"/>
        </w:rPr>
        <w:t>Implementing Offices concerned to Conduct evaluation on the unimplemented projects to determine whether it is still favourable on the part of the city government to continue the projects, otherwise, consider immediate realignment or reversion to the unappropriated surplus for re-appropriation subject to budgetary rules;</w:t>
      </w:r>
    </w:p>
    <w:p>
      <w:pPr>
        <w:pStyle w:val="ListParagraph"/>
        <w:autoSpaceDE w:val="0"/>
        <w:autoSpaceDN w:val="0"/>
        <w:adjustRightInd w:val="0"/>
        <w:spacing w:line="276" w:lineRule="auto"/>
        <w:ind w:left="1134"/>
        <w:rPr>
          <w:rFonts w:ascii="Times New Roman" w:hAnsi="Times New Roman"/>
          <w:sz w:val="24"/>
          <w:szCs w:val="24"/>
        </w:rPr>
      </w:pPr>
    </w:p>
    <w:p>
      <w:pPr>
        <w:pStyle w:val="ListParagraph"/>
        <w:numPr>
          <w:ilvl w:val="0"/>
          <w:numId w:val="4"/>
        </w:numPr>
        <w:autoSpaceDE w:val="0"/>
        <w:autoSpaceDN w:val="0"/>
        <w:adjustRightInd w:val="0"/>
        <w:spacing w:line="276" w:lineRule="auto"/>
        <w:ind w:left="1134"/>
        <w:rPr>
          <w:rFonts w:ascii="Times New Roman" w:hAnsi="Times New Roman"/>
          <w:sz w:val="24"/>
          <w:szCs w:val="24"/>
        </w:rPr>
      </w:pPr>
      <w:r>
        <w:rPr>
          <w:rFonts w:ascii="Times New Roman" w:hAnsi="Times New Roman"/>
          <w:sz w:val="24"/>
          <w:szCs w:val="24"/>
        </w:rPr>
        <w:t>City Budget Office to close and/or revert the unexpended continuing allotments of the completed projects to the unappropriated surplus pursuant to Section 322 of RA No. 7160; and</w:t>
      </w:r>
    </w:p>
    <w:p>
      <w:pPr>
        <w:pStyle w:val="ListParagraph"/>
        <w:autoSpaceDE w:val="0"/>
        <w:autoSpaceDN w:val="0"/>
        <w:adjustRightInd w:val="0"/>
        <w:spacing w:line="276" w:lineRule="auto"/>
        <w:ind w:left="1134"/>
        <w:rPr>
          <w:rFonts w:ascii="Times New Roman" w:hAnsi="Times New Roman"/>
          <w:sz w:val="24"/>
          <w:szCs w:val="24"/>
        </w:rPr>
      </w:pPr>
    </w:p>
    <w:p>
      <w:pPr>
        <w:pStyle w:val="ListParagraph"/>
        <w:numPr>
          <w:ilvl w:val="0"/>
          <w:numId w:val="4"/>
        </w:numPr>
        <w:autoSpaceDE w:val="0"/>
        <w:autoSpaceDN w:val="0"/>
        <w:adjustRightInd w:val="0"/>
        <w:spacing w:line="276" w:lineRule="auto"/>
        <w:ind w:left="1134"/>
        <w:rPr>
          <w:rFonts w:ascii="Times New Roman" w:hAnsi="Times New Roman"/>
          <w:sz w:val="24"/>
          <w:szCs w:val="24"/>
        </w:rPr>
      </w:pPr>
      <w:r>
        <w:rPr>
          <w:rFonts w:ascii="Times New Roman" w:hAnsi="Times New Roman"/>
          <w:sz w:val="24"/>
          <w:szCs w:val="24"/>
        </w:rPr>
        <w:t>Require the City Planning and Development Office to closely monitor and evaluate the status of the implementation of projects to facilitate the imposition of the proper course of action in the incurrence of delayed/unimplemented projects and to ensure timely completion thereof.</w:t>
      </w:r>
    </w:p>
    <w:p>
      <w:pPr>
        <w:pStyle w:val="ListParagraph"/>
        <w:autoSpaceDE w:val="0"/>
        <w:autoSpaceDN w:val="0"/>
        <w:adjustRightInd w:val="0"/>
        <w:spacing w:line="276" w:lineRule="auto"/>
        <w:ind w:left="1134"/>
        <w:rPr>
          <w:rFonts w:ascii="Times New Roman" w:hAnsi="Times New Roman"/>
          <w:sz w:val="24"/>
          <w:szCs w:val="24"/>
        </w:rPr>
      </w:pPr>
    </w:p>
    <w:p>
      <w:pPr>
        <w:pStyle w:val="ListParagraph"/>
        <w:numPr>
          <w:ilvl w:val="0"/>
          <w:numId w:val="2"/>
        </w:numPr>
        <w:spacing w:line="276" w:lineRule="auto"/>
        <w:ind w:left="426" w:hanging="426"/>
        <w:rPr>
          <w:rFonts w:ascii="Times New Roman" w:hAnsi="Times New Roman"/>
          <w:sz w:val="24"/>
          <w:szCs w:val="24"/>
        </w:rPr>
      </w:pPr>
      <w:r>
        <w:rPr>
          <w:rFonts w:ascii="Times New Roman" w:hAnsi="Times New Roman"/>
          <w:sz w:val="24"/>
          <w:szCs w:val="24"/>
        </w:rPr>
        <w:t>The delayed project implementation and slow utilization of fund pertaining to the Funds received from Department of Budget and Management contravene the provisions of Presidential Decree No. 1445 and Local Budget Circular (LBC) No. 135 dated January 20, 2021, thus, affecting the City Government’s efficiency in delivering the timely and optimum benefits derived from the projects.</w:t>
      </w:r>
    </w:p>
    <w:p>
      <w:pPr>
        <w:tabs>
          <w:tab w:val="left" w:pos="3480"/>
        </w:tabs>
        <w:spacing w:after="0"/>
        <w:ind w:firstLine="3480"/>
        <w:jc w:val="both"/>
        <w:rPr>
          <w:rFonts w:ascii="Times New Roman" w:hAnsi="Times New Roman"/>
          <w:sz w:val="24"/>
          <w:szCs w:val="24"/>
        </w:rPr>
      </w:pPr>
    </w:p>
    <w:p>
      <w:pPr>
        <w:autoSpaceDE w:val="0"/>
        <w:autoSpaceDN w:val="0"/>
        <w:adjustRightInd w:val="0"/>
        <w:spacing w:after="0"/>
        <w:jc w:val="both"/>
        <w:rPr>
          <w:rFonts w:ascii="Times New Roman" w:hAnsi="Times New Roman"/>
          <w:bCs/>
          <w:sz w:val="24"/>
          <w:szCs w:val="24"/>
        </w:rPr>
      </w:pPr>
      <w:r>
        <w:rPr>
          <w:rFonts w:ascii="Times New Roman" w:hAnsi="Times New Roman"/>
          <w:bCs/>
          <w:sz w:val="24"/>
          <w:szCs w:val="24"/>
        </w:rPr>
        <w:t>We recommended the City Mayor to direct the City Engineering Office to:</w:t>
      </w:r>
    </w:p>
    <w:p>
      <w:pPr>
        <w:autoSpaceDE w:val="0"/>
        <w:autoSpaceDN w:val="0"/>
        <w:adjustRightInd w:val="0"/>
        <w:spacing w:after="0"/>
        <w:jc w:val="both"/>
        <w:rPr>
          <w:rFonts w:ascii="Times New Roman" w:hAnsi="Times New Roman"/>
          <w:bCs/>
          <w:sz w:val="24"/>
          <w:szCs w:val="24"/>
        </w:rPr>
      </w:pPr>
    </w:p>
    <w:p>
      <w:pPr>
        <w:numPr>
          <w:ilvl w:val="1"/>
          <w:numId w:val="5"/>
        </w:numPr>
        <w:autoSpaceDE w:val="0"/>
        <w:autoSpaceDN w:val="0"/>
        <w:adjustRightInd w:val="0"/>
        <w:spacing w:after="0"/>
        <w:ind w:left="720"/>
        <w:contextualSpacing/>
        <w:jc w:val="both"/>
        <w:rPr>
          <w:rFonts w:ascii="Times New Roman" w:hAnsi="Times New Roman"/>
          <w:bCs/>
          <w:sz w:val="24"/>
          <w:szCs w:val="24"/>
        </w:rPr>
      </w:pPr>
      <w:r>
        <w:rPr>
          <w:rFonts w:ascii="Times New Roman" w:hAnsi="Times New Roman"/>
          <w:bCs/>
          <w:sz w:val="24"/>
          <w:szCs w:val="24"/>
        </w:rPr>
        <w:t>Submit the necessary documents (i.e. PAGASA certification, etc.) to support the justification of unfavorable weather conditions on various time extensions and suspension granted pertaining to the Upgrading of Local Access Road project at Brgy. Katualan;</w:t>
      </w:r>
    </w:p>
    <w:p>
      <w:pPr>
        <w:autoSpaceDE w:val="0"/>
        <w:autoSpaceDN w:val="0"/>
        <w:adjustRightInd w:val="0"/>
        <w:spacing w:after="0"/>
        <w:ind w:left="720"/>
        <w:contextualSpacing/>
        <w:jc w:val="both"/>
        <w:rPr>
          <w:rFonts w:ascii="Times New Roman" w:hAnsi="Times New Roman"/>
          <w:bCs/>
          <w:sz w:val="24"/>
          <w:szCs w:val="24"/>
        </w:rPr>
      </w:pPr>
    </w:p>
    <w:p>
      <w:pPr>
        <w:numPr>
          <w:ilvl w:val="1"/>
          <w:numId w:val="5"/>
        </w:numPr>
        <w:autoSpaceDE w:val="0"/>
        <w:autoSpaceDN w:val="0"/>
        <w:adjustRightInd w:val="0"/>
        <w:spacing w:after="0"/>
        <w:ind w:left="720"/>
        <w:contextualSpacing/>
        <w:jc w:val="both"/>
        <w:rPr>
          <w:rFonts w:ascii="Times New Roman" w:hAnsi="Times New Roman"/>
          <w:bCs/>
          <w:sz w:val="24"/>
          <w:szCs w:val="24"/>
        </w:rPr>
      </w:pPr>
      <w:r>
        <w:rPr>
          <w:rFonts w:ascii="Times New Roman" w:hAnsi="Times New Roman"/>
          <w:bCs/>
          <w:sz w:val="24"/>
          <w:szCs w:val="24"/>
        </w:rPr>
        <w:t>Provide a written justification on the deficiencies noted on the issued Extension Orders for the Upgrading of Local Access Road project at Brgy. Kiotoy for further evaluation by the Audit Team;</w:t>
      </w:r>
    </w:p>
    <w:p>
      <w:pPr>
        <w:autoSpaceDE w:val="0"/>
        <w:autoSpaceDN w:val="0"/>
        <w:adjustRightInd w:val="0"/>
        <w:spacing w:after="0"/>
        <w:ind w:left="720"/>
        <w:contextualSpacing/>
        <w:jc w:val="both"/>
        <w:rPr>
          <w:rFonts w:ascii="Times New Roman" w:hAnsi="Times New Roman"/>
          <w:bCs/>
          <w:sz w:val="24"/>
          <w:szCs w:val="24"/>
        </w:rPr>
      </w:pPr>
    </w:p>
    <w:p>
      <w:pPr>
        <w:numPr>
          <w:ilvl w:val="1"/>
          <w:numId w:val="5"/>
        </w:numPr>
        <w:autoSpaceDE w:val="0"/>
        <w:autoSpaceDN w:val="0"/>
        <w:adjustRightInd w:val="0"/>
        <w:spacing w:after="0"/>
        <w:ind w:left="720"/>
        <w:contextualSpacing/>
        <w:jc w:val="both"/>
        <w:rPr>
          <w:rFonts w:ascii="Times New Roman" w:hAnsi="Times New Roman"/>
          <w:bCs/>
          <w:sz w:val="24"/>
          <w:szCs w:val="24"/>
        </w:rPr>
      </w:pPr>
      <w:r>
        <w:rPr>
          <w:rFonts w:ascii="Times New Roman" w:hAnsi="Times New Roman"/>
          <w:bCs/>
          <w:sz w:val="24"/>
          <w:szCs w:val="24"/>
        </w:rPr>
        <w:t xml:space="preserve">Prepare the required PERT/CPM network of the project activities as an attachment to the POW and include an estimate on the rainy/unworkable days to </w:t>
      </w:r>
      <w:r>
        <w:rPr>
          <w:rFonts w:ascii="Times New Roman" w:hAnsi="Times New Roman"/>
          <w:bCs/>
          <w:sz w:val="24"/>
          <w:szCs w:val="24"/>
        </w:rPr>
        <w:lastRenderedPageBreak/>
        <w:t>arrive at a realistic basis of the total contract time of the project and avoid incurrence of unnecessary delays; and</w:t>
      </w:r>
    </w:p>
    <w:p>
      <w:pPr>
        <w:autoSpaceDE w:val="0"/>
        <w:autoSpaceDN w:val="0"/>
        <w:adjustRightInd w:val="0"/>
        <w:spacing w:after="0"/>
        <w:ind w:left="720"/>
        <w:contextualSpacing/>
        <w:jc w:val="both"/>
        <w:rPr>
          <w:rFonts w:ascii="Times New Roman" w:hAnsi="Times New Roman"/>
          <w:bCs/>
          <w:sz w:val="24"/>
          <w:szCs w:val="24"/>
        </w:rPr>
      </w:pPr>
    </w:p>
    <w:p>
      <w:pPr>
        <w:numPr>
          <w:ilvl w:val="1"/>
          <w:numId w:val="5"/>
        </w:numPr>
        <w:autoSpaceDE w:val="0"/>
        <w:autoSpaceDN w:val="0"/>
        <w:adjustRightInd w:val="0"/>
        <w:spacing w:after="0"/>
        <w:ind w:left="720"/>
        <w:contextualSpacing/>
        <w:jc w:val="both"/>
        <w:rPr>
          <w:rFonts w:ascii="Times New Roman" w:hAnsi="Times New Roman"/>
          <w:bCs/>
          <w:sz w:val="24"/>
          <w:szCs w:val="24"/>
        </w:rPr>
      </w:pPr>
      <w:r>
        <w:rPr>
          <w:rFonts w:ascii="Times New Roman" w:hAnsi="Times New Roman"/>
          <w:bCs/>
          <w:sz w:val="24"/>
          <w:szCs w:val="24"/>
        </w:rPr>
        <w:t>Ensure that the grant of time extension and/or work suspension is thoroughly reviewed and supported with complete and sufficient documentation to prevent abuse by the contractors.</w:t>
      </w:r>
    </w:p>
    <w:p>
      <w:pPr>
        <w:spacing w:after="0"/>
        <w:ind w:left="720"/>
        <w:contextualSpacing/>
        <w:rPr>
          <w:rFonts w:ascii="Times New Roman" w:hAnsi="Times New Roman"/>
          <w:bCs/>
          <w:sz w:val="24"/>
          <w:szCs w:val="24"/>
        </w:rPr>
      </w:pPr>
    </w:p>
    <w:p>
      <w:pPr>
        <w:autoSpaceDE w:val="0"/>
        <w:autoSpaceDN w:val="0"/>
        <w:adjustRightInd w:val="0"/>
        <w:spacing w:after="0"/>
        <w:contextualSpacing/>
        <w:jc w:val="both"/>
        <w:rPr>
          <w:rFonts w:ascii="Times New Roman" w:hAnsi="Times New Roman"/>
          <w:bCs/>
          <w:sz w:val="24"/>
          <w:szCs w:val="24"/>
        </w:rPr>
      </w:pPr>
      <w:r>
        <w:rPr>
          <w:rFonts w:ascii="Times New Roman" w:hAnsi="Times New Roman"/>
          <w:bCs/>
          <w:sz w:val="24"/>
          <w:szCs w:val="24"/>
        </w:rPr>
        <w:t>We further recommended to direct the City Planning and Development Office and concerned offices to closely monitor and evaluate the status of the implementation of projects to facilitate the imposition of the proper legal action against contractors with unjustified delays incurred.</w:t>
      </w:r>
    </w:p>
    <w:p>
      <w:pPr>
        <w:autoSpaceDE w:val="0"/>
        <w:autoSpaceDN w:val="0"/>
        <w:adjustRightInd w:val="0"/>
        <w:spacing w:after="0"/>
        <w:jc w:val="both"/>
        <w:rPr>
          <w:rFonts w:ascii="Times New Roman" w:eastAsiaTheme="minorHAnsi" w:hAnsi="Times New Roman"/>
          <w:sz w:val="24"/>
          <w:szCs w:val="24"/>
        </w:rPr>
      </w:pPr>
    </w:p>
    <w:p>
      <w:pPr>
        <w:pStyle w:val="ListParagraph"/>
        <w:numPr>
          <w:ilvl w:val="0"/>
          <w:numId w:val="1"/>
        </w:numPr>
        <w:spacing w:line="276" w:lineRule="auto"/>
        <w:ind w:left="720" w:hanging="720"/>
        <w:rPr>
          <w:rFonts w:ascii="Times New Roman" w:hAnsi="Times New Roman"/>
          <w:b/>
          <w:sz w:val="24"/>
          <w:szCs w:val="24"/>
        </w:rPr>
      </w:pPr>
      <w:r>
        <w:rPr>
          <w:rFonts w:ascii="Times New Roman" w:hAnsi="Times New Roman"/>
          <w:b/>
          <w:sz w:val="24"/>
          <w:szCs w:val="24"/>
        </w:rPr>
        <w:t>Summary of Suspensions, Disallowances and Charges as at Year-End</w:t>
      </w:r>
    </w:p>
    <w:p>
      <w:pPr>
        <w:pStyle w:val="ListParagraph"/>
        <w:spacing w:line="276" w:lineRule="auto"/>
        <w:ind w:left="0"/>
        <w:rPr>
          <w:rFonts w:ascii="Times New Roman" w:hAnsi="Times New Roman"/>
          <w:b/>
          <w:sz w:val="24"/>
          <w:szCs w:val="24"/>
        </w:rPr>
      </w:pPr>
    </w:p>
    <w:tbl>
      <w:tblPr>
        <w:tblStyle w:val="TableGrid"/>
        <w:tblW w:w="8558" w:type="dxa"/>
        <w:tblInd w:w="108" w:type="dxa"/>
        <w:tblCellMar>
          <w:left w:w="57" w:type="dxa"/>
          <w:right w:w="57" w:type="dxa"/>
        </w:tblCellMar>
        <w:tblLook w:val="04A0" w:firstRow="1" w:lastRow="0" w:firstColumn="1" w:lastColumn="0" w:noHBand="0" w:noVBand="1"/>
      </w:tblPr>
      <w:tblGrid>
        <w:gridCol w:w="2296"/>
        <w:gridCol w:w="1649"/>
        <w:gridCol w:w="1391"/>
        <w:gridCol w:w="1701"/>
        <w:gridCol w:w="1521"/>
      </w:tblGrid>
      <w:tr>
        <w:trPr>
          <w:trHeight w:val="466"/>
          <w:tblHeader/>
        </w:trPr>
        <w:tc>
          <w:tcPr>
            <w:tcW w:w="2296" w:type="dxa"/>
            <w:vMerge w:val="restart"/>
            <w:shd w:val="clear" w:color="auto" w:fill="D9D9D9" w:themeFill="background1" w:themeFillShade="D9"/>
          </w:tcPr>
          <w:p>
            <w:pPr>
              <w:spacing w:after="0"/>
              <w:jc w:val="center"/>
              <w:rPr>
                <w:rFonts w:ascii="Times New Roman" w:hAnsi="Times New Roman"/>
                <w:b/>
                <w:sz w:val="24"/>
                <w:szCs w:val="24"/>
              </w:rPr>
            </w:pPr>
          </w:p>
          <w:p>
            <w:pPr>
              <w:spacing w:after="0"/>
              <w:jc w:val="center"/>
              <w:rPr>
                <w:rFonts w:ascii="Times New Roman" w:hAnsi="Times New Roman"/>
                <w:sz w:val="24"/>
                <w:szCs w:val="24"/>
              </w:rPr>
            </w:pPr>
            <w:r>
              <w:rPr>
                <w:rFonts w:ascii="Times New Roman" w:hAnsi="Times New Roman"/>
                <w:b/>
                <w:sz w:val="24"/>
                <w:szCs w:val="24"/>
              </w:rPr>
              <w:t>NS/ND/NC</w:t>
            </w:r>
          </w:p>
        </w:tc>
        <w:tc>
          <w:tcPr>
            <w:tcW w:w="1649" w:type="dxa"/>
            <w:vMerge w:val="restart"/>
            <w:shd w:val="clear" w:color="auto" w:fill="D9D9D9" w:themeFill="background1" w:themeFillShade="D9"/>
          </w:tcPr>
          <w:p>
            <w:pPr>
              <w:spacing w:after="0"/>
              <w:jc w:val="center"/>
              <w:rPr>
                <w:rFonts w:ascii="Times New Roman" w:hAnsi="Times New Roman"/>
                <w:b/>
                <w:sz w:val="24"/>
                <w:szCs w:val="24"/>
              </w:rPr>
            </w:pPr>
          </w:p>
          <w:p>
            <w:pPr>
              <w:spacing w:after="0"/>
              <w:jc w:val="center"/>
              <w:rPr>
                <w:rFonts w:ascii="Times New Roman" w:hAnsi="Times New Roman"/>
                <w:b/>
                <w:sz w:val="24"/>
                <w:szCs w:val="24"/>
              </w:rPr>
            </w:pPr>
            <w:r>
              <w:rPr>
                <w:rFonts w:ascii="Times New Roman" w:hAnsi="Times New Roman"/>
                <w:b/>
                <w:sz w:val="24"/>
                <w:szCs w:val="24"/>
              </w:rPr>
              <w:t>Balance as at Dec 31, 2021</w:t>
            </w:r>
          </w:p>
        </w:tc>
        <w:tc>
          <w:tcPr>
            <w:tcW w:w="3092" w:type="dxa"/>
            <w:gridSpan w:val="2"/>
            <w:shd w:val="clear" w:color="auto" w:fill="D9D9D9" w:themeFill="background1" w:themeFillShade="D9"/>
          </w:tcPr>
          <w:p>
            <w:pPr>
              <w:spacing w:after="0"/>
              <w:jc w:val="center"/>
              <w:rPr>
                <w:rFonts w:ascii="Times New Roman" w:hAnsi="Times New Roman"/>
                <w:b/>
                <w:sz w:val="24"/>
                <w:szCs w:val="24"/>
              </w:rPr>
            </w:pPr>
            <w:r>
              <w:rPr>
                <w:rFonts w:ascii="Times New Roman" w:hAnsi="Times New Roman"/>
                <w:b/>
                <w:sz w:val="24"/>
                <w:szCs w:val="24"/>
              </w:rPr>
              <w:t xml:space="preserve">This Period                       </w:t>
            </w:r>
          </w:p>
          <w:p>
            <w:pPr>
              <w:spacing w:after="0"/>
              <w:jc w:val="center"/>
              <w:rPr>
                <w:rFonts w:ascii="Times New Roman" w:hAnsi="Times New Roman"/>
                <w:b/>
                <w:sz w:val="24"/>
                <w:szCs w:val="24"/>
              </w:rPr>
            </w:pPr>
            <w:r>
              <w:rPr>
                <w:rFonts w:ascii="Times New Roman" w:hAnsi="Times New Roman"/>
                <w:b/>
                <w:sz w:val="24"/>
                <w:szCs w:val="24"/>
              </w:rPr>
              <w:t xml:space="preserve"> (Jan 1 to Dec 31 2022)</w:t>
            </w:r>
          </w:p>
        </w:tc>
        <w:tc>
          <w:tcPr>
            <w:tcW w:w="1521" w:type="dxa"/>
            <w:vMerge w:val="restart"/>
            <w:shd w:val="clear" w:color="auto" w:fill="D9D9D9" w:themeFill="background1" w:themeFillShade="D9"/>
          </w:tcPr>
          <w:p>
            <w:pPr>
              <w:spacing w:after="0"/>
              <w:jc w:val="center"/>
              <w:rPr>
                <w:rFonts w:ascii="Times New Roman" w:hAnsi="Times New Roman"/>
                <w:b/>
                <w:sz w:val="24"/>
                <w:szCs w:val="24"/>
              </w:rPr>
            </w:pPr>
          </w:p>
          <w:p>
            <w:pPr>
              <w:spacing w:after="0"/>
              <w:jc w:val="center"/>
              <w:rPr>
                <w:rFonts w:ascii="Times New Roman" w:hAnsi="Times New Roman"/>
                <w:b/>
                <w:sz w:val="24"/>
                <w:szCs w:val="24"/>
              </w:rPr>
            </w:pPr>
            <w:r>
              <w:rPr>
                <w:rFonts w:ascii="Times New Roman" w:hAnsi="Times New Roman"/>
                <w:b/>
                <w:sz w:val="24"/>
                <w:szCs w:val="24"/>
              </w:rPr>
              <w:t>Balance as at Dec 31, 2022</w:t>
            </w:r>
          </w:p>
        </w:tc>
      </w:tr>
      <w:tr>
        <w:trPr>
          <w:trHeight w:val="278"/>
          <w:tblHeader/>
        </w:trPr>
        <w:tc>
          <w:tcPr>
            <w:tcW w:w="2296" w:type="dxa"/>
            <w:vMerge/>
          </w:tcPr>
          <w:p>
            <w:pPr>
              <w:spacing w:after="0"/>
              <w:rPr>
                <w:rFonts w:ascii="Times New Roman" w:hAnsi="Times New Roman"/>
                <w:sz w:val="24"/>
                <w:szCs w:val="24"/>
              </w:rPr>
            </w:pPr>
          </w:p>
        </w:tc>
        <w:tc>
          <w:tcPr>
            <w:tcW w:w="1649" w:type="dxa"/>
            <w:vMerge/>
          </w:tcPr>
          <w:p>
            <w:pPr>
              <w:spacing w:after="0"/>
              <w:rPr>
                <w:rFonts w:ascii="Times New Roman" w:hAnsi="Times New Roman"/>
                <w:sz w:val="24"/>
                <w:szCs w:val="24"/>
              </w:rPr>
            </w:pPr>
          </w:p>
        </w:tc>
        <w:tc>
          <w:tcPr>
            <w:tcW w:w="1391" w:type="dxa"/>
            <w:tcBorders>
              <w:bottom w:val="single" w:sz="4" w:space="0" w:color="auto"/>
            </w:tcBorders>
            <w:shd w:val="clear" w:color="auto" w:fill="D9D9D9" w:themeFill="background1" w:themeFillShade="D9"/>
            <w:vAlign w:val="center"/>
          </w:tcPr>
          <w:p>
            <w:pPr>
              <w:spacing w:after="0"/>
              <w:jc w:val="center"/>
              <w:rPr>
                <w:rFonts w:ascii="Times New Roman" w:hAnsi="Times New Roman"/>
                <w:b/>
                <w:sz w:val="24"/>
                <w:szCs w:val="24"/>
              </w:rPr>
            </w:pPr>
            <w:r>
              <w:rPr>
                <w:rFonts w:ascii="Times New Roman" w:hAnsi="Times New Roman"/>
                <w:b/>
                <w:sz w:val="24"/>
                <w:szCs w:val="24"/>
              </w:rPr>
              <w:t>NS/ ND/ NC</w:t>
            </w:r>
          </w:p>
        </w:tc>
        <w:tc>
          <w:tcPr>
            <w:tcW w:w="1701" w:type="dxa"/>
            <w:tcBorders>
              <w:bottom w:val="single" w:sz="4" w:space="0" w:color="auto"/>
            </w:tcBorders>
            <w:shd w:val="clear" w:color="auto" w:fill="D9D9D9" w:themeFill="background1" w:themeFillShade="D9"/>
            <w:vAlign w:val="center"/>
          </w:tcPr>
          <w:p>
            <w:pPr>
              <w:spacing w:after="0"/>
              <w:jc w:val="center"/>
              <w:rPr>
                <w:rFonts w:ascii="Times New Roman" w:hAnsi="Times New Roman"/>
                <w:b/>
                <w:sz w:val="24"/>
                <w:szCs w:val="24"/>
              </w:rPr>
            </w:pPr>
            <w:r>
              <w:rPr>
                <w:rFonts w:ascii="Times New Roman" w:hAnsi="Times New Roman"/>
                <w:b/>
                <w:sz w:val="24"/>
                <w:szCs w:val="24"/>
              </w:rPr>
              <w:t>NSSDC</w:t>
            </w:r>
          </w:p>
        </w:tc>
        <w:tc>
          <w:tcPr>
            <w:tcW w:w="1521" w:type="dxa"/>
            <w:vMerge/>
            <w:tcBorders>
              <w:bottom w:val="single" w:sz="4" w:space="0" w:color="auto"/>
            </w:tcBorders>
          </w:tcPr>
          <w:p>
            <w:pPr>
              <w:spacing w:after="0"/>
              <w:jc w:val="center"/>
              <w:rPr>
                <w:rFonts w:ascii="Times New Roman" w:hAnsi="Times New Roman"/>
                <w:sz w:val="24"/>
                <w:szCs w:val="24"/>
              </w:rPr>
            </w:pPr>
          </w:p>
        </w:tc>
      </w:tr>
      <w:tr>
        <w:trPr>
          <w:trHeight w:val="242"/>
        </w:trPr>
        <w:tc>
          <w:tcPr>
            <w:tcW w:w="2296" w:type="dxa"/>
            <w:vAlign w:val="center"/>
          </w:tcPr>
          <w:p>
            <w:pPr>
              <w:spacing w:after="0"/>
              <w:rPr>
                <w:rFonts w:ascii="Times New Roman" w:hAnsi="Times New Roman"/>
                <w:sz w:val="24"/>
                <w:szCs w:val="24"/>
              </w:rPr>
            </w:pPr>
            <w:bookmarkStart w:id="2" w:name="_Hlk61595914"/>
            <w:r>
              <w:rPr>
                <w:rFonts w:ascii="Times New Roman" w:hAnsi="Times New Roman"/>
                <w:sz w:val="24"/>
                <w:szCs w:val="24"/>
              </w:rPr>
              <w:t>Notice of Suspension</w:t>
            </w:r>
          </w:p>
        </w:tc>
        <w:tc>
          <w:tcPr>
            <w:tcW w:w="1649" w:type="dxa"/>
            <w:tcBorders>
              <w:right w:val="single" w:sz="4" w:space="0" w:color="auto"/>
            </w:tcBorders>
            <w:vAlign w:val="center"/>
          </w:tcPr>
          <w:p>
            <w:pPr>
              <w:spacing w:after="0"/>
              <w:jc w:val="right"/>
              <w:rPr>
                <w:rFonts w:ascii="Times New Roman" w:hAnsi="Times New Roman"/>
                <w:sz w:val="24"/>
                <w:szCs w:val="24"/>
              </w:rPr>
            </w:pPr>
            <w:r>
              <w:rPr>
                <w:rFonts w:ascii="Times New Roman" w:hAnsi="Times New Roman"/>
                <w:sz w:val="24"/>
                <w:szCs w:val="24"/>
              </w:rPr>
              <w:t xml:space="preserve"> 5,706,288.00</w:t>
            </w:r>
          </w:p>
        </w:tc>
        <w:tc>
          <w:tcPr>
            <w:tcW w:w="1391" w:type="dxa"/>
            <w:tcBorders>
              <w:top w:val="single" w:sz="4" w:space="0" w:color="auto"/>
              <w:left w:val="single" w:sz="4" w:space="0" w:color="auto"/>
              <w:bottom w:val="single" w:sz="4" w:space="0" w:color="auto"/>
              <w:right w:val="single" w:sz="4" w:space="0" w:color="auto"/>
            </w:tcBorders>
            <w:shd w:val="clear" w:color="auto" w:fill="auto"/>
            <w:vAlign w:val="bottom"/>
          </w:tcPr>
          <w:p>
            <w:pPr>
              <w:autoSpaceDE w:val="0"/>
              <w:autoSpaceDN w:val="0"/>
              <w:adjustRightInd w:val="0"/>
              <w:spacing w:after="0"/>
              <w:jc w:val="right"/>
              <w:rPr>
                <w:rFonts w:ascii="Times New Roman" w:hAnsi="Times New Roman"/>
                <w:sz w:val="24"/>
                <w:szCs w:val="24"/>
                <w:lang w:val="en-US"/>
              </w:rPr>
            </w:pPr>
            <w:r>
              <w:rPr>
                <w:rFonts w:ascii="Times New Roman" w:hAnsi="Times New Roman"/>
                <w:sz w:val="24"/>
                <w:szCs w:val="24"/>
                <w:lang w:val="en-US"/>
              </w:rPr>
              <w:t xml:space="preserve">          0.00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pPr>
              <w:autoSpaceDE w:val="0"/>
              <w:autoSpaceDN w:val="0"/>
              <w:adjustRightInd w:val="0"/>
              <w:spacing w:after="0"/>
              <w:jc w:val="right"/>
              <w:rPr>
                <w:rFonts w:ascii="Times New Roman" w:hAnsi="Times New Roman"/>
                <w:sz w:val="24"/>
                <w:szCs w:val="24"/>
                <w:lang w:val="en-US"/>
              </w:rPr>
            </w:pPr>
            <w:r>
              <w:rPr>
                <w:rFonts w:ascii="Times New Roman" w:hAnsi="Times New Roman"/>
                <w:sz w:val="24"/>
                <w:szCs w:val="24"/>
                <w:lang w:val="en-US"/>
              </w:rPr>
              <w:t>5,706,288.00</w:t>
            </w:r>
          </w:p>
        </w:tc>
        <w:tc>
          <w:tcPr>
            <w:tcW w:w="1521" w:type="dxa"/>
            <w:tcBorders>
              <w:top w:val="single" w:sz="4" w:space="0" w:color="auto"/>
              <w:left w:val="single" w:sz="4" w:space="0" w:color="auto"/>
              <w:bottom w:val="single" w:sz="4" w:space="0" w:color="auto"/>
              <w:right w:val="single" w:sz="4" w:space="0" w:color="auto"/>
            </w:tcBorders>
            <w:shd w:val="clear" w:color="auto" w:fill="auto"/>
            <w:vAlign w:val="bottom"/>
          </w:tcPr>
          <w:p>
            <w:pPr>
              <w:spacing w:after="0"/>
              <w:jc w:val="right"/>
              <w:rPr>
                <w:rFonts w:ascii="Times New Roman" w:hAnsi="Times New Roman"/>
                <w:sz w:val="24"/>
                <w:szCs w:val="24"/>
              </w:rPr>
            </w:pPr>
            <w:r>
              <w:rPr>
                <w:rFonts w:ascii="Times New Roman" w:hAnsi="Times New Roman"/>
                <w:sz w:val="24"/>
                <w:szCs w:val="24"/>
                <w:lang w:val="en-US"/>
              </w:rPr>
              <w:t xml:space="preserve">              0.00</w:t>
            </w:r>
          </w:p>
        </w:tc>
      </w:tr>
      <w:tr>
        <w:trPr>
          <w:trHeight w:val="242"/>
        </w:trPr>
        <w:tc>
          <w:tcPr>
            <w:tcW w:w="2296" w:type="dxa"/>
            <w:vAlign w:val="center"/>
          </w:tcPr>
          <w:p>
            <w:pPr>
              <w:spacing w:after="0"/>
              <w:rPr>
                <w:rFonts w:ascii="Times New Roman" w:hAnsi="Times New Roman"/>
                <w:sz w:val="24"/>
                <w:szCs w:val="24"/>
              </w:rPr>
            </w:pPr>
            <w:r>
              <w:rPr>
                <w:rFonts w:ascii="Times New Roman" w:hAnsi="Times New Roman"/>
                <w:sz w:val="24"/>
                <w:szCs w:val="24"/>
              </w:rPr>
              <w:t>Notice of Disallowance</w:t>
            </w:r>
          </w:p>
        </w:tc>
        <w:tc>
          <w:tcPr>
            <w:tcW w:w="1649" w:type="dxa"/>
            <w:tcBorders>
              <w:right w:val="single" w:sz="4" w:space="0" w:color="auto"/>
            </w:tcBorders>
            <w:vAlign w:val="center"/>
          </w:tcPr>
          <w:p>
            <w:pPr>
              <w:spacing w:after="0"/>
              <w:jc w:val="right"/>
              <w:rPr>
                <w:rFonts w:ascii="Times New Roman" w:hAnsi="Times New Roman"/>
                <w:sz w:val="24"/>
                <w:szCs w:val="24"/>
              </w:rPr>
            </w:pPr>
            <w:r>
              <w:rPr>
                <w:rFonts w:ascii="Times New Roman" w:hAnsi="Times New Roman"/>
                <w:color w:val="000000"/>
                <w:sz w:val="24"/>
                <w:szCs w:val="24"/>
              </w:rPr>
              <w:t>8,685,626.52</w:t>
            </w:r>
          </w:p>
        </w:tc>
        <w:tc>
          <w:tcPr>
            <w:tcW w:w="1391" w:type="dxa"/>
            <w:tcBorders>
              <w:top w:val="single" w:sz="4" w:space="0" w:color="auto"/>
              <w:left w:val="single" w:sz="4" w:space="0" w:color="auto"/>
              <w:bottom w:val="single" w:sz="4" w:space="0" w:color="auto"/>
              <w:right w:val="single" w:sz="4" w:space="0" w:color="auto"/>
            </w:tcBorders>
            <w:shd w:val="clear" w:color="auto" w:fill="auto"/>
            <w:vAlign w:val="center"/>
          </w:tcPr>
          <w:p>
            <w:pPr>
              <w:spacing w:after="0"/>
              <w:jc w:val="right"/>
              <w:rPr>
                <w:rFonts w:ascii="Times New Roman" w:hAnsi="Times New Roman"/>
                <w:sz w:val="24"/>
                <w:szCs w:val="24"/>
              </w:rPr>
            </w:pPr>
            <w:r>
              <w:rPr>
                <w:rFonts w:ascii="Times New Roman" w:hAnsi="Times New Roman"/>
                <w:sz w:val="24"/>
                <w:szCs w:val="24"/>
              </w:rPr>
              <w:t>0.00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pPr>
              <w:spacing w:after="0"/>
              <w:jc w:val="right"/>
              <w:rPr>
                <w:rFonts w:ascii="Times New Roman" w:hAnsi="Times New Roman"/>
                <w:sz w:val="24"/>
                <w:szCs w:val="24"/>
              </w:rPr>
            </w:pPr>
            <w:r>
              <w:rPr>
                <w:rFonts w:ascii="Times New Roman" w:hAnsi="Times New Roman"/>
                <w:sz w:val="24"/>
                <w:szCs w:val="24"/>
              </w:rPr>
              <w:t>795,407.91</w:t>
            </w:r>
          </w:p>
        </w:tc>
        <w:tc>
          <w:tcPr>
            <w:tcW w:w="1521" w:type="dxa"/>
            <w:tcBorders>
              <w:top w:val="single" w:sz="4" w:space="0" w:color="auto"/>
              <w:left w:val="single" w:sz="4" w:space="0" w:color="auto"/>
              <w:bottom w:val="single" w:sz="4" w:space="0" w:color="auto"/>
              <w:right w:val="single" w:sz="4" w:space="0" w:color="auto"/>
            </w:tcBorders>
            <w:shd w:val="clear" w:color="auto" w:fill="auto"/>
            <w:vAlign w:val="center"/>
          </w:tcPr>
          <w:p>
            <w:pPr>
              <w:spacing w:after="0"/>
              <w:jc w:val="right"/>
              <w:rPr>
                <w:rFonts w:ascii="Times New Roman" w:hAnsi="Times New Roman"/>
                <w:sz w:val="24"/>
                <w:szCs w:val="24"/>
              </w:rPr>
            </w:pPr>
            <w:r>
              <w:rPr>
                <w:rFonts w:ascii="Times New Roman" w:hAnsi="Times New Roman"/>
                <w:sz w:val="24"/>
                <w:szCs w:val="24"/>
              </w:rPr>
              <w:t>7,890,218.61</w:t>
            </w:r>
          </w:p>
        </w:tc>
      </w:tr>
      <w:tr>
        <w:trPr>
          <w:trHeight w:val="152"/>
        </w:trPr>
        <w:tc>
          <w:tcPr>
            <w:tcW w:w="2296" w:type="dxa"/>
            <w:tcBorders>
              <w:bottom w:val="single" w:sz="4" w:space="0" w:color="000000"/>
            </w:tcBorders>
            <w:vAlign w:val="center"/>
          </w:tcPr>
          <w:p>
            <w:pPr>
              <w:spacing w:after="0"/>
              <w:rPr>
                <w:rFonts w:ascii="Times New Roman" w:hAnsi="Times New Roman"/>
                <w:sz w:val="24"/>
                <w:szCs w:val="24"/>
              </w:rPr>
            </w:pPr>
            <w:r>
              <w:rPr>
                <w:rFonts w:ascii="Times New Roman" w:hAnsi="Times New Roman"/>
                <w:sz w:val="24"/>
                <w:szCs w:val="24"/>
              </w:rPr>
              <w:t>Notice of Charge</w:t>
            </w:r>
          </w:p>
        </w:tc>
        <w:tc>
          <w:tcPr>
            <w:tcW w:w="1649" w:type="dxa"/>
            <w:tcBorders>
              <w:bottom w:val="single" w:sz="4" w:space="0" w:color="000000"/>
              <w:right w:val="single" w:sz="4" w:space="0" w:color="auto"/>
            </w:tcBorders>
            <w:vAlign w:val="center"/>
          </w:tcPr>
          <w:p>
            <w:pPr>
              <w:spacing w:after="0"/>
              <w:jc w:val="right"/>
              <w:rPr>
                <w:rFonts w:ascii="Times New Roman" w:hAnsi="Times New Roman"/>
                <w:sz w:val="24"/>
                <w:szCs w:val="24"/>
              </w:rPr>
            </w:pPr>
            <w:r>
              <w:rPr>
                <w:rFonts w:ascii="Times New Roman" w:hAnsi="Times New Roman"/>
                <w:sz w:val="24"/>
                <w:szCs w:val="24"/>
              </w:rPr>
              <w:t>0.00</w:t>
            </w:r>
          </w:p>
        </w:tc>
        <w:tc>
          <w:tcPr>
            <w:tcW w:w="1391" w:type="dxa"/>
            <w:tcBorders>
              <w:top w:val="single" w:sz="4" w:space="0" w:color="auto"/>
              <w:left w:val="single" w:sz="4" w:space="0" w:color="auto"/>
              <w:bottom w:val="single" w:sz="4" w:space="0" w:color="auto"/>
              <w:right w:val="single" w:sz="4" w:space="0" w:color="auto"/>
            </w:tcBorders>
            <w:shd w:val="clear" w:color="auto" w:fill="auto"/>
            <w:vAlign w:val="center"/>
          </w:tcPr>
          <w:p>
            <w:pPr>
              <w:spacing w:after="0"/>
              <w:jc w:val="right"/>
              <w:rPr>
                <w:rFonts w:ascii="Times New Roman" w:hAnsi="Times New Roman"/>
                <w:sz w:val="24"/>
                <w:szCs w:val="24"/>
              </w:rPr>
            </w:pPr>
            <w:r>
              <w:rPr>
                <w:rFonts w:ascii="Times New Roman" w:hAnsi="Times New Roman"/>
                <w:sz w:val="24"/>
                <w:szCs w:val="24"/>
              </w:rPr>
              <w:t>0.00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pPr>
              <w:spacing w:after="0"/>
              <w:jc w:val="right"/>
              <w:rPr>
                <w:rFonts w:ascii="Times New Roman" w:hAnsi="Times New Roman"/>
                <w:sz w:val="24"/>
                <w:szCs w:val="24"/>
              </w:rPr>
            </w:pPr>
            <w:r>
              <w:rPr>
                <w:rFonts w:ascii="Times New Roman" w:hAnsi="Times New Roman"/>
                <w:sz w:val="24"/>
                <w:szCs w:val="24"/>
              </w:rPr>
              <w:t>0.00</w:t>
            </w:r>
          </w:p>
        </w:tc>
        <w:tc>
          <w:tcPr>
            <w:tcW w:w="1521" w:type="dxa"/>
            <w:tcBorders>
              <w:top w:val="single" w:sz="4" w:space="0" w:color="auto"/>
              <w:left w:val="single" w:sz="4" w:space="0" w:color="auto"/>
              <w:bottom w:val="single" w:sz="4" w:space="0" w:color="auto"/>
              <w:right w:val="single" w:sz="4" w:space="0" w:color="auto"/>
            </w:tcBorders>
            <w:shd w:val="clear" w:color="auto" w:fill="auto"/>
            <w:vAlign w:val="center"/>
          </w:tcPr>
          <w:p>
            <w:pPr>
              <w:spacing w:after="0"/>
              <w:jc w:val="right"/>
              <w:rPr>
                <w:rFonts w:ascii="Times New Roman" w:hAnsi="Times New Roman"/>
                <w:sz w:val="24"/>
                <w:szCs w:val="24"/>
              </w:rPr>
            </w:pPr>
            <w:r>
              <w:rPr>
                <w:rFonts w:ascii="Times New Roman" w:hAnsi="Times New Roman"/>
                <w:sz w:val="24"/>
                <w:szCs w:val="24"/>
              </w:rPr>
              <w:t>0.00</w:t>
            </w:r>
          </w:p>
        </w:tc>
      </w:tr>
      <w:tr>
        <w:trPr>
          <w:trHeight w:val="152"/>
        </w:trPr>
        <w:tc>
          <w:tcPr>
            <w:tcW w:w="2296" w:type="dxa"/>
            <w:tcBorders>
              <w:bottom w:val="single" w:sz="4" w:space="0" w:color="auto"/>
            </w:tcBorders>
            <w:vAlign w:val="bottom"/>
          </w:tcPr>
          <w:p>
            <w:pPr>
              <w:spacing w:after="0"/>
              <w:rPr>
                <w:rFonts w:ascii="Times New Roman" w:hAnsi="Times New Roman"/>
                <w:b/>
                <w:sz w:val="24"/>
                <w:szCs w:val="24"/>
              </w:rPr>
            </w:pPr>
            <w:r>
              <w:rPr>
                <w:rFonts w:ascii="Times New Roman" w:hAnsi="Times New Roman"/>
                <w:b/>
                <w:sz w:val="24"/>
                <w:szCs w:val="24"/>
              </w:rPr>
              <w:t>Total</w:t>
            </w:r>
          </w:p>
        </w:tc>
        <w:tc>
          <w:tcPr>
            <w:tcW w:w="1649" w:type="dxa"/>
            <w:tcBorders>
              <w:bottom w:val="single" w:sz="4" w:space="0" w:color="auto"/>
              <w:right w:val="single" w:sz="4" w:space="0" w:color="auto"/>
            </w:tcBorders>
            <w:vAlign w:val="center"/>
          </w:tcPr>
          <w:p>
            <w:pPr>
              <w:autoSpaceDE w:val="0"/>
              <w:autoSpaceDN w:val="0"/>
              <w:adjustRightInd w:val="0"/>
              <w:spacing w:after="0"/>
              <w:jc w:val="right"/>
              <w:rPr>
                <w:rFonts w:ascii="Times New Roman" w:hAnsi="Times New Roman"/>
                <w:b/>
                <w:color w:val="000000"/>
                <w:sz w:val="24"/>
                <w:szCs w:val="24"/>
                <w:lang w:val="en-US"/>
              </w:rPr>
            </w:pPr>
            <w:r>
              <w:rPr>
                <w:rFonts w:ascii="Times New Roman" w:hAnsi="Times New Roman"/>
                <w:b/>
                <w:sz w:val="24"/>
                <w:szCs w:val="24"/>
                <w:lang w:val="en-US"/>
              </w:rPr>
              <w:t>14,391,914.52</w:t>
            </w:r>
          </w:p>
        </w:tc>
        <w:tc>
          <w:tcPr>
            <w:tcW w:w="1391" w:type="dxa"/>
            <w:tcBorders>
              <w:top w:val="single" w:sz="4" w:space="0" w:color="auto"/>
              <w:left w:val="single" w:sz="4" w:space="0" w:color="auto"/>
              <w:bottom w:val="single" w:sz="4" w:space="0" w:color="auto"/>
              <w:right w:val="single" w:sz="4" w:space="0" w:color="auto"/>
            </w:tcBorders>
            <w:shd w:val="clear" w:color="auto" w:fill="auto"/>
            <w:vAlign w:val="bottom"/>
          </w:tcPr>
          <w:p>
            <w:pPr>
              <w:autoSpaceDE w:val="0"/>
              <w:autoSpaceDN w:val="0"/>
              <w:adjustRightInd w:val="0"/>
              <w:spacing w:after="0"/>
              <w:jc w:val="right"/>
              <w:rPr>
                <w:rFonts w:ascii="Times New Roman" w:hAnsi="Times New Roman"/>
                <w:b/>
                <w:sz w:val="24"/>
                <w:szCs w:val="24"/>
                <w:lang w:val="en-US"/>
              </w:rPr>
            </w:pPr>
            <w:r>
              <w:rPr>
                <w:rFonts w:ascii="Times New Roman" w:hAnsi="Times New Roman"/>
                <w:b/>
                <w:sz w:val="24"/>
                <w:szCs w:val="24"/>
                <w:lang w:val="en-US"/>
              </w:rPr>
              <w:t>0.00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pPr>
              <w:autoSpaceDE w:val="0"/>
              <w:autoSpaceDN w:val="0"/>
              <w:adjustRightInd w:val="0"/>
              <w:spacing w:after="0"/>
              <w:jc w:val="right"/>
              <w:rPr>
                <w:rFonts w:ascii="Times New Roman" w:hAnsi="Times New Roman"/>
                <w:b/>
                <w:sz w:val="24"/>
                <w:szCs w:val="24"/>
                <w:lang w:val="en-US"/>
              </w:rPr>
            </w:pPr>
            <w:r>
              <w:rPr>
                <w:rFonts w:ascii="Times New Roman" w:hAnsi="Times New Roman"/>
                <w:b/>
                <w:sz w:val="24"/>
                <w:szCs w:val="24"/>
                <w:lang w:val="en-US"/>
              </w:rPr>
              <w:t xml:space="preserve"> 6,501,695.91</w:t>
            </w:r>
          </w:p>
        </w:tc>
        <w:tc>
          <w:tcPr>
            <w:tcW w:w="1521" w:type="dxa"/>
            <w:tcBorders>
              <w:top w:val="single" w:sz="4" w:space="0" w:color="auto"/>
              <w:left w:val="single" w:sz="4" w:space="0" w:color="auto"/>
              <w:bottom w:val="single" w:sz="4" w:space="0" w:color="auto"/>
              <w:right w:val="single" w:sz="4" w:space="0" w:color="auto"/>
            </w:tcBorders>
            <w:shd w:val="clear" w:color="auto" w:fill="auto"/>
            <w:vAlign w:val="center"/>
          </w:tcPr>
          <w:p>
            <w:pPr>
              <w:autoSpaceDE w:val="0"/>
              <w:autoSpaceDN w:val="0"/>
              <w:adjustRightInd w:val="0"/>
              <w:spacing w:after="0"/>
              <w:jc w:val="right"/>
              <w:rPr>
                <w:rFonts w:ascii="Times New Roman" w:hAnsi="Times New Roman"/>
                <w:b/>
                <w:sz w:val="24"/>
                <w:szCs w:val="24"/>
                <w:lang w:val="en-US"/>
              </w:rPr>
            </w:pPr>
            <w:r>
              <w:rPr>
                <w:rFonts w:ascii="Times New Roman" w:hAnsi="Times New Roman"/>
                <w:b/>
                <w:sz w:val="24"/>
                <w:szCs w:val="24"/>
                <w:lang w:val="en-US"/>
              </w:rPr>
              <w:t>7,890,218.61</w:t>
            </w:r>
          </w:p>
        </w:tc>
      </w:tr>
      <w:bookmarkEnd w:id="2"/>
    </w:tbl>
    <w:p>
      <w:pPr>
        <w:spacing w:after="0"/>
        <w:jc w:val="both"/>
        <w:rPr>
          <w:rFonts w:ascii="Times New Roman" w:eastAsiaTheme="minorHAnsi" w:hAnsi="Times New Roman"/>
          <w:sz w:val="24"/>
          <w:szCs w:val="24"/>
          <w:lang w:val="en-US"/>
        </w:rPr>
      </w:pPr>
    </w:p>
    <w:p>
      <w:pPr>
        <w:spacing w:after="0"/>
        <w:jc w:val="both"/>
        <w:rPr>
          <w:rFonts w:ascii="Times New Roman" w:eastAsiaTheme="minorHAnsi" w:hAnsi="Times New Roman"/>
          <w:sz w:val="24"/>
          <w:szCs w:val="24"/>
          <w:lang w:val="en-US"/>
        </w:rPr>
      </w:pPr>
      <w:r>
        <w:rPr>
          <w:rFonts w:ascii="Times New Roman" w:eastAsiaTheme="minorHAnsi" w:hAnsi="Times New Roman"/>
          <w:sz w:val="24"/>
          <w:szCs w:val="24"/>
          <w:lang w:val="en-US"/>
        </w:rPr>
        <w:t>During the year, the Team issued Notice of Settlement of Suspension, Disallowances and Charges amounting to P6,501,695.91</w:t>
      </w:r>
      <w:r>
        <w:rPr>
          <w:rFonts w:ascii="Times New Roman" w:hAnsi="Times New Roman"/>
          <w:color w:val="000000"/>
          <w:sz w:val="24"/>
          <w:szCs w:val="24"/>
        </w:rPr>
        <w:t xml:space="preserve">, </w:t>
      </w:r>
      <w:r>
        <w:rPr>
          <w:rFonts w:ascii="Times New Roman" w:eastAsiaTheme="minorHAnsi" w:hAnsi="Times New Roman"/>
          <w:sz w:val="24"/>
          <w:szCs w:val="24"/>
          <w:lang w:val="en-US"/>
        </w:rPr>
        <w:t>leaving an outstanding balance of P7,890,218.61</w:t>
      </w:r>
      <w:r>
        <w:rPr>
          <w:rFonts w:ascii="Times New Roman" w:hAnsi="Times New Roman"/>
          <w:b/>
          <w:sz w:val="24"/>
          <w:szCs w:val="24"/>
          <w:lang w:val="en-US"/>
        </w:rPr>
        <w:t xml:space="preserve"> </w:t>
      </w:r>
      <w:r>
        <w:rPr>
          <w:rFonts w:ascii="Times New Roman" w:eastAsiaTheme="minorHAnsi" w:hAnsi="Times New Roman"/>
          <w:sz w:val="24"/>
          <w:szCs w:val="24"/>
          <w:lang w:val="en-US"/>
        </w:rPr>
        <w:t xml:space="preserve">as at December 31, 2022. </w:t>
      </w:r>
    </w:p>
    <w:p>
      <w:pPr>
        <w:spacing w:after="0"/>
        <w:jc w:val="both"/>
        <w:rPr>
          <w:rFonts w:ascii="Times New Roman" w:eastAsiaTheme="minorHAnsi" w:hAnsi="Times New Roman"/>
          <w:sz w:val="24"/>
          <w:szCs w:val="24"/>
          <w:lang w:val="en-US"/>
        </w:rPr>
      </w:pPr>
    </w:p>
    <w:p>
      <w:pPr>
        <w:pStyle w:val="ListParagraph"/>
        <w:numPr>
          <w:ilvl w:val="0"/>
          <w:numId w:val="1"/>
        </w:numPr>
        <w:spacing w:line="276" w:lineRule="auto"/>
        <w:ind w:left="720" w:hanging="720"/>
        <w:rPr>
          <w:rFonts w:ascii="Times New Roman" w:hAnsi="Times New Roman"/>
          <w:b/>
          <w:sz w:val="24"/>
          <w:szCs w:val="24"/>
        </w:rPr>
      </w:pPr>
      <w:r>
        <w:rPr>
          <w:rFonts w:ascii="Times New Roman" w:hAnsi="Times New Roman"/>
          <w:b/>
          <w:sz w:val="24"/>
          <w:szCs w:val="24"/>
        </w:rPr>
        <w:t>Implementation of Prior Years’ Audit Recommendations</w:t>
      </w:r>
    </w:p>
    <w:p>
      <w:pPr>
        <w:pStyle w:val="ListParagraph"/>
        <w:spacing w:line="276" w:lineRule="auto"/>
        <w:ind w:left="0"/>
        <w:rPr>
          <w:rFonts w:ascii="Times New Roman" w:hAnsi="Times New Roman"/>
          <w:sz w:val="24"/>
          <w:szCs w:val="24"/>
        </w:rPr>
      </w:pPr>
    </w:p>
    <w:p>
      <w:pPr>
        <w:spacing w:after="0"/>
        <w:jc w:val="both"/>
        <w:rPr>
          <w:rFonts w:ascii="Times New Roman" w:hAnsi="Times New Roman"/>
          <w:sz w:val="24"/>
          <w:szCs w:val="24"/>
        </w:rPr>
      </w:pPr>
      <w:r>
        <w:rPr>
          <w:rFonts w:ascii="Times New Roman" w:hAnsi="Times New Roman"/>
          <w:sz w:val="24"/>
          <w:szCs w:val="24"/>
        </w:rPr>
        <w:t>Of the ninety (90) audit recommendations embodied in CYs 2014 to 2021 Annual Audit Reports, forty-five (45) or 50% were implemented, while forty-five (45) or 50% remained not implemented. Of the forty-five (45) implemented recommendations, thirty-two (32) were reiterated/</w:t>
      </w:r>
      <w:proofErr w:type="gramStart"/>
      <w:r>
        <w:rPr>
          <w:rFonts w:ascii="Times New Roman" w:hAnsi="Times New Roman"/>
          <w:sz w:val="24"/>
          <w:szCs w:val="24"/>
        </w:rPr>
        <w:t>revised  in</w:t>
      </w:r>
      <w:proofErr w:type="gramEnd"/>
      <w:r>
        <w:rPr>
          <w:rFonts w:ascii="Times New Roman" w:hAnsi="Times New Roman"/>
          <w:sz w:val="24"/>
          <w:szCs w:val="24"/>
        </w:rPr>
        <w:t xml:space="preserve"> current year’s audit findings.</w:t>
      </w:r>
    </w:p>
    <w:sectPr>
      <w:footerReference w:type="default" r:id="rId8"/>
      <w:pgSz w:w="12240" w:h="15840" w:code="1"/>
      <w:pgMar w:top="1440" w:right="1440" w:bottom="1440" w:left="216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48639653"/>
      <w:docPartObj>
        <w:docPartGallery w:val="Page Numbers (Bottom of Page)"/>
        <w:docPartUnique/>
      </w:docPartObj>
    </w:sdtPr>
    <w:sdtEndPr>
      <w:rPr>
        <w:noProof/>
      </w:rPr>
    </w:sdtEndPr>
    <w:sdtContent>
      <w:p>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1D370C"/>
    <w:multiLevelType w:val="hybridMultilevel"/>
    <w:tmpl w:val="73DA12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29665A1F"/>
    <w:multiLevelType w:val="hybridMultilevel"/>
    <w:tmpl w:val="251CEAA8"/>
    <w:lvl w:ilvl="0" w:tplc="34090019">
      <w:start w:val="1"/>
      <w:numFmt w:val="lowerLetter"/>
      <w:lvlText w:val="%1."/>
      <w:lvlJc w:val="left"/>
      <w:pPr>
        <w:ind w:left="1429" w:hanging="360"/>
      </w:pPr>
    </w:lvl>
    <w:lvl w:ilvl="1" w:tplc="34090019" w:tentative="1">
      <w:start w:val="1"/>
      <w:numFmt w:val="lowerLetter"/>
      <w:lvlText w:val="%2."/>
      <w:lvlJc w:val="left"/>
      <w:pPr>
        <w:ind w:left="2149" w:hanging="360"/>
      </w:pPr>
    </w:lvl>
    <w:lvl w:ilvl="2" w:tplc="3409001B" w:tentative="1">
      <w:start w:val="1"/>
      <w:numFmt w:val="lowerRoman"/>
      <w:lvlText w:val="%3."/>
      <w:lvlJc w:val="right"/>
      <w:pPr>
        <w:ind w:left="2869" w:hanging="180"/>
      </w:pPr>
    </w:lvl>
    <w:lvl w:ilvl="3" w:tplc="3409000F" w:tentative="1">
      <w:start w:val="1"/>
      <w:numFmt w:val="decimal"/>
      <w:lvlText w:val="%4."/>
      <w:lvlJc w:val="left"/>
      <w:pPr>
        <w:ind w:left="3589" w:hanging="360"/>
      </w:pPr>
    </w:lvl>
    <w:lvl w:ilvl="4" w:tplc="34090019" w:tentative="1">
      <w:start w:val="1"/>
      <w:numFmt w:val="lowerLetter"/>
      <w:lvlText w:val="%5."/>
      <w:lvlJc w:val="left"/>
      <w:pPr>
        <w:ind w:left="4309" w:hanging="360"/>
      </w:pPr>
    </w:lvl>
    <w:lvl w:ilvl="5" w:tplc="3409001B" w:tentative="1">
      <w:start w:val="1"/>
      <w:numFmt w:val="lowerRoman"/>
      <w:lvlText w:val="%6."/>
      <w:lvlJc w:val="right"/>
      <w:pPr>
        <w:ind w:left="5029" w:hanging="180"/>
      </w:pPr>
    </w:lvl>
    <w:lvl w:ilvl="6" w:tplc="3409000F" w:tentative="1">
      <w:start w:val="1"/>
      <w:numFmt w:val="decimal"/>
      <w:lvlText w:val="%7."/>
      <w:lvlJc w:val="left"/>
      <w:pPr>
        <w:ind w:left="5749" w:hanging="360"/>
      </w:pPr>
    </w:lvl>
    <w:lvl w:ilvl="7" w:tplc="34090019" w:tentative="1">
      <w:start w:val="1"/>
      <w:numFmt w:val="lowerLetter"/>
      <w:lvlText w:val="%8."/>
      <w:lvlJc w:val="left"/>
      <w:pPr>
        <w:ind w:left="6469" w:hanging="360"/>
      </w:pPr>
    </w:lvl>
    <w:lvl w:ilvl="8" w:tplc="3409001B" w:tentative="1">
      <w:start w:val="1"/>
      <w:numFmt w:val="lowerRoman"/>
      <w:lvlText w:val="%9."/>
      <w:lvlJc w:val="right"/>
      <w:pPr>
        <w:ind w:left="7189" w:hanging="180"/>
      </w:pPr>
    </w:lvl>
  </w:abstractNum>
  <w:abstractNum w:abstractNumId="2" w15:restartNumberingAfterBreak="0">
    <w:nsid w:val="363D71B9"/>
    <w:multiLevelType w:val="hybridMultilevel"/>
    <w:tmpl w:val="DEAE5C90"/>
    <w:lvl w:ilvl="0" w:tplc="78500EEA">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9922718"/>
    <w:multiLevelType w:val="hybridMultilevel"/>
    <w:tmpl w:val="F800DB3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75B1813"/>
    <w:multiLevelType w:val="hybridMultilevel"/>
    <w:tmpl w:val="73FC1042"/>
    <w:lvl w:ilvl="0" w:tplc="34090019">
      <w:start w:val="1"/>
      <w:numFmt w:val="lowerLetter"/>
      <w:lvlText w:val="%1."/>
      <w:lvlJc w:val="left"/>
      <w:pPr>
        <w:ind w:left="1725" w:hanging="1005"/>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7F0E1CA9"/>
    <w:multiLevelType w:val="hybridMultilevel"/>
    <w:tmpl w:val="E3B08CCA"/>
    <w:lvl w:ilvl="0" w:tplc="48E6F14E">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abstractNumId w:val="2"/>
  </w:num>
  <w:num w:numId="2">
    <w:abstractNumId w:val="3"/>
  </w:num>
  <w:num w:numId="3">
    <w:abstractNumId w:val="4"/>
  </w:num>
  <w:num w:numId="4">
    <w:abstractNumId w:val="1"/>
  </w:num>
  <w:num w:numId="5">
    <w:abstractNumId w:val="5"/>
  </w:num>
  <w:num w:numId="6">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revisionView w:inkAnnotations="0"/>
  <w:documentProtection w:edit="forms" w:enforcement="1" w:cryptProviderType="rsaAES" w:cryptAlgorithmClass="hash" w:cryptAlgorithmType="typeAny" w:cryptAlgorithmSid="14" w:cryptSpinCount="100000" w:hash="eFt9ubjGR4FyAPDsCSvEIYG5wuGGFO3/w8NTnUE6dxTxrH9iKQ0LzrG8cwQSzt7xNV4JJG5j8LSpVWVQFe5R1A==" w:salt="ECi7opMlcm1qcp2vMFa4dw=="/>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yNzQxNjayNDQzNjZX0lEKTi0uzszPAykwNKgFAHnNSzktAAAA"/>
  </w:docVar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DD5FB7-CCEF-47E4-82DD-F13071DA2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sz w:val="22"/>
      <w:szCs w:val="22"/>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paragraph" w:styleId="ListParagraph">
    <w:name w:val="List Paragraph"/>
    <w:aliases w:val="Resume Title"/>
    <w:basedOn w:val="Normal"/>
    <w:link w:val="ListParagraphChar"/>
    <w:uiPriority w:val="34"/>
    <w:qFormat/>
    <w:pPr>
      <w:spacing w:after="0" w:line="240" w:lineRule="auto"/>
      <w:ind w:left="720"/>
      <w:contextualSpacing/>
      <w:jc w:val="both"/>
    </w:pPr>
    <w:rPr>
      <w:lang w:val="en-US"/>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nhideWhenUsed/>
    <w:pPr>
      <w:spacing w:after="120" w:line="240" w:lineRule="auto"/>
    </w:pPr>
    <w:rPr>
      <w:rFonts w:ascii="Times New Roman" w:eastAsia="Times New Roman" w:hAnsi="Times New Roman"/>
      <w:sz w:val="24"/>
      <w:szCs w:val="24"/>
    </w:rPr>
  </w:style>
  <w:style w:type="character" w:customStyle="1" w:styleId="BodyTextChar">
    <w:name w:val="Body Text Char"/>
    <w:link w:val="BodyText"/>
    <w:rPr>
      <w:rFonts w:ascii="Times New Roman" w:eastAsia="Times New Roman" w:hAnsi="Times New Roman" w:cs="Times New Roman"/>
      <w:sz w:val="24"/>
      <w:szCs w:val="24"/>
    </w:rPr>
  </w:style>
  <w:style w:type="character" w:styleId="Hyperlink">
    <w:name w:val="Hyperlink"/>
    <w:uiPriority w:val="99"/>
    <w:unhideWhenUsed/>
    <w:rPr>
      <w:color w:val="0000FF"/>
      <w:u w:val="single"/>
    </w:rPr>
  </w:style>
  <w:style w:type="paragraph" w:styleId="NoSpacing">
    <w:name w:val="No Spacing"/>
    <w:link w:val="NoSpacingChar"/>
    <w:uiPriority w:val="1"/>
    <w:qFormat/>
    <w:rPr>
      <w:sz w:val="22"/>
      <w:szCs w:val="22"/>
      <w:lang w:val="en-PH"/>
    </w:rPr>
  </w:style>
  <w:style w:type="table" w:customStyle="1" w:styleId="TableGrid1">
    <w:name w:val="Table Grid1"/>
    <w:basedOn w:val="TableNormal"/>
    <w:next w:val="TableGrid"/>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pPr>
      <w:spacing w:after="0" w:line="240" w:lineRule="auto"/>
    </w:pPr>
    <w:rPr>
      <w:sz w:val="20"/>
      <w:szCs w:val="20"/>
    </w:rPr>
  </w:style>
  <w:style w:type="character" w:customStyle="1" w:styleId="EndnoteTextChar">
    <w:name w:val="Endnote Text Char"/>
    <w:link w:val="EndnoteText"/>
    <w:uiPriority w:val="99"/>
    <w:rPr>
      <w:sz w:val="20"/>
      <w:szCs w:val="20"/>
    </w:rPr>
  </w:style>
  <w:style w:type="character" w:styleId="EndnoteReference">
    <w:name w:val="endnote reference"/>
    <w:uiPriority w:val="99"/>
    <w:unhideWhenUsed/>
    <w:rPr>
      <w:vertAlign w:val="superscript"/>
    </w:rPr>
  </w:style>
  <w:style w:type="table" w:customStyle="1" w:styleId="TableGrid2">
    <w:name w:val="Table Grid2"/>
    <w:basedOn w:val="TableNormal"/>
    <w:next w:val="TableGrid"/>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uiPriority w:val="99"/>
    <w:unhideWhenUsed/>
    <w:rPr>
      <w:sz w:val="20"/>
      <w:szCs w:val="20"/>
    </w:rPr>
  </w:style>
  <w:style w:type="character" w:customStyle="1" w:styleId="FootnoteTextChar">
    <w:name w:val="Footnote Text Char"/>
    <w:basedOn w:val="DefaultParagraphFont"/>
    <w:link w:val="FootnoteText"/>
    <w:uiPriority w:val="99"/>
    <w:rPr>
      <w:lang w:val="en-PH"/>
    </w:rPr>
  </w:style>
  <w:style w:type="character" w:styleId="FootnoteReference">
    <w:name w:val="footnote reference"/>
    <w:uiPriority w:val="99"/>
    <w:semiHidden/>
    <w:unhideWhenUsed/>
    <w:rPr>
      <w:vertAlign w:val="superscript"/>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lang w:val="en-PH"/>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lang w:val="en-PH"/>
    </w:rPr>
  </w:style>
  <w:style w:type="character" w:customStyle="1" w:styleId="ListParagraphChar">
    <w:name w:val="List Paragraph Char"/>
    <w:aliases w:val="Resume Title Char"/>
    <w:link w:val="ListParagraph"/>
    <w:uiPriority w:val="34"/>
    <w:qFormat/>
    <w:rPr>
      <w:sz w:val="22"/>
      <w:szCs w:val="22"/>
    </w:rPr>
  </w:style>
  <w:style w:type="character" w:customStyle="1" w:styleId="NoSpacingChar">
    <w:name w:val="No Spacing Char"/>
    <w:link w:val="NoSpacing"/>
    <w:uiPriority w:val="1"/>
    <w:locked/>
    <w:rPr>
      <w:sz w:val="22"/>
      <w:szCs w:val="22"/>
      <w:lang w:val="en-PH"/>
    </w:rPr>
  </w:style>
  <w:style w:type="paragraph" w:styleId="Revision">
    <w:name w:val="Revision"/>
    <w:hidden/>
    <w:uiPriority w:val="99"/>
    <w:semiHidden/>
    <w:rPr>
      <w:sz w:val="22"/>
      <w:szCs w:val="22"/>
      <w:lang w:val="en-PH"/>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sz w:val="22"/>
      <w:szCs w:val="22"/>
      <w:lang w:val="en-PH"/>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sz w:val="22"/>
      <w:szCs w:val="22"/>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659872">
      <w:bodyDiv w:val="1"/>
      <w:marLeft w:val="0"/>
      <w:marRight w:val="0"/>
      <w:marTop w:val="0"/>
      <w:marBottom w:val="0"/>
      <w:divBdr>
        <w:top w:val="none" w:sz="0" w:space="0" w:color="auto"/>
        <w:left w:val="none" w:sz="0" w:space="0" w:color="auto"/>
        <w:bottom w:val="none" w:sz="0" w:space="0" w:color="auto"/>
        <w:right w:val="none" w:sz="0" w:space="0" w:color="auto"/>
      </w:divBdr>
    </w:div>
    <w:div w:id="49696716">
      <w:bodyDiv w:val="1"/>
      <w:marLeft w:val="0"/>
      <w:marRight w:val="0"/>
      <w:marTop w:val="0"/>
      <w:marBottom w:val="0"/>
      <w:divBdr>
        <w:top w:val="none" w:sz="0" w:space="0" w:color="auto"/>
        <w:left w:val="none" w:sz="0" w:space="0" w:color="auto"/>
        <w:bottom w:val="none" w:sz="0" w:space="0" w:color="auto"/>
        <w:right w:val="none" w:sz="0" w:space="0" w:color="auto"/>
      </w:divBdr>
    </w:div>
    <w:div w:id="68967711">
      <w:bodyDiv w:val="1"/>
      <w:marLeft w:val="0"/>
      <w:marRight w:val="0"/>
      <w:marTop w:val="0"/>
      <w:marBottom w:val="0"/>
      <w:divBdr>
        <w:top w:val="none" w:sz="0" w:space="0" w:color="auto"/>
        <w:left w:val="none" w:sz="0" w:space="0" w:color="auto"/>
        <w:bottom w:val="none" w:sz="0" w:space="0" w:color="auto"/>
        <w:right w:val="none" w:sz="0" w:space="0" w:color="auto"/>
      </w:divBdr>
    </w:div>
    <w:div w:id="103811175">
      <w:bodyDiv w:val="1"/>
      <w:marLeft w:val="0"/>
      <w:marRight w:val="0"/>
      <w:marTop w:val="0"/>
      <w:marBottom w:val="0"/>
      <w:divBdr>
        <w:top w:val="none" w:sz="0" w:space="0" w:color="auto"/>
        <w:left w:val="none" w:sz="0" w:space="0" w:color="auto"/>
        <w:bottom w:val="none" w:sz="0" w:space="0" w:color="auto"/>
        <w:right w:val="none" w:sz="0" w:space="0" w:color="auto"/>
      </w:divBdr>
    </w:div>
    <w:div w:id="236982008">
      <w:bodyDiv w:val="1"/>
      <w:marLeft w:val="0"/>
      <w:marRight w:val="0"/>
      <w:marTop w:val="0"/>
      <w:marBottom w:val="0"/>
      <w:divBdr>
        <w:top w:val="none" w:sz="0" w:space="0" w:color="auto"/>
        <w:left w:val="none" w:sz="0" w:space="0" w:color="auto"/>
        <w:bottom w:val="none" w:sz="0" w:space="0" w:color="auto"/>
        <w:right w:val="none" w:sz="0" w:space="0" w:color="auto"/>
      </w:divBdr>
    </w:div>
    <w:div w:id="471483322">
      <w:bodyDiv w:val="1"/>
      <w:marLeft w:val="0"/>
      <w:marRight w:val="0"/>
      <w:marTop w:val="0"/>
      <w:marBottom w:val="0"/>
      <w:divBdr>
        <w:top w:val="none" w:sz="0" w:space="0" w:color="auto"/>
        <w:left w:val="none" w:sz="0" w:space="0" w:color="auto"/>
        <w:bottom w:val="none" w:sz="0" w:space="0" w:color="auto"/>
        <w:right w:val="none" w:sz="0" w:space="0" w:color="auto"/>
      </w:divBdr>
    </w:div>
    <w:div w:id="591547165">
      <w:bodyDiv w:val="1"/>
      <w:marLeft w:val="0"/>
      <w:marRight w:val="0"/>
      <w:marTop w:val="0"/>
      <w:marBottom w:val="0"/>
      <w:divBdr>
        <w:top w:val="none" w:sz="0" w:space="0" w:color="auto"/>
        <w:left w:val="none" w:sz="0" w:space="0" w:color="auto"/>
        <w:bottom w:val="none" w:sz="0" w:space="0" w:color="auto"/>
        <w:right w:val="none" w:sz="0" w:space="0" w:color="auto"/>
      </w:divBdr>
    </w:div>
    <w:div w:id="661391348">
      <w:bodyDiv w:val="1"/>
      <w:marLeft w:val="0"/>
      <w:marRight w:val="0"/>
      <w:marTop w:val="0"/>
      <w:marBottom w:val="0"/>
      <w:divBdr>
        <w:top w:val="none" w:sz="0" w:space="0" w:color="auto"/>
        <w:left w:val="none" w:sz="0" w:space="0" w:color="auto"/>
        <w:bottom w:val="none" w:sz="0" w:space="0" w:color="auto"/>
        <w:right w:val="none" w:sz="0" w:space="0" w:color="auto"/>
      </w:divBdr>
    </w:div>
    <w:div w:id="669647616">
      <w:bodyDiv w:val="1"/>
      <w:marLeft w:val="0"/>
      <w:marRight w:val="0"/>
      <w:marTop w:val="0"/>
      <w:marBottom w:val="0"/>
      <w:divBdr>
        <w:top w:val="none" w:sz="0" w:space="0" w:color="auto"/>
        <w:left w:val="none" w:sz="0" w:space="0" w:color="auto"/>
        <w:bottom w:val="none" w:sz="0" w:space="0" w:color="auto"/>
        <w:right w:val="none" w:sz="0" w:space="0" w:color="auto"/>
      </w:divBdr>
    </w:div>
    <w:div w:id="720639042">
      <w:bodyDiv w:val="1"/>
      <w:marLeft w:val="0"/>
      <w:marRight w:val="0"/>
      <w:marTop w:val="0"/>
      <w:marBottom w:val="0"/>
      <w:divBdr>
        <w:top w:val="none" w:sz="0" w:space="0" w:color="auto"/>
        <w:left w:val="none" w:sz="0" w:space="0" w:color="auto"/>
        <w:bottom w:val="none" w:sz="0" w:space="0" w:color="auto"/>
        <w:right w:val="none" w:sz="0" w:space="0" w:color="auto"/>
      </w:divBdr>
    </w:div>
    <w:div w:id="759254013">
      <w:bodyDiv w:val="1"/>
      <w:marLeft w:val="0"/>
      <w:marRight w:val="0"/>
      <w:marTop w:val="0"/>
      <w:marBottom w:val="0"/>
      <w:divBdr>
        <w:top w:val="none" w:sz="0" w:space="0" w:color="auto"/>
        <w:left w:val="none" w:sz="0" w:space="0" w:color="auto"/>
        <w:bottom w:val="none" w:sz="0" w:space="0" w:color="auto"/>
        <w:right w:val="none" w:sz="0" w:space="0" w:color="auto"/>
      </w:divBdr>
    </w:div>
    <w:div w:id="917327481">
      <w:bodyDiv w:val="1"/>
      <w:marLeft w:val="0"/>
      <w:marRight w:val="0"/>
      <w:marTop w:val="0"/>
      <w:marBottom w:val="0"/>
      <w:divBdr>
        <w:top w:val="none" w:sz="0" w:space="0" w:color="auto"/>
        <w:left w:val="none" w:sz="0" w:space="0" w:color="auto"/>
        <w:bottom w:val="none" w:sz="0" w:space="0" w:color="auto"/>
        <w:right w:val="none" w:sz="0" w:space="0" w:color="auto"/>
      </w:divBdr>
    </w:div>
    <w:div w:id="1032002004">
      <w:bodyDiv w:val="1"/>
      <w:marLeft w:val="0"/>
      <w:marRight w:val="0"/>
      <w:marTop w:val="0"/>
      <w:marBottom w:val="0"/>
      <w:divBdr>
        <w:top w:val="none" w:sz="0" w:space="0" w:color="auto"/>
        <w:left w:val="none" w:sz="0" w:space="0" w:color="auto"/>
        <w:bottom w:val="none" w:sz="0" w:space="0" w:color="auto"/>
        <w:right w:val="none" w:sz="0" w:space="0" w:color="auto"/>
      </w:divBdr>
    </w:div>
    <w:div w:id="1096056530">
      <w:bodyDiv w:val="1"/>
      <w:marLeft w:val="0"/>
      <w:marRight w:val="0"/>
      <w:marTop w:val="0"/>
      <w:marBottom w:val="0"/>
      <w:divBdr>
        <w:top w:val="none" w:sz="0" w:space="0" w:color="auto"/>
        <w:left w:val="none" w:sz="0" w:space="0" w:color="auto"/>
        <w:bottom w:val="none" w:sz="0" w:space="0" w:color="auto"/>
        <w:right w:val="none" w:sz="0" w:space="0" w:color="auto"/>
      </w:divBdr>
    </w:div>
    <w:div w:id="1167012976">
      <w:bodyDiv w:val="1"/>
      <w:marLeft w:val="0"/>
      <w:marRight w:val="0"/>
      <w:marTop w:val="0"/>
      <w:marBottom w:val="0"/>
      <w:divBdr>
        <w:top w:val="none" w:sz="0" w:space="0" w:color="auto"/>
        <w:left w:val="none" w:sz="0" w:space="0" w:color="auto"/>
        <w:bottom w:val="none" w:sz="0" w:space="0" w:color="auto"/>
        <w:right w:val="none" w:sz="0" w:space="0" w:color="auto"/>
      </w:divBdr>
    </w:div>
    <w:div w:id="1178156375">
      <w:bodyDiv w:val="1"/>
      <w:marLeft w:val="0"/>
      <w:marRight w:val="0"/>
      <w:marTop w:val="0"/>
      <w:marBottom w:val="0"/>
      <w:divBdr>
        <w:top w:val="none" w:sz="0" w:space="0" w:color="auto"/>
        <w:left w:val="none" w:sz="0" w:space="0" w:color="auto"/>
        <w:bottom w:val="none" w:sz="0" w:space="0" w:color="auto"/>
        <w:right w:val="none" w:sz="0" w:space="0" w:color="auto"/>
      </w:divBdr>
    </w:div>
    <w:div w:id="1239899186">
      <w:bodyDiv w:val="1"/>
      <w:marLeft w:val="0"/>
      <w:marRight w:val="0"/>
      <w:marTop w:val="0"/>
      <w:marBottom w:val="0"/>
      <w:divBdr>
        <w:top w:val="none" w:sz="0" w:space="0" w:color="auto"/>
        <w:left w:val="none" w:sz="0" w:space="0" w:color="auto"/>
        <w:bottom w:val="none" w:sz="0" w:space="0" w:color="auto"/>
        <w:right w:val="none" w:sz="0" w:space="0" w:color="auto"/>
      </w:divBdr>
    </w:div>
    <w:div w:id="1269268393">
      <w:bodyDiv w:val="1"/>
      <w:marLeft w:val="0"/>
      <w:marRight w:val="0"/>
      <w:marTop w:val="0"/>
      <w:marBottom w:val="0"/>
      <w:divBdr>
        <w:top w:val="none" w:sz="0" w:space="0" w:color="auto"/>
        <w:left w:val="none" w:sz="0" w:space="0" w:color="auto"/>
        <w:bottom w:val="none" w:sz="0" w:space="0" w:color="auto"/>
        <w:right w:val="none" w:sz="0" w:space="0" w:color="auto"/>
      </w:divBdr>
    </w:div>
    <w:div w:id="1287590612">
      <w:bodyDiv w:val="1"/>
      <w:marLeft w:val="0"/>
      <w:marRight w:val="0"/>
      <w:marTop w:val="0"/>
      <w:marBottom w:val="0"/>
      <w:divBdr>
        <w:top w:val="none" w:sz="0" w:space="0" w:color="auto"/>
        <w:left w:val="none" w:sz="0" w:space="0" w:color="auto"/>
        <w:bottom w:val="none" w:sz="0" w:space="0" w:color="auto"/>
        <w:right w:val="none" w:sz="0" w:space="0" w:color="auto"/>
      </w:divBdr>
    </w:div>
    <w:div w:id="1322002784">
      <w:bodyDiv w:val="1"/>
      <w:marLeft w:val="0"/>
      <w:marRight w:val="0"/>
      <w:marTop w:val="0"/>
      <w:marBottom w:val="0"/>
      <w:divBdr>
        <w:top w:val="none" w:sz="0" w:space="0" w:color="auto"/>
        <w:left w:val="none" w:sz="0" w:space="0" w:color="auto"/>
        <w:bottom w:val="none" w:sz="0" w:space="0" w:color="auto"/>
        <w:right w:val="none" w:sz="0" w:space="0" w:color="auto"/>
      </w:divBdr>
    </w:div>
    <w:div w:id="1386559730">
      <w:bodyDiv w:val="1"/>
      <w:marLeft w:val="0"/>
      <w:marRight w:val="0"/>
      <w:marTop w:val="0"/>
      <w:marBottom w:val="0"/>
      <w:divBdr>
        <w:top w:val="none" w:sz="0" w:space="0" w:color="auto"/>
        <w:left w:val="none" w:sz="0" w:space="0" w:color="auto"/>
        <w:bottom w:val="none" w:sz="0" w:space="0" w:color="auto"/>
        <w:right w:val="none" w:sz="0" w:space="0" w:color="auto"/>
      </w:divBdr>
    </w:div>
    <w:div w:id="1392386567">
      <w:bodyDiv w:val="1"/>
      <w:marLeft w:val="0"/>
      <w:marRight w:val="0"/>
      <w:marTop w:val="0"/>
      <w:marBottom w:val="0"/>
      <w:divBdr>
        <w:top w:val="none" w:sz="0" w:space="0" w:color="auto"/>
        <w:left w:val="none" w:sz="0" w:space="0" w:color="auto"/>
        <w:bottom w:val="none" w:sz="0" w:space="0" w:color="auto"/>
        <w:right w:val="none" w:sz="0" w:space="0" w:color="auto"/>
      </w:divBdr>
    </w:div>
    <w:div w:id="1563828268">
      <w:bodyDiv w:val="1"/>
      <w:marLeft w:val="0"/>
      <w:marRight w:val="0"/>
      <w:marTop w:val="0"/>
      <w:marBottom w:val="0"/>
      <w:divBdr>
        <w:top w:val="none" w:sz="0" w:space="0" w:color="auto"/>
        <w:left w:val="none" w:sz="0" w:space="0" w:color="auto"/>
        <w:bottom w:val="none" w:sz="0" w:space="0" w:color="auto"/>
        <w:right w:val="none" w:sz="0" w:space="0" w:color="auto"/>
      </w:divBdr>
    </w:div>
    <w:div w:id="1628658165">
      <w:bodyDiv w:val="1"/>
      <w:marLeft w:val="0"/>
      <w:marRight w:val="0"/>
      <w:marTop w:val="0"/>
      <w:marBottom w:val="0"/>
      <w:divBdr>
        <w:top w:val="none" w:sz="0" w:space="0" w:color="auto"/>
        <w:left w:val="none" w:sz="0" w:space="0" w:color="auto"/>
        <w:bottom w:val="none" w:sz="0" w:space="0" w:color="auto"/>
        <w:right w:val="none" w:sz="0" w:space="0" w:color="auto"/>
      </w:divBdr>
    </w:div>
    <w:div w:id="1745227274">
      <w:bodyDiv w:val="1"/>
      <w:marLeft w:val="0"/>
      <w:marRight w:val="0"/>
      <w:marTop w:val="0"/>
      <w:marBottom w:val="0"/>
      <w:divBdr>
        <w:top w:val="none" w:sz="0" w:space="0" w:color="auto"/>
        <w:left w:val="none" w:sz="0" w:space="0" w:color="auto"/>
        <w:bottom w:val="none" w:sz="0" w:space="0" w:color="auto"/>
        <w:right w:val="none" w:sz="0" w:space="0" w:color="auto"/>
      </w:divBdr>
    </w:div>
    <w:div w:id="1838879309">
      <w:bodyDiv w:val="1"/>
      <w:marLeft w:val="0"/>
      <w:marRight w:val="0"/>
      <w:marTop w:val="0"/>
      <w:marBottom w:val="0"/>
      <w:divBdr>
        <w:top w:val="none" w:sz="0" w:space="0" w:color="auto"/>
        <w:left w:val="none" w:sz="0" w:space="0" w:color="auto"/>
        <w:bottom w:val="none" w:sz="0" w:space="0" w:color="auto"/>
        <w:right w:val="none" w:sz="0" w:space="0" w:color="auto"/>
      </w:divBdr>
    </w:div>
    <w:div w:id="1866824678">
      <w:bodyDiv w:val="1"/>
      <w:marLeft w:val="0"/>
      <w:marRight w:val="0"/>
      <w:marTop w:val="0"/>
      <w:marBottom w:val="0"/>
      <w:divBdr>
        <w:top w:val="none" w:sz="0" w:space="0" w:color="auto"/>
        <w:left w:val="none" w:sz="0" w:space="0" w:color="auto"/>
        <w:bottom w:val="none" w:sz="0" w:space="0" w:color="auto"/>
        <w:right w:val="none" w:sz="0" w:space="0" w:color="auto"/>
      </w:divBdr>
    </w:div>
    <w:div w:id="2049717434">
      <w:bodyDiv w:val="1"/>
      <w:marLeft w:val="0"/>
      <w:marRight w:val="0"/>
      <w:marTop w:val="0"/>
      <w:marBottom w:val="0"/>
      <w:divBdr>
        <w:top w:val="none" w:sz="0" w:space="0" w:color="auto"/>
        <w:left w:val="none" w:sz="0" w:space="0" w:color="auto"/>
        <w:bottom w:val="none" w:sz="0" w:space="0" w:color="auto"/>
        <w:right w:val="none" w:sz="0" w:space="0" w:color="auto"/>
      </w:divBdr>
    </w:div>
    <w:div w:id="2071422346">
      <w:bodyDiv w:val="1"/>
      <w:marLeft w:val="0"/>
      <w:marRight w:val="0"/>
      <w:marTop w:val="0"/>
      <w:marBottom w:val="0"/>
      <w:divBdr>
        <w:top w:val="none" w:sz="0" w:space="0" w:color="auto"/>
        <w:left w:val="none" w:sz="0" w:space="0" w:color="auto"/>
        <w:bottom w:val="none" w:sz="0" w:space="0" w:color="auto"/>
        <w:right w:val="none" w:sz="0" w:space="0" w:color="auto"/>
      </w:divBdr>
    </w:div>
    <w:div w:id="2136097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72B514-4026-46FB-9C16-0541168A9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1512</Words>
  <Characters>8622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Executive Summary</vt:lpstr>
    </vt:vector>
  </TitlesOfParts>
  <Company/>
  <LinksUpToDate>false</LinksUpToDate>
  <CharactersWithSpaces>10114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dc:title>
  <dc:creator>COA - City of Panabo, Davao del Norte</dc:creator>
  <cp:lastModifiedBy>Ben A. Lazo, Jr.</cp:lastModifiedBy>
  <cp:revision>6</cp:revision>
  <cp:lastPrinted>2022-05-23T02:36:00Z</cp:lastPrinted>
  <dcterms:created xsi:type="dcterms:W3CDTF">2023-05-12T04:33:00Z</dcterms:created>
  <dcterms:modified xsi:type="dcterms:W3CDTF">2023-06-27T00:23:00Z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fdd50731aff991c46e7655c6d69b3ce79909f598b5cc1795127b61c7f8015add</vt:lpwstr>
  </property>
</Properties>
</file>