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TABLE OF CONTENTS </w:t>
      </w:r>
    </w:p>
    <w:tbl>
      <w:tblPr>
        <w:tblStyle w:val="TableGrid"/>
        <w:tblW w:w="88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3"/>
        <w:gridCol w:w="5136"/>
        <w:gridCol w:w="1192"/>
        <w:gridCol w:w="91"/>
        <w:gridCol w:w="1192"/>
      </w:tblGrid>
      <w:tr>
        <w:trPr>
          <w:trHeight w:val="271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I</w:t>
            </w: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AUDITED FINANCIAL STATEMENTS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rPr>
          <w:trHeight w:val="80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Independent Auditor’s Report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>
        <w:trPr>
          <w:trHeight w:val="120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542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Management’s Responsibility for Financial Statements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>
        <w:trPr>
          <w:trHeight w:val="120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71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Financial Position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>
        <w:trPr>
          <w:trHeight w:val="120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71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Financial Performance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>
        <w:trPr>
          <w:trHeight w:val="120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Changes in Net Assets/Equity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Cash Flows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Statement of Comparison of Budget and Actual Amounts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 to Financial Statements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>
        <w:trPr>
          <w:trHeight w:val="271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II</w:t>
            </w: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OBSERVATIONS AND RECOMMENDATIONS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22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Financial Audit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369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Compliance Audit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</w:tr>
      <w:tr>
        <w:trPr>
          <w:trHeight w:val="227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Utilization of Fund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</w:p>
        </w:tc>
      </w:tr>
      <w:tr>
        <w:trPr>
          <w:trHeight w:val="4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  <w:vAlign w:val="bottom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192" w:type="dxa"/>
            <w:vAlign w:val="bottom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</w:t>
            </w: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557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III</w:t>
            </w:r>
          </w:p>
        </w:tc>
        <w:tc>
          <w:tcPr>
            <w:tcW w:w="6419" w:type="dxa"/>
            <w:gridSpan w:val="3"/>
          </w:tcPr>
          <w:p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 OF IMPLEMENTATION OF PRIOR YEARS’ RECOMMENDATIONS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105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>
        <w:trPr>
          <w:trHeight w:val="557"/>
        </w:trPr>
        <w:tc>
          <w:tcPr>
            <w:tcW w:w="1283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of Implementation of Prior Years’ Audit Recommendations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</w:tr>
      <w:tr>
        <w:trPr>
          <w:trHeight w:val="286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271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IV</w:t>
            </w:r>
          </w:p>
        </w:tc>
        <w:tc>
          <w:tcPr>
            <w:tcW w:w="6419" w:type="dxa"/>
            <w:gridSpan w:val="3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ANNEXES</w:t>
            </w:r>
          </w:p>
        </w:tc>
        <w:tc>
          <w:tcPr>
            <w:tcW w:w="1192" w:type="dxa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– General Fund – Condensed Financial Statements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A.1 – General Fund – Statement of Financial Position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A.2 – General Fund – Statement of Financial Performance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A.3 – General Fund – Statement of Changes in Net Assets/Equity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A.4 – General Fund – Statement of Cash Flows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A.5 – General Fund – Statement of Comparison of Budget and Actual Amounts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 – Special Education Fund – Condensed Financial Statements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B.1 – Special Education Fund – Statement of Financial Position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B.2 – Special Education Fund – Statement of Financial Performance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B.3 – Special Education Fund – Statement of Changes in Net Assets/Equity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B.4 – Special Education Fund – Statement of Cash Flows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B.5 – Special Education Fund – Statement of Comparison of Budget and Actual Amounts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 – Trust Fund – Condensed Financial Statements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C.1 – Trust Fund – Statement of Financial Position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C.2 – Trust Fund – Statement of Financial Performance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C.3 – Trust Fund – Statement of Changes in Net Assets/Equity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C.4 – Trust Fund – Statement of Cash Flows</w:t>
            </w:r>
          </w:p>
        </w:tc>
      </w:tr>
      <w:tr>
        <w:trPr>
          <w:trHeight w:val="333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 – Unadjusted Book Reconciling Items under Bank Reconciliation Items</w:t>
            </w:r>
          </w:p>
        </w:tc>
      </w:tr>
      <w:tr>
        <w:trPr>
          <w:trHeight w:val="315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 – List of Unsubmitted Cancelled Checks</w:t>
            </w:r>
          </w:p>
        </w:tc>
      </w:tr>
      <w:tr>
        <w:trPr>
          <w:trHeight w:val="288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– List of PPE Classified in the Inappropriate Accounts</w:t>
            </w:r>
          </w:p>
        </w:tc>
      </w:tr>
      <w:tr>
        <w:trPr>
          <w:trHeight w:val="288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  <w:gridSpan w:val="3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 – List of PPE with Inconsistent Classification</w:t>
            </w:r>
          </w:p>
        </w:tc>
        <w:tc>
          <w:tcPr>
            <w:tcW w:w="1192" w:type="dxa"/>
            <w:tcBorders>
              <w:left w:val="nil"/>
            </w:tcBorders>
          </w:tcPr>
          <w:p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288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 – List of PPE with Acquisition Cost Below P50,000.00</w:t>
            </w:r>
          </w:p>
        </w:tc>
      </w:tr>
      <w:tr>
        <w:trPr>
          <w:trHeight w:val="288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– List of PPE Used/Utilized by Other Government Agencies</w:t>
            </w:r>
          </w:p>
        </w:tc>
      </w:tr>
      <w:tr>
        <w:trPr>
          <w:trHeight w:val="288"/>
        </w:trPr>
        <w:tc>
          <w:tcPr>
            <w:tcW w:w="1283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4"/>
          </w:tcPr>
          <w:p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gridAfter w:val="2"/>
          <w:wAfter w:w="1283" w:type="dxa"/>
          <w:trHeight w:val="315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 – List of Projects Still Recorded under Construction in Progress Accounts but Certified as Completed by CEO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– Summary of Computed Depreciation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6419" w:type="dxa"/>
            <w:gridSpan w:val="2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 – List of Completed Projects With No Exact Date of Completion but Certified as Complete by CEO</w:t>
            </w:r>
          </w:p>
        </w:tc>
        <w:tc>
          <w:tcPr>
            <w:tcW w:w="1192" w:type="dxa"/>
            <w:tcBorders>
              <w:left w:val="nil"/>
            </w:tcBorders>
          </w:tcPr>
          <w:p>
            <w:pPr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– Schedule of long outstanding claims recorded under Accounts Payable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– List of Specific Projects charged under the 20% DF Project with Generic Titles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– Schedule of excess of contract price from Approved Budget of cost for work item "Facilities for Engineers"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– Schedule of Infrastructure Projects with Noted Deficiencies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 – Unutilized Appropriations For Infrastructure Projects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Unreverted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Appropriation/Allotment Balances Of Program/Projects/Activities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– Unutilized Appropriations For Capital Outlay And Non-Infrastructure Projects</w:t>
            </w:r>
          </w:p>
        </w:tc>
      </w:tr>
      <w:tr>
        <w:trPr>
          <w:gridAfter w:val="2"/>
          <w:wAfter w:w="1283" w:type="dxa"/>
          <w:trHeight w:val="288"/>
        </w:trPr>
        <w:tc>
          <w:tcPr>
            <w:tcW w:w="7611" w:type="dxa"/>
            <w:gridSpan w:val="3"/>
          </w:tcPr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ListParagraph"/>
              <w:ind w:left="170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– Schedule of PPAs with Unutilized LDRRM Funds</w:t>
            </w:r>
          </w:p>
        </w:tc>
      </w:tr>
    </w:tbl>
    <w:p>
      <w:pPr>
        <w:pStyle w:val="ListParagraph"/>
        <w:ind w:left="1620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07C0A"/>
    <w:multiLevelType w:val="hybridMultilevel"/>
    <w:tmpl w:val="56D0C2A6"/>
    <w:lvl w:ilvl="0" w:tplc="B3A09B7E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2C1D2E"/>
    <w:multiLevelType w:val="hybridMultilevel"/>
    <w:tmpl w:val="AE9AC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C12F4"/>
    <w:multiLevelType w:val="hybridMultilevel"/>
    <w:tmpl w:val="202A64D8"/>
    <w:lvl w:ilvl="0" w:tplc="61044C22">
      <w:start w:val="6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613277A6"/>
    <w:multiLevelType w:val="hybridMultilevel"/>
    <w:tmpl w:val="6B1A2F86"/>
    <w:lvl w:ilvl="0" w:tplc="F87079FE">
      <w:start w:val="6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6C9D0E99"/>
    <w:multiLevelType w:val="hybridMultilevel"/>
    <w:tmpl w:val="B7467360"/>
    <w:lvl w:ilvl="0" w:tplc="861C659E">
      <w:start w:val="6"/>
      <w:numFmt w:val="upperLetter"/>
      <w:lvlText w:val="%1."/>
      <w:lvlJc w:val="left"/>
      <w:pPr>
        <w:ind w:left="189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ocumentProtection w:edit="forms" w:enforcement="1" w:cryptProviderType="rsaAES" w:cryptAlgorithmClass="hash" w:cryptAlgorithmType="typeAny" w:cryptAlgorithmSid="14" w:cryptSpinCount="100000" w:hash="tnCGSFcpbh3r6oQjajEdinG5uIVP0q1QD3wUOkmmKmsjCnffrPWjT0RzyghJ96BCZHRHAZR8KOZ4ba9d8BB9Wg==" w:salt="eutebshGKBtGPiVL4lZc2g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zY2MzMxNTIxMzVX0lEKTi0uzszPAykwqgUA0um4pCwAAAA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A258DD-FD81-409C-874F-F7D249A2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Revision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1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creator>COA - City of Panabo, Davao del Norte</dc:creator>
  <cp:lastModifiedBy>Ben A. Lazo, Jr.</cp:lastModifiedBy>
  <cp:revision>122</cp:revision>
  <cp:lastPrinted>2021-04-26T02:22:00Z</cp:lastPrinted>
  <dcterms:created xsi:type="dcterms:W3CDTF">2018-04-10T12:11:00Z</dcterms:created>
  <dcterms:modified xsi:type="dcterms:W3CDTF">2023-06-27T00:24:00Z</dcterms:modified>
</cp:coreProperties>
</file>