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both"/>
        <w:rPr>
          <w:b/>
          <w:bCs/>
          <w:sz w:val="24"/>
          <w:szCs w:val="24"/>
        </w:rPr>
      </w:pPr>
      <w:bookmarkStart w:id="0" w:name="_GoBack"/>
      <w:bookmarkEnd w:id="0"/>
    </w:p>
    <w:p>
      <w:pPr>
        <w:jc w:val="both"/>
        <w:rPr>
          <w:b/>
          <w:bCs/>
          <w:sz w:val="24"/>
          <w:szCs w:val="24"/>
        </w:rPr>
      </w:pPr>
      <w:r>
        <w:rPr>
          <w:b/>
          <w:bCs/>
          <w:sz w:val="24"/>
          <w:szCs w:val="24"/>
        </w:rPr>
        <w:t xml:space="preserve">Note 1 – Profile </w:t>
      </w:r>
    </w:p>
    <w:p>
      <w:pPr>
        <w:jc w:val="both"/>
        <w:rPr>
          <w:b/>
          <w:bCs/>
          <w:sz w:val="24"/>
          <w:szCs w:val="24"/>
        </w:rPr>
      </w:pPr>
    </w:p>
    <w:p>
      <w:pPr>
        <w:spacing w:line="276" w:lineRule="auto"/>
        <w:ind w:left="850"/>
        <w:jc w:val="both"/>
        <w:rPr>
          <w:bCs/>
          <w:sz w:val="24"/>
          <w:szCs w:val="24"/>
        </w:rPr>
      </w:pPr>
      <w:r>
        <w:rPr>
          <w:bCs/>
          <w:sz w:val="24"/>
          <w:szCs w:val="24"/>
        </w:rPr>
        <w:t xml:space="preserve">The City Government of </w:t>
      </w:r>
      <w:proofErr w:type="spellStart"/>
      <w:r>
        <w:rPr>
          <w:bCs/>
          <w:sz w:val="24"/>
          <w:szCs w:val="24"/>
        </w:rPr>
        <w:t>Panabo</w:t>
      </w:r>
      <w:proofErr w:type="spellEnd"/>
      <w:r>
        <w:rPr>
          <w:bCs/>
          <w:sz w:val="24"/>
          <w:szCs w:val="24"/>
        </w:rPr>
        <w:t xml:space="preserve"> was created by virtue of Republic Act No. 9015 dated March 31, 2001. It is a third-class component city of the Province of Davao del Norte composed of 40 Barangays, of which eleven (11) barangays are classified as urban barangay while twenty-nine (29) were classified as rural barangays. </w:t>
      </w:r>
    </w:p>
    <w:p>
      <w:pPr>
        <w:ind w:left="851"/>
        <w:jc w:val="both"/>
        <w:rPr>
          <w:bCs/>
          <w:sz w:val="24"/>
          <w:szCs w:val="24"/>
        </w:rPr>
      </w:pPr>
    </w:p>
    <w:p>
      <w:pPr>
        <w:spacing w:line="276" w:lineRule="auto"/>
        <w:ind w:left="851"/>
        <w:jc w:val="both"/>
        <w:rPr>
          <w:bCs/>
          <w:sz w:val="24"/>
          <w:szCs w:val="24"/>
        </w:rPr>
      </w:pPr>
      <w:r>
        <w:rPr>
          <w:bCs/>
          <w:sz w:val="24"/>
          <w:szCs w:val="24"/>
        </w:rPr>
        <w:t xml:space="preserve">It is within the latitude of 125º to 44º </w:t>
      </w:r>
      <w:r>
        <w:rPr>
          <w:bCs/>
          <w:sz w:val="24"/>
          <w:szCs w:val="24"/>
        </w:rPr>
        <w:fldChar w:fldCharType="begin"/>
      </w:r>
      <w:r>
        <w:rPr>
          <w:bCs/>
          <w:sz w:val="24"/>
          <w:szCs w:val="24"/>
        </w:rPr>
        <w:instrText xml:space="preserve"> QUOTE </w:instrText>
      </w:r>
      <m:oMath>
        <m:r>
          <m:rPr>
            <m:sty m:val="p"/>
          </m:rPr>
          <w:rPr>
            <w:rFonts w:ascii="Cambria Math" w:hAnsi="Cambria Math"/>
            <w:sz w:val="24"/>
            <w:szCs w:val="24"/>
          </w:rPr>
          <m:t>"</m:t>
        </m:r>
      </m:oMath>
      <w:r>
        <w:rPr>
          <w:bCs/>
          <w:sz w:val="24"/>
          <w:szCs w:val="24"/>
        </w:rPr>
        <w:fldChar w:fldCharType="end"/>
      </w:r>
      <w:r>
        <w:rPr>
          <w:bCs/>
          <w:sz w:val="24"/>
          <w:szCs w:val="24"/>
        </w:rPr>
        <w:t xml:space="preserve"> North and longitude of 7º, 14º and 23º East.  It is bounded on the North-West by the Municipality of Carmen, on the South-West by Davao Gulf and on the West by Davao City. </w:t>
      </w:r>
    </w:p>
    <w:p>
      <w:pPr>
        <w:ind w:left="851"/>
        <w:jc w:val="both"/>
        <w:rPr>
          <w:bCs/>
          <w:sz w:val="24"/>
          <w:szCs w:val="24"/>
        </w:rPr>
      </w:pPr>
    </w:p>
    <w:p>
      <w:pPr>
        <w:spacing w:line="276" w:lineRule="auto"/>
        <w:ind w:left="851"/>
        <w:jc w:val="both"/>
        <w:rPr>
          <w:bCs/>
          <w:sz w:val="24"/>
          <w:szCs w:val="24"/>
        </w:rPr>
      </w:pPr>
      <w:r>
        <w:rPr>
          <w:bCs/>
          <w:sz w:val="24"/>
          <w:szCs w:val="24"/>
        </w:rPr>
        <w:t>The City of Panabo had a total land area of 25,123 hectares and has a population of 184,599 based on the 2015 census by the Philippine Statistics Authority. For 2020, the projected population based on the 2015 census is 191,024.</w:t>
      </w:r>
    </w:p>
    <w:p>
      <w:pPr>
        <w:ind w:left="851"/>
        <w:jc w:val="both"/>
        <w:rPr>
          <w:bCs/>
          <w:sz w:val="24"/>
          <w:szCs w:val="24"/>
        </w:rPr>
      </w:pPr>
    </w:p>
    <w:p>
      <w:pPr>
        <w:spacing w:line="276" w:lineRule="auto"/>
        <w:ind w:left="851"/>
        <w:jc w:val="both"/>
        <w:rPr>
          <w:bCs/>
          <w:sz w:val="24"/>
          <w:szCs w:val="24"/>
        </w:rPr>
      </w:pPr>
      <w:r>
        <w:rPr>
          <w:bCs/>
          <w:sz w:val="24"/>
          <w:szCs w:val="24"/>
        </w:rPr>
        <w:t>The Local Government Unit (LGU) of Panabo is envisioned to be a progressive, ecologically-balance and peaceful Agri-industrial city characterized by a friendly, disciplined, empowered and self-reliant citizenry under transparent governance with sufficient facilities and services as well as social justice and equality.</w:t>
      </w:r>
    </w:p>
    <w:p>
      <w:pPr>
        <w:ind w:left="851"/>
        <w:jc w:val="both"/>
        <w:rPr>
          <w:bCs/>
          <w:sz w:val="24"/>
          <w:szCs w:val="24"/>
        </w:rPr>
      </w:pPr>
    </w:p>
    <w:p>
      <w:pPr>
        <w:ind w:left="851"/>
        <w:jc w:val="both"/>
        <w:rPr>
          <w:sz w:val="24"/>
          <w:szCs w:val="24"/>
        </w:rPr>
      </w:pPr>
      <w:r>
        <w:rPr>
          <w:sz w:val="24"/>
          <w:szCs w:val="24"/>
        </w:rPr>
        <w:t>The following are the elective officials in the City of Panabo as of December 31, 2022:</w:t>
      </w:r>
    </w:p>
    <w:p>
      <w:pPr>
        <w:ind w:left="851"/>
        <w:jc w:val="both"/>
        <w:rPr>
          <w:bCs/>
          <w:sz w:val="24"/>
          <w:szCs w:val="24"/>
        </w:rPr>
      </w:pPr>
    </w:p>
    <w:p>
      <w:pPr>
        <w:ind w:left="851"/>
        <w:jc w:val="both"/>
        <w:rPr>
          <w:bCs/>
          <w:sz w:val="24"/>
          <w:szCs w:val="24"/>
        </w:rPr>
      </w:pPr>
    </w:p>
    <w:tbl>
      <w:tblPr>
        <w:tblW w:w="7918" w:type="dxa"/>
        <w:tblInd w:w="1260" w:type="dxa"/>
        <w:tblLook w:val="04A0" w:firstRow="1" w:lastRow="0" w:firstColumn="1" w:lastColumn="0" w:noHBand="0" w:noVBand="1"/>
      </w:tblPr>
      <w:tblGrid>
        <w:gridCol w:w="2929"/>
        <w:gridCol w:w="4989"/>
      </w:tblGrid>
      <w:tr>
        <w:trPr>
          <w:trHeight w:val="337"/>
        </w:trPr>
        <w:tc>
          <w:tcPr>
            <w:tcW w:w="2929" w:type="dxa"/>
            <w:shd w:val="clear" w:color="auto" w:fill="auto"/>
            <w:noWrap/>
            <w:vAlign w:val="center"/>
            <w:hideMark/>
          </w:tcPr>
          <w:p>
            <w:pPr>
              <w:jc w:val="center"/>
              <w:rPr>
                <w:b/>
                <w:bCs/>
                <w:sz w:val="24"/>
                <w:szCs w:val="24"/>
                <w:lang w:val="en-PH" w:eastAsia="en-PH"/>
              </w:rPr>
            </w:pPr>
            <w:r>
              <w:rPr>
                <w:b/>
                <w:bCs/>
                <w:sz w:val="24"/>
                <w:szCs w:val="24"/>
                <w:lang w:val="en-PH" w:eastAsia="en-PH"/>
              </w:rPr>
              <w:t>Position</w:t>
            </w:r>
          </w:p>
        </w:tc>
        <w:tc>
          <w:tcPr>
            <w:tcW w:w="4988" w:type="dxa"/>
            <w:shd w:val="clear" w:color="auto" w:fill="auto"/>
            <w:noWrap/>
            <w:vAlign w:val="center"/>
            <w:hideMark/>
          </w:tcPr>
          <w:p>
            <w:pPr>
              <w:jc w:val="center"/>
              <w:rPr>
                <w:b/>
                <w:bCs/>
                <w:sz w:val="24"/>
                <w:szCs w:val="24"/>
                <w:lang w:val="en-PH" w:eastAsia="en-PH"/>
              </w:rPr>
            </w:pPr>
            <w:r>
              <w:rPr>
                <w:b/>
                <w:bCs/>
                <w:sz w:val="24"/>
                <w:szCs w:val="24"/>
                <w:lang w:val="en-PH" w:eastAsia="en-PH"/>
              </w:rPr>
              <w:t>Name of Elected Officials</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Mayor:</w:t>
            </w:r>
          </w:p>
        </w:tc>
        <w:tc>
          <w:tcPr>
            <w:tcW w:w="4988" w:type="dxa"/>
            <w:shd w:val="clear" w:color="auto" w:fill="auto"/>
            <w:noWrap/>
            <w:vAlign w:val="center"/>
            <w:hideMark/>
          </w:tcPr>
          <w:p>
            <w:pPr>
              <w:ind w:firstLineChars="200" w:firstLine="480"/>
              <w:rPr>
                <w:sz w:val="24"/>
                <w:szCs w:val="24"/>
                <w:lang w:val="en-PH" w:eastAsia="en-PH"/>
              </w:rPr>
            </w:pPr>
            <w:r>
              <w:rPr>
                <w:sz w:val="24"/>
                <w:szCs w:val="24"/>
                <w:lang w:val="en-PH" w:eastAsia="en-PH"/>
              </w:rPr>
              <w:t>Hon. Jose E. Relampagos</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Vice Mayor: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Gregorio U. Dujali III</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 </w:t>
            </w:r>
          </w:p>
        </w:tc>
        <w:tc>
          <w:tcPr>
            <w:tcW w:w="4988"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337"/>
        </w:trPr>
        <w:tc>
          <w:tcPr>
            <w:tcW w:w="7918" w:type="dxa"/>
            <w:gridSpan w:val="2"/>
            <w:shd w:val="clear" w:color="auto" w:fill="auto"/>
            <w:noWrap/>
            <w:vAlign w:val="center"/>
            <w:hideMark/>
          </w:tcPr>
          <w:p>
            <w:pPr>
              <w:rPr>
                <w:b/>
                <w:bCs/>
                <w:sz w:val="24"/>
                <w:szCs w:val="24"/>
                <w:lang w:val="en-PH" w:eastAsia="en-PH"/>
              </w:rPr>
            </w:pPr>
            <w:r>
              <w:rPr>
                <w:b/>
                <w:bCs/>
                <w:sz w:val="24"/>
                <w:szCs w:val="24"/>
                <w:lang w:val="en-PH" w:eastAsia="en-PH"/>
              </w:rPr>
              <w:t>Sangguniang Panlungsod Members</w:t>
            </w:r>
          </w:p>
          <w:p>
            <w:pPr>
              <w:rPr>
                <w:b/>
                <w:bCs/>
                <w:sz w:val="24"/>
                <w:szCs w:val="24"/>
                <w:lang w:val="en-PH" w:eastAsia="en-PH"/>
              </w:rPr>
            </w:pP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Atty. Devona H. Jumamil</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Janno Paolo P. Gentiles</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Atty. Wendel M. Enad</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Dizon P. Namuag, MBA</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Engr. Ronald L. Ang</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Sherlou F. Bangoy</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Christian Leander M. Dujali</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Ian Rolet A. Catalan</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Atty. Jumail Lunar G. Macla</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City Council Member</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Omar P. Ranain</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 </w:t>
            </w:r>
          </w:p>
          <w:p>
            <w:pPr>
              <w:rPr>
                <w:sz w:val="24"/>
                <w:szCs w:val="24"/>
                <w:lang w:val="en-PH" w:eastAsia="en-PH"/>
              </w:rPr>
            </w:pPr>
          </w:p>
          <w:p>
            <w:pPr>
              <w:rPr>
                <w:sz w:val="24"/>
                <w:szCs w:val="24"/>
                <w:lang w:val="en-PH" w:eastAsia="en-PH"/>
              </w:rPr>
            </w:pPr>
          </w:p>
        </w:tc>
        <w:tc>
          <w:tcPr>
            <w:tcW w:w="4988"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337"/>
        </w:trPr>
        <w:tc>
          <w:tcPr>
            <w:tcW w:w="2929" w:type="dxa"/>
            <w:shd w:val="clear" w:color="auto" w:fill="auto"/>
            <w:noWrap/>
            <w:vAlign w:val="center"/>
            <w:hideMark/>
          </w:tcPr>
          <w:p>
            <w:pPr>
              <w:rPr>
                <w:b/>
                <w:bCs/>
                <w:sz w:val="24"/>
                <w:szCs w:val="24"/>
                <w:lang w:val="en-PH" w:eastAsia="en-PH"/>
              </w:rPr>
            </w:pPr>
            <w:r>
              <w:rPr>
                <w:b/>
                <w:bCs/>
                <w:sz w:val="24"/>
                <w:szCs w:val="24"/>
                <w:lang w:val="en-PH" w:eastAsia="en-PH"/>
              </w:rPr>
              <w:lastRenderedPageBreak/>
              <w:t>Ex-Officio Members</w:t>
            </w:r>
          </w:p>
        </w:tc>
        <w:tc>
          <w:tcPr>
            <w:tcW w:w="4988"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ABC President</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Conrad Theodore A. Matutino</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IP Representative</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Datu Rodrigo A. Ambasan</w:t>
            </w:r>
          </w:p>
        </w:tc>
      </w:tr>
      <w:tr>
        <w:trPr>
          <w:trHeight w:val="337"/>
        </w:trPr>
        <w:tc>
          <w:tcPr>
            <w:tcW w:w="2929" w:type="dxa"/>
            <w:shd w:val="clear" w:color="auto" w:fill="auto"/>
            <w:noWrap/>
            <w:vAlign w:val="center"/>
            <w:hideMark/>
          </w:tcPr>
          <w:p>
            <w:pPr>
              <w:rPr>
                <w:sz w:val="24"/>
                <w:szCs w:val="24"/>
                <w:lang w:val="en-PH" w:eastAsia="en-PH"/>
              </w:rPr>
            </w:pPr>
            <w:r>
              <w:rPr>
                <w:sz w:val="24"/>
                <w:szCs w:val="24"/>
                <w:lang w:val="en-PH" w:eastAsia="en-PH"/>
              </w:rPr>
              <w:t>SK Federation President</w:t>
            </w:r>
          </w:p>
        </w:tc>
        <w:tc>
          <w:tcPr>
            <w:tcW w:w="4988" w:type="dxa"/>
            <w:shd w:val="clear" w:color="auto" w:fill="auto"/>
            <w:noWrap/>
            <w:vAlign w:val="center"/>
            <w:hideMark/>
          </w:tcPr>
          <w:p>
            <w:pPr>
              <w:ind w:firstLineChars="200" w:firstLine="480"/>
              <w:rPr>
                <w:sz w:val="24"/>
                <w:szCs w:val="24"/>
                <w:lang w:val="en-PH" w:eastAsia="en-PH"/>
              </w:rPr>
            </w:pPr>
            <w:r>
              <w:rPr>
                <w:sz w:val="24"/>
                <w:szCs w:val="24"/>
                <w:lang w:eastAsia="en-PH"/>
              </w:rPr>
              <w:t>Hon. Danica Lyka Carisma</w:t>
            </w:r>
          </w:p>
        </w:tc>
      </w:tr>
    </w:tbl>
    <w:p>
      <w:pPr>
        <w:jc w:val="both"/>
        <w:rPr>
          <w:b/>
          <w:sz w:val="24"/>
          <w:szCs w:val="24"/>
        </w:rPr>
      </w:pPr>
    </w:p>
    <w:p>
      <w:pPr>
        <w:jc w:val="both"/>
        <w:rPr>
          <w:b/>
          <w:sz w:val="24"/>
          <w:szCs w:val="24"/>
        </w:rPr>
      </w:pPr>
    </w:p>
    <w:p>
      <w:pPr>
        <w:spacing w:line="276" w:lineRule="auto"/>
        <w:ind w:left="851"/>
        <w:jc w:val="both"/>
        <w:rPr>
          <w:sz w:val="24"/>
          <w:szCs w:val="24"/>
        </w:rPr>
      </w:pPr>
      <w:r>
        <w:rPr>
          <w:sz w:val="24"/>
          <w:szCs w:val="24"/>
        </w:rPr>
        <w:t>The City Government of Panabo manpower as of the year ended 2022 total is 2,098 with an increase of 59 headcounts compared to the year ended 2021 as the per below data:</w:t>
      </w:r>
    </w:p>
    <w:p>
      <w:pPr>
        <w:ind w:left="851"/>
        <w:jc w:val="both"/>
        <w:rPr>
          <w:sz w:val="24"/>
          <w:szCs w:val="24"/>
        </w:rPr>
      </w:pPr>
    </w:p>
    <w:tbl>
      <w:tblPr>
        <w:tblW w:w="5722" w:type="dxa"/>
        <w:tblInd w:w="2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1000"/>
        <w:gridCol w:w="860"/>
        <w:gridCol w:w="1340"/>
      </w:tblGrid>
      <w:tr>
        <w:trPr>
          <w:trHeight w:val="315"/>
        </w:trPr>
        <w:tc>
          <w:tcPr>
            <w:tcW w:w="2522" w:type="dxa"/>
            <w:shd w:val="clear" w:color="auto" w:fill="auto"/>
            <w:noWrap/>
            <w:vAlign w:val="center"/>
            <w:hideMark/>
          </w:tcPr>
          <w:p>
            <w:pPr>
              <w:jc w:val="center"/>
              <w:rPr>
                <w:b/>
                <w:bCs/>
                <w:sz w:val="24"/>
                <w:szCs w:val="24"/>
                <w:lang w:val="en-PH" w:eastAsia="en-PH"/>
              </w:rPr>
            </w:pPr>
            <w:r>
              <w:rPr>
                <w:b/>
                <w:bCs/>
                <w:sz w:val="24"/>
                <w:szCs w:val="24"/>
                <w:lang w:eastAsia="en-PH"/>
              </w:rPr>
              <w:t>Status of Appointment</w:t>
            </w:r>
          </w:p>
        </w:tc>
        <w:tc>
          <w:tcPr>
            <w:tcW w:w="1000" w:type="dxa"/>
            <w:shd w:val="clear" w:color="auto" w:fill="auto"/>
            <w:noWrap/>
            <w:vAlign w:val="center"/>
            <w:hideMark/>
          </w:tcPr>
          <w:p>
            <w:pPr>
              <w:jc w:val="center"/>
              <w:rPr>
                <w:b/>
                <w:bCs/>
                <w:sz w:val="24"/>
                <w:szCs w:val="24"/>
                <w:lang w:val="en-PH" w:eastAsia="en-PH"/>
              </w:rPr>
            </w:pPr>
            <w:r>
              <w:rPr>
                <w:b/>
                <w:bCs/>
                <w:sz w:val="24"/>
                <w:szCs w:val="24"/>
                <w:lang w:eastAsia="en-PH"/>
              </w:rPr>
              <w:t>2022</w:t>
            </w:r>
          </w:p>
        </w:tc>
        <w:tc>
          <w:tcPr>
            <w:tcW w:w="860" w:type="dxa"/>
            <w:shd w:val="clear" w:color="auto" w:fill="auto"/>
            <w:noWrap/>
            <w:vAlign w:val="center"/>
            <w:hideMark/>
          </w:tcPr>
          <w:p>
            <w:pPr>
              <w:jc w:val="center"/>
              <w:rPr>
                <w:b/>
                <w:bCs/>
                <w:sz w:val="24"/>
                <w:szCs w:val="24"/>
                <w:lang w:val="en-PH" w:eastAsia="en-PH"/>
              </w:rPr>
            </w:pPr>
            <w:r>
              <w:rPr>
                <w:b/>
                <w:bCs/>
                <w:sz w:val="24"/>
                <w:szCs w:val="24"/>
                <w:lang w:eastAsia="en-PH"/>
              </w:rPr>
              <w:t>2021</w:t>
            </w:r>
          </w:p>
        </w:tc>
        <w:tc>
          <w:tcPr>
            <w:tcW w:w="1340" w:type="dxa"/>
            <w:shd w:val="clear" w:color="auto" w:fill="auto"/>
            <w:noWrap/>
            <w:vAlign w:val="center"/>
            <w:hideMark/>
          </w:tcPr>
          <w:p>
            <w:pPr>
              <w:jc w:val="center"/>
              <w:rPr>
                <w:b/>
                <w:bCs/>
                <w:sz w:val="24"/>
                <w:szCs w:val="24"/>
                <w:lang w:val="en-PH" w:eastAsia="en-PH"/>
              </w:rPr>
            </w:pPr>
            <w:r>
              <w:rPr>
                <w:b/>
                <w:bCs/>
                <w:sz w:val="24"/>
                <w:szCs w:val="24"/>
                <w:lang w:eastAsia="en-PH"/>
              </w:rPr>
              <w:t>Inc/(Dec)</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Elected</w:t>
            </w:r>
          </w:p>
        </w:tc>
        <w:tc>
          <w:tcPr>
            <w:tcW w:w="1000" w:type="dxa"/>
            <w:shd w:val="clear" w:color="auto" w:fill="auto"/>
            <w:noWrap/>
            <w:vAlign w:val="center"/>
            <w:hideMark/>
          </w:tcPr>
          <w:p>
            <w:pPr>
              <w:jc w:val="center"/>
              <w:rPr>
                <w:sz w:val="24"/>
                <w:szCs w:val="24"/>
                <w:lang w:val="en-PH" w:eastAsia="en-PH"/>
              </w:rPr>
            </w:pPr>
            <w:r>
              <w:rPr>
                <w:sz w:val="24"/>
                <w:szCs w:val="24"/>
                <w:lang w:eastAsia="en-PH"/>
              </w:rPr>
              <w:t>15</w:t>
            </w:r>
          </w:p>
        </w:tc>
        <w:tc>
          <w:tcPr>
            <w:tcW w:w="860" w:type="dxa"/>
            <w:shd w:val="clear" w:color="auto" w:fill="auto"/>
            <w:noWrap/>
            <w:vAlign w:val="center"/>
            <w:hideMark/>
          </w:tcPr>
          <w:p>
            <w:pPr>
              <w:jc w:val="center"/>
              <w:rPr>
                <w:sz w:val="24"/>
                <w:szCs w:val="24"/>
                <w:lang w:val="en-PH" w:eastAsia="en-PH"/>
              </w:rPr>
            </w:pPr>
            <w:r>
              <w:rPr>
                <w:sz w:val="24"/>
                <w:szCs w:val="24"/>
                <w:lang w:eastAsia="en-PH"/>
              </w:rPr>
              <w:t>15</w:t>
            </w:r>
          </w:p>
        </w:tc>
        <w:tc>
          <w:tcPr>
            <w:tcW w:w="1340" w:type="dxa"/>
            <w:shd w:val="clear" w:color="auto" w:fill="auto"/>
            <w:noWrap/>
            <w:vAlign w:val="center"/>
            <w:hideMark/>
          </w:tcPr>
          <w:p>
            <w:pPr>
              <w:jc w:val="center"/>
              <w:rPr>
                <w:b/>
                <w:bCs/>
                <w:sz w:val="24"/>
                <w:szCs w:val="24"/>
                <w:lang w:val="en-PH" w:eastAsia="en-PH"/>
              </w:rPr>
            </w:pPr>
            <w:r>
              <w:rPr>
                <w:b/>
                <w:bCs/>
                <w:sz w:val="24"/>
                <w:szCs w:val="24"/>
                <w:lang w:eastAsia="en-PH"/>
              </w:rPr>
              <w:t>0</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Permanent</w:t>
            </w:r>
          </w:p>
        </w:tc>
        <w:tc>
          <w:tcPr>
            <w:tcW w:w="1000" w:type="dxa"/>
            <w:shd w:val="clear" w:color="auto" w:fill="auto"/>
            <w:noWrap/>
            <w:vAlign w:val="center"/>
            <w:hideMark/>
          </w:tcPr>
          <w:p>
            <w:pPr>
              <w:jc w:val="center"/>
              <w:rPr>
                <w:sz w:val="24"/>
                <w:szCs w:val="24"/>
                <w:lang w:val="en-PH" w:eastAsia="en-PH"/>
              </w:rPr>
            </w:pPr>
            <w:r>
              <w:rPr>
                <w:sz w:val="24"/>
                <w:szCs w:val="24"/>
                <w:lang w:eastAsia="en-PH"/>
              </w:rPr>
              <w:t>557</w:t>
            </w:r>
          </w:p>
        </w:tc>
        <w:tc>
          <w:tcPr>
            <w:tcW w:w="860" w:type="dxa"/>
            <w:shd w:val="clear" w:color="auto" w:fill="auto"/>
            <w:noWrap/>
            <w:vAlign w:val="center"/>
            <w:hideMark/>
          </w:tcPr>
          <w:p>
            <w:pPr>
              <w:jc w:val="center"/>
              <w:rPr>
                <w:sz w:val="24"/>
                <w:szCs w:val="24"/>
                <w:lang w:val="en-PH" w:eastAsia="en-PH"/>
              </w:rPr>
            </w:pPr>
            <w:r>
              <w:rPr>
                <w:sz w:val="24"/>
                <w:szCs w:val="24"/>
                <w:lang w:eastAsia="en-PH"/>
              </w:rPr>
              <w:t>536</w:t>
            </w:r>
          </w:p>
        </w:tc>
        <w:tc>
          <w:tcPr>
            <w:tcW w:w="1340" w:type="dxa"/>
            <w:shd w:val="clear" w:color="auto" w:fill="auto"/>
            <w:noWrap/>
            <w:vAlign w:val="center"/>
            <w:hideMark/>
          </w:tcPr>
          <w:p>
            <w:pPr>
              <w:jc w:val="center"/>
              <w:rPr>
                <w:sz w:val="24"/>
                <w:szCs w:val="24"/>
                <w:lang w:val="en-PH" w:eastAsia="en-PH"/>
              </w:rPr>
            </w:pPr>
            <w:r>
              <w:rPr>
                <w:sz w:val="24"/>
                <w:szCs w:val="24"/>
                <w:lang w:eastAsia="en-PH"/>
              </w:rPr>
              <w:t>21</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Co-terminus</w:t>
            </w:r>
          </w:p>
        </w:tc>
        <w:tc>
          <w:tcPr>
            <w:tcW w:w="1000" w:type="dxa"/>
            <w:shd w:val="clear" w:color="auto" w:fill="auto"/>
            <w:noWrap/>
            <w:vAlign w:val="center"/>
            <w:hideMark/>
          </w:tcPr>
          <w:p>
            <w:pPr>
              <w:jc w:val="center"/>
              <w:rPr>
                <w:sz w:val="24"/>
                <w:szCs w:val="24"/>
                <w:lang w:val="en-PH" w:eastAsia="en-PH"/>
              </w:rPr>
            </w:pPr>
            <w:r>
              <w:rPr>
                <w:sz w:val="24"/>
                <w:szCs w:val="24"/>
                <w:lang w:eastAsia="en-PH"/>
              </w:rPr>
              <w:t>42</w:t>
            </w:r>
          </w:p>
        </w:tc>
        <w:tc>
          <w:tcPr>
            <w:tcW w:w="860" w:type="dxa"/>
            <w:shd w:val="clear" w:color="auto" w:fill="auto"/>
            <w:noWrap/>
            <w:vAlign w:val="center"/>
            <w:hideMark/>
          </w:tcPr>
          <w:p>
            <w:pPr>
              <w:jc w:val="center"/>
              <w:rPr>
                <w:sz w:val="24"/>
                <w:szCs w:val="24"/>
                <w:lang w:val="en-PH" w:eastAsia="en-PH"/>
              </w:rPr>
            </w:pPr>
            <w:r>
              <w:rPr>
                <w:sz w:val="24"/>
                <w:szCs w:val="24"/>
                <w:lang w:eastAsia="en-PH"/>
              </w:rPr>
              <w:t>44</w:t>
            </w:r>
          </w:p>
        </w:tc>
        <w:tc>
          <w:tcPr>
            <w:tcW w:w="1340" w:type="dxa"/>
            <w:shd w:val="clear" w:color="auto" w:fill="auto"/>
            <w:noWrap/>
            <w:vAlign w:val="center"/>
            <w:hideMark/>
          </w:tcPr>
          <w:p>
            <w:pPr>
              <w:jc w:val="center"/>
              <w:rPr>
                <w:sz w:val="24"/>
                <w:szCs w:val="24"/>
                <w:lang w:val="en-PH" w:eastAsia="en-PH"/>
              </w:rPr>
            </w:pPr>
            <w:r>
              <w:rPr>
                <w:sz w:val="24"/>
                <w:szCs w:val="24"/>
                <w:lang w:eastAsia="en-PH"/>
              </w:rPr>
              <w:t>-2</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Casual</w:t>
            </w:r>
          </w:p>
        </w:tc>
        <w:tc>
          <w:tcPr>
            <w:tcW w:w="1000" w:type="dxa"/>
            <w:shd w:val="clear" w:color="auto" w:fill="auto"/>
            <w:noWrap/>
            <w:vAlign w:val="center"/>
            <w:hideMark/>
          </w:tcPr>
          <w:p>
            <w:pPr>
              <w:jc w:val="center"/>
              <w:rPr>
                <w:sz w:val="24"/>
                <w:szCs w:val="24"/>
                <w:lang w:val="en-PH" w:eastAsia="en-PH"/>
              </w:rPr>
            </w:pPr>
            <w:r>
              <w:rPr>
                <w:sz w:val="24"/>
                <w:szCs w:val="24"/>
                <w:lang w:eastAsia="en-PH"/>
              </w:rPr>
              <w:t>286</w:t>
            </w:r>
          </w:p>
        </w:tc>
        <w:tc>
          <w:tcPr>
            <w:tcW w:w="860" w:type="dxa"/>
            <w:shd w:val="clear" w:color="auto" w:fill="auto"/>
            <w:noWrap/>
            <w:vAlign w:val="center"/>
            <w:hideMark/>
          </w:tcPr>
          <w:p>
            <w:pPr>
              <w:jc w:val="center"/>
              <w:rPr>
                <w:sz w:val="24"/>
                <w:szCs w:val="24"/>
                <w:lang w:val="en-PH" w:eastAsia="en-PH"/>
              </w:rPr>
            </w:pPr>
            <w:r>
              <w:rPr>
                <w:sz w:val="24"/>
                <w:szCs w:val="24"/>
                <w:lang w:eastAsia="en-PH"/>
              </w:rPr>
              <w:t>285</w:t>
            </w:r>
          </w:p>
        </w:tc>
        <w:tc>
          <w:tcPr>
            <w:tcW w:w="1340" w:type="dxa"/>
            <w:shd w:val="clear" w:color="auto" w:fill="auto"/>
            <w:noWrap/>
            <w:vAlign w:val="center"/>
            <w:hideMark/>
          </w:tcPr>
          <w:p>
            <w:pPr>
              <w:jc w:val="center"/>
              <w:rPr>
                <w:sz w:val="24"/>
                <w:szCs w:val="24"/>
                <w:lang w:val="en-PH" w:eastAsia="en-PH"/>
              </w:rPr>
            </w:pPr>
            <w:r>
              <w:rPr>
                <w:sz w:val="24"/>
                <w:szCs w:val="24"/>
                <w:lang w:val="en-PH" w:eastAsia="en-PH"/>
              </w:rPr>
              <w:t>1</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Temporary/Honorarium</w:t>
            </w:r>
          </w:p>
        </w:tc>
        <w:tc>
          <w:tcPr>
            <w:tcW w:w="1000" w:type="dxa"/>
            <w:shd w:val="clear" w:color="auto" w:fill="auto"/>
            <w:noWrap/>
            <w:vAlign w:val="center"/>
            <w:hideMark/>
          </w:tcPr>
          <w:p>
            <w:pPr>
              <w:jc w:val="center"/>
              <w:rPr>
                <w:sz w:val="24"/>
                <w:szCs w:val="24"/>
                <w:lang w:val="en-PH" w:eastAsia="en-PH"/>
              </w:rPr>
            </w:pPr>
            <w:r>
              <w:rPr>
                <w:sz w:val="24"/>
                <w:szCs w:val="24"/>
                <w:lang w:eastAsia="en-PH"/>
              </w:rPr>
              <w:t>144</w:t>
            </w:r>
          </w:p>
        </w:tc>
        <w:tc>
          <w:tcPr>
            <w:tcW w:w="860" w:type="dxa"/>
            <w:shd w:val="clear" w:color="auto" w:fill="auto"/>
            <w:noWrap/>
            <w:vAlign w:val="center"/>
            <w:hideMark/>
          </w:tcPr>
          <w:p>
            <w:pPr>
              <w:jc w:val="center"/>
              <w:rPr>
                <w:sz w:val="24"/>
                <w:szCs w:val="24"/>
                <w:lang w:val="en-PH" w:eastAsia="en-PH"/>
              </w:rPr>
            </w:pPr>
            <w:r>
              <w:rPr>
                <w:sz w:val="24"/>
                <w:szCs w:val="24"/>
                <w:lang w:eastAsia="en-PH"/>
              </w:rPr>
              <w:t>140</w:t>
            </w:r>
          </w:p>
        </w:tc>
        <w:tc>
          <w:tcPr>
            <w:tcW w:w="1340" w:type="dxa"/>
            <w:shd w:val="clear" w:color="auto" w:fill="auto"/>
            <w:noWrap/>
            <w:vAlign w:val="center"/>
            <w:hideMark/>
          </w:tcPr>
          <w:p>
            <w:pPr>
              <w:jc w:val="center"/>
              <w:rPr>
                <w:sz w:val="24"/>
                <w:szCs w:val="24"/>
                <w:lang w:val="en-PH" w:eastAsia="en-PH"/>
              </w:rPr>
            </w:pPr>
            <w:r>
              <w:rPr>
                <w:sz w:val="24"/>
                <w:szCs w:val="24"/>
                <w:lang w:val="en-PH" w:eastAsia="en-PH"/>
              </w:rPr>
              <w:t>4</w:t>
            </w:r>
          </w:p>
        </w:tc>
      </w:tr>
      <w:tr>
        <w:trPr>
          <w:trHeight w:val="315"/>
        </w:trPr>
        <w:tc>
          <w:tcPr>
            <w:tcW w:w="2522" w:type="dxa"/>
            <w:shd w:val="clear" w:color="auto" w:fill="auto"/>
            <w:noWrap/>
            <w:vAlign w:val="center"/>
            <w:hideMark/>
          </w:tcPr>
          <w:p>
            <w:pPr>
              <w:jc w:val="both"/>
              <w:rPr>
                <w:sz w:val="24"/>
                <w:szCs w:val="24"/>
                <w:lang w:val="en-PH" w:eastAsia="en-PH"/>
              </w:rPr>
            </w:pPr>
            <w:r>
              <w:rPr>
                <w:sz w:val="24"/>
                <w:szCs w:val="24"/>
                <w:lang w:eastAsia="en-PH"/>
              </w:rPr>
              <w:t>Job Order</w:t>
            </w:r>
          </w:p>
        </w:tc>
        <w:tc>
          <w:tcPr>
            <w:tcW w:w="1000" w:type="dxa"/>
            <w:shd w:val="clear" w:color="auto" w:fill="auto"/>
            <w:noWrap/>
            <w:vAlign w:val="center"/>
            <w:hideMark/>
          </w:tcPr>
          <w:p>
            <w:pPr>
              <w:jc w:val="center"/>
              <w:rPr>
                <w:sz w:val="24"/>
                <w:szCs w:val="24"/>
                <w:lang w:val="en-PH" w:eastAsia="en-PH"/>
              </w:rPr>
            </w:pPr>
            <w:r>
              <w:rPr>
                <w:sz w:val="24"/>
                <w:szCs w:val="24"/>
                <w:lang w:eastAsia="en-PH"/>
              </w:rPr>
              <w:t>1,054</w:t>
            </w:r>
          </w:p>
        </w:tc>
        <w:tc>
          <w:tcPr>
            <w:tcW w:w="860" w:type="dxa"/>
            <w:shd w:val="clear" w:color="auto" w:fill="auto"/>
            <w:noWrap/>
            <w:vAlign w:val="center"/>
            <w:hideMark/>
          </w:tcPr>
          <w:p>
            <w:pPr>
              <w:jc w:val="center"/>
              <w:rPr>
                <w:sz w:val="24"/>
                <w:szCs w:val="24"/>
                <w:lang w:val="en-PH" w:eastAsia="en-PH"/>
              </w:rPr>
            </w:pPr>
            <w:r>
              <w:rPr>
                <w:sz w:val="24"/>
                <w:szCs w:val="24"/>
                <w:lang w:eastAsia="en-PH"/>
              </w:rPr>
              <w:t>1,019</w:t>
            </w:r>
          </w:p>
        </w:tc>
        <w:tc>
          <w:tcPr>
            <w:tcW w:w="1340" w:type="dxa"/>
            <w:shd w:val="clear" w:color="auto" w:fill="auto"/>
            <w:noWrap/>
            <w:vAlign w:val="center"/>
            <w:hideMark/>
          </w:tcPr>
          <w:p>
            <w:pPr>
              <w:jc w:val="center"/>
              <w:rPr>
                <w:sz w:val="24"/>
                <w:szCs w:val="24"/>
                <w:lang w:val="en-PH" w:eastAsia="en-PH"/>
              </w:rPr>
            </w:pPr>
            <w:r>
              <w:rPr>
                <w:sz w:val="24"/>
                <w:szCs w:val="24"/>
                <w:lang w:val="en-PH" w:eastAsia="en-PH"/>
              </w:rPr>
              <w:t>35</w:t>
            </w:r>
          </w:p>
        </w:tc>
      </w:tr>
      <w:tr>
        <w:trPr>
          <w:trHeight w:val="315"/>
        </w:trPr>
        <w:tc>
          <w:tcPr>
            <w:tcW w:w="2522" w:type="dxa"/>
            <w:shd w:val="clear" w:color="auto" w:fill="auto"/>
            <w:noWrap/>
            <w:vAlign w:val="center"/>
            <w:hideMark/>
          </w:tcPr>
          <w:p>
            <w:pPr>
              <w:jc w:val="both"/>
              <w:rPr>
                <w:b/>
                <w:bCs/>
                <w:sz w:val="24"/>
                <w:szCs w:val="24"/>
                <w:lang w:val="en-PH" w:eastAsia="en-PH"/>
              </w:rPr>
            </w:pPr>
            <w:r>
              <w:rPr>
                <w:b/>
                <w:bCs/>
                <w:sz w:val="24"/>
                <w:szCs w:val="24"/>
                <w:lang w:eastAsia="en-PH"/>
              </w:rPr>
              <w:t>Total</w:t>
            </w:r>
          </w:p>
        </w:tc>
        <w:tc>
          <w:tcPr>
            <w:tcW w:w="1000" w:type="dxa"/>
            <w:shd w:val="clear" w:color="auto" w:fill="auto"/>
            <w:noWrap/>
            <w:vAlign w:val="center"/>
            <w:hideMark/>
          </w:tcPr>
          <w:p>
            <w:pPr>
              <w:jc w:val="center"/>
              <w:rPr>
                <w:b/>
                <w:bCs/>
                <w:sz w:val="24"/>
                <w:szCs w:val="24"/>
                <w:lang w:val="en-PH" w:eastAsia="en-PH"/>
              </w:rPr>
            </w:pPr>
            <w:r>
              <w:rPr>
                <w:b/>
                <w:bCs/>
                <w:sz w:val="24"/>
                <w:szCs w:val="24"/>
                <w:lang w:eastAsia="en-PH"/>
              </w:rPr>
              <w:t>2,098</w:t>
            </w:r>
          </w:p>
        </w:tc>
        <w:tc>
          <w:tcPr>
            <w:tcW w:w="860" w:type="dxa"/>
            <w:shd w:val="clear" w:color="auto" w:fill="auto"/>
            <w:noWrap/>
            <w:vAlign w:val="center"/>
            <w:hideMark/>
          </w:tcPr>
          <w:p>
            <w:pPr>
              <w:jc w:val="center"/>
              <w:rPr>
                <w:b/>
                <w:bCs/>
                <w:sz w:val="24"/>
                <w:szCs w:val="24"/>
                <w:lang w:val="en-PH" w:eastAsia="en-PH"/>
              </w:rPr>
            </w:pPr>
            <w:r>
              <w:rPr>
                <w:b/>
                <w:bCs/>
                <w:sz w:val="24"/>
                <w:szCs w:val="24"/>
                <w:lang w:eastAsia="en-PH"/>
              </w:rPr>
              <w:t>2,039</w:t>
            </w:r>
          </w:p>
        </w:tc>
        <w:tc>
          <w:tcPr>
            <w:tcW w:w="1340" w:type="dxa"/>
            <w:shd w:val="clear" w:color="auto" w:fill="auto"/>
            <w:noWrap/>
            <w:vAlign w:val="center"/>
            <w:hideMark/>
          </w:tcPr>
          <w:p>
            <w:pPr>
              <w:jc w:val="center"/>
              <w:rPr>
                <w:b/>
                <w:bCs/>
                <w:sz w:val="24"/>
                <w:szCs w:val="24"/>
                <w:lang w:val="en-PH" w:eastAsia="en-PH"/>
              </w:rPr>
            </w:pPr>
            <w:r>
              <w:rPr>
                <w:b/>
                <w:bCs/>
                <w:sz w:val="24"/>
                <w:szCs w:val="24"/>
                <w:lang w:eastAsia="en-PH"/>
              </w:rPr>
              <w:t>59</w:t>
            </w:r>
          </w:p>
        </w:tc>
      </w:tr>
    </w:tbl>
    <w:p>
      <w:pPr>
        <w:jc w:val="both"/>
        <w:rPr>
          <w:bCs/>
          <w:sz w:val="24"/>
          <w:szCs w:val="24"/>
        </w:rPr>
      </w:pPr>
    </w:p>
    <w:p>
      <w:pPr>
        <w:jc w:val="both"/>
        <w:rPr>
          <w:bCs/>
          <w:sz w:val="24"/>
          <w:szCs w:val="24"/>
        </w:rPr>
      </w:pPr>
    </w:p>
    <w:p>
      <w:pPr>
        <w:jc w:val="both"/>
        <w:rPr>
          <w:b/>
          <w:bCs/>
          <w:sz w:val="24"/>
          <w:szCs w:val="24"/>
        </w:rPr>
      </w:pPr>
      <w:r>
        <w:rPr>
          <w:b/>
          <w:bCs/>
          <w:sz w:val="24"/>
          <w:szCs w:val="24"/>
        </w:rPr>
        <w:t>Note 2 - Statement of Compliance and Basis for Preparation</w:t>
      </w:r>
    </w:p>
    <w:p>
      <w:pPr>
        <w:ind w:left="1080" w:hanging="1080"/>
        <w:jc w:val="both"/>
        <w:rPr>
          <w:b/>
          <w:bCs/>
          <w:sz w:val="24"/>
          <w:szCs w:val="24"/>
        </w:rPr>
      </w:pPr>
    </w:p>
    <w:p>
      <w:pPr>
        <w:spacing w:line="276" w:lineRule="auto"/>
        <w:ind w:left="851"/>
        <w:jc w:val="both"/>
        <w:rPr>
          <w:sz w:val="24"/>
          <w:szCs w:val="24"/>
        </w:rPr>
      </w:pPr>
      <w:r>
        <w:rPr>
          <w:bCs/>
          <w:sz w:val="24"/>
          <w:szCs w:val="24"/>
        </w:rPr>
        <w:t xml:space="preserve">The </w:t>
      </w:r>
      <w:r>
        <w:rPr>
          <w:sz w:val="24"/>
          <w:szCs w:val="24"/>
        </w:rPr>
        <w:t>consolidated financial statements of the LGU have been prepared in accordance with and in compliance with the International Public Sector Accounting Standards (IPSAS). The consolidated financial statements are presented in pesos, which is the functional and reporting currency of the LGU. The accounting policies have been applied since the year 2015.</w:t>
      </w:r>
    </w:p>
    <w:p>
      <w:pPr>
        <w:jc w:val="both"/>
        <w:rPr>
          <w:sz w:val="24"/>
          <w:szCs w:val="24"/>
        </w:rPr>
      </w:pPr>
    </w:p>
    <w:p>
      <w:pPr>
        <w:jc w:val="both"/>
        <w:rPr>
          <w:sz w:val="24"/>
          <w:szCs w:val="24"/>
        </w:rPr>
      </w:pPr>
      <w:r>
        <w:rPr>
          <w:b/>
          <w:bCs/>
          <w:sz w:val="24"/>
          <w:szCs w:val="24"/>
        </w:rPr>
        <w:t>Note 3 - Summary of Significant Accounting Policies</w:t>
      </w:r>
    </w:p>
    <w:p>
      <w:pPr>
        <w:ind w:left="567"/>
        <w:jc w:val="both"/>
        <w:rPr>
          <w:sz w:val="24"/>
          <w:szCs w:val="24"/>
        </w:rPr>
      </w:pPr>
    </w:p>
    <w:p>
      <w:pPr>
        <w:pStyle w:val="ListParagraph"/>
        <w:numPr>
          <w:ilvl w:val="1"/>
          <w:numId w:val="1"/>
        </w:numPr>
        <w:ind w:left="851" w:firstLine="0"/>
        <w:contextualSpacing/>
        <w:rPr>
          <w:b/>
          <w:sz w:val="24"/>
          <w:szCs w:val="24"/>
        </w:rPr>
      </w:pPr>
      <w:r>
        <w:rPr>
          <w:b/>
          <w:sz w:val="24"/>
          <w:szCs w:val="24"/>
        </w:rPr>
        <w:t>Adoption of New Accounting Standards</w:t>
      </w:r>
    </w:p>
    <w:p>
      <w:pPr>
        <w:ind w:left="284"/>
        <w:jc w:val="both"/>
        <w:rPr>
          <w:sz w:val="24"/>
          <w:szCs w:val="24"/>
        </w:rPr>
      </w:pPr>
    </w:p>
    <w:p>
      <w:pPr>
        <w:spacing w:line="276" w:lineRule="auto"/>
        <w:ind w:left="1418"/>
        <w:jc w:val="both"/>
        <w:rPr>
          <w:sz w:val="24"/>
          <w:szCs w:val="24"/>
        </w:rPr>
      </w:pPr>
      <w:r>
        <w:rPr>
          <w:sz w:val="24"/>
          <w:szCs w:val="24"/>
        </w:rPr>
        <w:t>The consolidated financial statements are prepared in compliance with the International Public Sector Accounting Standards (IPSAS). The adoption of IPSAS has required changes to be made to the accounting policies followed by the Agency. The following accounting standards and interpretations to existing standards that have been published by the International Public Sector Accounting Standards Board (IPSASB) and adopted by the Philippine Public Sector Accounting Standards Board (PPSASB) which became effective for accounting periods beginning on or after January 1, 2015 were adopted by the Agency:</w:t>
      </w:r>
    </w:p>
    <w:p>
      <w:pPr>
        <w:spacing w:line="276" w:lineRule="auto"/>
        <w:ind w:left="1418"/>
        <w:jc w:val="both"/>
        <w:rPr>
          <w:sz w:val="24"/>
          <w:szCs w:val="24"/>
        </w:rPr>
      </w:pPr>
    </w:p>
    <w:p>
      <w:pPr>
        <w:spacing w:line="276" w:lineRule="auto"/>
        <w:ind w:left="1418"/>
        <w:jc w:val="both"/>
        <w:rPr>
          <w:sz w:val="24"/>
          <w:szCs w:val="24"/>
        </w:rPr>
      </w:pPr>
      <w:r>
        <w:rPr>
          <w:sz w:val="24"/>
          <w:szCs w:val="24"/>
        </w:rPr>
        <w:tab/>
      </w:r>
    </w:p>
    <w:p>
      <w:pPr>
        <w:ind w:left="1440"/>
        <w:jc w:val="both"/>
        <w:rPr>
          <w:sz w:val="24"/>
          <w:szCs w:val="24"/>
        </w:rPr>
      </w:pPr>
      <w:r>
        <w:rPr>
          <w:sz w:val="24"/>
          <w:szCs w:val="24"/>
        </w:rPr>
        <w:lastRenderedPageBreak/>
        <w:t>IPSAS 1</w:t>
      </w:r>
      <w:r>
        <w:rPr>
          <w:sz w:val="24"/>
          <w:szCs w:val="24"/>
        </w:rPr>
        <w:tab/>
        <w:t>Presentation of Financial Statements</w:t>
      </w:r>
    </w:p>
    <w:p>
      <w:pPr>
        <w:ind w:left="1440"/>
        <w:jc w:val="both"/>
        <w:rPr>
          <w:sz w:val="24"/>
          <w:szCs w:val="24"/>
        </w:rPr>
      </w:pPr>
      <w:r>
        <w:rPr>
          <w:sz w:val="24"/>
          <w:szCs w:val="24"/>
        </w:rPr>
        <w:t>IPSAS 2</w:t>
      </w:r>
      <w:r>
        <w:rPr>
          <w:sz w:val="24"/>
          <w:szCs w:val="24"/>
        </w:rPr>
        <w:tab/>
        <w:t>Cash Flow Statements</w:t>
      </w:r>
    </w:p>
    <w:p>
      <w:pPr>
        <w:ind w:left="2880" w:hanging="1440"/>
        <w:rPr>
          <w:sz w:val="24"/>
          <w:szCs w:val="24"/>
        </w:rPr>
      </w:pPr>
      <w:r>
        <w:rPr>
          <w:sz w:val="24"/>
          <w:szCs w:val="24"/>
        </w:rPr>
        <w:t>IPSAS 3</w:t>
      </w:r>
      <w:r>
        <w:rPr>
          <w:sz w:val="24"/>
          <w:szCs w:val="24"/>
        </w:rPr>
        <w:tab/>
        <w:t>Accounting Policies, Changes in Accounting Estimates and Errors</w:t>
      </w:r>
      <w:r>
        <w:rPr>
          <w:sz w:val="24"/>
          <w:szCs w:val="24"/>
        </w:rPr>
        <w:tab/>
      </w:r>
    </w:p>
    <w:p>
      <w:pPr>
        <w:ind w:left="1440"/>
        <w:jc w:val="both"/>
        <w:rPr>
          <w:sz w:val="24"/>
          <w:szCs w:val="24"/>
        </w:rPr>
      </w:pPr>
      <w:r>
        <w:rPr>
          <w:sz w:val="24"/>
          <w:szCs w:val="24"/>
        </w:rPr>
        <w:t xml:space="preserve">IPSAS 9 </w:t>
      </w:r>
      <w:r>
        <w:rPr>
          <w:sz w:val="24"/>
          <w:szCs w:val="24"/>
        </w:rPr>
        <w:tab/>
        <w:t>Revenue from Exchange Transactions</w:t>
      </w:r>
    </w:p>
    <w:p>
      <w:pPr>
        <w:ind w:left="1440"/>
        <w:jc w:val="both"/>
        <w:rPr>
          <w:sz w:val="24"/>
          <w:szCs w:val="24"/>
        </w:rPr>
      </w:pPr>
      <w:r>
        <w:rPr>
          <w:sz w:val="24"/>
          <w:szCs w:val="24"/>
        </w:rPr>
        <w:t>IPSAS 12</w:t>
      </w:r>
      <w:r>
        <w:rPr>
          <w:sz w:val="24"/>
          <w:szCs w:val="24"/>
        </w:rPr>
        <w:tab/>
        <w:t>Inventories</w:t>
      </w:r>
    </w:p>
    <w:p>
      <w:pPr>
        <w:ind w:left="1440"/>
        <w:jc w:val="both"/>
        <w:rPr>
          <w:sz w:val="24"/>
          <w:szCs w:val="24"/>
        </w:rPr>
      </w:pPr>
      <w:r>
        <w:rPr>
          <w:sz w:val="24"/>
          <w:szCs w:val="24"/>
        </w:rPr>
        <w:t>IPSAS 14</w:t>
      </w:r>
      <w:r>
        <w:rPr>
          <w:sz w:val="24"/>
          <w:szCs w:val="24"/>
        </w:rPr>
        <w:tab/>
        <w:t>Events after the Reporting Date</w:t>
      </w:r>
    </w:p>
    <w:p>
      <w:pPr>
        <w:ind w:left="1440"/>
        <w:jc w:val="both"/>
        <w:rPr>
          <w:sz w:val="24"/>
          <w:szCs w:val="24"/>
        </w:rPr>
      </w:pPr>
      <w:r>
        <w:rPr>
          <w:sz w:val="24"/>
          <w:szCs w:val="24"/>
        </w:rPr>
        <w:t>IPSAS 16</w:t>
      </w:r>
      <w:r>
        <w:rPr>
          <w:sz w:val="24"/>
          <w:szCs w:val="24"/>
        </w:rPr>
        <w:tab/>
        <w:t>Property, Plant &amp; Equipment</w:t>
      </w:r>
    </w:p>
    <w:p>
      <w:pPr>
        <w:ind w:left="1440"/>
        <w:jc w:val="both"/>
        <w:rPr>
          <w:sz w:val="24"/>
          <w:szCs w:val="24"/>
        </w:rPr>
      </w:pPr>
      <w:r>
        <w:rPr>
          <w:sz w:val="24"/>
          <w:szCs w:val="24"/>
        </w:rPr>
        <w:t xml:space="preserve">IPSAS 19 </w:t>
      </w:r>
      <w:r>
        <w:rPr>
          <w:sz w:val="24"/>
          <w:szCs w:val="24"/>
        </w:rPr>
        <w:tab/>
        <w:t>Provisions, Contingent Liabilities &amp; Contingent Assets</w:t>
      </w:r>
    </w:p>
    <w:p>
      <w:pPr>
        <w:ind w:left="1440"/>
        <w:rPr>
          <w:sz w:val="24"/>
          <w:szCs w:val="24"/>
        </w:rPr>
      </w:pPr>
      <w:r>
        <w:rPr>
          <w:sz w:val="24"/>
          <w:szCs w:val="24"/>
        </w:rPr>
        <w:t xml:space="preserve">IPSAS 20 </w:t>
      </w:r>
      <w:r>
        <w:rPr>
          <w:sz w:val="24"/>
          <w:szCs w:val="24"/>
        </w:rPr>
        <w:tab/>
        <w:t>Related Party Disclosures</w:t>
      </w:r>
    </w:p>
    <w:p>
      <w:pPr>
        <w:ind w:left="2880" w:hanging="1440"/>
        <w:jc w:val="both"/>
        <w:rPr>
          <w:sz w:val="24"/>
          <w:szCs w:val="24"/>
        </w:rPr>
      </w:pPr>
      <w:r>
        <w:rPr>
          <w:sz w:val="24"/>
          <w:szCs w:val="24"/>
        </w:rPr>
        <w:t xml:space="preserve">IPSAS 23 </w:t>
      </w:r>
      <w:r>
        <w:rPr>
          <w:sz w:val="24"/>
          <w:szCs w:val="24"/>
        </w:rPr>
        <w:tab/>
        <w:t>Revenue from Non-Exchange Transactions (Taxes &amp; Transfers)</w:t>
      </w:r>
    </w:p>
    <w:p>
      <w:pPr>
        <w:ind w:left="2880" w:hanging="1440"/>
        <w:jc w:val="both"/>
        <w:rPr>
          <w:sz w:val="24"/>
          <w:szCs w:val="24"/>
        </w:rPr>
      </w:pPr>
      <w:r>
        <w:rPr>
          <w:sz w:val="24"/>
          <w:szCs w:val="24"/>
        </w:rPr>
        <w:t>IPSAS 24</w:t>
      </w:r>
      <w:r>
        <w:rPr>
          <w:sz w:val="24"/>
          <w:szCs w:val="24"/>
        </w:rPr>
        <w:tab/>
        <w:t>Presentation of Budget Information in Financial Statement</w:t>
      </w:r>
    </w:p>
    <w:p>
      <w:pPr>
        <w:ind w:left="1440"/>
        <w:jc w:val="both"/>
        <w:rPr>
          <w:sz w:val="24"/>
          <w:szCs w:val="24"/>
        </w:rPr>
      </w:pPr>
      <w:r>
        <w:rPr>
          <w:sz w:val="24"/>
          <w:szCs w:val="24"/>
        </w:rPr>
        <w:t xml:space="preserve">IPSAS 27 </w:t>
      </w:r>
      <w:r>
        <w:rPr>
          <w:sz w:val="24"/>
          <w:szCs w:val="24"/>
        </w:rPr>
        <w:tab/>
        <w:t>Agriculture</w:t>
      </w:r>
    </w:p>
    <w:p>
      <w:pPr>
        <w:ind w:left="1440"/>
        <w:jc w:val="both"/>
        <w:rPr>
          <w:sz w:val="24"/>
          <w:szCs w:val="24"/>
        </w:rPr>
      </w:pPr>
      <w:r>
        <w:rPr>
          <w:sz w:val="24"/>
          <w:szCs w:val="24"/>
        </w:rPr>
        <w:t xml:space="preserve">IPSAS 28 </w:t>
      </w:r>
      <w:r>
        <w:rPr>
          <w:sz w:val="24"/>
          <w:szCs w:val="24"/>
        </w:rPr>
        <w:tab/>
        <w:t>Financial Instruments: Presentation</w:t>
      </w:r>
    </w:p>
    <w:p>
      <w:pPr>
        <w:ind w:left="1440"/>
        <w:jc w:val="both"/>
        <w:rPr>
          <w:sz w:val="24"/>
          <w:szCs w:val="24"/>
        </w:rPr>
      </w:pPr>
      <w:r>
        <w:rPr>
          <w:sz w:val="24"/>
          <w:szCs w:val="24"/>
        </w:rPr>
        <w:t xml:space="preserve">IPSAS 29 </w:t>
      </w:r>
      <w:r>
        <w:rPr>
          <w:sz w:val="24"/>
          <w:szCs w:val="24"/>
        </w:rPr>
        <w:tab/>
        <w:t>Financial Instruments: Recognition and Measurement</w:t>
      </w:r>
    </w:p>
    <w:p>
      <w:pPr>
        <w:ind w:left="1440"/>
        <w:jc w:val="both"/>
        <w:rPr>
          <w:sz w:val="24"/>
          <w:szCs w:val="24"/>
        </w:rPr>
      </w:pPr>
      <w:r>
        <w:rPr>
          <w:sz w:val="24"/>
          <w:szCs w:val="24"/>
        </w:rPr>
        <w:t xml:space="preserve">IPSAS 30 </w:t>
      </w:r>
      <w:r>
        <w:rPr>
          <w:sz w:val="24"/>
          <w:szCs w:val="24"/>
        </w:rPr>
        <w:tab/>
        <w:t>Financial Disclosures</w:t>
      </w:r>
    </w:p>
    <w:p>
      <w:pPr>
        <w:ind w:left="1440"/>
        <w:jc w:val="both"/>
        <w:rPr>
          <w:sz w:val="24"/>
          <w:szCs w:val="24"/>
        </w:rPr>
      </w:pPr>
      <w:r>
        <w:rPr>
          <w:sz w:val="24"/>
          <w:szCs w:val="24"/>
        </w:rPr>
        <w:tab/>
      </w:r>
    </w:p>
    <w:p>
      <w:pPr>
        <w:spacing w:line="276" w:lineRule="auto"/>
        <w:ind w:left="1418"/>
        <w:jc w:val="both"/>
        <w:rPr>
          <w:sz w:val="24"/>
          <w:szCs w:val="24"/>
        </w:rPr>
      </w:pPr>
      <w:r>
        <w:rPr>
          <w:sz w:val="24"/>
          <w:szCs w:val="24"/>
        </w:rPr>
        <w:t>These new standards and interpretations prescribe new accounting measurement and disclosure requirements applicable to the LGU. When applicable, the adoption of the new standards was made in accordance with the transitional provisions of the standards, otherwise the adoption of the new standards is accounted for as change in accounting policy under IPSAS 3: “Accounting Policies, Changes in Accounting Estimates and Errors.”</w:t>
      </w:r>
    </w:p>
    <w:p>
      <w:pPr>
        <w:ind w:left="1418"/>
        <w:jc w:val="both"/>
        <w:rPr>
          <w:sz w:val="24"/>
          <w:szCs w:val="24"/>
        </w:rPr>
      </w:pPr>
    </w:p>
    <w:p>
      <w:pPr>
        <w:spacing w:line="276" w:lineRule="auto"/>
        <w:ind w:left="1418"/>
        <w:jc w:val="both"/>
        <w:rPr>
          <w:sz w:val="24"/>
          <w:szCs w:val="24"/>
        </w:rPr>
      </w:pPr>
      <w:r>
        <w:rPr>
          <w:sz w:val="24"/>
          <w:szCs w:val="24"/>
        </w:rPr>
        <w:t>The effects of these new standards and interpretations on the LGU’s accounting policies and on the amounts disclosed in the financial statements are summarized as follows:</w:t>
      </w:r>
    </w:p>
    <w:p>
      <w:pPr>
        <w:ind w:left="1440"/>
        <w:jc w:val="both"/>
        <w:rPr>
          <w:sz w:val="24"/>
          <w:szCs w:val="24"/>
        </w:rPr>
      </w:pPr>
    </w:p>
    <w:p>
      <w:pPr>
        <w:spacing w:line="276" w:lineRule="auto"/>
        <w:ind w:left="1418"/>
        <w:jc w:val="both"/>
        <w:rPr>
          <w:sz w:val="24"/>
          <w:szCs w:val="24"/>
        </w:rPr>
      </w:pPr>
      <w:r>
        <w:rPr>
          <w:sz w:val="24"/>
          <w:szCs w:val="24"/>
        </w:rPr>
        <w:t>IPSAS 1: “Presentation of Financial Statements” provides different terminology for the financial statements. The most significant examples are the use of “statement of financial position” and “statement of financial performance”. The equivalent terms used in prior years are “balance sheet” and “income statement”, respectively. The standard sets out the components of financial statements and minimum requirements for disclosure on the face of the statement of financial position and the statement of financial performance, as well as for the presentation of changes in net assets/equity. It also describes further items that may be presented either on the face of the relevant financial statement or in the notes.</w:t>
      </w:r>
      <w:r>
        <w:rPr>
          <w:sz w:val="24"/>
          <w:szCs w:val="24"/>
        </w:rPr>
        <w:tab/>
      </w:r>
    </w:p>
    <w:p>
      <w:pPr>
        <w:ind w:left="1440"/>
        <w:jc w:val="both"/>
        <w:rPr>
          <w:b/>
          <w:sz w:val="24"/>
          <w:szCs w:val="24"/>
        </w:rPr>
      </w:pPr>
    </w:p>
    <w:p>
      <w:pPr>
        <w:spacing w:line="276" w:lineRule="auto"/>
        <w:ind w:left="1418"/>
        <w:jc w:val="both"/>
        <w:rPr>
          <w:sz w:val="24"/>
          <w:szCs w:val="24"/>
        </w:rPr>
      </w:pPr>
      <w:r>
        <w:rPr>
          <w:sz w:val="24"/>
          <w:szCs w:val="24"/>
        </w:rPr>
        <w:t>IPSAS 2: “Cash Flow Statements” requires the provision of information about the historical changes in cash and cash equivalents by means of a cash flow statement which classifies cash flows during the period from operating, investing and financing activities.</w:t>
      </w:r>
    </w:p>
    <w:p>
      <w:pPr>
        <w:spacing w:line="276" w:lineRule="auto"/>
        <w:ind w:left="1418"/>
        <w:jc w:val="both"/>
        <w:rPr>
          <w:sz w:val="24"/>
          <w:szCs w:val="24"/>
        </w:rPr>
      </w:pPr>
    </w:p>
    <w:p>
      <w:pPr>
        <w:ind w:left="1440"/>
        <w:jc w:val="both"/>
        <w:rPr>
          <w:sz w:val="24"/>
          <w:szCs w:val="24"/>
        </w:rPr>
      </w:pPr>
    </w:p>
    <w:p>
      <w:pPr>
        <w:spacing w:line="276" w:lineRule="auto"/>
        <w:ind w:left="1418"/>
        <w:jc w:val="both"/>
        <w:rPr>
          <w:sz w:val="24"/>
          <w:szCs w:val="24"/>
        </w:rPr>
      </w:pPr>
      <w:r>
        <w:rPr>
          <w:sz w:val="24"/>
          <w:szCs w:val="24"/>
        </w:rPr>
        <w:lastRenderedPageBreak/>
        <w:t>IPSAS 3: “Accounting Policies, Changes in Accounting Estimates &amp; Errors” prescribes the criteria for selecting and changing accounting policies, together with the accounting treatment and disclosures of changes in accounting policies, changes in accounting estimates, and the correction of errors.</w:t>
      </w:r>
    </w:p>
    <w:p>
      <w:pPr>
        <w:ind w:left="1440"/>
        <w:jc w:val="both"/>
        <w:rPr>
          <w:sz w:val="24"/>
          <w:szCs w:val="24"/>
        </w:rPr>
      </w:pPr>
    </w:p>
    <w:p>
      <w:pPr>
        <w:spacing w:line="276" w:lineRule="auto"/>
        <w:ind w:left="1418"/>
        <w:jc w:val="both"/>
        <w:rPr>
          <w:sz w:val="24"/>
          <w:szCs w:val="24"/>
        </w:rPr>
      </w:pPr>
      <w:r>
        <w:rPr>
          <w:sz w:val="24"/>
          <w:szCs w:val="24"/>
        </w:rPr>
        <w:t>IPSAS 9: “Revenue from Exchange Transactions” prescribes the accounting treatment of revenue arising from exchange transactions and events. According to this standard, revenue is recognized when it is probable that future economic benefits or service potential will flow to the entity, and these benefits can be measured reliably. This Standard identifies the circumstances in which these criteria will be met and, therefore, revenue will be recognized.</w:t>
      </w:r>
    </w:p>
    <w:p>
      <w:pPr>
        <w:ind w:left="1418"/>
        <w:jc w:val="both"/>
        <w:rPr>
          <w:sz w:val="24"/>
          <w:szCs w:val="24"/>
        </w:rPr>
      </w:pPr>
      <w:r>
        <w:rPr>
          <w:sz w:val="24"/>
          <w:szCs w:val="24"/>
        </w:rPr>
        <w:t xml:space="preserve">IPSAS 12: “Inventories” provides guidance on the determination of cost and its subsequent recognition as an expense, including any write-down to net realizable value. It also provides guidance on the cost formulas that are used to assign costs to inventories. </w:t>
      </w:r>
    </w:p>
    <w:p>
      <w:pPr>
        <w:ind w:left="1440"/>
        <w:jc w:val="both"/>
        <w:rPr>
          <w:sz w:val="24"/>
          <w:szCs w:val="24"/>
        </w:rPr>
      </w:pPr>
    </w:p>
    <w:p>
      <w:pPr>
        <w:spacing w:line="276" w:lineRule="auto"/>
        <w:ind w:left="1418"/>
        <w:jc w:val="both"/>
        <w:rPr>
          <w:sz w:val="24"/>
          <w:szCs w:val="24"/>
        </w:rPr>
      </w:pPr>
      <w:r>
        <w:rPr>
          <w:sz w:val="24"/>
          <w:szCs w:val="24"/>
        </w:rPr>
        <w:t>IPSAS 14: “Events After the Reporting Date” prescribes when an entity adjust its financial statements for events after the reporting date, and the disclosures that an entity should give about the date when the financial statements were authorized for issue, and about events after the reporting date.</w:t>
      </w:r>
    </w:p>
    <w:p>
      <w:pPr>
        <w:jc w:val="both"/>
        <w:rPr>
          <w:sz w:val="24"/>
          <w:szCs w:val="24"/>
        </w:rPr>
      </w:pPr>
    </w:p>
    <w:p>
      <w:pPr>
        <w:spacing w:line="276" w:lineRule="auto"/>
        <w:ind w:left="1418"/>
        <w:jc w:val="both"/>
        <w:rPr>
          <w:sz w:val="24"/>
          <w:szCs w:val="24"/>
        </w:rPr>
      </w:pPr>
      <w:r>
        <w:rPr>
          <w:sz w:val="24"/>
          <w:szCs w:val="24"/>
        </w:rPr>
        <w:t xml:space="preserve">IPSAS 17: “Property, Plant and Equipment” prescribes the accounting treatment on the recognition of the property, plant and equipment, the determination of their carrying amounts, and the depreciation charges and where applicable, the impairment losses to be recognized in relation to them. </w:t>
      </w:r>
    </w:p>
    <w:p>
      <w:pPr>
        <w:ind w:left="1440"/>
        <w:jc w:val="both"/>
        <w:rPr>
          <w:sz w:val="24"/>
          <w:szCs w:val="24"/>
        </w:rPr>
      </w:pPr>
    </w:p>
    <w:p>
      <w:pPr>
        <w:spacing w:line="276" w:lineRule="auto"/>
        <w:ind w:left="1418"/>
        <w:jc w:val="both"/>
        <w:rPr>
          <w:sz w:val="24"/>
          <w:szCs w:val="24"/>
        </w:rPr>
      </w:pPr>
      <w:r>
        <w:rPr>
          <w:sz w:val="24"/>
          <w:szCs w:val="24"/>
        </w:rPr>
        <w:t>IPSAS 19: “Provisions, Contingent Liabilities and Contingent Assets” requires that certain information be disclosed about contingent liabilities and contingent assets in the notes to the financial statements, to enable to understand their nature, timing, and amount.</w:t>
      </w:r>
    </w:p>
    <w:p>
      <w:pPr>
        <w:ind w:left="1440"/>
        <w:jc w:val="both"/>
        <w:rPr>
          <w:sz w:val="24"/>
          <w:szCs w:val="24"/>
        </w:rPr>
      </w:pPr>
    </w:p>
    <w:p>
      <w:pPr>
        <w:spacing w:line="276" w:lineRule="auto"/>
        <w:ind w:left="1418"/>
        <w:jc w:val="both"/>
        <w:rPr>
          <w:sz w:val="24"/>
          <w:szCs w:val="24"/>
        </w:rPr>
      </w:pPr>
      <w:r>
        <w:rPr>
          <w:sz w:val="24"/>
          <w:szCs w:val="24"/>
        </w:rPr>
        <w:t>IPSAS 20: “Related Party Disclosures” requires the disclosure of the existence of related party relationships where control exists, and the disclosure of information about transactions between the entity and its related parties in certain circumstances. The standard gives guidance in identifying which parties control or significantly influence the reporting entity, and in determining what information should be disclosed about transactions with those parties.</w:t>
      </w:r>
    </w:p>
    <w:p>
      <w:pPr>
        <w:ind w:left="1440"/>
        <w:jc w:val="both"/>
        <w:rPr>
          <w:sz w:val="24"/>
          <w:szCs w:val="24"/>
        </w:rPr>
      </w:pPr>
    </w:p>
    <w:p>
      <w:pPr>
        <w:tabs>
          <w:tab w:val="left" w:pos="1418"/>
        </w:tabs>
        <w:spacing w:line="276" w:lineRule="auto"/>
        <w:ind w:left="1418"/>
        <w:jc w:val="both"/>
        <w:rPr>
          <w:sz w:val="24"/>
          <w:szCs w:val="24"/>
        </w:rPr>
      </w:pPr>
      <w:r>
        <w:rPr>
          <w:sz w:val="24"/>
          <w:szCs w:val="24"/>
        </w:rPr>
        <w:t>IPSAS 23: “Revenue from Non-Exchange Transactions (Taxes and Transfers)” addresses revenue arising from non-exchange transaction of which majority revenue of the government entities typically derived, such as taxes and transfers.</w:t>
      </w:r>
    </w:p>
    <w:p>
      <w:pPr>
        <w:ind w:left="1440"/>
        <w:jc w:val="both"/>
        <w:rPr>
          <w:sz w:val="24"/>
          <w:szCs w:val="24"/>
        </w:rPr>
      </w:pPr>
    </w:p>
    <w:p>
      <w:pPr>
        <w:spacing w:line="276" w:lineRule="auto"/>
        <w:ind w:left="1418"/>
        <w:jc w:val="both"/>
        <w:rPr>
          <w:sz w:val="24"/>
          <w:szCs w:val="24"/>
        </w:rPr>
      </w:pPr>
      <w:r>
        <w:rPr>
          <w:sz w:val="24"/>
          <w:szCs w:val="24"/>
        </w:rPr>
        <w:lastRenderedPageBreak/>
        <w:t xml:space="preserve">IPSAS 24: “Presentation of Budget Information in Financial Statement” requires a comparison of budget amounts and the actual amounts arising from execution of the budget to be included in the financial statements of entities that are required to, or elect to, make publicly available the approved budget(s), and for which are, therefore, held publicly accountable. </w:t>
      </w:r>
    </w:p>
    <w:p>
      <w:pPr>
        <w:ind w:left="1440"/>
        <w:jc w:val="both"/>
        <w:rPr>
          <w:sz w:val="24"/>
          <w:szCs w:val="24"/>
        </w:rPr>
      </w:pPr>
    </w:p>
    <w:p>
      <w:pPr>
        <w:spacing w:line="276" w:lineRule="auto"/>
        <w:ind w:left="1418"/>
        <w:jc w:val="both"/>
        <w:rPr>
          <w:sz w:val="24"/>
          <w:szCs w:val="24"/>
        </w:rPr>
      </w:pPr>
      <w:r>
        <w:rPr>
          <w:sz w:val="24"/>
          <w:szCs w:val="24"/>
        </w:rPr>
        <w:t>IPSAS 27: “Agriculture” is applied to agricultural produce, which is the harvested product of the entity’s biological assets, only at the point of harvest. It prescribes the accounting treatment and disclosures for agricultural activity in which it refers to the management by an entity of the biological transformation and harvest of biological assets intended for sale, distribution at no charge or conversion into agricultural produce or into additional biological assets.</w:t>
      </w:r>
    </w:p>
    <w:p>
      <w:pPr>
        <w:ind w:left="1418"/>
        <w:jc w:val="both"/>
        <w:rPr>
          <w:sz w:val="24"/>
          <w:szCs w:val="24"/>
        </w:rPr>
      </w:pPr>
    </w:p>
    <w:p>
      <w:pPr>
        <w:spacing w:line="276" w:lineRule="auto"/>
        <w:ind w:left="1418"/>
        <w:jc w:val="both"/>
        <w:rPr>
          <w:sz w:val="24"/>
          <w:szCs w:val="24"/>
        </w:rPr>
      </w:pPr>
      <w:r>
        <w:rPr>
          <w:sz w:val="24"/>
          <w:szCs w:val="24"/>
        </w:rPr>
        <w:t>IPSAS 28: “Financial Instruments: Presentation” establishes the principles for presenting financial instruments as liabilities or net assets/equity and for offsetting financial assets and financial liabilities. It applies to the classification of the financial instruments, from the perspective of the issuer, into financial assets and financial liabilities, and the circumstances in which financial assets and financial liabilities should be offset.</w:t>
      </w:r>
    </w:p>
    <w:p>
      <w:pPr>
        <w:ind w:left="1440"/>
        <w:jc w:val="both"/>
        <w:rPr>
          <w:sz w:val="24"/>
          <w:szCs w:val="24"/>
        </w:rPr>
      </w:pPr>
    </w:p>
    <w:p>
      <w:pPr>
        <w:spacing w:line="276" w:lineRule="auto"/>
        <w:ind w:left="1418"/>
        <w:jc w:val="both"/>
        <w:rPr>
          <w:sz w:val="24"/>
          <w:szCs w:val="24"/>
        </w:rPr>
      </w:pPr>
      <w:r>
        <w:rPr>
          <w:sz w:val="24"/>
          <w:szCs w:val="24"/>
        </w:rPr>
        <w:t>IPSAS 29: “Financial Instruments: Recognition and Measurement” establishes principles for recognizing and measuring financial assets and financial liabilities.</w:t>
      </w:r>
    </w:p>
    <w:p>
      <w:pPr>
        <w:ind w:left="1440"/>
        <w:jc w:val="both"/>
        <w:rPr>
          <w:sz w:val="24"/>
          <w:szCs w:val="24"/>
        </w:rPr>
      </w:pPr>
    </w:p>
    <w:p>
      <w:pPr>
        <w:spacing w:line="276" w:lineRule="auto"/>
        <w:ind w:left="1418" w:hanging="22"/>
        <w:jc w:val="both"/>
        <w:rPr>
          <w:sz w:val="24"/>
          <w:szCs w:val="24"/>
        </w:rPr>
      </w:pPr>
      <w:r>
        <w:rPr>
          <w:sz w:val="24"/>
          <w:szCs w:val="24"/>
        </w:rPr>
        <w:t>IPSAS 30: “Financial Disclosures” requires the entity to provide disclosures in the financial statements that enable users to evaluate the significance of financial instruments for the entity’s financial position and performance, and the nature and extent of risks arising from financial instruments to which the entity is exposed during the period and at the end of the reporting period, and how the entity manage those risks.</w:t>
      </w:r>
    </w:p>
    <w:p>
      <w:pPr>
        <w:ind w:left="1418"/>
        <w:jc w:val="both"/>
        <w:rPr>
          <w:sz w:val="24"/>
          <w:szCs w:val="24"/>
        </w:rPr>
      </w:pPr>
    </w:p>
    <w:p>
      <w:pPr>
        <w:spacing w:line="276" w:lineRule="auto"/>
        <w:ind w:left="1418"/>
        <w:jc w:val="both"/>
        <w:rPr>
          <w:sz w:val="24"/>
          <w:szCs w:val="24"/>
        </w:rPr>
      </w:pPr>
      <w:r>
        <w:rPr>
          <w:sz w:val="24"/>
          <w:szCs w:val="24"/>
        </w:rPr>
        <w:t>The significant effect of the adoption of the Philippine Public Sector Accounting Standards (IPSAS) to Agency’s Financial Statements is that infrastructure assets which include road networks shall be taken up as Property, Plant and Equipment. The annual consumption of their service potential and loss of value through depreciation and impairment shall also be recognized.</w:t>
      </w:r>
    </w:p>
    <w:p>
      <w:pPr>
        <w:jc w:val="both"/>
        <w:rPr>
          <w:sz w:val="24"/>
          <w:szCs w:val="24"/>
        </w:rPr>
      </w:pPr>
    </w:p>
    <w:p>
      <w:pPr>
        <w:pStyle w:val="ListParagraph"/>
        <w:numPr>
          <w:ilvl w:val="1"/>
          <w:numId w:val="1"/>
        </w:numPr>
        <w:ind w:left="851" w:firstLine="0"/>
        <w:contextualSpacing/>
        <w:rPr>
          <w:b/>
          <w:bCs/>
          <w:sz w:val="24"/>
          <w:szCs w:val="24"/>
        </w:rPr>
      </w:pPr>
      <w:r>
        <w:rPr>
          <w:b/>
          <w:bCs/>
          <w:sz w:val="24"/>
          <w:szCs w:val="24"/>
        </w:rPr>
        <w:t>One Fund Concept</w:t>
      </w:r>
    </w:p>
    <w:p>
      <w:pPr>
        <w:pStyle w:val="ListParagraph"/>
        <w:ind w:left="284"/>
        <w:jc w:val="both"/>
        <w:rPr>
          <w:bCs/>
          <w:sz w:val="24"/>
          <w:szCs w:val="24"/>
        </w:rPr>
      </w:pPr>
    </w:p>
    <w:p>
      <w:pPr>
        <w:pStyle w:val="ListParagraph"/>
        <w:spacing w:line="276" w:lineRule="auto"/>
        <w:ind w:left="1418"/>
        <w:jc w:val="both"/>
        <w:rPr>
          <w:sz w:val="24"/>
          <w:szCs w:val="24"/>
        </w:rPr>
      </w:pPr>
      <w:r>
        <w:rPr>
          <w:bCs/>
          <w:sz w:val="24"/>
          <w:szCs w:val="24"/>
        </w:rPr>
        <w:t xml:space="preserve">The LGU </w:t>
      </w:r>
      <w:r>
        <w:rPr>
          <w:sz w:val="24"/>
          <w:szCs w:val="24"/>
        </w:rPr>
        <w:t xml:space="preserve">adopts the “One Fund Concept”. Separate fund accounting shall be done only when specifically required by law or by a donor agency or when otherwise necessitated by circumstances subject to prior approval of the Commission. As required under Sections 308, 309, and 310 of the Local Government Code, separate </w:t>
      </w:r>
      <w:r>
        <w:rPr>
          <w:sz w:val="24"/>
          <w:szCs w:val="24"/>
        </w:rPr>
        <w:lastRenderedPageBreak/>
        <w:t>books shall be maintained for the General Fund, Special Education Fund, and Trust Fund.</w:t>
      </w:r>
    </w:p>
    <w:p>
      <w:pPr>
        <w:pStyle w:val="ListParagraph"/>
        <w:ind w:left="1440"/>
        <w:jc w:val="both"/>
        <w:rPr>
          <w:sz w:val="24"/>
          <w:szCs w:val="24"/>
        </w:rPr>
      </w:pPr>
    </w:p>
    <w:p>
      <w:pPr>
        <w:pStyle w:val="ListParagraph"/>
        <w:numPr>
          <w:ilvl w:val="0"/>
          <w:numId w:val="4"/>
        </w:numPr>
        <w:tabs>
          <w:tab w:val="left" w:pos="1985"/>
        </w:tabs>
        <w:spacing w:line="276" w:lineRule="auto"/>
        <w:ind w:left="1418" w:firstLine="0"/>
        <w:jc w:val="both"/>
        <w:rPr>
          <w:sz w:val="24"/>
          <w:szCs w:val="24"/>
        </w:rPr>
      </w:pPr>
      <w:r>
        <w:rPr>
          <w:i/>
          <w:sz w:val="24"/>
          <w:szCs w:val="24"/>
        </w:rPr>
        <w:t>General Fund (GF)</w:t>
      </w:r>
      <w:r>
        <w:rPr>
          <w:sz w:val="24"/>
          <w:szCs w:val="24"/>
        </w:rPr>
        <w:t xml:space="preserve"> – a fund that every local government unit shall maintain which shall be used to account for such monies and resources as may be received by and disbursed from the local treasury.  The General Fund consists of monies and resources of the local government which are available for the payment of expenditures, obligations, or purposes not specifically declared by law as accruing and chargeable to, or payable from, any other fund. (Sec. 308 of the Local Government Code of 1991 or R.A. 7160)</w:t>
      </w:r>
    </w:p>
    <w:p>
      <w:pPr>
        <w:pStyle w:val="ListParagraph"/>
        <w:ind w:left="1440"/>
        <w:jc w:val="both"/>
        <w:rPr>
          <w:sz w:val="24"/>
          <w:szCs w:val="24"/>
        </w:rPr>
      </w:pPr>
    </w:p>
    <w:p>
      <w:pPr>
        <w:pStyle w:val="ListParagraph"/>
        <w:spacing w:line="276" w:lineRule="auto"/>
        <w:ind w:left="1440"/>
        <w:jc w:val="both"/>
        <w:rPr>
          <w:sz w:val="24"/>
          <w:szCs w:val="24"/>
        </w:rPr>
      </w:pPr>
      <w:r>
        <w:rPr>
          <w:sz w:val="24"/>
          <w:szCs w:val="24"/>
        </w:rPr>
        <w:t>The LGU maintains special accounts under the General Fund for the following economic enterprises:</w:t>
      </w:r>
    </w:p>
    <w:p>
      <w:pPr>
        <w:pStyle w:val="ListParagraph"/>
        <w:ind w:left="1440"/>
        <w:jc w:val="both"/>
        <w:rPr>
          <w:sz w:val="24"/>
          <w:szCs w:val="24"/>
        </w:rPr>
      </w:pPr>
    </w:p>
    <w:p>
      <w:pPr>
        <w:numPr>
          <w:ilvl w:val="0"/>
          <w:numId w:val="5"/>
        </w:numPr>
        <w:tabs>
          <w:tab w:val="left" w:pos="1080"/>
        </w:tabs>
        <w:ind w:hanging="284"/>
        <w:jc w:val="both"/>
        <w:rPr>
          <w:bCs/>
          <w:sz w:val="24"/>
          <w:szCs w:val="24"/>
        </w:rPr>
      </w:pPr>
      <w:r>
        <w:rPr>
          <w:bCs/>
          <w:sz w:val="24"/>
          <w:szCs w:val="24"/>
        </w:rPr>
        <w:t xml:space="preserve">Market </w:t>
      </w:r>
    </w:p>
    <w:p>
      <w:pPr>
        <w:numPr>
          <w:ilvl w:val="0"/>
          <w:numId w:val="5"/>
        </w:numPr>
        <w:tabs>
          <w:tab w:val="left" w:pos="1080"/>
        </w:tabs>
        <w:ind w:hanging="284"/>
        <w:jc w:val="both"/>
        <w:rPr>
          <w:bCs/>
          <w:sz w:val="24"/>
          <w:szCs w:val="24"/>
        </w:rPr>
      </w:pPr>
      <w:r>
        <w:rPr>
          <w:bCs/>
          <w:sz w:val="24"/>
          <w:szCs w:val="24"/>
        </w:rPr>
        <w:t>Terminal</w:t>
      </w:r>
    </w:p>
    <w:p>
      <w:pPr>
        <w:numPr>
          <w:ilvl w:val="0"/>
          <w:numId w:val="5"/>
        </w:numPr>
        <w:tabs>
          <w:tab w:val="left" w:pos="1080"/>
        </w:tabs>
        <w:ind w:hanging="284"/>
        <w:jc w:val="both"/>
        <w:rPr>
          <w:bCs/>
          <w:sz w:val="24"/>
          <w:szCs w:val="24"/>
        </w:rPr>
      </w:pPr>
      <w:r>
        <w:rPr>
          <w:bCs/>
          <w:sz w:val="24"/>
          <w:szCs w:val="24"/>
        </w:rPr>
        <w:t>Slaughterhouse</w:t>
      </w:r>
    </w:p>
    <w:p>
      <w:pPr>
        <w:numPr>
          <w:ilvl w:val="0"/>
          <w:numId w:val="5"/>
        </w:numPr>
        <w:tabs>
          <w:tab w:val="left" w:pos="1080"/>
        </w:tabs>
        <w:ind w:hanging="284"/>
        <w:jc w:val="both"/>
        <w:rPr>
          <w:bCs/>
          <w:sz w:val="24"/>
          <w:szCs w:val="24"/>
        </w:rPr>
      </w:pPr>
      <w:r>
        <w:rPr>
          <w:bCs/>
          <w:sz w:val="24"/>
          <w:szCs w:val="24"/>
        </w:rPr>
        <w:t>Cemetery</w:t>
      </w:r>
    </w:p>
    <w:p>
      <w:pPr>
        <w:numPr>
          <w:ilvl w:val="0"/>
          <w:numId w:val="5"/>
        </w:numPr>
        <w:tabs>
          <w:tab w:val="left" w:pos="1080"/>
        </w:tabs>
        <w:ind w:hanging="284"/>
        <w:jc w:val="both"/>
        <w:rPr>
          <w:bCs/>
          <w:sz w:val="24"/>
          <w:szCs w:val="24"/>
        </w:rPr>
      </w:pPr>
      <w:r>
        <w:rPr>
          <w:bCs/>
          <w:sz w:val="24"/>
          <w:szCs w:val="24"/>
        </w:rPr>
        <w:t>Other Special Accounts maintained under the General Fund are, as follows:</w:t>
      </w:r>
    </w:p>
    <w:p>
      <w:pPr>
        <w:numPr>
          <w:ilvl w:val="0"/>
          <w:numId w:val="6"/>
        </w:numPr>
        <w:tabs>
          <w:tab w:val="left" w:pos="1800"/>
        </w:tabs>
        <w:ind w:left="2700" w:hanging="284"/>
        <w:jc w:val="both"/>
        <w:rPr>
          <w:bCs/>
          <w:sz w:val="24"/>
          <w:szCs w:val="24"/>
        </w:rPr>
      </w:pPr>
      <w:r>
        <w:rPr>
          <w:bCs/>
          <w:sz w:val="24"/>
          <w:szCs w:val="24"/>
        </w:rPr>
        <w:t>20% Development Fund</w:t>
      </w:r>
    </w:p>
    <w:p>
      <w:pPr>
        <w:numPr>
          <w:ilvl w:val="0"/>
          <w:numId w:val="6"/>
        </w:numPr>
        <w:tabs>
          <w:tab w:val="left" w:pos="1800"/>
        </w:tabs>
        <w:ind w:left="2700" w:hanging="284"/>
        <w:jc w:val="both"/>
        <w:rPr>
          <w:bCs/>
          <w:sz w:val="24"/>
          <w:szCs w:val="24"/>
        </w:rPr>
      </w:pPr>
      <w:r>
        <w:rPr>
          <w:bCs/>
          <w:sz w:val="24"/>
          <w:szCs w:val="24"/>
        </w:rPr>
        <w:t>Loans</w:t>
      </w:r>
    </w:p>
    <w:p>
      <w:pPr>
        <w:ind w:left="1440"/>
        <w:jc w:val="both"/>
        <w:rPr>
          <w:bCs/>
          <w:sz w:val="24"/>
          <w:szCs w:val="24"/>
        </w:rPr>
      </w:pPr>
    </w:p>
    <w:p>
      <w:pPr>
        <w:pStyle w:val="ListParagraph"/>
        <w:numPr>
          <w:ilvl w:val="0"/>
          <w:numId w:val="4"/>
        </w:numPr>
        <w:tabs>
          <w:tab w:val="left" w:pos="1985"/>
        </w:tabs>
        <w:spacing w:line="276" w:lineRule="auto"/>
        <w:ind w:left="1418" w:firstLine="0"/>
        <w:jc w:val="both"/>
        <w:rPr>
          <w:sz w:val="24"/>
          <w:szCs w:val="24"/>
        </w:rPr>
      </w:pPr>
      <w:r>
        <w:rPr>
          <w:i/>
          <w:sz w:val="24"/>
          <w:szCs w:val="24"/>
        </w:rPr>
        <w:t xml:space="preserve">Special Education Fund (SEF) </w:t>
      </w:r>
      <w:r>
        <w:rPr>
          <w:sz w:val="24"/>
          <w:szCs w:val="24"/>
        </w:rPr>
        <w:t>– consists of the share of the City in the proceeds of the additional tax on real property.  The proceeds from the additional one percent (1%) tax on real property accruing to the Special Education Fund shall be automatically released to the local school board. Provided, however, that the proceeds shall be allocated for the operation and maintenance of public schools, construction and repair of school buildings, facilities and equipment, educational research, purchase of books and periodicals, and sports development as determined and approved by the Local School Board. (Sec. 272 &amp; 309A of the Local Government Code of 1991 or R.A. 7160)</w:t>
      </w:r>
    </w:p>
    <w:p>
      <w:pPr>
        <w:pStyle w:val="ListParagraph"/>
        <w:ind w:left="1440"/>
        <w:jc w:val="both"/>
        <w:rPr>
          <w:sz w:val="24"/>
          <w:szCs w:val="24"/>
        </w:rPr>
      </w:pPr>
    </w:p>
    <w:p>
      <w:pPr>
        <w:pStyle w:val="ListParagraph"/>
        <w:numPr>
          <w:ilvl w:val="0"/>
          <w:numId w:val="4"/>
        </w:numPr>
        <w:tabs>
          <w:tab w:val="left" w:pos="1985"/>
        </w:tabs>
        <w:spacing w:line="276" w:lineRule="auto"/>
        <w:ind w:left="1418" w:firstLine="0"/>
        <w:jc w:val="both"/>
        <w:rPr>
          <w:sz w:val="24"/>
          <w:szCs w:val="24"/>
        </w:rPr>
      </w:pPr>
      <w:r>
        <w:rPr>
          <w:i/>
          <w:sz w:val="24"/>
          <w:szCs w:val="24"/>
        </w:rPr>
        <w:t>Trust Fund (TF)</w:t>
      </w:r>
      <w:r>
        <w:rPr>
          <w:sz w:val="24"/>
          <w:szCs w:val="24"/>
        </w:rPr>
        <w:t xml:space="preserve"> – consists of private and public monies which have officially come into the possession of the local government or of a local government official as trustee, agent, or administrator, or which have been received as guaranty for the fulfillment of some obligation. A Trust Fund shall only be used for the specific purpose for which it was created or for which it came into the possession of the local government unit. (Sec. 309B of the Local Government Code of 1991 or R.A. 7160)</w:t>
      </w:r>
    </w:p>
    <w:p>
      <w:pPr>
        <w:pStyle w:val="ListParagraph"/>
        <w:rPr>
          <w:sz w:val="24"/>
          <w:szCs w:val="24"/>
        </w:rPr>
      </w:pPr>
    </w:p>
    <w:p>
      <w:pPr>
        <w:pStyle w:val="ListParagraph"/>
        <w:rPr>
          <w:sz w:val="24"/>
          <w:szCs w:val="24"/>
        </w:rPr>
      </w:pPr>
    </w:p>
    <w:p>
      <w:pPr>
        <w:pStyle w:val="ListParagraph"/>
        <w:rPr>
          <w:sz w:val="24"/>
          <w:szCs w:val="24"/>
        </w:rPr>
      </w:pPr>
    </w:p>
    <w:p>
      <w:pPr>
        <w:pStyle w:val="ListParagraph"/>
        <w:rPr>
          <w:sz w:val="24"/>
          <w:szCs w:val="24"/>
        </w:rPr>
      </w:pPr>
    </w:p>
    <w:p>
      <w:pPr>
        <w:pStyle w:val="ListParagraph"/>
        <w:rPr>
          <w:sz w:val="24"/>
          <w:szCs w:val="24"/>
        </w:rPr>
      </w:pPr>
    </w:p>
    <w:p>
      <w:pPr>
        <w:pStyle w:val="ListParagraph"/>
        <w:numPr>
          <w:ilvl w:val="1"/>
          <w:numId w:val="1"/>
        </w:numPr>
        <w:ind w:left="851" w:firstLine="0"/>
        <w:contextualSpacing/>
        <w:rPr>
          <w:b/>
          <w:sz w:val="24"/>
          <w:szCs w:val="24"/>
        </w:rPr>
      </w:pPr>
      <w:r>
        <w:rPr>
          <w:b/>
          <w:sz w:val="24"/>
          <w:szCs w:val="24"/>
        </w:rPr>
        <w:lastRenderedPageBreak/>
        <w:t>Revenue recognition</w:t>
      </w:r>
    </w:p>
    <w:p>
      <w:pPr>
        <w:pStyle w:val="ListParagraph"/>
        <w:ind w:left="284"/>
        <w:rPr>
          <w:sz w:val="24"/>
          <w:szCs w:val="24"/>
        </w:rPr>
      </w:pPr>
    </w:p>
    <w:p>
      <w:pPr>
        <w:pStyle w:val="ListParagraph"/>
        <w:ind w:left="1418"/>
        <w:jc w:val="both"/>
        <w:rPr>
          <w:b/>
          <w:sz w:val="24"/>
          <w:szCs w:val="24"/>
        </w:rPr>
      </w:pPr>
      <w:r>
        <w:rPr>
          <w:b/>
          <w:sz w:val="24"/>
          <w:szCs w:val="24"/>
        </w:rPr>
        <w:t>Revenue from non-exchange transactions</w:t>
      </w:r>
    </w:p>
    <w:p>
      <w:pPr>
        <w:pStyle w:val="ListParagraph"/>
        <w:ind w:left="1440"/>
        <w:jc w:val="both"/>
        <w:rPr>
          <w:sz w:val="24"/>
          <w:szCs w:val="24"/>
        </w:rPr>
      </w:pPr>
    </w:p>
    <w:p>
      <w:pPr>
        <w:pStyle w:val="ListParagraph"/>
        <w:ind w:left="1418"/>
        <w:jc w:val="both"/>
        <w:rPr>
          <w:i/>
          <w:sz w:val="24"/>
          <w:szCs w:val="24"/>
        </w:rPr>
      </w:pPr>
      <w:r>
        <w:rPr>
          <w:i/>
          <w:sz w:val="24"/>
          <w:szCs w:val="24"/>
        </w:rPr>
        <w:t>Taxes, fees, and fines</w:t>
      </w:r>
    </w:p>
    <w:p>
      <w:pPr>
        <w:pStyle w:val="ListParagraph"/>
        <w:ind w:left="1418"/>
        <w:jc w:val="both"/>
        <w:rPr>
          <w:b/>
          <w:bCs/>
          <w:i/>
          <w:sz w:val="24"/>
          <w:szCs w:val="24"/>
        </w:rPr>
      </w:pPr>
    </w:p>
    <w:p>
      <w:pPr>
        <w:pStyle w:val="ListParagraph"/>
        <w:spacing w:line="276" w:lineRule="auto"/>
        <w:ind w:left="1418"/>
        <w:jc w:val="both"/>
        <w:rPr>
          <w:sz w:val="24"/>
          <w:szCs w:val="24"/>
        </w:rPr>
      </w:pPr>
      <w:r>
        <w:rPr>
          <w:sz w:val="24"/>
          <w:szCs w:val="24"/>
        </w:rPr>
        <w:t>The LGU recognizes revenues from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pPr>
        <w:pStyle w:val="ListParagraph"/>
        <w:ind w:left="1440"/>
        <w:jc w:val="both"/>
        <w:rPr>
          <w:sz w:val="24"/>
          <w:szCs w:val="24"/>
        </w:rPr>
      </w:pPr>
    </w:p>
    <w:p>
      <w:pPr>
        <w:autoSpaceDE w:val="0"/>
        <w:autoSpaceDN w:val="0"/>
        <w:adjustRightInd w:val="0"/>
        <w:ind w:left="1418"/>
        <w:rPr>
          <w:rFonts w:eastAsia="Calibri"/>
          <w:i/>
          <w:iCs/>
          <w:sz w:val="24"/>
          <w:szCs w:val="24"/>
          <w:lang w:val="en-PH"/>
        </w:rPr>
      </w:pPr>
      <w:r>
        <w:rPr>
          <w:rFonts w:eastAsia="Calibri"/>
          <w:i/>
          <w:iCs/>
          <w:sz w:val="24"/>
          <w:szCs w:val="24"/>
          <w:lang w:val="en-PH"/>
        </w:rPr>
        <w:t>Transfers from other government entities</w:t>
      </w:r>
    </w:p>
    <w:p>
      <w:pPr>
        <w:autoSpaceDE w:val="0"/>
        <w:autoSpaceDN w:val="0"/>
        <w:adjustRightInd w:val="0"/>
        <w:ind w:left="1418"/>
        <w:rPr>
          <w:rFonts w:eastAsia="Calibri"/>
          <w: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Revenues from non-exchange transactions with other government entities are measured at fair value and recognized on obtaining control of the asset (cash, goods, services, and property) if the transfer is free from conditions and it is probable that the economic benefits or service potential related to the asset will flow to the LGU and can be measured reliably.</w:t>
      </w:r>
    </w:p>
    <w:p>
      <w:pPr>
        <w:autoSpaceDE w:val="0"/>
        <w:autoSpaceDN w:val="0"/>
        <w:adjustRightInd w:val="0"/>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availed of the 5-year transitional provision for the recognition of Tax Revenue - Real Property and Special Education Tax. For the first year, there will be no change in policy for the recognition of the aforementioned tax revenue.</w:t>
      </w:r>
    </w:p>
    <w:p>
      <w:pPr>
        <w:autoSpaceDE w:val="0"/>
        <w:autoSpaceDN w:val="0"/>
        <w:adjustRightInd w:val="0"/>
        <w:ind w:left="1440"/>
        <w:rPr>
          <w:rFonts w:eastAsia="Calibri"/>
          <w:b/>
          <w:bCs/>
          <w:sz w:val="24"/>
          <w:szCs w:val="24"/>
          <w:lang w:val="en-PH"/>
        </w:rPr>
      </w:pPr>
    </w:p>
    <w:p>
      <w:pPr>
        <w:autoSpaceDE w:val="0"/>
        <w:autoSpaceDN w:val="0"/>
        <w:adjustRightInd w:val="0"/>
        <w:ind w:left="1418"/>
        <w:rPr>
          <w:rFonts w:eastAsia="Calibri"/>
          <w:b/>
          <w:bCs/>
          <w:sz w:val="24"/>
          <w:szCs w:val="24"/>
          <w:lang w:val="en-PH"/>
        </w:rPr>
      </w:pPr>
      <w:r>
        <w:rPr>
          <w:rFonts w:eastAsia="Calibri"/>
          <w:b/>
          <w:bCs/>
          <w:sz w:val="24"/>
          <w:szCs w:val="24"/>
          <w:lang w:val="en-PH"/>
        </w:rPr>
        <w:t>Revenue from exchange transactions</w:t>
      </w:r>
    </w:p>
    <w:p>
      <w:pPr>
        <w:autoSpaceDE w:val="0"/>
        <w:autoSpaceDN w:val="0"/>
        <w:adjustRightInd w:val="0"/>
        <w:ind w:left="1440"/>
        <w:rPr>
          <w:rFonts w:eastAsia="Calibri"/>
          <w:iCs/>
          <w:sz w:val="24"/>
          <w:szCs w:val="24"/>
          <w:lang w:val="en-PH"/>
        </w:rPr>
      </w:pPr>
    </w:p>
    <w:p>
      <w:pPr>
        <w:autoSpaceDE w:val="0"/>
        <w:autoSpaceDN w:val="0"/>
        <w:adjustRightInd w:val="0"/>
        <w:ind w:left="1418"/>
        <w:rPr>
          <w:rFonts w:eastAsia="Calibri"/>
          <w:i/>
          <w:iCs/>
          <w:sz w:val="24"/>
          <w:szCs w:val="24"/>
          <w:lang w:val="en-PH"/>
        </w:rPr>
      </w:pPr>
      <w:r>
        <w:rPr>
          <w:rFonts w:eastAsia="Calibri"/>
          <w:i/>
          <w:iCs/>
          <w:sz w:val="24"/>
          <w:szCs w:val="24"/>
          <w:lang w:val="en-PH"/>
        </w:rPr>
        <w:t>Rendering of services</w:t>
      </w:r>
    </w:p>
    <w:p>
      <w:pPr>
        <w:autoSpaceDE w:val="0"/>
        <w:autoSpaceDN w:val="0"/>
        <w:adjustRightInd w:val="0"/>
        <w:ind w:left="1418"/>
        <w:rPr>
          <w:rFonts w:eastAsia="Calibri"/>
          <w:i/>
          <w:iCs/>
          <w:sz w:val="24"/>
          <w:szCs w:val="24"/>
          <w:lang w:val="en-PH"/>
        </w:rPr>
      </w:pPr>
    </w:p>
    <w:p>
      <w:pPr>
        <w:autoSpaceDE w:val="0"/>
        <w:autoSpaceDN w:val="0"/>
        <w:adjustRightInd w:val="0"/>
        <w:spacing w:line="276" w:lineRule="auto"/>
        <w:ind w:left="1418"/>
        <w:jc w:val="both"/>
        <w:rPr>
          <w:rFonts w:eastAsia="Calibri"/>
          <w:iCs/>
          <w:sz w:val="24"/>
          <w:szCs w:val="24"/>
          <w:lang w:val="en-PH"/>
        </w:rPr>
      </w:pPr>
      <w:r>
        <w:rPr>
          <w:rFonts w:eastAsia="Calibri"/>
          <w:sz w:val="24"/>
          <w:szCs w:val="24"/>
          <w:lang w:val="en-PH"/>
        </w:rPr>
        <w:t>The LGU recognizes revenue from the rendering of services by reference to the stage of completion when the outcome of the transaction can be estimated reliably. The stage of completion is measured by reference to labor hours incurred to date as a percentage of total estimated labor hours.</w:t>
      </w:r>
    </w:p>
    <w:p>
      <w:pPr>
        <w:autoSpaceDE w:val="0"/>
        <w:autoSpaceDN w:val="0"/>
        <w:adjustRightInd w:val="0"/>
        <w:ind w:left="144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Where the contract outcome cannot be measured reliably, revenue is recognized only to the extent that the expenses incurred. </w:t>
      </w:r>
    </w:p>
    <w:p>
      <w:pPr>
        <w:autoSpaceDE w:val="0"/>
        <w:autoSpaceDN w:val="0"/>
        <w:adjustRightInd w:val="0"/>
        <w:ind w:left="1440"/>
        <w:jc w:val="both"/>
        <w:rPr>
          <w:rFonts w:eastAsia="Calibri"/>
          <w: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Sale of Goods</w:t>
      </w:r>
    </w:p>
    <w:p>
      <w:pPr>
        <w:autoSpaceDE w:val="0"/>
        <w:autoSpaceDN w:val="0"/>
        <w:adjustRightInd w:val="0"/>
        <w:ind w:left="1418"/>
        <w:jc w:val="both"/>
        <w:rPr>
          <w:rFonts w:eastAsia="Calibri"/>
          <w:i/>
          <w:sz w:val="24"/>
          <w:szCs w:val="24"/>
          <w:lang w:val="en-PH"/>
        </w:rPr>
      </w:pPr>
    </w:p>
    <w:p>
      <w:pPr>
        <w:autoSpaceDE w:val="0"/>
        <w:autoSpaceDN w:val="0"/>
        <w:adjustRightInd w:val="0"/>
        <w:spacing w:line="276" w:lineRule="auto"/>
        <w:ind w:left="1440"/>
        <w:jc w:val="both"/>
        <w:rPr>
          <w:rFonts w:eastAsia="Calibri"/>
          <w:sz w:val="24"/>
          <w:szCs w:val="24"/>
          <w:lang w:val="en-PH"/>
        </w:rPr>
      </w:pPr>
      <w:r>
        <w:rPr>
          <w:rFonts w:eastAsia="Calibri"/>
          <w:sz w:val="24"/>
          <w:szCs w:val="24"/>
          <w:lang w:val="en-PH"/>
        </w:rPr>
        <w:t xml:space="preserve">Revenue from the sale of goods is recognized when the significant risks and rewards of ownership have been transferred to the buyer, usually on delivery of the goods and when the amount of revenue can be measured reliably and it is probable that the </w:t>
      </w:r>
      <w:r>
        <w:rPr>
          <w:rFonts w:eastAsia="Calibri"/>
          <w:sz w:val="24"/>
          <w:szCs w:val="24"/>
          <w:lang w:val="en-PH"/>
        </w:rPr>
        <w:lastRenderedPageBreak/>
        <w:t>economic benefits or service potential associated with the transaction will flow to the LGU.</w:t>
      </w:r>
    </w:p>
    <w:p>
      <w:pPr>
        <w:autoSpaceDE w:val="0"/>
        <w:autoSpaceDN w:val="0"/>
        <w:adjustRightInd w:val="0"/>
        <w:ind w:left="1418"/>
        <w:jc w:val="both"/>
        <w:rPr>
          <w:rFonts w:eastAsia="Calibri"/>
          <w:i/>
          <w:iCs/>
          <w:sz w:val="24"/>
          <w:szCs w:val="24"/>
          <w:lang w:val="en-PH"/>
        </w:rPr>
      </w:pPr>
    </w:p>
    <w:p>
      <w:pPr>
        <w:autoSpaceDE w:val="0"/>
        <w:autoSpaceDN w:val="0"/>
        <w:adjustRightInd w:val="0"/>
        <w:ind w:left="1418"/>
        <w:jc w:val="both"/>
        <w:rPr>
          <w:rFonts w:eastAsia="Calibri"/>
          <w:i/>
          <w:iCs/>
          <w:sz w:val="24"/>
          <w:szCs w:val="24"/>
          <w:lang w:val="en-PH"/>
        </w:rPr>
      </w:pPr>
      <w:r>
        <w:rPr>
          <w:rFonts w:eastAsia="Calibri"/>
          <w:i/>
          <w:iCs/>
          <w:sz w:val="24"/>
          <w:szCs w:val="24"/>
          <w:lang w:val="en-PH"/>
        </w:rPr>
        <w:t>Interest income</w:t>
      </w:r>
    </w:p>
    <w:p>
      <w:pPr>
        <w:autoSpaceDE w:val="0"/>
        <w:autoSpaceDN w:val="0"/>
        <w:adjustRightInd w:val="0"/>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Interest income is accrued using the effective yield method. The effective yield discounts estimated future cash receipts through the expected life of the financial </w:t>
      </w:r>
    </w:p>
    <w:p>
      <w:pPr>
        <w:autoSpaceDE w:val="0"/>
        <w:autoSpaceDN w:val="0"/>
        <w:adjustRightInd w:val="0"/>
        <w:ind w:left="1418"/>
        <w:jc w:val="both"/>
        <w:rPr>
          <w:rFonts w:eastAsia="Calibri"/>
          <w:sz w:val="24"/>
          <w:szCs w:val="24"/>
          <w:lang w:val="en-PH"/>
        </w:rPr>
      </w:pPr>
      <w:r>
        <w:rPr>
          <w:rFonts w:eastAsia="Calibri"/>
          <w:sz w:val="24"/>
          <w:szCs w:val="24"/>
          <w:lang w:val="en-PH"/>
        </w:rPr>
        <w:t xml:space="preserve">asset to that asset’s net carrying amount. The method applies this yield to the principal outstanding to determine interest income each period. </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Rental Income</w:t>
      </w:r>
    </w:p>
    <w:p>
      <w:pPr>
        <w:autoSpaceDE w:val="0"/>
        <w:autoSpaceDN w:val="0"/>
        <w:adjustRightInd w:val="0"/>
        <w:ind w:left="1418"/>
        <w:jc w:val="both"/>
        <w:rPr>
          <w:rFonts w:eastAsia="Calibri"/>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Rental income arising from operating leases on investment properties is accounted for on a straight-line basis over the lease terms and included in revenue.</w:t>
      </w:r>
    </w:p>
    <w:p>
      <w:pPr>
        <w:autoSpaceDE w:val="0"/>
        <w:autoSpaceDN w:val="0"/>
        <w:adjustRightInd w:val="0"/>
        <w:ind w:left="1418"/>
        <w:jc w:val="both"/>
        <w:rPr>
          <w:rFonts w:eastAsia="Calibri"/>
          <w:sz w:val="24"/>
          <w:szCs w:val="24"/>
          <w:lang w:val="en-PH"/>
        </w:rPr>
      </w:pPr>
    </w:p>
    <w:p>
      <w:pPr>
        <w:pStyle w:val="ListParagraph"/>
        <w:numPr>
          <w:ilvl w:val="1"/>
          <w:numId w:val="1"/>
        </w:numPr>
        <w:ind w:left="851" w:firstLine="0"/>
        <w:contextualSpacing/>
        <w:rPr>
          <w:b/>
          <w:sz w:val="24"/>
          <w:szCs w:val="24"/>
        </w:rPr>
      </w:pPr>
      <w:r>
        <w:rPr>
          <w:b/>
          <w:sz w:val="24"/>
          <w:szCs w:val="24"/>
        </w:rPr>
        <w:t>Investment Property</w:t>
      </w:r>
    </w:p>
    <w:p>
      <w:pPr>
        <w:pStyle w:val="ListParagraph"/>
        <w:ind w:left="360"/>
        <w:contextualSpacing/>
        <w:rPr>
          <w:b/>
          <w:sz w:val="24"/>
          <w:szCs w:val="24"/>
        </w:rPr>
      </w:pPr>
    </w:p>
    <w:p>
      <w:pPr>
        <w:pStyle w:val="ListParagraph"/>
        <w:spacing w:line="276" w:lineRule="auto"/>
        <w:ind w:left="1418"/>
        <w:contextualSpacing/>
        <w:jc w:val="both"/>
        <w:rPr>
          <w:b/>
          <w:sz w:val="24"/>
          <w:szCs w:val="24"/>
        </w:rPr>
      </w:pPr>
      <w:r>
        <w:rPr>
          <w:sz w:val="24"/>
          <w:szCs w:val="24"/>
        </w:rPr>
        <w:t>Investment properties are measured initially at cost, including transaction costs. The carrying amount includes the replacement cost of components of an existing investment property at the time that cost is incurred if the recognition criteria are met and excludes the costs of the day-to-day maintenance of an investment property. Investment property acquired through a non-exchange transaction is measured at its fair value at the date of acquisition. Subsequent to initial recognition, investment properties are measured using the cost model and are depreciated over the life of the investment property, in the case of building. 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pPr>
        <w:autoSpaceDE w:val="0"/>
        <w:autoSpaceDN w:val="0"/>
        <w:adjustRightInd w:val="0"/>
        <w:jc w:val="both"/>
        <w:rPr>
          <w:rFonts w:eastAsia="Calibri"/>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Property, Plant, and Equipment</w:t>
      </w:r>
    </w:p>
    <w:p>
      <w:pPr>
        <w:pStyle w:val="ListParagraph"/>
        <w:ind w:left="284"/>
        <w:jc w:val="both"/>
        <w:rPr>
          <w:rFonts w:eastAsia="Calibri"/>
          <w:b/>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All property, plant, and equipment are stated at cost less accumulated depreciation and impairment losses. Cost includes expenditure that is directly attributable to the acquisition of the items. When significant parts of property, plant, and equipment are required to be replaced at intervals, the LGU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w:t>
      </w:r>
      <w:r>
        <w:rPr>
          <w:rFonts w:eastAsia="Calibri"/>
          <w:sz w:val="24"/>
          <w:szCs w:val="24"/>
          <w:lang w:val="en-PH"/>
        </w:rPr>
        <w:lastRenderedPageBreak/>
        <w:t>is acquired in a non-exchange transaction for nil or nominal consideration the asset is initially measured at its fair value.</w:t>
      </w:r>
    </w:p>
    <w:p>
      <w:pPr>
        <w:pStyle w:val="BodyTextIndent2"/>
        <w:ind w:left="1440" w:firstLine="0"/>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Depreciation on assets is charged on a straight-line basis over the useful life of the asset. </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Depreciation is charged at rates calculated to allocate the cost or valuation of the asset less any estimated residual value over its remaining useful life based on the COA issuances on the prescribed useful life of assets.</w:t>
      </w:r>
    </w:p>
    <w:p>
      <w:pPr>
        <w:autoSpaceDE w:val="0"/>
        <w:autoSpaceDN w:val="0"/>
        <w:adjustRightInd w:val="0"/>
        <w:spacing w:line="276" w:lineRule="auto"/>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Leased assets may consist of vehicles and machinery. The assets’ residual values and useful lives are reviewed, and adjusted prospectively, if appropriate, at the end of each reporting period. An asset’s carrying amount is written down immediately to its recoverable amount, or recoverable service amount if the asset’s carrying amount is greater than its estimated recoverable amount or recoverable service amount. The LGU derecognizes items of property, plant, and equipment and/or any significant part of an asset upon disposal or when no future economic benefits or service potential is expected from its continuing use. Any gain or loss arising on the derecognition of the asset (calculated as the difference between the net disposal proceeds and the carrying amount of the asset) is included in the surplus or deficit when the asset is derecognized.</w:t>
      </w:r>
    </w:p>
    <w:p>
      <w:pPr>
        <w:ind w:left="1440"/>
        <w:jc w:val="both"/>
        <w:rPr>
          <w:rFonts w:eastAsia="Calibri"/>
          <w:sz w:val="24"/>
          <w:szCs w:val="24"/>
        </w:rPr>
      </w:pPr>
    </w:p>
    <w:p>
      <w:pPr>
        <w:spacing w:line="276" w:lineRule="auto"/>
        <w:ind w:left="1418"/>
        <w:jc w:val="both"/>
        <w:rPr>
          <w:rFonts w:eastAsia="Calibri"/>
          <w:sz w:val="24"/>
          <w:szCs w:val="24"/>
        </w:rPr>
      </w:pPr>
      <w:r>
        <w:rPr>
          <w:rFonts w:eastAsia="Calibri"/>
          <w:sz w:val="24"/>
          <w:szCs w:val="24"/>
        </w:rPr>
        <w:t>For assets under construction, the Construction Period Theory shall be applied for costing purposes. Expenses paid such as license fees, permit fees, clearance fees, etc. during the construction period shall be added to the total cost of the project. However, liquidated damages charged to the contractor for delayed completion shall be deducted from the total cost of the asset.</w:t>
      </w:r>
    </w:p>
    <w:p>
      <w:pPr>
        <w:autoSpaceDE w:val="0"/>
        <w:autoSpaceDN w:val="0"/>
        <w:adjustRightInd w:val="0"/>
        <w:ind w:left="284"/>
        <w:rPr>
          <w:rFonts w:eastAsia="Calibri"/>
          <w:b/>
          <w:bCs/>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Financial instruments</w:t>
      </w:r>
    </w:p>
    <w:p>
      <w:pPr>
        <w:autoSpaceDE w:val="0"/>
        <w:autoSpaceDN w:val="0"/>
        <w:adjustRightInd w:val="0"/>
        <w:ind w:left="284"/>
        <w:rPr>
          <w:rFonts w:eastAsia="Calibri"/>
          <w:b/>
          <w:bCs/>
          <w:sz w:val="24"/>
          <w:szCs w:val="24"/>
          <w:lang w:val="en-PH"/>
        </w:rPr>
      </w:pPr>
    </w:p>
    <w:p>
      <w:pPr>
        <w:autoSpaceDE w:val="0"/>
        <w:autoSpaceDN w:val="0"/>
        <w:adjustRightInd w:val="0"/>
        <w:ind w:left="1418"/>
        <w:rPr>
          <w:rFonts w:eastAsia="Calibri"/>
          <w:b/>
          <w:bCs/>
          <w:sz w:val="24"/>
          <w:szCs w:val="24"/>
          <w:lang w:val="en-PH"/>
        </w:rPr>
      </w:pPr>
      <w:r>
        <w:rPr>
          <w:rFonts w:eastAsia="Calibri"/>
          <w:b/>
          <w:bCs/>
          <w:sz w:val="24"/>
          <w:szCs w:val="24"/>
          <w:lang w:val="en-PH"/>
        </w:rPr>
        <w:t>Financial assets</w:t>
      </w:r>
    </w:p>
    <w:p>
      <w:pPr>
        <w:autoSpaceDE w:val="0"/>
        <w:autoSpaceDN w:val="0"/>
        <w:adjustRightInd w:val="0"/>
        <w:ind w:left="1440"/>
        <w:rPr>
          <w:rFonts w:eastAsia="Calibri"/>
          <w:b/>
          <w:b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Initial recognition and measurement</w:t>
      </w:r>
    </w:p>
    <w:p>
      <w:pPr>
        <w:autoSpaceDE w:val="0"/>
        <w:autoSpaceDN w:val="0"/>
        <w:adjustRightInd w:val="0"/>
        <w:ind w:left="1418"/>
        <w:rPr>
          <w:rFonts w:eastAsia="Calibri"/>
          <w:bCs/>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Financial assets are classified at fair value through surplus or deficit, loans, and receivables, held-to-maturity investments, or available-for-sale financial assets, as appropriate. </w:t>
      </w:r>
    </w:p>
    <w:p>
      <w:pPr>
        <w:autoSpaceDE w:val="0"/>
        <w:autoSpaceDN w:val="0"/>
        <w:adjustRightInd w:val="0"/>
        <w:ind w:left="144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Purchases or sales of financial assets that require delivery of assets within a time frame established by regulation or convention in the marketplace (regular way trades) are recognized on the trade date, i.e., the date that the LGU commits to purchase or sell the asset.</w:t>
      </w:r>
    </w:p>
    <w:p>
      <w:pPr>
        <w:autoSpaceDE w:val="0"/>
        <w:autoSpaceDN w:val="0"/>
        <w:adjustRightInd w:val="0"/>
        <w:ind w:left="1440"/>
        <w:rPr>
          <w:rFonts w:eastAsia="Calibr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LGU’s financial assets include cash and short-term deposits; trade and other receivables; loans and other receivables and quoted and unquoted financial instruments.</w:t>
      </w:r>
    </w:p>
    <w:p>
      <w:pPr>
        <w:autoSpaceDE w:val="0"/>
        <w:autoSpaceDN w:val="0"/>
        <w:adjustRightInd w:val="0"/>
        <w:ind w:left="1440"/>
        <w:rPr>
          <w:rFonts w:eastAsia="Calibri"/>
          <w:bCs/>
          <w:sz w:val="24"/>
          <w:szCs w:val="24"/>
          <w:lang w:val="en-PH"/>
        </w:rPr>
      </w:pPr>
    </w:p>
    <w:p>
      <w:pPr>
        <w:autoSpaceDE w:val="0"/>
        <w:autoSpaceDN w:val="0"/>
        <w:adjustRightInd w:val="0"/>
        <w:ind w:left="1440"/>
        <w:rPr>
          <w:rFonts w:eastAsia="Calibri"/>
          <w:bCs/>
          <w:i/>
          <w:sz w:val="24"/>
          <w:szCs w:val="24"/>
          <w:lang w:val="en-PH"/>
        </w:rPr>
      </w:pPr>
      <w:r>
        <w:rPr>
          <w:rFonts w:eastAsia="Calibri"/>
          <w:bCs/>
          <w:i/>
          <w:sz w:val="24"/>
          <w:szCs w:val="24"/>
          <w:lang w:val="en-PH"/>
        </w:rPr>
        <w:t>Subsequent measurement</w:t>
      </w:r>
    </w:p>
    <w:p>
      <w:pPr>
        <w:autoSpaceDE w:val="0"/>
        <w:autoSpaceDN w:val="0"/>
        <w:adjustRightInd w:val="0"/>
        <w:ind w:left="1440"/>
        <w:rPr>
          <w:rFonts w:eastAsia="Calibri"/>
          <w:bCs/>
          <w:i/>
          <w:sz w:val="24"/>
          <w:szCs w:val="24"/>
          <w:lang w:val="en-PH"/>
        </w:rPr>
      </w:pPr>
    </w:p>
    <w:p>
      <w:pPr>
        <w:autoSpaceDE w:val="0"/>
        <w:autoSpaceDN w:val="0"/>
        <w:adjustRightInd w:val="0"/>
        <w:ind w:left="1418"/>
        <w:jc w:val="both"/>
        <w:rPr>
          <w:rFonts w:eastAsia="Calibri"/>
          <w:sz w:val="24"/>
          <w:szCs w:val="24"/>
          <w:lang w:val="en-PH"/>
        </w:rPr>
      </w:pPr>
      <w:r>
        <w:rPr>
          <w:rFonts w:eastAsia="Calibri"/>
          <w:sz w:val="24"/>
          <w:szCs w:val="24"/>
          <w:lang w:val="en-PH"/>
        </w:rPr>
        <w:t>The subsequent measurement of financial assets depends on their classification.</w:t>
      </w:r>
    </w:p>
    <w:p>
      <w:pPr>
        <w:autoSpaceDE w:val="0"/>
        <w:autoSpaceDN w:val="0"/>
        <w:adjustRightInd w:val="0"/>
        <w:ind w:left="1418"/>
        <w:jc w:val="both"/>
        <w:rPr>
          <w:rFonts w:eastAsia="Calibri"/>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Financial assets at fair value through surplus or deficit</w:t>
      </w:r>
    </w:p>
    <w:p>
      <w:pPr>
        <w:autoSpaceDE w:val="0"/>
        <w:autoSpaceDN w:val="0"/>
        <w:adjustRightInd w:val="0"/>
        <w:ind w:left="1418"/>
        <w:rPr>
          <w:rFonts w:eastAsia="Calibri"/>
          <w:bCs/>
          <w: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pPr>
        <w:autoSpaceDE w:val="0"/>
        <w:autoSpaceDN w:val="0"/>
        <w:adjustRightInd w:val="0"/>
        <w:ind w:left="1418"/>
        <w:rPr>
          <w:rFonts w:eastAsia="Calibri"/>
          <w:bCs/>
          <w:i/>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Loans and receivables</w:t>
      </w:r>
    </w:p>
    <w:p>
      <w:pPr>
        <w:autoSpaceDE w:val="0"/>
        <w:autoSpaceDN w:val="0"/>
        <w:adjustRightInd w:val="0"/>
        <w:ind w:left="1418"/>
        <w:rPr>
          <w:rFonts w:eastAsia="Calibri"/>
          <w:bCs/>
          <w: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calculated by considering any discount or premium on acquisition and fees or costs that are an integral part of the effective interest rate. Losses arising from impairment are recognized in the surplus or deficit.</w:t>
      </w:r>
    </w:p>
    <w:p>
      <w:pPr>
        <w:autoSpaceDE w:val="0"/>
        <w:autoSpaceDN w:val="0"/>
        <w:adjustRightInd w:val="0"/>
        <w:ind w:left="1418"/>
        <w:jc w:val="both"/>
        <w:rPr>
          <w:rFonts w:eastAsia="Calibri"/>
          <w: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Held-to-maturity</w:t>
      </w:r>
    </w:p>
    <w:p>
      <w:pPr>
        <w:autoSpaceDE w:val="0"/>
        <w:autoSpaceDN w:val="0"/>
        <w:adjustRightInd w:val="0"/>
        <w:ind w:left="1440"/>
        <w:jc w:val="both"/>
        <w:rPr>
          <w:rFonts w:eastAsia="Calibri"/>
          <w:b/>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Non-derivative financial assets with fixed or determinable payments and fixed maturities are classified as held to maturity when the LGU has a positive intention and ability to hold it to maturity. After initial measurement, held-to-maturity investments are measured at amortized cost using the effective interest method, less impairment. Amortized cost is calculated by considering any discount or premium on acquisition and fees or costs that are an integral part of the effective interest rate. The losses arising from impairment are recognized in surplus or deficit.</w:t>
      </w:r>
    </w:p>
    <w:p>
      <w:pPr>
        <w:autoSpaceDE w:val="0"/>
        <w:autoSpaceDN w:val="0"/>
        <w:adjustRightInd w:val="0"/>
        <w:ind w:left="1418"/>
        <w:rPr>
          <w:rFonts w:eastAsia="Calibri"/>
          <w:bCs/>
          <w:i/>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Derecognition</w:t>
      </w:r>
    </w:p>
    <w:p>
      <w:pPr>
        <w:autoSpaceDE w:val="0"/>
        <w:autoSpaceDN w:val="0"/>
        <w:adjustRightInd w:val="0"/>
        <w:ind w:left="1440"/>
        <w:rPr>
          <w:rFonts w:eastAsia="Calibri"/>
          <w:b/>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derecognizes a financial asset or, where applicable, a part of a financial asset or part of a group of similar financial assets when:</w:t>
      </w:r>
    </w:p>
    <w:p>
      <w:pPr>
        <w:autoSpaceDE w:val="0"/>
        <w:autoSpaceDN w:val="0"/>
        <w:adjustRightInd w:val="0"/>
        <w:spacing w:line="276" w:lineRule="auto"/>
        <w:ind w:left="1418"/>
        <w:jc w:val="both"/>
        <w:rPr>
          <w:rFonts w:eastAsia="Calibri"/>
          <w:sz w:val="24"/>
          <w:szCs w:val="24"/>
          <w:lang w:val="en-PH"/>
        </w:rPr>
      </w:pPr>
    </w:p>
    <w:p>
      <w:pPr>
        <w:autoSpaceDE w:val="0"/>
        <w:autoSpaceDN w:val="0"/>
        <w:adjustRightInd w:val="0"/>
        <w:ind w:left="1440"/>
        <w:rPr>
          <w:rFonts w:eastAsia="Calibri"/>
          <w:iCs/>
          <w:sz w:val="24"/>
          <w:szCs w:val="24"/>
          <w:lang w:val="en-PH"/>
        </w:rPr>
      </w:pPr>
    </w:p>
    <w:p>
      <w:pPr>
        <w:pStyle w:val="ListParagraph"/>
        <w:numPr>
          <w:ilvl w:val="0"/>
          <w:numId w:val="2"/>
        </w:numPr>
        <w:autoSpaceDE w:val="0"/>
        <w:autoSpaceDN w:val="0"/>
        <w:adjustRightInd w:val="0"/>
        <w:ind w:left="1800"/>
        <w:jc w:val="both"/>
        <w:rPr>
          <w:rFonts w:eastAsia="Calibri"/>
          <w:sz w:val="24"/>
          <w:szCs w:val="24"/>
          <w:lang w:val="en-PH"/>
        </w:rPr>
      </w:pPr>
      <w:r>
        <w:rPr>
          <w:rFonts w:eastAsia="Calibri"/>
          <w:sz w:val="24"/>
          <w:szCs w:val="24"/>
          <w:lang w:val="en-PH"/>
        </w:rPr>
        <w:t xml:space="preserve">The rights to receive cash flows from the asset have expired or is waived; </w:t>
      </w:r>
    </w:p>
    <w:p>
      <w:pPr>
        <w:pStyle w:val="ListParagraph"/>
        <w:numPr>
          <w:ilvl w:val="0"/>
          <w:numId w:val="2"/>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The LGU has transferred its rights to receive cash flows from the asset or has assumed an obligation to pay the received cash flows in full without material delay to a third party; and either: (a) the LGU has transferred substantially all the risks and rewards of the asset; or (b) the LGU has neither transferred nor retained substantially all the risks and rewards of the asset, but has transferred control of the asset.</w:t>
      </w:r>
    </w:p>
    <w:p>
      <w:pPr>
        <w:autoSpaceDE w:val="0"/>
        <w:autoSpaceDN w:val="0"/>
        <w:adjustRightInd w:val="0"/>
        <w:ind w:left="1440"/>
        <w:rPr>
          <w:rFonts w:eastAsia="Calibri"/>
          <w:b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Impairment of financial assets</w:t>
      </w:r>
    </w:p>
    <w:p>
      <w:pPr>
        <w:autoSpaceDE w:val="0"/>
        <w:autoSpaceDN w:val="0"/>
        <w:adjustRightInd w:val="0"/>
        <w:ind w:left="1440"/>
        <w:rPr>
          <w:rFonts w:eastAsia="Calibri"/>
          <w:b/>
          <w:bCs/>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have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pPr>
        <w:autoSpaceDE w:val="0"/>
        <w:autoSpaceDN w:val="0"/>
        <w:adjustRightInd w:val="0"/>
        <w:ind w:left="1440"/>
        <w:jc w:val="both"/>
        <w:rPr>
          <w:rFonts w:eastAsia="Calibri"/>
          <w:sz w:val="24"/>
          <w:szCs w:val="24"/>
          <w:lang w:val="en-PH"/>
        </w:rPr>
      </w:pPr>
    </w:p>
    <w:p>
      <w:pPr>
        <w:pStyle w:val="ListParagraph"/>
        <w:numPr>
          <w:ilvl w:val="0"/>
          <w:numId w:val="7"/>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The debtors or a group of debtors are experiencing significant financial difficulty;</w:t>
      </w:r>
    </w:p>
    <w:p>
      <w:pPr>
        <w:pStyle w:val="ListParagraph"/>
        <w:numPr>
          <w:ilvl w:val="0"/>
          <w:numId w:val="7"/>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Default or delinquency in interest or principal payments;</w:t>
      </w:r>
    </w:p>
    <w:p>
      <w:pPr>
        <w:pStyle w:val="ListParagraph"/>
        <w:numPr>
          <w:ilvl w:val="0"/>
          <w:numId w:val="7"/>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 xml:space="preserve">The probability that debtors will enter bankruptcy or other financial reorganization; and </w:t>
      </w:r>
    </w:p>
    <w:p>
      <w:pPr>
        <w:pStyle w:val="ListParagraph"/>
        <w:numPr>
          <w:ilvl w:val="0"/>
          <w:numId w:val="7"/>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Observable data indicates a measurable decrease in estimated future cash flows (e.g. changes in arrears or economic conditions that correlate with defaults)</w:t>
      </w:r>
    </w:p>
    <w:p>
      <w:pPr>
        <w:autoSpaceDE w:val="0"/>
        <w:autoSpaceDN w:val="0"/>
        <w:adjustRightInd w:val="0"/>
        <w:ind w:left="1440"/>
        <w:rPr>
          <w:rFonts w:eastAsia="Calibri"/>
          <w:bCs/>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Financial assets carried at amortized cost</w:t>
      </w:r>
    </w:p>
    <w:p>
      <w:pPr>
        <w:autoSpaceDE w:val="0"/>
        <w:autoSpaceDN w:val="0"/>
        <w:adjustRightInd w:val="0"/>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For financial assets carried at amortized cost, the LGU first assesses whether objective evidence of impairment exists individually for financial assets that are individually significant, or collectively for financial assets that are not individually significant. If the LGU determines that no objective evidence of impairment exists for an individually assessed financial asset, whether significant or not, it includes the asset in a group of financial assets with similar credit risk characteristics and collectively assesses them for impairment. Assets that are individually assessed for impairment and for which an impairment loss is, or continues to be, recognized are not included in a collective assessment of impairment.</w:t>
      </w:r>
    </w:p>
    <w:p>
      <w:pPr>
        <w:autoSpaceDE w:val="0"/>
        <w:autoSpaceDN w:val="0"/>
        <w:adjustRightInd w:val="0"/>
        <w:ind w:left="144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If there is objective evidence that an impairment loss has been incurred, the amount of the loss is measured as the difference between the assets carrying amount and the present value of estimated future cash flows (excluding future expected credit losses </w:t>
      </w:r>
      <w:r>
        <w:rPr>
          <w:rFonts w:eastAsia="Calibri"/>
          <w:sz w:val="24"/>
          <w:szCs w:val="24"/>
          <w:lang w:val="en-PH"/>
        </w:rPr>
        <w:lastRenderedPageBreak/>
        <w:t>that have not yet been incurred). The present value of the estimated future cash flows is discounted at the financial asset’s original effective interest rate. If a loan has a variable interest rate, the discount rate for measuring any impairment loss is the current effective interest rate.</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b/>
          <w:bCs/>
          <w:sz w:val="24"/>
          <w:szCs w:val="24"/>
          <w:lang w:val="en-PH"/>
        </w:rPr>
      </w:pPr>
      <w:r>
        <w:rPr>
          <w:rFonts w:eastAsia="Calibri"/>
          <w:sz w:val="24"/>
          <w:szCs w:val="24"/>
          <w:lang w:val="en-PH"/>
        </w:rPr>
        <w:t>The carrying amount of the asset is reduced by an allowance account and the amount of the loss is recognized in surplus or deficit.  If, in a subsequent year, the amount of the estimated impairment loss increases or decreases because of an event occurring after the impairment was recognized, the previously recognized impairment loss is increased or reduced by adjusting the allowance account. If a future write-off is later recovered, the recovery is credited to finance costs in surplus or deficit.</w:t>
      </w:r>
    </w:p>
    <w:p>
      <w:pPr>
        <w:autoSpaceDE w:val="0"/>
        <w:autoSpaceDN w:val="0"/>
        <w:adjustRightInd w:val="0"/>
        <w:ind w:left="1440"/>
        <w:rPr>
          <w:rFonts w:eastAsia="Calibri"/>
          <w:b/>
          <w:bCs/>
          <w:sz w:val="24"/>
          <w:szCs w:val="24"/>
          <w:lang w:val="en-PH"/>
        </w:rPr>
      </w:pPr>
    </w:p>
    <w:p>
      <w:pPr>
        <w:autoSpaceDE w:val="0"/>
        <w:autoSpaceDN w:val="0"/>
        <w:adjustRightInd w:val="0"/>
        <w:ind w:left="1418"/>
        <w:rPr>
          <w:rFonts w:eastAsia="Calibri"/>
          <w:b/>
          <w:bCs/>
          <w:sz w:val="24"/>
          <w:szCs w:val="24"/>
          <w:lang w:val="en-PH"/>
        </w:rPr>
      </w:pPr>
      <w:r>
        <w:rPr>
          <w:rFonts w:eastAsia="Calibri"/>
          <w:b/>
          <w:bCs/>
          <w:sz w:val="24"/>
          <w:szCs w:val="24"/>
          <w:lang w:val="en-PH"/>
        </w:rPr>
        <w:t>Financial liabilities</w:t>
      </w:r>
    </w:p>
    <w:p>
      <w:pPr>
        <w:autoSpaceDE w:val="0"/>
        <w:autoSpaceDN w:val="0"/>
        <w:adjustRightInd w:val="0"/>
        <w:ind w:left="1440"/>
        <w:rPr>
          <w:rFonts w:eastAsia="Calibri"/>
          <w:b/>
          <w:b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Initial recognition and measurement</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Financial liabilities within the scope of IPSAS 29 are classified as financial liabilities at fair value through surplus or deficit or loans and borrowings, as appropriate. The LGU determines the classification of its financial liabilities at initial recognition.</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All financial liabilities are recognized initially at fair value and, in the case of loans and borrowings.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group’s financial liabilities include trade and other payables, bank overdrafts, loans, and borrowings.</w:t>
      </w:r>
    </w:p>
    <w:p>
      <w:pPr>
        <w:autoSpaceDE w:val="0"/>
        <w:autoSpaceDN w:val="0"/>
        <w:adjustRightInd w:val="0"/>
        <w:ind w:left="1440"/>
        <w:jc w:val="both"/>
        <w:rPr>
          <w:rFonts w:eastAsia="Calibri"/>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Subsequent measurement</w:t>
      </w:r>
    </w:p>
    <w:p>
      <w:pPr>
        <w:autoSpaceDE w:val="0"/>
        <w:autoSpaceDN w:val="0"/>
        <w:adjustRightInd w:val="0"/>
        <w:ind w:left="1440"/>
        <w:rPr>
          <w:rFonts w:eastAsia="Calibri"/>
          <w:bCs/>
          <w:i/>
          <w:sz w:val="24"/>
          <w:szCs w:val="24"/>
          <w:lang w:val="en-PH"/>
        </w:rPr>
      </w:pPr>
    </w:p>
    <w:p>
      <w:pPr>
        <w:autoSpaceDE w:val="0"/>
        <w:autoSpaceDN w:val="0"/>
        <w:adjustRightInd w:val="0"/>
        <w:ind w:left="1418"/>
        <w:jc w:val="both"/>
        <w:rPr>
          <w:rFonts w:eastAsia="Calibri"/>
          <w:sz w:val="24"/>
          <w:szCs w:val="24"/>
          <w:lang w:val="en-PH"/>
        </w:rPr>
      </w:pPr>
      <w:r>
        <w:rPr>
          <w:rFonts w:eastAsia="Calibri"/>
          <w:sz w:val="24"/>
          <w:szCs w:val="24"/>
          <w:lang w:val="en-PH"/>
        </w:rPr>
        <w:t>The measurement of financial liabilities depends on their classification.</w:t>
      </w:r>
    </w:p>
    <w:p>
      <w:pPr>
        <w:autoSpaceDE w:val="0"/>
        <w:autoSpaceDN w:val="0"/>
        <w:adjustRightInd w:val="0"/>
        <w:ind w:left="1440"/>
        <w:rPr>
          <w:rFonts w:eastAsia="Calibri"/>
          <w:bCs/>
          <w:i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Financial liabilities at fair value through surplus or deficit</w:t>
      </w:r>
    </w:p>
    <w:p>
      <w:pPr>
        <w:autoSpaceDE w:val="0"/>
        <w:autoSpaceDN w:val="0"/>
        <w:adjustRightInd w:val="0"/>
        <w:ind w:left="1440"/>
        <w:rPr>
          <w:rFonts w:eastAsia="Calibri"/>
          <w:bCs/>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Financial liabilities at fair value through surplus or deficit include financial liabilities held for trading and financial liabilities designated upon initial recognition as at fair value through surplus or deficit.</w:t>
      </w:r>
    </w:p>
    <w:p>
      <w:pPr>
        <w:autoSpaceDE w:val="0"/>
        <w:autoSpaceDN w:val="0"/>
        <w:adjustRightInd w:val="0"/>
        <w:ind w:left="1440"/>
        <w:rPr>
          <w:rFonts w:eastAsia="Calibri"/>
          <w:bCs/>
          <w:iCs/>
          <w:sz w:val="24"/>
          <w:szCs w:val="24"/>
          <w:lang w:val="en-PH"/>
        </w:rPr>
      </w:pPr>
    </w:p>
    <w:p>
      <w:pPr>
        <w:autoSpaceDE w:val="0"/>
        <w:autoSpaceDN w:val="0"/>
        <w:adjustRightInd w:val="0"/>
        <w:ind w:left="1440"/>
        <w:rPr>
          <w:rFonts w:eastAsia="Calibri"/>
          <w:bCs/>
          <w:i/>
          <w:iCs/>
          <w:sz w:val="24"/>
          <w:szCs w:val="24"/>
          <w:lang w:val="en-PH"/>
        </w:rPr>
      </w:pPr>
      <w:r>
        <w:rPr>
          <w:rFonts w:eastAsia="Calibri"/>
          <w:bCs/>
          <w:i/>
          <w:iCs/>
          <w:sz w:val="24"/>
          <w:szCs w:val="24"/>
          <w:lang w:val="en-PH"/>
        </w:rPr>
        <w:t>Loans and borrowings</w:t>
      </w:r>
    </w:p>
    <w:p>
      <w:pPr>
        <w:autoSpaceDE w:val="0"/>
        <w:autoSpaceDN w:val="0"/>
        <w:adjustRightInd w:val="0"/>
        <w:spacing w:line="276" w:lineRule="auto"/>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lastRenderedPageBreak/>
        <w:t>Amortized cost is calculated by taking into account any discount or premium on acquisition and fees or costs that are an integral part of the effective interest rate.</w:t>
      </w:r>
    </w:p>
    <w:p>
      <w:pPr>
        <w:autoSpaceDE w:val="0"/>
        <w:autoSpaceDN w:val="0"/>
        <w:adjustRightInd w:val="0"/>
        <w:ind w:left="1418"/>
        <w:jc w:val="both"/>
        <w:rPr>
          <w:rFonts w:eastAsia="Calibri"/>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Derecognition</w:t>
      </w:r>
    </w:p>
    <w:p>
      <w:pPr>
        <w:autoSpaceDE w:val="0"/>
        <w:autoSpaceDN w:val="0"/>
        <w:adjustRightInd w:val="0"/>
        <w:ind w:left="1440"/>
        <w:rPr>
          <w:rFonts w:eastAsia="Calibri"/>
          <w:bCs/>
          <w:sz w:val="24"/>
          <w:szCs w:val="24"/>
          <w:lang w:val="en-PH"/>
        </w:rPr>
      </w:pPr>
    </w:p>
    <w:p>
      <w:pPr>
        <w:autoSpaceDE w:val="0"/>
        <w:autoSpaceDN w:val="0"/>
        <w:adjustRightInd w:val="0"/>
        <w:spacing w:line="276" w:lineRule="auto"/>
        <w:ind w:left="1440"/>
        <w:jc w:val="both"/>
        <w:rPr>
          <w:rFonts w:eastAsia="Calibri"/>
          <w:iCs/>
          <w:sz w:val="24"/>
          <w:szCs w:val="24"/>
          <w:lang w:val="en-PH"/>
        </w:rPr>
      </w:pPr>
      <w:r>
        <w:rPr>
          <w:rFonts w:eastAsia="Calibri"/>
          <w:sz w:val="24"/>
          <w:szCs w:val="24"/>
          <w:lang w:val="en-PH"/>
        </w:rPr>
        <w:t xml:space="preserve">A financial liability is derecognized when the obligation under the liability is discharged, canceled, or expires. </w:t>
      </w:r>
    </w:p>
    <w:p>
      <w:pPr>
        <w:autoSpaceDE w:val="0"/>
        <w:autoSpaceDN w:val="0"/>
        <w:adjustRightInd w:val="0"/>
        <w:ind w:left="1418"/>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When an existing financial liability is replaced by another from the same lender on substantially different terms or the terms of an existing liability are substantially modified, such exchange or modification is treated as a derecognition of the original liability and the recognition of a new liability.</w:t>
      </w:r>
    </w:p>
    <w:p>
      <w:pPr>
        <w:autoSpaceDE w:val="0"/>
        <w:autoSpaceDN w:val="0"/>
        <w:adjustRightInd w:val="0"/>
        <w:rPr>
          <w:rFonts w:eastAsia="Calibri"/>
          <w:b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Offsetting of financial instruments</w:t>
      </w:r>
    </w:p>
    <w:p>
      <w:pPr>
        <w:autoSpaceDE w:val="0"/>
        <w:autoSpaceDN w:val="0"/>
        <w:adjustRightInd w:val="0"/>
        <w:ind w:left="1440"/>
        <w:rPr>
          <w:rFonts w:eastAsia="Calibri"/>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Financial assets and financial liabilities are offset and the net amount reported in the consolidated statement of financial position if, there is a currently enforceable legal right to offset the recognized amounts and there is an intention to settle on a net basis, or to realize the assets and settle the liabilities simultaneously.</w:t>
      </w:r>
    </w:p>
    <w:p>
      <w:pPr>
        <w:autoSpaceDE w:val="0"/>
        <w:autoSpaceDN w:val="0"/>
        <w:adjustRightInd w:val="0"/>
        <w:ind w:left="1440"/>
        <w:jc w:val="both"/>
        <w:rPr>
          <w:rFonts w:eastAsia="Calibri"/>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Fair value of financial instruments</w:t>
      </w:r>
    </w:p>
    <w:p>
      <w:pPr>
        <w:autoSpaceDE w:val="0"/>
        <w:autoSpaceDN w:val="0"/>
        <w:adjustRightInd w:val="0"/>
        <w:ind w:left="1440"/>
        <w:rPr>
          <w:rFonts w:eastAsia="Calibri"/>
          <w:b/>
          <w:bCs/>
          <w:sz w:val="24"/>
          <w:szCs w:val="24"/>
          <w:lang w:val="en-PH"/>
        </w:rPr>
      </w:pPr>
    </w:p>
    <w:p>
      <w:pPr>
        <w:tabs>
          <w:tab w:val="left" w:pos="-2520"/>
        </w:tabs>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fair value of financial instruments that are traded in active markets at each reporting date is determined by reference to quoted market prices or dealer price quotations (bid price for long positions and ask price for short positions), without any deduction for transaction costs.</w:t>
      </w:r>
    </w:p>
    <w:p>
      <w:pPr>
        <w:tabs>
          <w:tab w:val="left" w:pos="-2520"/>
        </w:tabs>
        <w:autoSpaceDE w:val="0"/>
        <w:autoSpaceDN w:val="0"/>
        <w:adjustRightInd w:val="0"/>
        <w:ind w:left="1418"/>
        <w:jc w:val="both"/>
        <w:rPr>
          <w:rFonts w:eastAsia="Calibri"/>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Cash and cash equivalents</w:t>
      </w:r>
    </w:p>
    <w:p>
      <w:pPr>
        <w:pStyle w:val="ListParagraph"/>
        <w:ind w:left="851"/>
        <w:contextualSpacing/>
        <w:rPr>
          <w:rFonts w:eastAsia="Calibri"/>
          <w:b/>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Cash and cash equivalents comprise cash on hand and cash in the bank, deposits on call, and highly liquid investments with an original maturity of three months or less, which are readily convertible to known amounts of cash and are subject to an insignificant risk of changes in value. For the purpose of the consolidated statement of cash flows, cash and cash equivalents consist of cash and short-term deposits as defined above, net of outstanding bank overdrafts.</w:t>
      </w:r>
    </w:p>
    <w:p>
      <w:pPr>
        <w:autoSpaceDE w:val="0"/>
        <w:autoSpaceDN w:val="0"/>
        <w:adjustRightInd w:val="0"/>
        <w:ind w:left="1418"/>
        <w:jc w:val="both"/>
        <w:rPr>
          <w:rFonts w:eastAsia="Calibri"/>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Inventories</w:t>
      </w:r>
    </w:p>
    <w:p>
      <w:pPr>
        <w:ind w:left="851"/>
        <w:contextualSpacing/>
        <w:rPr>
          <w:rFonts w:eastAsia="Calibri"/>
          <w:b/>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Inventory is measured at cost upon initial recognition. To the extent that inventory was received through non-exchange transactions (for no cost or for a nominal cost), the cost of the inventory is its fair value at the date of acquisition.</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lastRenderedPageBreak/>
        <w:t>Costs incurred in bringing each product to its present location and condition are accounted for, as follows:</w:t>
      </w:r>
    </w:p>
    <w:p>
      <w:pPr>
        <w:pStyle w:val="ListParagraph"/>
        <w:numPr>
          <w:ilvl w:val="0"/>
          <w:numId w:val="3"/>
        </w:numPr>
        <w:tabs>
          <w:tab w:val="left" w:pos="720"/>
        </w:tabs>
        <w:autoSpaceDE w:val="0"/>
        <w:autoSpaceDN w:val="0"/>
        <w:adjustRightInd w:val="0"/>
        <w:spacing w:line="276" w:lineRule="auto"/>
        <w:ind w:left="1800"/>
        <w:rPr>
          <w:rFonts w:eastAsia="Calibri"/>
          <w:sz w:val="24"/>
          <w:szCs w:val="24"/>
          <w:lang w:val="en-PH"/>
        </w:rPr>
      </w:pPr>
      <w:r>
        <w:rPr>
          <w:rFonts w:eastAsia="Calibri"/>
          <w:sz w:val="24"/>
          <w:szCs w:val="24"/>
          <w:lang w:val="en-PH"/>
        </w:rPr>
        <w:t xml:space="preserve">Raw materials: purchase cost using the weighted average cost method; </w:t>
      </w:r>
    </w:p>
    <w:p>
      <w:pPr>
        <w:pStyle w:val="ListParagraph"/>
        <w:numPr>
          <w:ilvl w:val="0"/>
          <w:numId w:val="3"/>
        </w:numPr>
        <w:autoSpaceDE w:val="0"/>
        <w:autoSpaceDN w:val="0"/>
        <w:adjustRightInd w:val="0"/>
        <w:spacing w:line="276" w:lineRule="auto"/>
        <w:ind w:left="1800"/>
        <w:rPr>
          <w:rFonts w:eastAsia="Calibri"/>
          <w:sz w:val="24"/>
          <w:szCs w:val="24"/>
          <w:lang w:val="en-PH"/>
        </w:rPr>
      </w:pPr>
      <w:r>
        <w:rPr>
          <w:rFonts w:eastAsia="Calibri"/>
          <w:sz w:val="24"/>
          <w:szCs w:val="24"/>
          <w:lang w:val="en-PH"/>
        </w:rPr>
        <w:t>Finished goods and work in progress: cost of direct materials and labor and a proportion of manufacturing overheads based on the normal operating capacity, but excluding borrowing costs.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After initial recognition, inventory is measured at the lower of cost and net realizable value. However, to the extent that a class of inventory is distributed or deployed at no charge or for a nominal charge, that class of inventory is measured at the lower of cost and current replacement cost.</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Net realizable value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LGU.</w:t>
      </w:r>
    </w:p>
    <w:p>
      <w:pPr>
        <w:autoSpaceDE w:val="0"/>
        <w:autoSpaceDN w:val="0"/>
        <w:adjustRightInd w:val="0"/>
        <w:ind w:left="284"/>
        <w:rPr>
          <w:rFonts w:eastAsia="Calibri"/>
          <w:iCs/>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Provisions</w:t>
      </w:r>
    </w:p>
    <w:p>
      <w:pPr>
        <w:autoSpaceDE w:val="0"/>
        <w:autoSpaceDN w:val="0"/>
        <w:adjustRightInd w:val="0"/>
        <w:ind w:left="284"/>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Provisions are recognized when the LGU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pPr>
        <w:autoSpaceDE w:val="0"/>
        <w:autoSpaceDN w:val="0"/>
        <w:adjustRightInd w:val="0"/>
        <w:ind w:left="1440"/>
        <w:rPr>
          <w:rFonts w:eastAsia="Calibr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Where the LGU expects some or all provisions to be reimbursed, for example, under an insurance contract, the reimbursement is recognized as a separate asset only when the reimbursement is virtually certain. The expense relating to any provision is presented in the statement of financial performance net of any reimbursement.</w:t>
      </w:r>
    </w:p>
    <w:p>
      <w:pPr>
        <w:autoSpaceDE w:val="0"/>
        <w:autoSpaceDN w:val="0"/>
        <w:adjustRightInd w:val="0"/>
        <w:ind w:left="1440"/>
        <w:rPr>
          <w:rFonts w:eastAsia="Calibri"/>
          <w:bCs/>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Rehabilitation liability</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Rehabilitation costs are provided at the present value of expected costs to settle the obligation using estimated cash flows and are recognized as part of the cost of that particular asset. The cash flows are discounted at a current rate that reflects the risks specific to the rehabilitation liability. The unwinding of the discount is </w:t>
      </w:r>
    </w:p>
    <w:p>
      <w:pPr>
        <w:autoSpaceDE w:val="0"/>
        <w:autoSpaceDN w:val="0"/>
        <w:adjustRightInd w:val="0"/>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expensed as incurred and recognized in the statement of financial performance as a finance cost. The estimated future costs of decommissioning are reviewed annually and adjusted as appropriate. Changes in the estimated future costs or in the discount rate applied are added to or deducted from the cost of the asset.</w:t>
      </w:r>
    </w:p>
    <w:p>
      <w:pPr>
        <w:autoSpaceDE w:val="0"/>
        <w:autoSpaceDN w:val="0"/>
        <w:adjustRightInd w:val="0"/>
        <w:ind w:left="1418"/>
        <w:rPr>
          <w:rFonts w:eastAsia="Calibri"/>
          <w:bCs/>
          <w:i/>
          <w:iCs/>
          <w:sz w:val="24"/>
          <w:szCs w:val="24"/>
          <w:lang w:val="en-PH"/>
        </w:rPr>
      </w:pPr>
    </w:p>
    <w:p>
      <w:pPr>
        <w:autoSpaceDE w:val="0"/>
        <w:autoSpaceDN w:val="0"/>
        <w:adjustRightInd w:val="0"/>
        <w:ind w:left="1418"/>
        <w:rPr>
          <w:rFonts w:eastAsia="Calibri"/>
          <w:bCs/>
          <w:i/>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Contingent liabilities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does not recognize a contingent liability but discloses details of any contingencies in the notes to the financial statements unless the possibility of an outflow of resources embodying economic benefits or service potential is remote.</w:t>
      </w:r>
    </w:p>
    <w:p>
      <w:pPr>
        <w:autoSpaceDE w:val="0"/>
        <w:autoSpaceDN w:val="0"/>
        <w:adjustRightInd w:val="0"/>
        <w:ind w:left="1440"/>
        <w:rPr>
          <w:rFonts w:eastAsia="Calibri"/>
          <w:bCs/>
          <w:i/>
          <w:iCs/>
          <w:sz w:val="24"/>
          <w:szCs w:val="24"/>
          <w:lang w:val="en-PH"/>
        </w:rPr>
      </w:pPr>
    </w:p>
    <w:p>
      <w:pPr>
        <w:autoSpaceDE w:val="0"/>
        <w:autoSpaceDN w:val="0"/>
        <w:adjustRightInd w:val="0"/>
        <w:ind w:left="1440"/>
        <w:rPr>
          <w:rFonts w:eastAsia="Calibri"/>
          <w:bCs/>
          <w:i/>
          <w:iCs/>
          <w:sz w:val="24"/>
          <w:szCs w:val="24"/>
          <w:lang w:val="en-PH"/>
        </w:rPr>
      </w:pPr>
      <w:r>
        <w:rPr>
          <w:rFonts w:eastAsia="Calibri"/>
          <w:bCs/>
          <w:i/>
          <w:iCs/>
          <w:sz w:val="24"/>
          <w:szCs w:val="24"/>
          <w:lang w:val="en-PH"/>
        </w:rPr>
        <w:t>Contingent assets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does not recognize a contingent asset but discloses details of a possible asset whose existence is contingent on the occurrence or non-occurrence of one or more uncertain future events not wholly within the control of the LGU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pPr>
        <w:autoSpaceDE w:val="0"/>
        <w:autoSpaceDN w:val="0"/>
        <w:adjustRightInd w:val="0"/>
        <w:ind w:left="1418"/>
        <w:jc w:val="both"/>
        <w:rPr>
          <w:rFonts w:eastAsia="Calibri"/>
          <w:sz w:val="24"/>
          <w:szCs w:val="24"/>
          <w:lang w:val="en-PH"/>
        </w:rPr>
      </w:pPr>
    </w:p>
    <w:p>
      <w:pPr>
        <w:pStyle w:val="ListParagraph"/>
        <w:numPr>
          <w:ilvl w:val="1"/>
          <w:numId w:val="1"/>
        </w:numPr>
        <w:ind w:left="851" w:firstLine="0"/>
        <w:contextualSpacing/>
        <w:rPr>
          <w:rFonts w:eastAsia="Calibri"/>
          <w:b/>
          <w:bCs/>
          <w:sz w:val="24"/>
          <w:szCs w:val="24"/>
          <w:lang w:val="en-PH"/>
        </w:rPr>
      </w:pPr>
      <w:r>
        <w:rPr>
          <w:rFonts w:eastAsia="Calibri"/>
          <w:b/>
          <w:bCs/>
          <w:sz w:val="24"/>
          <w:szCs w:val="24"/>
          <w:lang w:val="en-PH"/>
        </w:rPr>
        <w:t>Changes in accounting policies and estimates</w:t>
      </w:r>
    </w:p>
    <w:p>
      <w:pPr>
        <w:pStyle w:val="ListParagraph"/>
        <w:ind w:left="851"/>
        <w:contextualSpacing/>
        <w:rPr>
          <w:rFonts w:eastAsia="Calibri"/>
          <w:b/>
          <w:bCs/>
          <w:sz w:val="24"/>
          <w:szCs w:val="24"/>
          <w:lang w:val="en-PH"/>
        </w:rPr>
      </w:pPr>
    </w:p>
    <w:p>
      <w:pPr>
        <w:tabs>
          <w:tab w:val="left" w:pos="360"/>
        </w:tabs>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recognizes the effects of changes in accounting policy retrospectively. The effects of changes in accounting policy are applied prospectively if retrospective application is impractical.</w:t>
      </w:r>
    </w:p>
    <w:p>
      <w:pPr>
        <w:tabs>
          <w:tab w:val="left" w:pos="360"/>
        </w:tabs>
        <w:autoSpaceDE w:val="0"/>
        <w:autoSpaceDN w:val="0"/>
        <w:adjustRightInd w:val="0"/>
        <w:ind w:left="1440"/>
        <w:rPr>
          <w:rFonts w:eastAsia="Calibri"/>
          <w:bCs/>
          <w:sz w:val="24"/>
          <w:szCs w:val="24"/>
          <w:lang w:val="en-PH"/>
        </w:rPr>
      </w:pPr>
    </w:p>
    <w:p>
      <w:pPr>
        <w:tabs>
          <w:tab w:val="left" w:pos="360"/>
        </w:tabs>
        <w:autoSpaceDE w:val="0"/>
        <w:autoSpaceDN w:val="0"/>
        <w:adjustRightInd w:val="0"/>
        <w:spacing w:line="276" w:lineRule="auto"/>
        <w:ind w:left="1440"/>
        <w:jc w:val="both"/>
        <w:rPr>
          <w:rFonts w:eastAsia="Calibri"/>
          <w:sz w:val="24"/>
          <w:szCs w:val="24"/>
          <w:lang w:val="en-PH"/>
        </w:rPr>
      </w:pPr>
      <w:r>
        <w:rPr>
          <w:rFonts w:eastAsia="Calibri"/>
          <w:sz w:val="24"/>
          <w:szCs w:val="24"/>
          <w:lang w:val="en-PH"/>
        </w:rPr>
        <w:t>The LGU recognizes the effects of changes in accounting estimates prospectively by including in surplus or deficit.</w:t>
      </w:r>
    </w:p>
    <w:p>
      <w:pPr>
        <w:tabs>
          <w:tab w:val="left" w:pos="7632"/>
        </w:tabs>
        <w:autoSpaceDE w:val="0"/>
        <w:autoSpaceDN w:val="0"/>
        <w:adjustRightInd w:val="0"/>
        <w:ind w:left="284"/>
        <w:rPr>
          <w:rFonts w:eastAsia="Calibri"/>
          <w:iCs/>
          <w:sz w:val="24"/>
          <w:szCs w:val="24"/>
          <w:lang w:val="en-PH"/>
        </w:rPr>
      </w:pPr>
    </w:p>
    <w:p>
      <w:pPr>
        <w:pStyle w:val="ListParagraph"/>
        <w:numPr>
          <w:ilvl w:val="1"/>
          <w:numId w:val="1"/>
        </w:numPr>
        <w:tabs>
          <w:tab w:val="left" w:pos="540"/>
          <w:tab w:val="left" w:pos="810"/>
        </w:tabs>
        <w:ind w:left="851" w:firstLine="0"/>
        <w:contextualSpacing/>
        <w:rPr>
          <w:rFonts w:eastAsia="Calibri"/>
          <w:b/>
          <w:bCs/>
          <w:sz w:val="24"/>
          <w:szCs w:val="24"/>
          <w:lang w:val="en-PH"/>
        </w:rPr>
      </w:pPr>
      <w:r>
        <w:rPr>
          <w:rFonts w:eastAsia="Calibri"/>
          <w:b/>
          <w:bCs/>
          <w:sz w:val="24"/>
          <w:szCs w:val="24"/>
          <w:lang w:val="en-PH"/>
        </w:rPr>
        <w:t>Borrowing costs</w:t>
      </w:r>
    </w:p>
    <w:p>
      <w:pPr>
        <w:tabs>
          <w:tab w:val="left" w:pos="720"/>
        </w:tabs>
        <w:autoSpaceDE w:val="0"/>
        <w:autoSpaceDN w:val="0"/>
        <w:adjustRightInd w:val="0"/>
        <w:ind w:left="284"/>
        <w:rPr>
          <w:rFonts w:eastAsia="Calibri"/>
          <w:sz w:val="24"/>
          <w:szCs w:val="24"/>
          <w:lang w:val="en-PH"/>
        </w:rPr>
      </w:pPr>
    </w:p>
    <w:p>
      <w:pPr>
        <w:tabs>
          <w:tab w:val="left" w:pos="360"/>
        </w:tabs>
        <w:autoSpaceDE w:val="0"/>
        <w:autoSpaceDN w:val="0"/>
        <w:adjustRightInd w:val="0"/>
        <w:spacing w:line="276" w:lineRule="auto"/>
        <w:ind w:left="1418"/>
        <w:jc w:val="both"/>
        <w:rPr>
          <w:rFonts w:eastAsia="Calibri"/>
          <w:sz w:val="24"/>
          <w:szCs w:val="24"/>
          <w:lang w:val="en-PH"/>
        </w:rPr>
      </w:pPr>
      <w:r>
        <w:rPr>
          <w:rFonts w:eastAsia="Calibri"/>
          <w:sz w:val="24"/>
          <w:szCs w:val="24"/>
          <w:lang w:val="en-PH"/>
        </w:rPr>
        <w:t>Borrowing costs are capitalized against qualifying assets as part of property, plant, and equipment. Such borrowing costs are capitalized over the period during which the asset is being acquired or constructed and borrowings have been incurred. Capitalization ceases when the construction of the asset is complete. Further, borrowing costs are charged to the statement of financial performance.</w:t>
      </w:r>
    </w:p>
    <w:p>
      <w:pPr>
        <w:tabs>
          <w:tab w:val="left" w:pos="540"/>
          <w:tab w:val="left" w:pos="851"/>
        </w:tabs>
        <w:contextualSpacing/>
        <w:rPr>
          <w:rFonts w:eastAsia="Calibri"/>
          <w:b/>
          <w:bCs/>
          <w:sz w:val="24"/>
          <w:szCs w:val="24"/>
          <w:lang w:val="en-PH"/>
        </w:rPr>
      </w:pPr>
    </w:p>
    <w:p>
      <w:pPr>
        <w:pStyle w:val="ListParagraph"/>
        <w:numPr>
          <w:ilvl w:val="1"/>
          <w:numId w:val="1"/>
        </w:numPr>
        <w:tabs>
          <w:tab w:val="left" w:pos="540"/>
          <w:tab w:val="left" w:pos="851"/>
        </w:tabs>
        <w:ind w:left="851" w:firstLine="0"/>
        <w:contextualSpacing/>
        <w:rPr>
          <w:rFonts w:eastAsia="Calibri"/>
          <w:b/>
          <w:bCs/>
          <w:sz w:val="24"/>
          <w:szCs w:val="24"/>
          <w:lang w:val="en-PH"/>
        </w:rPr>
      </w:pPr>
      <w:r>
        <w:rPr>
          <w:rFonts w:eastAsia="Calibri"/>
          <w:b/>
          <w:bCs/>
          <w:sz w:val="24"/>
          <w:szCs w:val="24"/>
          <w:lang w:val="en-PH"/>
        </w:rPr>
        <w:t>Related parties</w:t>
      </w:r>
    </w:p>
    <w:p>
      <w:pPr>
        <w:tabs>
          <w:tab w:val="left" w:pos="540"/>
          <w:tab w:val="left" w:pos="851"/>
        </w:tabs>
        <w:ind w:left="851"/>
        <w:contextualSpacing/>
        <w:rPr>
          <w:rFonts w:eastAsia="Calibri"/>
          <w:b/>
          <w:bCs/>
          <w:sz w:val="24"/>
          <w:szCs w:val="24"/>
          <w:lang w:val="en-PH"/>
        </w:rPr>
      </w:pPr>
    </w:p>
    <w:p>
      <w:pPr>
        <w:pStyle w:val="ListParagraph"/>
        <w:spacing w:line="276" w:lineRule="auto"/>
        <w:ind w:left="1418"/>
        <w:jc w:val="both"/>
        <w:rPr>
          <w:rFonts w:eastAsia="Calibri"/>
          <w:sz w:val="24"/>
          <w:szCs w:val="24"/>
          <w:lang w:val="en-PH"/>
        </w:rPr>
      </w:pPr>
      <w:r>
        <w:rPr>
          <w:rFonts w:eastAsia="Calibri"/>
          <w:sz w:val="24"/>
          <w:szCs w:val="24"/>
          <w:lang w:val="en-PH"/>
        </w:rPr>
        <w:t>The LGU regards a related party as a person or an entity with the ability to exert control individually or jointly, or to exercise significant influence over the LGU, or vice versa. Members of key management are regarded as related parties. The LGU has no identified related party transactions.</w:t>
      </w:r>
    </w:p>
    <w:p>
      <w:pPr>
        <w:pStyle w:val="ListParagraph"/>
        <w:spacing w:line="276" w:lineRule="auto"/>
        <w:ind w:left="1418"/>
        <w:jc w:val="both"/>
        <w:rPr>
          <w:rFonts w:eastAsia="Calibri"/>
          <w:sz w:val="24"/>
          <w:szCs w:val="24"/>
          <w:lang w:val="en-PH"/>
        </w:rPr>
      </w:pPr>
    </w:p>
    <w:p>
      <w:pPr>
        <w:pStyle w:val="ListParagraph"/>
        <w:spacing w:line="276" w:lineRule="auto"/>
        <w:ind w:left="1418"/>
        <w:jc w:val="both"/>
        <w:rPr>
          <w:rFonts w:eastAsia="Calibri"/>
          <w:sz w:val="24"/>
          <w:szCs w:val="24"/>
          <w:lang w:val="en-PH"/>
        </w:rPr>
      </w:pPr>
      <w:r>
        <w:rPr>
          <w:rFonts w:eastAsia="Calibri"/>
          <w:sz w:val="24"/>
          <w:szCs w:val="24"/>
          <w:lang w:val="en-PH"/>
        </w:rPr>
        <w:lastRenderedPageBreak/>
        <w:t xml:space="preserve">Incumbent key management personnel and their annual salaries as of CY 2022 are shown below: </w:t>
      </w:r>
    </w:p>
    <w:p>
      <w:pPr>
        <w:pStyle w:val="ListParagraph"/>
        <w:ind w:left="1418"/>
        <w:jc w:val="both"/>
        <w:rPr>
          <w:rFonts w:eastAsia="Calibri"/>
          <w:sz w:val="24"/>
          <w:szCs w:val="24"/>
          <w:lang w:val="en-PH"/>
        </w:rPr>
      </w:pPr>
    </w:p>
    <w:tbl>
      <w:tblPr>
        <w:tblW w:w="8424"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2176"/>
        <w:gridCol w:w="773"/>
        <w:gridCol w:w="2229"/>
      </w:tblGrid>
      <w:tr>
        <w:trPr>
          <w:trHeight w:val="20"/>
        </w:trPr>
        <w:tc>
          <w:tcPr>
            <w:tcW w:w="3246" w:type="dxa"/>
            <w:shd w:val="clear" w:color="auto" w:fill="auto"/>
            <w:noWrap/>
            <w:vAlign w:val="center"/>
            <w:hideMark/>
          </w:tcPr>
          <w:p>
            <w:pPr>
              <w:jc w:val="center"/>
              <w:rPr>
                <w:b/>
                <w:bCs/>
                <w:sz w:val="24"/>
                <w:szCs w:val="24"/>
                <w:lang w:val="en-PH" w:eastAsia="en-PH"/>
              </w:rPr>
            </w:pPr>
            <w:r>
              <w:rPr>
                <w:b/>
                <w:bCs/>
                <w:sz w:val="24"/>
                <w:szCs w:val="24"/>
                <w:lang w:val="en-PH" w:eastAsia="en-PH"/>
              </w:rPr>
              <w:t>NAMES</w:t>
            </w:r>
          </w:p>
        </w:tc>
        <w:tc>
          <w:tcPr>
            <w:tcW w:w="2176" w:type="dxa"/>
            <w:shd w:val="clear" w:color="auto" w:fill="auto"/>
            <w:noWrap/>
            <w:vAlign w:val="center"/>
            <w:hideMark/>
          </w:tcPr>
          <w:p>
            <w:pPr>
              <w:jc w:val="center"/>
              <w:rPr>
                <w:b/>
                <w:bCs/>
                <w:sz w:val="24"/>
                <w:szCs w:val="24"/>
                <w:lang w:val="en-PH" w:eastAsia="en-PH"/>
              </w:rPr>
            </w:pPr>
            <w:r>
              <w:rPr>
                <w:b/>
                <w:bCs/>
                <w:sz w:val="24"/>
                <w:szCs w:val="24"/>
                <w:lang w:val="en-PH" w:eastAsia="en-PH"/>
              </w:rPr>
              <w:t>POSITION</w:t>
            </w:r>
          </w:p>
        </w:tc>
        <w:tc>
          <w:tcPr>
            <w:tcW w:w="773" w:type="dxa"/>
            <w:shd w:val="clear" w:color="auto" w:fill="auto"/>
            <w:noWrap/>
            <w:vAlign w:val="center"/>
            <w:hideMark/>
          </w:tcPr>
          <w:p>
            <w:pPr>
              <w:jc w:val="center"/>
              <w:rPr>
                <w:b/>
                <w:bCs/>
                <w:sz w:val="24"/>
                <w:szCs w:val="24"/>
                <w:lang w:val="en-PH" w:eastAsia="en-PH"/>
              </w:rPr>
            </w:pPr>
            <w:r>
              <w:rPr>
                <w:b/>
                <w:bCs/>
                <w:sz w:val="24"/>
                <w:szCs w:val="24"/>
                <w:lang w:val="en-PH" w:eastAsia="en-PH"/>
              </w:rPr>
              <w:t>SG, SI</w:t>
            </w:r>
          </w:p>
        </w:tc>
        <w:tc>
          <w:tcPr>
            <w:tcW w:w="2229" w:type="dxa"/>
            <w:shd w:val="clear" w:color="auto" w:fill="auto"/>
            <w:noWrap/>
            <w:vAlign w:val="center"/>
            <w:hideMark/>
          </w:tcPr>
          <w:p>
            <w:pPr>
              <w:jc w:val="center"/>
              <w:rPr>
                <w:b/>
                <w:bCs/>
                <w:sz w:val="24"/>
                <w:szCs w:val="24"/>
                <w:lang w:val="en-PH" w:eastAsia="en-PH"/>
              </w:rPr>
            </w:pPr>
            <w:r>
              <w:rPr>
                <w:b/>
                <w:bCs/>
                <w:sz w:val="24"/>
                <w:szCs w:val="24"/>
                <w:lang w:val="en-PH" w:eastAsia="en-PH"/>
              </w:rPr>
              <w:t xml:space="preserve"> GROSS ANNUAL INCOME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Relampagos, Jose E.</w:t>
            </w:r>
          </w:p>
        </w:tc>
        <w:tc>
          <w:tcPr>
            <w:tcW w:w="2176" w:type="dxa"/>
            <w:shd w:val="clear" w:color="auto" w:fill="auto"/>
            <w:noWrap/>
            <w:vAlign w:val="bottom"/>
            <w:hideMark/>
          </w:tcPr>
          <w:p>
            <w:pPr>
              <w:rPr>
                <w:sz w:val="24"/>
                <w:szCs w:val="24"/>
                <w:lang w:val="en-PH" w:eastAsia="en-PH"/>
              </w:rPr>
            </w:pPr>
            <w:r>
              <w:rPr>
                <w:sz w:val="24"/>
                <w:szCs w:val="24"/>
                <w:lang w:val="en-PH" w:eastAsia="en-PH"/>
              </w:rPr>
              <w:t>City Mayor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30, 2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2,646,853.00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Dujali, Gregorio III U.</w:t>
            </w:r>
          </w:p>
        </w:tc>
        <w:tc>
          <w:tcPr>
            <w:tcW w:w="2176" w:type="dxa"/>
            <w:shd w:val="clear" w:color="auto" w:fill="auto"/>
            <w:noWrap/>
            <w:vAlign w:val="bottom"/>
            <w:hideMark/>
          </w:tcPr>
          <w:p>
            <w:pPr>
              <w:rPr>
                <w:sz w:val="24"/>
                <w:szCs w:val="24"/>
                <w:lang w:val="en-PH" w:eastAsia="en-PH"/>
              </w:rPr>
            </w:pPr>
            <w:r>
              <w:rPr>
                <w:sz w:val="24"/>
                <w:szCs w:val="24"/>
                <w:lang w:val="en-PH" w:eastAsia="en-PH"/>
              </w:rPr>
              <w:t>City Vice Mayor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26, 1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1,690,277.48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Jumamil, Devona H.</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1,542,543.00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Gentiles, Janno Paolo P.</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1,585,724.12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Enad, Wendel M.</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25, 3</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1,608,599.15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Namuag, Dizon P.</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25, 3</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1,548,445.00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Ang, Ronald L.</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763,579.98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Bangoy, Sherlou F.</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723,212.98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Dujali, Christian Leander M.</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753,212.98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Catalan, Ian Rolet A.</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753,212.98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Macla, Jamail Lunar G.</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753,212.98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Ranain, Omar P.</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753,212.98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Matutino, Conrad Theodore A.</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1,537,910.00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Ambasan, Rodrigo A.</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1,597,926.00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Carisma, Danica Lyka M.</w:t>
            </w:r>
          </w:p>
        </w:tc>
        <w:tc>
          <w:tcPr>
            <w:tcW w:w="2176" w:type="dxa"/>
            <w:shd w:val="clear" w:color="auto" w:fill="auto"/>
            <w:noWrap/>
            <w:vAlign w:val="bottom"/>
            <w:hideMark/>
          </w:tcPr>
          <w:p>
            <w:pPr>
              <w:rPr>
                <w:sz w:val="24"/>
                <w:szCs w:val="24"/>
                <w:lang w:val="en-PH" w:eastAsia="en-PH"/>
              </w:rPr>
            </w:pPr>
            <w:r>
              <w:rPr>
                <w:sz w:val="24"/>
                <w:szCs w:val="24"/>
                <w:lang w:val="en-PH" w:eastAsia="en-PH"/>
              </w:rPr>
              <w:t>SP Member</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1,559,652.00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Anay, Samuel N.</w:t>
            </w:r>
          </w:p>
        </w:tc>
        <w:tc>
          <w:tcPr>
            <w:tcW w:w="2176" w:type="dxa"/>
            <w:shd w:val="clear" w:color="auto" w:fill="auto"/>
            <w:noWrap/>
            <w:vAlign w:val="bottom"/>
            <w:hideMark/>
          </w:tcPr>
          <w:p>
            <w:pPr>
              <w:rPr>
                <w:sz w:val="24"/>
                <w:szCs w:val="24"/>
                <w:lang w:val="en-PH" w:eastAsia="en-PH"/>
              </w:rPr>
            </w:pPr>
            <w:r>
              <w:rPr>
                <w:sz w:val="24"/>
                <w:szCs w:val="24"/>
                <w:lang w:val="en-PH" w:eastAsia="en-PH"/>
              </w:rPr>
              <w:t>CGDH - CAGRO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1,548,754.89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Bautista, Madera M.</w:t>
            </w:r>
          </w:p>
        </w:tc>
        <w:tc>
          <w:tcPr>
            <w:tcW w:w="2176" w:type="dxa"/>
            <w:shd w:val="clear" w:color="auto" w:fill="auto"/>
            <w:noWrap/>
            <w:vAlign w:val="bottom"/>
            <w:hideMark/>
          </w:tcPr>
          <w:p>
            <w:pPr>
              <w:rPr>
                <w:sz w:val="24"/>
                <w:szCs w:val="24"/>
                <w:lang w:val="en-PH" w:eastAsia="en-PH"/>
              </w:rPr>
            </w:pPr>
            <w:r>
              <w:rPr>
                <w:sz w:val="24"/>
                <w:szCs w:val="24"/>
                <w:lang w:val="en-PH" w:eastAsia="en-PH"/>
              </w:rPr>
              <w:t>CGDH - CGSO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25, 4</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1,838,490.60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Café, Jan Mari G.</w:t>
            </w:r>
          </w:p>
        </w:tc>
        <w:tc>
          <w:tcPr>
            <w:tcW w:w="2176" w:type="dxa"/>
            <w:shd w:val="clear" w:color="auto" w:fill="auto"/>
            <w:noWrap/>
            <w:vAlign w:val="bottom"/>
            <w:hideMark/>
          </w:tcPr>
          <w:p>
            <w:pPr>
              <w:rPr>
                <w:sz w:val="24"/>
                <w:szCs w:val="24"/>
                <w:lang w:val="en-PH" w:eastAsia="en-PH"/>
              </w:rPr>
            </w:pPr>
            <w:r>
              <w:rPr>
                <w:sz w:val="24"/>
                <w:szCs w:val="24"/>
                <w:lang w:val="en-PH" w:eastAsia="en-PH"/>
              </w:rPr>
              <w:t>CGDH - CHRMO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1,756,290.25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Hechanova, Algae Rose S.</w:t>
            </w:r>
          </w:p>
        </w:tc>
        <w:tc>
          <w:tcPr>
            <w:tcW w:w="2176" w:type="dxa"/>
            <w:shd w:val="clear" w:color="auto" w:fill="auto"/>
            <w:noWrap/>
            <w:vAlign w:val="bottom"/>
            <w:hideMark/>
          </w:tcPr>
          <w:p>
            <w:pPr>
              <w:rPr>
                <w:sz w:val="24"/>
                <w:szCs w:val="24"/>
                <w:lang w:val="en-PH" w:eastAsia="en-PH"/>
              </w:rPr>
            </w:pPr>
            <w:r>
              <w:rPr>
                <w:sz w:val="24"/>
                <w:szCs w:val="24"/>
                <w:lang w:val="en-PH" w:eastAsia="en-PH"/>
              </w:rPr>
              <w:t>CGDH - CHO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1,894,790.83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Hermosora, Mylene M.</w:t>
            </w:r>
          </w:p>
        </w:tc>
        <w:tc>
          <w:tcPr>
            <w:tcW w:w="2176" w:type="dxa"/>
            <w:shd w:val="clear" w:color="auto" w:fill="auto"/>
            <w:noWrap/>
            <w:vAlign w:val="bottom"/>
            <w:hideMark/>
          </w:tcPr>
          <w:p>
            <w:pPr>
              <w:rPr>
                <w:sz w:val="24"/>
                <w:szCs w:val="24"/>
                <w:lang w:val="en-PH" w:eastAsia="en-PH"/>
              </w:rPr>
            </w:pPr>
            <w:r>
              <w:rPr>
                <w:sz w:val="24"/>
                <w:szCs w:val="24"/>
                <w:lang w:val="en-PH" w:eastAsia="en-PH"/>
              </w:rPr>
              <w:t>CGDH - CAO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1,518,176.00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Lacuin, Chareina Joy G.</w:t>
            </w:r>
          </w:p>
        </w:tc>
        <w:tc>
          <w:tcPr>
            <w:tcW w:w="2176" w:type="dxa"/>
            <w:shd w:val="clear" w:color="auto" w:fill="auto"/>
            <w:noWrap/>
            <w:vAlign w:val="bottom"/>
            <w:hideMark/>
          </w:tcPr>
          <w:p>
            <w:pPr>
              <w:rPr>
                <w:sz w:val="24"/>
                <w:szCs w:val="24"/>
                <w:lang w:val="en-PH" w:eastAsia="en-PH"/>
              </w:rPr>
            </w:pPr>
            <w:r>
              <w:rPr>
                <w:sz w:val="24"/>
                <w:szCs w:val="24"/>
                <w:lang w:val="en-PH" w:eastAsia="en-PH"/>
              </w:rPr>
              <w:t>CGDH - CSWDO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1,676,263.12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Llana, Nancy D.</w:t>
            </w:r>
          </w:p>
        </w:tc>
        <w:tc>
          <w:tcPr>
            <w:tcW w:w="2176" w:type="dxa"/>
            <w:shd w:val="clear" w:color="auto" w:fill="auto"/>
            <w:noWrap/>
            <w:vAlign w:val="bottom"/>
            <w:hideMark/>
          </w:tcPr>
          <w:p>
            <w:pPr>
              <w:rPr>
                <w:sz w:val="24"/>
                <w:szCs w:val="24"/>
                <w:lang w:val="en-PH" w:eastAsia="en-PH"/>
              </w:rPr>
            </w:pPr>
            <w:r>
              <w:rPr>
                <w:sz w:val="24"/>
                <w:szCs w:val="24"/>
                <w:lang w:val="en-PH" w:eastAsia="en-PH"/>
              </w:rPr>
              <w:t>CGDH - CASSO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25, 8</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1,708,231.51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Misoles, Pedrito A.</w:t>
            </w:r>
          </w:p>
        </w:tc>
        <w:tc>
          <w:tcPr>
            <w:tcW w:w="2176" w:type="dxa"/>
            <w:shd w:val="clear" w:color="auto" w:fill="auto"/>
            <w:noWrap/>
            <w:vAlign w:val="bottom"/>
            <w:hideMark/>
          </w:tcPr>
          <w:p>
            <w:pPr>
              <w:rPr>
                <w:sz w:val="24"/>
                <w:szCs w:val="24"/>
                <w:lang w:val="en-PH" w:eastAsia="en-PH"/>
              </w:rPr>
            </w:pPr>
            <w:r>
              <w:rPr>
                <w:sz w:val="24"/>
                <w:szCs w:val="24"/>
                <w:lang w:val="en-PH" w:eastAsia="en-PH"/>
              </w:rPr>
              <w:t>CGDH -CADO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1,554,877.21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Paculanang, Chervin C.</w:t>
            </w:r>
          </w:p>
        </w:tc>
        <w:tc>
          <w:tcPr>
            <w:tcW w:w="2176" w:type="dxa"/>
            <w:shd w:val="clear" w:color="auto" w:fill="auto"/>
            <w:noWrap/>
            <w:vAlign w:val="bottom"/>
            <w:hideMark/>
          </w:tcPr>
          <w:p>
            <w:pPr>
              <w:rPr>
                <w:sz w:val="24"/>
                <w:szCs w:val="24"/>
                <w:lang w:val="en-PH" w:eastAsia="en-PH"/>
              </w:rPr>
            </w:pPr>
            <w:r>
              <w:rPr>
                <w:sz w:val="24"/>
                <w:szCs w:val="24"/>
                <w:lang w:val="en-PH" w:eastAsia="en-PH"/>
              </w:rPr>
              <w:t>CGDH -CLO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1,826,991.35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Rabanoz, Bernardo Jr., C.</w:t>
            </w:r>
          </w:p>
        </w:tc>
        <w:tc>
          <w:tcPr>
            <w:tcW w:w="2176" w:type="dxa"/>
            <w:shd w:val="clear" w:color="auto" w:fill="auto"/>
            <w:noWrap/>
            <w:vAlign w:val="bottom"/>
            <w:hideMark/>
          </w:tcPr>
          <w:p>
            <w:pPr>
              <w:rPr>
                <w:sz w:val="24"/>
                <w:szCs w:val="24"/>
                <w:lang w:val="en-PH" w:eastAsia="en-PH"/>
              </w:rPr>
            </w:pPr>
            <w:r>
              <w:rPr>
                <w:sz w:val="24"/>
                <w:szCs w:val="24"/>
                <w:lang w:val="en-PH" w:eastAsia="en-PH"/>
              </w:rPr>
              <w:t>CGDH - CEO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1,754,665.25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Rasgo, Nemesio, Jr. L.</w:t>
            </w:r>
          </w:p>
        </w:tc>
        <w:tc>
          <w:tcPr>
            <w:tcW w:w="2176" w:type="dxa"/>
            <w:shd w:val="clear" w:color="auto" w:fill="auto"/>
            <w:noWrap/>
            <w:vAlign w:val="bottom"/>
            <w:hideMark/>
          </w:tcPr>
          <w:p>
            <w:pPr>
              <w:rPr>
                <w:sz w:val="24"/>
                <w:szCs w:val="24"/>
                <w:lang w:val="en-PH" w:eastAsia="en-PH"/>
              </w:rPr>
            </w:pPr>
            <w:r>
              <w:rPr>
                <w:sz w:val="24"/>
                <w:szCs w:val="24"/>
                <w:lang w:val="en-PH" w:eastAsia="en-PH"/>
              </w:rPr>
              <w:t>CGDH - CEEMDO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25, 5</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1,891,090.02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Saligumba, Leila P.</w:t>
            </w:r>
          </w:p>
        </w:tc>
        <w:tc>
          <w:tcPr>
            <w:tcW w:w="2176" w:type="dxa"/>
            <w:shd w:val="clear" w:color="auto" w:fill="auto"/>
            <w:noWrap/>
            <w:vAlign w:val="bottom"/>
            <w:hideMark/>
          </w:tcPr>
          <w:p>
            <w:pPr>
              <w:rPr>
                <w:sz w:val="24"/>
                <w:szCs w:val="24"/>
                <w:lang w:val="en-PH" w:eastAsia="en-PH"/>
              </w:rPr>
            </w:pPr>
            <w:r>
              <w:rPr>
                <w:sz w:val="24"/>
                <w:szCs w:val="24"/>
                <w:lang w:val="en-PH" w:eastAsia="en-PH"/>
              </w:rPr>
              <w:t>CGDH - SPO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1,520,884.39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Samillano, Kirk B.</w:t>
            </w:r>
          </w:p>
        </w:tc>
        <w:tc>
          <w:tcPr>
            <w:tcW w:w="2176" w:type="dxa"/>
            <w:shd w:val="clear" w:color="auto" w:fill="auto"/>
            <w:noWrap/>
            <w:vAlign w:val="bottom"/>
            <w:hideMark/>
          </w:tcPr>
          <w:p>
            <w:pPr>
              <w:rPr>
                <w:sz w:val="24"/>
                <w:szCs w:val="24"/>
                <w:lang w:val="en-PH" w:eastAsia="en-PH"/>
              </w:rPr>
            </w:pPr>
            <w:r>
              <w:rPr>
                <w:sz w:val="24"/>
                <w:szCs w:val="24"/>
                <w:lang w:val="en-PH" w:eastAsia="en-PH"/>
              </w:rPr>
              <w:t>CGDH - CTO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25, 4</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1,669,942.99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Senajon, Felix Jonases P.</w:t>
            </w:r>
          </w:p>
        </w:tc>
        <w:tc>
          <w:tcPr>
            <w:tcW w:w="2176" w:type="dxa"/>
            <w:shd w:val="clear" w:color="auto" w:fill="auto"/>
            <w:noWrap/>
            <w:vAlign w:val="bottom"/>
            <w:hideMark/>
          </w:tcPr>
          <w:p>
            <w:pPr>
              <w:rPr>
                <w:sz w:val="24"/>
                <w:szCs w:val="24"/>
                <w:lang w:val="en-PH" w:eastAsia="en-PH"/>
              </w:rPr>
            </w:pPr>
            <w:r>
              <w:rPr>
                <w:sz w:val="24"/>
                <w:szCs w:val="24"/>
                <w:lang w:val="en-PH" w:eastAsia="en-PH"/>
              </w:rPr>
              <w:t>CGDH - CENRO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25, 3</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1,556,150.12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Sepe, Joven M.</w:t>
            </w:r>
          </w:p>
        </w:tc>
        <w:tc>
          <w:tcPr>
            <w:tcW w:w="2176" w:type="dxa"/>
            <w:shd w:val="clear" w:color="auto" w:fill="auto"/>
            <w:noWrap/>
            <w:vAlign w:val="bottom"/>
            <w:hideMark/>
          </w:tcPr>
          <w:p>
            <w:pPr>
              <w:rPr>
                <w:sz w:val="24"/>
                <w:szCs w:val="24"/>
                <w:lang w:val="en-PH" w:eastAsia="en-PH"/>
              </w:rPr>
            </w:pPr>
            <w:r>
              <w:rPr>
                <w:sz w:val="24"/>
                <w:szCs w:val="24"/>
                <w:lang w:val="en-PH" w:eastAsia="en-PH"/>
              </w:rPr>
              <w:t>CGDH - CBO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1,530,176.00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Somozo, Evelyn A.</w:t>
            </w:r>
          </w:p>
        </w:tc>
        <w:tc>
          <w:tcPr>
            <w:tcW w:w="2176" w:type="dxa"/>
            <w:shd w:val="clear" w:color="auto" w:fill="auto"/>
            <w:noWrap/>
            <w:vAlign w:val="bottom"/>
            <w:hideMark/>
          </w:tcPr>
          <w:p>
            <w:pPr>
              <w:rPr>
                <w:sz w:val="24"/>
                <w:szCs w:val="24"/>
                <w:lang w:val="en-PH" w:eastAsia="en-PH"/>
              </w:rPr>
            </w:pPr>
            <w:r>
              <w:rPr>
                <w:sz w:val="24"/>
                <w:szCs w:val="24"/>
                <w:lang w:val="en-PH" w:eastAsia="en-PH"/>
              </w:rPr>
              <w:t>CGDH - CCRO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25, 1</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1,499,051.00 </w:t>
            </w:r>
          </w:p>
        </w:tc>
      </w:tr>
      <w:tr>
        <w:trPr>
          <w:trHeight w:val="20"/>
        </w:trPr>
        <w:tc>
          <w:tcPr>
            <w:tcW w:w="3246" w:type="dxa"/>
            <w:shd w:val="clear" w:color="auto" w:fill="auto"/>
            <w:noWrap/>
            <w:vAlign w:val="bottom"/>
            <w:hideMark/>
          </w:tcPr>
          <w:p>
            <w:pPr>
              <w:rPr>
                <w:sz w:val="24"/>
                <w:szCs w:val="24"/>
                <w:lang w:val="en-PH" w:eastAsia="en-PH"/>
              </w:rPr>
            </w:pPr>
            <w:r>
              <w:rPr>
                <w:sz w:val="24"/>
                <w:szCs w:val="24"/>
                <w:lang w:val="en-PH" w:eastAsia="en-PH"/>
              </w:rPr>
              <w:t>Sumabal, Joseph Raymund A.</w:t>
            </w:r>
          </w:p>
        </w:tc>
        <w:tc>
          <w:tcPr>
            <w:tcW w:w="2176" w:type="dxa"/>
            <w:shd w:val="clear" w:color="auto" w:fill="auto"/>
            <w:noWrap/>
            <w:vAlign w:val="bottom"/>
            <w:hideMark/>
          </w:tcPr>
          <w:p>
            <w:pPr>
              <w:rPr>
                <w:sz w:val="24"/>
                <w:szCs w:val="24"/>
                <w:lang w:val="en-PH" w:eastAsia="en-PH"/>
              </w:rPr>
            </w:pPr>
            <w:r>
              <w:rPr>
                <w:sz w:val="24"/>
                <w:szCs w:val="24"/>
                <w:lang w:val="en-PH" w:eastAsia="en-PH"/>
              </w:rPr>
              <w:t>CGDH - CPDO</w:t>
            </w:r>
          </w:p>
        </w:tc>
        <w:tc>
          <w:tcPr>
            <w:tcW w:w="773" w:type="dxa"/>
            <w:shd w:val="clear" w:color="auto" w:fill="auto"/>
            <w:noWrap/>
            <w:vAlign w:val="bottom"/>
            <w:hideMark/>
          </w:tcPr>
          <w:p>
            <w:pPr>
              <w:jc w:val="center"/>
              <w:rPr>
                <w:sz w:val="24"/>
                <w:szCs w:val="24"/>
                <w:lang w:val="en-PH" w:eastAsia="en-PH"/>
              </w:rPr>
            </w:pPr>
            <w:r>
              <w:rPr>
                <w:sz w:val="24"/>
                <w:szCs w:val="24"/>
                <w:lang w:val="en-PH" w:eastAsia="en-PH"/>
              </w:rPr>
              <w:t>25, 2</w:t>
            </w:r>
          </w:p>
        </w:tc>
        <w:tc>
          <w:tcPr>
            <w:tcW w:w="2229" w:type="dxa"/>
            <w:shd w:val="clear" w:color="auto" w:fill="auto"/>
            <w:noWrap/>
            <w:vAlign w:val="bottom"/>
            <w:hideMark/>
          </w:tcPr>
          <w:p>
            <w:pPr>
              <w:ind w:firstLineChars="200" w:firstLine="480"/>
              <w:rPr>
                <w:sz w:val="24"/>
                <w:szCs w:val="24"/>
                <w:lang w:val="en-PH" w:eastAsia="en-PH"/>
              </w:rPr>
            </w:pPr>
            <w:r>
              <w:rPr>
                <w:sz w:val="24"/>
                <w:szCs w:val="24"/>
                <w:lang w:val="en-PH" w:eastAsia="en-PH"/>
              </w:rPr>
              <w:t xml:space="preserve">1,579,510.67 </w:t>
            </w:r>
          </w:p>
        </w:tc>
      </w:tr>
    </w:tbl>
    <w:p>
      <w:pPr>
        <w:jc w:val="both"/>
        <w:rPr>
          <w:sz w:val="24"/>
          <w:szCs w:val="24"/>
        </w:rPr>
      </w:pPr>
    </w:p>
    <w:p>
      <w:pPr>
        <w:pStyle w:val="ListParagraph"/>
        <w:numPr>
          <w:ilvl w:val="1"/>
          <w:numId w:val="1"/>
        </w:numPr>
        <w:contextualSpacing/>
        <w:rPr>
          <w:rFonts w:eastAsia="Calibri"/>
          <w:b/>
          <w:bCs/>
          <w:sz w:val="24"/>
          <w:szCs w:val="24"/>
          <w:lang w:val="en-PH"/>
        </w:rPr>
      </w:pPr>
      <w:r>
        <w:rPr>
          <w:rFonts w:eastAsia="Calibri"/>
          <w:b/>
          <w:bCs/>
          <w:sz w:val="24"/>
          <w:szCs w:val="24"/>
          <w:lang w:val="en-PH"/>
        </w:rPr>
        <w:t>Budget information</w:t>
      </w:r>
    </w:p>
    <w:p>
      <w:pPr>
        <w:ind w:left="851"/>
        <w:contextualSpacing/>
        <w:rPr>
          <w:rFonts w:eastAsia="Calibri"/>
          <w:b/>
          <w:bCs/>
          <w:sz w:val="24"/>
          <w:szCs w:val="24"/>
          <w:lang w:val="en-PH"/>
        </w:rPr>
      </w:pPr>
    </w:p>
    <w:p>
      <w:pPr>
        <w:pStyle w:val="ListParagraph"/>
        <w:spacing w:line="276" w:lineRule="auto"/>
        <w:ind w:left="1440"/>
        <w:contextualSpacing/>
        <w:jc w:val="both"/>
        <w:rPr>
          <w:rFonts w:eastAsia="Calibri"/>
          <w:b/>
          <w:bCs/>
          <w:sz w:val="24"/>
          <w:szCs w:val="24"/>
          <w:lang w:val="en-PH"/>
        </w:rPr>
      </w:pPr>
      <w:r>
        <w:rPr>
          <w:rFonts w:eastAsia="Calibri"/>
          <w:sz w:val="24"/>
          <w:szCs w:val="24"/>
          <w:lang w:val="en-PH"/>
        </w:rPr>
        <w:t xml:space="preserve">The annual budget is prepared on a modified cash basis, that is, all planned costs and income are presented in a single statement to determine the needs of the LGU. As a result of the adoption of the modified cash basis for budgeting purposes, </w:t>
      </w:r>
      <w:r>
        <w:rPr>
          <w:bCs/>
          <w:sz w:val="24"/>
          <w:szCs w:val="24"/>
        </w:rPr>
        <w:t>a separate Statement of Comparison of Budget and Actual Amounts is presented showing the</w:t>
      </w:r>
      <w:r>
        <w:rPr>
          <w:rFonts w:eastAsia="Calibri"/>
          <w:sz w:val="24"/>
          <w:szCs w:val="24"/>
          <w:lang w:val="en-PH"/>
        </w:rPr>
        <w:t xml:space="preserve"> basis, timing, or entity differences that would require reconciliation between the </w:t>
      </w:r>
      <w:r>
        <w:rPr>
          <w:rFonts w:eastAsia="Calibri"/>
          <w:sz w:val="24"/>
          <w:szCs w:val="24"/>
          <w:lang w:val="en-PH"/>
        </w:rPr>
        <w:lastRenderedPageBreak/>
        <w:t xml:space="preserve">actual comparable amounts and the amounts presented. Explanatory comments are provided in note 35 to the annual financial statements; first, the reasons for overall growth or decline in the budget are stated, followed by details of overspending, or underspending on line items. </w:t>
      </w:r>
    </w:p>
    <w:p>
      <w:pPr>
        <w:contextualSpacing/>
        <w:rPr>
          <w:rFonts w:eastAsia="Calibri"/>
          <w:b/>
          <w:bCs/>
          <w:sz w:val="24"/>
          <w:szCs w:val="24"/>
          <w:lang w:val="en-PH"/>
        </w:rPr>
      </w:pPr>
    </w:p>
    <w:p>
      <w:pPr>
        <w:pStyle w:val="ListParagraph"/>
        <w:numPr>
          <w:ilvl w:val="1"/>
          <w:numId w:val="1"/>
        </w:numPr>
        <w:tabs>
          <w:tab w:val="left" w:pos="851"/>
        </w:tabs>
        <w:contextualSpacing/>
        <w:rPr>
          <w:rFonts w:eastAsia="Calibri"/>
          <w:b/>
          <w:bCs/>
          <w:sz w:val="24"/>
          <w:szCs w:val="24"/>
          <w:lang w:val="en-PH"/>
        </w:rPr>
      </w:pPr>
      <w:r>
        <w:rPr>
          <w:rFonts w:eastAsia="Calibri"/>
          <w:b/>
          <w:bCs/>
          <w:sz w:val="24"/>
          <w:szCs w:val="24"/>
          <w:lang w:val="en-PH"/>
        </w:rPr>
        <w:t>Significant judgments and sources of estimation uncertainty</w:t>
      </w:r>
    </w:p>
    <w:p>
      <w:pPr>
        <w:autoSpaceDE w:val="0"/>
        <w:autoSpaceDN w:val="0"/>
        <w:adjustRightInd w:val="0"/>
        <w:ind w:left="1418"/>
        <w:rPr>
          <w:rFonts w:eastAsia="Calibri"/>
          <w:bCs/>
          <w:i/>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Judgments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In the process of applying the LGU’s accounting policies, management has made judgments, which have the most significant effect on the amounts recognized in the consolidated financial statements.</w:t>
      </w:r>
    </w:p>
    <w:p>
      <w:pPr>
        <w:autoSpaceDE w:val="0"/>
        <w:autoSpaceDN w:val="0"/>
        <w:adjustRightInd w:val="0"/>
        <w:ind w:left="1440"/>
        <w:jc w:val="both"/>
        <w:rPr>
          <w:rFonts w:eastAsia="Calibri"/>
          <w:bCs/>
          <w:iCs/>
          <w:sz w:val="24"/>
          <w:szCs w:val="24"/>
          <w:lang w:val="en-PH"/>
        </w:rPr>
      </w:pPr>
    </w:p>
    <w:p>
      <w:pPr>
        <w:autoSpaceDE w:val="0"/>
        <w:autoSpaceDN w:val="0"/>
        <w:adjustRightInd w:val="0"/>
        <w:ind w:left="1440"/>
        <w:jc w:val="both"/>
        <w:rPr>
          <w:rFonts w:eastAsia="Calibri"/>
          <w:i/>
          <w:sz w:val="24"/>
          <w:szCs w:val="24"/>
          <w:lang w:val="en-PH"/>
        </w:rPr>
      </w:pPr>
      <w:r>
        <w:rPr>
          <w:rFonts w:eastAsia="Calibri"/>
          <w:bCs/>
          <w:i/>
          <w:iCs/>
          <w:sz w:val="24"/>
          <w:szCs w:val="24"/>
          <w:lang w:val="en-PH"/>
        </w:rPr>
        <w:t>Estimates and assumptions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The key assumptions concerning the future and other key sources of estimation uncertainty at the reporting date, that have a significant risk of causing a material adjustment to the carrying amounts of assets and liabilities within the next financial year, are described below. The LGU based its assumptions and estimates on parameters available when the consolidated financial statements were prepared. </w:t>
      </w:r>
    </w:p>
    <w:p>
      <w:pPr>
        <w:autoSpaceDE w:val="0"/>
        <w:autoSpaceDN w:val="0"/>
        <w:adjustRightInd w:val="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However, existing circumstances and assumptions about future developments may change due to market changes or circumstances arising beyond the control of the LGU. Such changes are reflected in the assumptions when they occur.</w:t>
      </w:r>
    </w:p>
    <w:p>
      <w:pPr>
        <w:autoSpaceDE w:val="0"/>
        <w:autoSpaceDN w:val="0"/>
        <w:adjustRightInd w:val="0"/>
        <w:rPr>
          <w:rFonts w:eastAsia="Calibri"/>
          <w:bCs/>
          <w:i/>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Useful lives and residual values</w:t>
      </w:r>
    </w:p>
    <w:p>
      <w:pPr>
        <w:autoSpaceDE w:val="0"/>
        <w:autoSpaceDN w:val="0"/>
        <w:adjustRightInd w:val="0"/>
        <w:ind w:left="1440"/>
        <w:rPr>
          <w:rFonts w:eastAsia="Calibri"/>
          <w:b/>
          <w:bCs/>
          <w: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useful lives and residual values of assets are assessed using the following indicators to inform potential future use and value from disposal:</w:t>
      </w:r>
    </w:p>
    <w:p>
      <w:pPr>
        <w:autoSpaceDE w:val="0"/>
        <w:autoSpaceDN w:val="0"/>
        <w:adjustRightInd w:val="0"/>
        <w:ind w:left="1800" w:hanging="360"/>
        <w:jc w:val="both"/>
        <w:rPr>
          <w:rFonts w:eastAsia="Calibri"/>
          <w:sz w:val="24"/>
          <w:szCs w:val="24"/>
          <w:lang w:val="en-PH"/>
        </w:rPr>
      </w:pPr>
    </w:p>
    <w:p>
      <w:pPr>
        <w:pStyle w:val="ListParagraph"/>
        <w:numPr>
          <w:ilvl w:val="0"/>
          <w:numId w:val="8"/>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The condition of the asset based on the assessment of experts employed by the LGU;</w:t>
      </w:r>
    </w:p>
    <w:p>
      <w:pPr>
        <w:pStyle w:val="ListParagraph"/>
        <w:numPr>
          <w:ilvl w:val="0"/>
          <w:numId w:val="8"/>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The nature of the asset, its susceptibility and adaptability to changes in technology and processes;</w:t>
      </w:r>
    </w:p>
    <w:p>
      <w:pPr>
        <w:pStyle w:val="ListParagraph"/>
        <w:numPr>
          <w:ilvl w:val="0"/>
          <w:numId w:val="8"/>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The nature of the processes in which the asset is deployed; and</w:t>
      </w:r>
    </w:p>
    <w:p>
      <w:pPr>
        <w:pStyle w:val="ListParagraph"/>
        <w:numPr>
          <w:ilvl w:val="0"/>
          <w:numId w:val="8"/>
        </w:numPr>
        <w:autoSpaceDE w:val="0"/>
        <w:autoSpaceDN w:val="0"/>
        <w:adjustRightInd w:val="0"/>
        <w:spacing w:line="276" w:lineRule="auto"/>
        <w:ind w:left="1800"/>
        <w:jc w:val="both"/>
        <w:rPr>
          <w:rFonts w:eastAsia="Calibri"/>
          <w:sz w:val="24"/>
          <w:szCs w:val="24"/>
          <w:lang w:val="en-PH"/>
        </w:rPr>
      </w:pPr>
      <w:r>
        <w:rPr>
          <w:rFonts w:eastAsia="Calibri"/>
          <w:sz w:val="24"/>
          <w:szCs w:val="24"/>
          <w:lang w:val="en-PH"/>
        </w:rPr>
        <w:t>Changes in the market in relation to the asset.</w:t>
      </w:r>
    </w:p>
    <w:p>
      <w:pPr>
        <w:autoSpaceDE w:val="0"/>
        <w:autoSpaceDN w:val="0"/>
        <w:adjustRightInd w:val="0"/>
        <w:ind w:left="1800" w:hanging="360"/>
        <w:rPr>
          <w:rFonts w:eastAsia="Calibri"/>
          <w:b/>
          <w:bCs/>
          <w:iCs/>
          <w:sz w:val="24"/>
          <w:szCs w:val="24"/>
          <w:lang w:val="en-PH"/>
        </w:rPr>
      </w:pPr>
    </w:p>
    <w:p>
      <w:pPr>
        <w:spacing w:line="276" w:lineRule="auto"/>
        <w:ind w:left="1418"/>
        <w:jc w:val="both"/>
        <w:outlineLvl w:val="0"/>
        <w:rPr>
          <w:sz w:val="24"/>
          <w:szCs w:val="24"/>
        </w:rPr>
      </w:pPr>
      <w:r>
        <w:rPr>
          <w:sz w:val="24"/>
          <w:szCs w:val="24"/>
        </w:rPr>
        <w:t>The adjustments arising from the revision of the assets’ useful life were charged to the current and subsequent year’s depreciation expenses of the particular assets. (COA Circular No. 2004 – 005 dated August 9, 2004)</w:t>
      </w:r>
    </w:p>
    <w:p>
      <w:pPr>
        <w:ind w:left="1418"/>
        <w:jc w:val="both"/>
        <w:outlineLvl w:val="0"/>
        <w:rPr>
          <w:sz w:val="24"/>
          <w:szCs w:val="24"/>
        </w:rPr>
      </w:pPr>
    </w:p>
    <w:p>
      <w:pPr>
        <w:ind w:left="1418"/>
        <w:jc w:val="both"/>
        <w:outlineLvl w:val="0"/>
        <w:rPr>
          <w:sz w:val="24"/>
          <w:szCs w:val="24"/>
        </w:rPr>
      </w:pPr>
    </w:p>
    <w:p>
      <w:pPr>
        <w:ind w:left="1418"/>
        <w:jc w:val="both"/>
        <w:outlineLvl w:val="0"/>
        <w:rPr>
          <w:sz w:val="24"/>
          <w:szCs w:val="24"/>
        </w:rPr>
      </w:pPr>
    </w:p>
    <w:p>
      <w:pPr>
        <w:ind w:left="1418"/>
        <w:jc w:val="both"/>
        <w:outlineLvl w:val="0"/>
        <w:rPr>
          <w:sz w:val="24"/>
          <w:szCs w:val="24"/>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2126"/>
      </w:tblGrid>
      <w:tr>
        <w:trPr>
          <w:trHeight w:val="20"/>
          <w:tblHeader/>
        </w:trPr>
        <w:tc>
          <w:tcPr>
            <w:tcW w:w="6237" w:type="dxa"/>
            <w:shd w:val="clear" w:color="auto" w:fill="auto"/>
            <w:noWrap/>
            <w:vAlign w:val="center"/>
            <w:hideMark/>
          </w:tcPr>
          <w:p>
            <w:pPr>
              <w:jc w:val="center"/>
              <w:rPr>
                <w:b/>
                <w:bCs/>
                <w:sz w:val="24"/>
                <w:szCs w:val="24"/>
                <w:lang w:val="en-PH" w:eastAsia="en-PH"/>
              </w:rPr>
            </w:pPr>
            <w:r>
              <w:rPr>
                <w:b/>
                <w:bCs/>
                <w:sz w:val="24"/>
                <w:szCs w:val="24"/>
                <w:lang w:val="en-PH" w:eastAsia="en-PH"/>
              </w:rPr>
              <w:t>Property, Plant &amp; Equipment</w:t>
            </w:r>
          </w:p>
        </w:tc>
        <w:tc>
          <w:tcPr>
            <w:tcW w:w="2126" w:type="dxa"/>
            <w:shd w:val="clear" w:color="auto" w:fill="auto"/>
            <w:vAlign w:val="center"/>
            <w:hideMark/>
          </w:tcPr>
          <w:p>
            <w:pPr>
              <w:jc w:val="center"/>
              <w:rPr>
                <w:b/>
                <w:bCs/>
                <w:sz w:val="24"/>
                <w:szCs w:val="24"/>
                <w:lang w:val="en-PH" w:eastAsia="en-PH"/>
              </w:rPr>
            </w:pPr>
            <w:r>
              <w:rPr>
                <w:b/>
                <w:bCs/>
                <w:sz w:val="24"/>
                <w:szCs w:val="24"/>
                <w:lang w:val="en-PH" w:eastAsia="en-PH"/>
              </w:rPr>
              <w:t>Estimated Useful Life</w:t>
            </w:r>
          </w:p>
          <w:p>
            <w:pPr>
              <w:jc w:val="center"/>
              <w:rPr>
                <w:b/>
                <w:bCs/>
                <w:sz w:val="24"/>
                <w:szCs w:val="24"/>
                <w:lang w:val="en-PH" w:eastAsia="en-PH"/>
              </w:rPr>
            </w:pPr>
            <w:r>
              <w:rPr>
                <w:b/>
                <w:bCs/>
                <w:sz w:val="24"/>
                <w:szCs w:val="24"/>
                <w:lang w:val="en-PH" w:eastAsia="en-PH"/>
              </w:rPr>
              <w:t xml:space="preserve"> (in years)</w:t>
            </w:r>
          </w:p>
        </w:tc>
      </w:tr>
      <w:tr>
        <w:trPr>
          <w:trHeight w:val="20"/>
        </w:trPr>
        <w:tc>
          <w:tcPr>
            <w:tcW w:w="6237" w:type="dxa"/>
            <w:shd w:val="clear" w:color="auto" w:fill="auto"/>
            <w:noWrap/>
            <w:vAlign w:val="center"/>
            <w:hideMark/>
          </w:tcPr>
          <w:p>
            <w:pPr>
              <w:rPr>
                <w:b/>
                <w:bCs/>
                <w:sz w:val="24"/>
                <w:szCs w:val="24"/>
                <w:lang w:val="en-PH" w:eastAsia="en-PH"/>
              </w:rPr>
            </w:pPr>
            <w:r>
              <w:rPr>
                <w:b/>
                <w:bCs/>
                <w:sz w:val="24"/>
                <w:szCs w:val="24"/>
                <w:lang w:val="en-PH" w:eastAsia="en-PH"/>
              </w:rPr>
              <w:t>Infrastructure Assets</w:t>
            </w:r>
          </w:p>
        </w:tc>
        <w:tc>
          <w:tcPr>
            <w:tcW w:w="2126"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100" w:firstLine="241"/>
              <w:rPr>
                <w:b/>
                <w:bCs/>
                <w:sz w:val="24"/>
                <w:szCs w:val="24"/>
                <w:lang w:val="en-PH" w:eastAsia="en-PH"/>
              </w:rPr>
            </w:pPr>
            <w:r>
              <w:rPr>
                <w:b/>
                <w:bCs/>
                <w:sz w:val="24"/>
                <w:szCs w:val="24"/>
                <w:lang w:val="en-PH" w:eastAsia="en-PH"/>
              </w:rPr>
              <w:t>Road Network</w:t>
            </w:r>
          </w:p>
        </w:tc>
        <w:tc>
          <w:tcPr>
            <w:tcW w:w="2126" w:type="dxa"/>
            <w:shd w:val="clear" w:color="auto" w:fill="auto"/>
            <w:noWrap/>
            <w:vAlign w:val="center"/>
            <w:hideMark/>
          </w:tcPr>
          <w:p>
            <w:pP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300" w:firstLine="723"/>
              <w:rPr>
                <w:b/>
                <w:bCs/>
                <w:i/>
                <w:iCs/>
                <w:sz w:val="24"/>
                <w:szCs w:val="24"/>
                <w:lang w:val="en-PH" w:eastAsia="en-PH"/>
              </w:rPr>
            </w:pPr>
            <w:r>
              <w:rPr>
                <w:b/>
                <w:bCs/>
                <w:i/>
                <w:iCs/>
                <w:sz w:val="24"/>
                <w:szCs w:val="24"/>
                <w:lang w:val="en-PH" w:eastAsia="en-PH"/>
              </w:rPr>
              <w:t>Newly constructed</w:t>
            </w:r>
          </w:p>
        </w:tc>
        <w:tc>
          <w:tcPr>
            <w:tcW w:w="2126"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Concrete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Asphalt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Bridges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40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Box culverts (Highway drainage)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Pipe culvert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15</w:t>
            </w:r>
          </w:p>
        </w:tc>
      </w:tr>
      <w:tr>
        <w:trPr>
          <w:trHeight w:val="20"/>
        </w:trPr>
        <w:tc>
          <w:tcPr>
            <w:tcW w:w="6237" w:type="dxa"/>
            <w:shd w:val="clear" w:color="auto" w:fill="auto"/>
            <w:noWrap/>
            <w:vAlign w:val="center"/>
            <w:hideMark/>
          </w:tcPr>
          <w:p>
            <w:pPr>
              <w:ind w:firstLineChars="300" w:firstLine="723"/>
              <w:rPr>
                <w:b/>
                <w:bCs/>
                <w:i/>
                <w:iCs/>
                <w:sz w:val="24"/>
                <w:szCs w:val="24"/>
                <w:lang w:val="en-PH" w:eastAsia="en-PH"/>
              </w:rPr>
            </w:pPr>
            <w:r>
              <w:rPr>
                <w:b/>
                <w:bCs/>
                <w:i/>
                <w:iCs/>
                <w:sz w:val="24"/>
                <w:szCs w:val="24"/>
                <w:lang w:val="en-PH" w:eastAsia="en-PH"/>
              </w:rPr>
              <w:t>Rehabilitation, Repairs and Maintenance: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Concrete Re-blocking</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Asphalt Overlay (Asset Preservation)</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r>
        <w:trPr>
          <w:trHeight w:val="20"/>
        </w:trPr>
        <w:tc>
          <w:tcPr>
            <w:tcW w:w="6237" w:type="dxa"/>
            <w:shd w:val="clear" w:color="auto" w:fill="auto"/>
            <w:noWrap/>
            <w:vAlign w:val="center"/>
            <w:hideMark/>
          </w:tcPr>
          <w:p>
            <w:pPr>
              <w:ind w:firstLineChars="300" w:firstLine="723"/>
              <w:rPr>
                <w:b/>
                <w:bCs/>
                <w:i/>
                <w:iCs/>
                <w:sz w:val="24"/>
                <w:szCs w:val="24"/>
                <w:lang w:val="en-PH" w:eastAsia="en-PH"/>
              </w:rPr>
            </w:pPr>
            <w:r>
              <w:rPr>
                <w:b/>
                <w:bCs/>
                <w:i/>
                <w:iCs/>
                <w:sz w:val="24"/>
                <w:szCs w:val="24"/>
                <w:lang w:val="en-PH" w:eastAsia="en-PH"/>
              </w:rPr>
              <w:t>Bridges (Major Repair):</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Concrete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Steel</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Line Canals (concrete or grouted riprap)</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Flood Control Systems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Water Supply Systems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Seaport Systems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Parks, Plazas and Monuments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300" w:firstLine="723"/>
              <w:rPr>
                <w:b/>
                <w:bCs/>
                <w:i/>
                <w:iCs/>
                <w:sz w:val="24"/>
                <w:szCs w:val="24"/>
                <w:lang w:val="en-PH" w:eastAsia="en-PH"/>
              </w:rPr>
            </w:pPr>
            <w:r>
              <w:rPr>
                <w:b/>
                <w:bCs/>
                <w:i/>
                <w:iCs/>
                <w:sz w:val="24"/>
                <w:szCs w:val="24"/>
                <w:lang w:val="en-PH" w:eastAsia="en-PH"/>
              </w:rPr>
              <w:t>Other Infrastructure Assets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Multi-purpose Pavement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Solar Dryers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Land Improvements</w:t>
            </w:r>
          </w:p>
        </w:tc>
        <w:tc>
          <w:tcPr>
            <w:tcW w:w="2126" w:type="dxa"/>
            <w:shd w:val="clear" w:color="auto" w:fill="auto"/>
            <w:noWrap/>
            <w:hideMark/>
          </w:tcPr>
          <w:p>
            <w:pP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Land Improvements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Railways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40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Electrification, Power &amp; Energy Structures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Buildings - those that are predominantly</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 xml:space="preserve"> Wood</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 xml:space="preserve"> Mixed</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 xml:space="preserve"> Concrete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30</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Leasehold Improvement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 xml:space="preserve">Land  </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Building</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Wood</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Mixed</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20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Concrete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30</w:t>
            </w:r>
          </w:p>
        </w:tc>
      </w:tr>
      <w:tr>
        <w:trPr>
          <w:trHeight w:val="20"/>
        </w:trPr>
        <w:tc>
          <w:tcPr>
            <w:tcW w:w="6237" w:type="dxa"/>
            <w:shd w:val="clear" w:color="auto" w:fill="auto"/>
            <w:noWrap/>
            <w:vAlign w:val="center"/>
            <w:hideMark/>
          </w:tcPr>
          <w:p>
            <w:pPr>
              <w:rPr>
                <w:b/>
                <w:bCs/>
                <w:sz w:val="24"/>
                <w:szCs w:val="24"/>
                <w:lang w:val="en-PH" w:eastAsia="en-PH"/>
              </w:rPr>
            </w:pPr>
            <w:r>
              <w:rPr>
                <w:b/>
                <w:bCs/>
                <w:sz w:val="24"/>
                <w:szCs w:val="24"/>
                <w:lang w:val="en-PH" w:eastAsia="en-PH"/>
              </w:rPr>
              <w:t>Machinery and Equipment</w:t>
            </w:r>
          </w:p>
        </w:tc>
        <w:tc>
          <w:tcPr>
            <w:tcW w:w="2126" w:type="dxa"/>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Office Equipment, Furniture &amp; Fixtures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Office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Furniture &amp; Fixtures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IT - Equipment Hardware</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lastRenderedPageBreak/>
              <w:t>Library Books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Machinery</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Agricultural, Fishery &amp; Forestry</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Communication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Construction &amp; Heavy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Firefighting Equipment &amp; Accessories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7</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Hospital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Medical, Dental &amp; Laboratory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Military &amp; Police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Sports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Technical, Plant &amp;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Other Machinery &amp;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Transportation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 </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Motor Vehicles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7</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Watercrafts</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500" w:firstLine="1200"/>
              <w:rPr>
                <w:sz w:val="24"/>
                <w:szCs w:val="24"/>
                <w:lang w:val="en-PH" w:eastAsia="en-PH"/>
              </w:rPr>
            </w:pPr>
            <w:r>
              <w:rPr>
                <w:sz w:val="24"/>
                <w:szCs w:val="24"/>
                <w:lang w:val="en-PH" w:eastAsia="en-PH"/>
              </w:rPr>
              <w:t>Other Transportation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10</w:t>
            </w:r>
          </w:p>
        </w:tc>
      </w:tr>
      <w:tr>
        <w:trPr>
          <w:trHeight w:val="20"/>
        </w:trPr>
        <w:tc>
          <w:tcPr>
            <w:tcW w:w="6237" w:type="dxa"/>
            <w:shd w:val="clear" w:color="auto" w:fill="auto"/>
            <w:noWrap/>
            <w:vAlign w:val="center"/>
            <w:hideMark/>
          </w:tcPr>
          <w:p>
            <w:pPr>
              <w:ind w:firstLineChars="200" w:firstLine="482"/>
              <w:rPr>
                <w:b/>
                <w:bCs/>
                <w:i/>
                <w:iCs/>
                <w:sz w:val="24"/>
                <w:szCs w:val="24"/>
                <w:lang w:val="en-PH" w:eastAsia="en-PH"/>
              </w:rPr>
            </w:pPr>
            <w:r>
              <w:rPr>
                <w:b/>
                <w:bCs/>
                <w:i/>
                <w:iCs/>
                <w:sz w:val="24"/>
                <w:szCs w:val="24"/>
                <w:lang w:val="en-PH" w:eastAsia="en-PH"/>
              </w:rPr>
              <w:t>Other Property, Plant &amp; Equipment</w:t>
            </w:r>
          </w:p>
        </w:tc>
        <w:tc>
          <w:tcPr>
            <w:tcW w:w="2126" w:type="dxa"/>
            <w:shd w:val="clear" w:color="auto" w:fill="auto"/>
            <w:noWrap/>
            <w:vAlign w:val="center"/>
            <w:hideMark/>
          </w:tcPr>
          <w:p>
            <w:pPr>
              <w:jc w:val="center"/>
              <w:rPr>
                <w:sz w:val="24"/>
                <w:szCs w:val="24"/>
                <w:lang w:val="en-PH" w:eastAsia="en-PH"/>
              </w:rPr>
            </w:pPr>
            <w:r>
              <w:rPr>
                <w:sz w:val="24"/>
                <w:szCs w:val="24"/>
                <w:lang w:val="en-PH" w:eastAsia="en-PH"/>
              </w:rPr>
              <w:t>5</w:t>
            </w:r>
          </w:p>
        </w:tc>
      </w:tr>
    </w:tbl>
    <w:p>
      <w:pPr>
        <w:jc w:val="both"/>
        <w:outlineLvl w:val="0"/>
        <w:rPr>
          <w:sz w:val="24"/>
          <w:szCs w:val="24"/>
        </w:rPr>
      </w:pPr>
    </w:p>
    <w:p>
      <w:pPr>
        <w:pStyle w:val="ListParagraph"/>
        <w:numPr>
          <w:ilvl w:val="1"/>
          <w:numId w:val="1"/>
        </w:numPr>
        <w:tabs>
          <w:tab w:val="left" w:pos="851"/>
        </w:tabs>
        <w:contextualSpacing/>
        <w:rPr>
          <w:rFonts w:eastAsia="Calibri"/>
          <w:b/>
          <w:bCs/>
          <w:sz w:val="24"/>
          <w:szCs w:val="24"/>
          <w:lang w:val="en-PH"/>
        </w:rPr>
      </w:pPr>
      <w:r>
        <w:rPr>
          <w:rFonts w:eastAsia="Calibri"/>
          <w:b/>
          <w:bCs/>
          <w:sz w:val="24"/>
          <w:szCs w:val="24"/>
          <w:lang w:val="en-PH"/>
        </w:rPr>
        <w:t>Impairment of non-financial assets</w:t>
      </w:r>
    </w:p>
    <w:p>
      <w:pPr>
        <w:tabs>
          <w:tab w:val="left" w:pos="851"/>
        </w:tabs>
        <w:contextualSpacing/>
        <w:rPr>
          <w:rFonts w:eastAsia="Calibri"/>
          <w:b/>
          <w:bCs/>
          <w:sz w:val="24"/>
          <w:szCs w:val="24"/>
          <w:lang w:val="en-PH"/>
        </w:rPr>
      </w:pPr>
      <w:r>
        <w:rPr>
          <w:rFonts w:eastAsia="Calibri"/>
          <w:b/>
          <w:bCs/>
          <w:sz w:val="24"/>
          <w:szCs w:val="24"/>
          <w:lang w:val="en-PH"/>
        </w:rPr>
        <w:tab/>
      </w:r>
    </w:p>
    <w:p>
      <w:pPr>
        <w:autoSpaceDE w:val="0"/>
        <w:autoSpaceDN w:val="0"/>
        <w:adjustRightInd w:val="0"/>
        <w:ind w:left="1418"/>
        <w:rPr>
          <w:rFonts w:eastAsia="Calibri"/>
          <w:bCs/>
          <w:i/>
          <w:iCs/>
          <w:sz w:val="24"/>
          <w:szCs w:val="24"/>
          <w:lang w:val="en-PH"/>
        </w:rPr>
      </w:pPr>
      <w:r>
        <w:rPr>
          <w:rFonts w:eastAsia="Calibri"/>
          <w:b/>
          <w:bCs/>
          <w:sz w:val="24"/>
          <w:szCs w:val="24"/>
          <w:lang w:val="en-PH"/>
        </w:rPr>
        <w:tab/>
      </w:r>
      <w:r>
        <w:rPr>
          <w:rFonts w:eastAsia="Calibri"/>
          <w:bCs/>
          <w:i/>
          <w:iCs/>
          <w:sz w:val="24"/>
          <w:szCs w:val="24"/>
          <w:lang w:val="en-PH"/>
        </w:rPr>
        <w:t>Impairment of cash-generating assets</w:t>
      </w:r>
    </w:p>
    <w:p>
      <w:pPr>
        <w:autoSpaceDE w:val="0"/>
        <w:autoSpaceDN w:val="0"/>
        <w:adjustRightInd w:val="0"/>
        <w:ind w:left="1440"/>
        <w:rPr>
          <w:rFonts w:eastAsia="Calibri"/>
          <w:bCs/>
          <w:i/>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recoverable amounts of cash-generating units and individual assets have been determined based on the higher value-in-use calculations and fair values less costs to sell. These calculations require the use of estimates and assumptions. It is reasonably possible that the assumptions may change, which may then impact management’s estimations and require a material adjustment to the carrying value of tangible assets.</w:t>
      </w:r>
    </w:p>
    <w:p>
      <w:pPr>
        <w:tabs>
          <w:tab w:val="left" w:pos="851"/>
        </w:tabs>
        <w:spacing w:line="276" w:lineRule="auto"/>
        <w:ind w:left="1418"/>
        <w:contextualSpacing/>
        <w:jc w:val="both"/>
        <w:rPr>
          <w:rFonts w:eastAsia="Calibri"/>
          <w:sz w:val="24"/>
          <w:szCs w:val="24"/>
          <w:lang w:val="en-PH"/>
        </w:rPr>
      </w:pPr>
      <w:r>
        <w:rPr>
          <w:rFonts w:eastAsia="Calibri"/>
          <w:sz w:val="24"/>
          <w:szCs w:val="24"/>
          <w:lang w:val="en-PH"/>
        </w:rPr>
        <w:tab/>
        <w:t>The LGU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pPr>
        <w:tabs>
          <w:tab w:val="left" w:pos="851"/>
        </w:tabs>
        <w:ind w:left="1418"/>
        <w:contextualSpacing/>
        <w:jc w:val="both"/>
        <w:rPr>
          <w:rFonts w:eastAsia="Calibri"/>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Impairment of non-cash-generating assets</w:t>
      </w:r>
    </w:p>
    <w:p>
      <w:pPr>
        <w:autoSpaceDE w:val="0"/>
        <w:autoSpaceDN w:val="0"/>
        <w:adjustRightInd w:val="0"/>
        <w:ind w:left="1440"/>
        <w:rPr>
          <w:rFonts w:eastAsia="Calibri"/>
          <w:bCs/>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The LGU reviews and tests the carrying value of non-cash-generating assets when events or changes in circumstances suggest that there may be a reduction in the future service potential that can reasonably be expected to be derived from the asset. Where </w:t>
      </w:r>
      <w:r>
        <w:rPr>
          <w:rFonts w:eastAsia="Calibri"/>
          <w:sz w:val="24"/>
          <w:szCs w:val="24"/>
          <w:lang w:val="en-PH"/>
        </w:rPr>
        <w:lastRenderedPageBreak/>
        <w:t>indicators of possible impairment are present, the LGU undertakes impairment tests, which require the determination of the fair value of the asset and its recoverable service amount. The estimation of these inputs into the calculation relies on the use of estimates and assumptions.</w:t>
      </w:r>
    </w:p>
    <w:p>
      <w:pPr>
        <w:autoSpaceDE w:val="0"/>
        <w:autoSpaceDN w:val="0"/>
        <w:adjustRightInd w:val="0"/>
        <w:ind w:left="1440"/>
        <w:rPr>
          <w:rFonts w:eastAsia="Calibri"/>
          <w:sz w:val="24"/>
          <w:szCs w:val="24"/>
          <w:lang w:val="en-PH"/>
        </w:rPr>
      </w:pPr>
    </w:p>
    <w:p>
      <w:pPr>
        <w:tabs>
          <w:tab w:val="left" w:pos="851"/>
        </w:tabs>
        <w:spacing w:line="276" w:lineRule="auto"/>
        <w:ind w:left="1418"/>
        <w:contextualSpacing/>
        <w:jc w:val="both"/>
        <w:rPr>
          <w:rFonts w:eastAsia="Calibri"/>
          <w:sz w:val="24"/>
          <w:szCs w:val="24"/>
          <w:lang w:val="en-PH"/>
        </w:rPr>
      </w:pPr>
      <w:r>
        <w:rPr>
          <w:rFonts w:eastAsia="Calibri"/>
          <w:sz w:val="24"/>
          <w:szCs w:val="24"/>
          <w:lang w:val="en-PH"/>
        </w:rPr>
        <w:t>Any subsequent changes to the factors supporting these estimates and assumptions may have an impact on the reported carrying amount of the related asset.</w:t>
      </w:r>
    </w:p>
    <w:p>
      <w:pPr>
        <w:tabs>
          <w:tab w:val="left" w:pos="851"/>
        </w:tabs>
        <w:ind w:left="1418"/>
        <w:contextualSpacing/>
        <w:jc w:val="both"/>
        <w:rPr>
          <w:rFonts w:eastAsia="Calibri"/>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Fair value estimation - financial instruments</w:t>
      </w:r>
    </w:p>
    <w:p>
      <w:pPr>
        <w:autoSpaceDE w:val="0"/>
        <w:autoSpaceDN w:val="0"/>
        <w:adjustRightInd w:val="0"/>
        <w:ind w:left="1440"/>
        <w:rPr>
          <w:rFonts w:eastAsia="Calibri"/>
          <w:bCs/>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The judgment includes the consideration of inputs such as liquidity risk, credit risk, and volatility. Changes in assumptions about these factors could affect the reported fair value of financial instruments.</w:t>
      </w:r>
    </w:p>
    <w:p>
      <w:pPr>
        <w:autoSpaceDE w:val="0"/>
        <w:autoSpaceDN w:val="0"/>
        <w:adjustRightInd w:val="0"/>
        <w:ind w:left="1440"/>
        <w:rPr>
          <w:rFonts w:eastAsia="Calibri"/>
          <w:bCs/>
          <w:iCs/>
          <w:sz w:val="24"/>
          <w:szCs w:val="24"/>
          <w:lang w:val="en-PH"/>
        </w:rPr>
      </w:pPr>
    </w:p>
    <w:p>
      <w:pPr>
        <w:autoSpaceDE w:val="0"/>
        <w:autoSpaceDN w:val="0"/>
        <w:adjustRightInd w:val="0"/>
        <w:ind w:left="1418"/>
        <w:rPr>
          <w:rFonts w:eastAsia="Calibri"/>
          <w:bCs/>
          <w:i/>
          <w:iCs/>
          <w:sz w:val="24"/>
          <w:szCs w:val="24"/>
          <w:lang w:val="en-PH"/>
        </w:rPr>
      </w:pPr>
      <w:r>
        <w:rPr>
          <w:rFonts w:eastAsia="Calibri"/>
          <w:bCs/>
          <w:i/>
          <w:iCs/>
          <w:sz w:val="24"/>
          <w:szCs w:val="24"/>
          <w:lang w:val="en-PH"/>
        </w:rPr>
        <w:t>Provisions</w:t>
      </w:r>
    </w:p>
    <w:p>
      <w:pPr>
        <w:autoSpaceDE w:val="0"/>
        <w:autoSpaceDN w:val="0"/>
        <w:adjustRightInd w:val="0"/>
        <w:ind w:left="1440"/>
        <w:rPr>
          <w:rFonts w:eastAsia="Calibri"/>
          <w:bCs/>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Provisions were raised and management determined an estimate based on the information available. Provisions are measured at the management's best estimate of the expenditure required to settle the obligation at the reporting date and are discounted to present value where the effect is material.</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bCs/>
          <w:i/>
          <w:iCs/>
          <w:sz w:val="24"/>
          <w:szCs w:val="24"/>
          <w:lang w:val="en-PH"/>
        </w:rPr>
      </w:pPr>
      <w:r>
        <w:rPr>
          <w:rFonts w:eastAsia="Calibri"/>
          <w:bCs/>
          <w:i/>
          <w:iCs/>
          <w:sz w:val="24"/>
          <w:szCs w:val="24"/>
          <w:lang w:val="en-PH"/>
        </w:rPr>
        <w:t>Held-to-maturity investments and loans and receivables</w:t>
      </w:r>
    </w:p>
    <w:p>
      <w:pPr>
        <w:autoSpaceDE w:val="0"/>
        <w:autoSpaceDN w:val="0"/>
        <w:adjustRightInd w:val="0"/>
        <w:ind w:left="1440"/>
        <w:rPr>
          <w:rFonts w:eastAsia="Calibri"/>
          <w:bCs/>
          <w:i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assesses its loans and receivables (including trade receivables) and its held-to-maturity investments at the end of each reporting period. In determining whether an impairment loss should be recorded in surplus or deficit, the LGU evaluates the indicators present in the market to determine if those indicators are indicative of impairment in its loans and receivables or held-to-maturity investments.Where specific impairments have not been identified the impairment for trade receivables, held-to-maturity investments, and loans and receivables is calculated on a portfolio basis, based on historical loss ratios, adjusted for national and industry-specific economic conditions and other indicators present at the reporting date that correlate with defaults on the portfolio. These annual loss ratios are applied to loan balances in the portfolio and scaled to the estimated loss emergence period.</w:t>
      </w:r>
    </w:p>
    <w:p>
      <w:pPr>
        <w:tabs>
          <w:tab w:val="left" w:pos="851"/>
        </w:tabs>
        <w:contextualSpacing/>
        <w:jc w:val="both"/>
        <w:rPr>
          <w:rFonts w:eastAsia="Calibri"/>
          <w:sz w:val="24"/>
          <w:szCs w:val="24"/>
          <w:lang w:val="en-PH"/>
        </w:rPr>
      </w:pPr>
    </w:p>
    <w:p>
      <w:pPr>
        <w:tabs>
          <w:tab w:val="left" w:pos="851"/>
        </w:tabs>
        <w:contextualSpacing/>
        <w:jc w:val="both"/>
        <w:rPr>
          <w:rFonts w:eastAsia="Calibri"/>
          <w:sz w:val="24"/>
          <w:szCs w:val="24"/>
          <w:lang w:val="en-PH"/>
        </w:rPr>
      </w:pPr>
    </w:p>
    <w:p>
      <w:pPr>
        <w:tabs>
          <w:tab w:val="left" w:pos="851"/>
        </w:tabs>
        <w:contextualSpacing/>
        <w:jc w:val="both"/>
        <w:rPr>
          <w:rFonts w:eastAsia="Calibri"/>
          <w:sz w:val="24"/>
          <w:szCs w:val="24"/>
          <w:lang w:val="en-PH"/>
        </w:rPr>
      </w:pPr>
    </w:p>
    <w:p>
      <w:pPr>
        <w:tabs>
          <w:tab w:val="left" w:pos="851"/>
        </w:tabs>
        <w:contextualSpacing/>
        <w:jc w:val="both"/>
        <w:rPr>
          <w:rFonts w:eastAsia="Calibri"/>
          <w:sz w:val="24"/>
          <w:szCs w:val="24"/>
          <w:lang w:val="en-PH"/>
        </w:rPr>
      </w:pPr>
    </w:p>
    <w:p>
      <w:pPr>
        <w:tabs>
          <w:tab w:val="left" w:pos="851"/>
        </w:tabs>
        <w:contextualSpacing/>
        <w:jc w:val="both"/>
        <w:rPr>
          <w:rFonts w:eastAsia="Calibri"/>
          <w:sz w:val="24"/>
          <w:szCs w:val="24"/>
          <w:lang w:val="en-PH"/>
        </w:rPr>
      </w:pPr>
    </w:p>
    <w:p>
      <w:pPr>
        <w:pStyle w:val="ListParagraph"/>
        <w:numPr>
          <w:ilvl w:val="1"/>
          <w:numId w:val="1"/>
        </w:numPr>
        <w:tabs>
          <w:tab w:val="left" w:pos="851"/>
        </w:tabs>
        <w:contextualSpacing/>
        <w:rPr>
          <w:rFonts w:eastAsia="Calibri"/>
          <w:b/>
          <w:bCs/>
          <w:sz w:val="24"/>
          <w:szCs w:val="24"/>
          <w:lang w:val="en-PH"/>
        </w:rPr>
      </w:pPr>
      <w:r>
        <w:rPr>
          <w:rFonts w:eastAsia="Calibri"/>
          <w:b/>
          <w:bCs/>
          <w:sz w:val="24"/>
          <w:szCs w:val="24"/>
          <w:lang w:val="en-PH"/>
        </w:rPr>
        <w:t>Financial Instrument – financial risk management</w:t>
      </w:r>
    </w:p>
    <w:p>
      <w:pPr>
        <w:autoSpaceDE w:val="0"/>
        <w:autoSpaceDN w:val="0"/>
        <w:adjustRightInd w:val="0"/>
        <w:ind w:left="1418"/>
        <w:jc w:val="both"/>
        <w:rPr>
          <w:rFonts w:eastAsia="Calibri"/>
          <w:sz w:val="24"/>
          <w:szCs w:val="24"/>
          <w:lang w:val="en-PH"/>
        </w:rPr>
      </w:pPr>
      <w:r>
        <w:rPr>
          <w:rFonts w:eastAsia="Calibri"/>
          <w:sz w:val="24"/>
          <w:szCs w:val="24"/>
          <w:lang w:val="en-PH"/>
        </w:rPr>
        <w:tab/>
      </w: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Exposure to currency, commodity, interest rate, liquidity, and credit risks arises in the normal course of the LGU’s operations. This note presents information about the LGU’s exposure to each of the mentioned risks, policies and processes for measuring and managing risk, and the LGU’s management of capital. Further quantitative disclosures are included throughout these financial statements. Fair values set out below, is a comparison by class of the carrying amounts and fair value of the LGU’s financial instruments.</w:t>
      </w:r>
    </w:p>
    <w:p>
      <w:pPr>
        <w:autoSpaceDE w:val="0"/>
        <w:autoSpaceDN w:val="0"/>
        <w:adjustRightInd w:val="0"/>
        <w:ind w:left="144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fair value of the financial assets and liabilities are included in the amount at which the instrument could be exchanged in a current transaction between willing parties, other than in a forced sale or liquidation.</w:t>
      </w:r>
    </w:p>
    <w:p>
      <w:pPr>
        <w:autoSpaceDE w:val="0"/>
        <w:autoSpaceDN w:val="0"/>
        <w:adjustRightInd w:val="0"/>
        <w:ind w:left="1440"/>
        <w:rPr>
          <w:rFonts w:eastAsia="Calibri"/>
          <w:sz w:val="24"/>
          <w:szCs w:val="24"/>
          <w:lang w:val="en-PH"/>
        </w:rPr>
      </w:pPr>
    </w:p>
    <w:p>
      <w:pPr>
        <w:autoSpaceDE w:val="0"/>
        <w:autoSpaceDN w:val="0"/>
        <w:adjustRightInd w:val="0"/>
        <w:ind w:left="1418"/>
        <w:jc w:val="both"/>
        <w:rPr>
          <w:rFonts w:eastAsia="Calibri"/>
          <w:sz w:val="24"/>
          <w:szCs w:val="24"/>
          <w:lang w:val="en-PH"/>
        </w:rPr>
      </w:pPr>
      <w:r>
        <w:rPr>
          <w:rFonts w:eastAsia="Calibri"/>
          <w:sz w:val="24"/>
          <w:szCs w:val="24"/>
          <w:lang w:val="en-PH"/>
        </w:rPr>
        <w:t>The following methods and assumptions were used to estimate the fair values:</w:t>
      </w:r>
    </w:p>
    <w:p>
      <w:pPr>
        <w:autoSpaceDE w:val="0"/>
        <w:autoSpaceDN w:val="0"/>
        <w:adjustRightInd w:val="0"/>
        <w:ind w:left="1440"/>
        <w:rPr>
          <w:rFonts w:eastAsia="Calibri"/>
          <w:sz w:val="24"/>
          <w:szCs w:val="24"/>
          <w:lang w:val="en-PH"/>
        </w:rPr>
      </w:pPr>
    </w:p>
    <w:p>
      <w:pPr>
        <w:pStyle w:val="ListParagraph"/>
        <w:numPr>
          <w:ilvl w:val="0"/>
          <w:numId w:val="9"/>
        </w:numPr>
        <w:tabs>
          <w:tab w:val="left" w:pos="720"/>
        </w:tabs>
        <w:autoSpaceDE w:val="0"/>
        <w:autoSpaceDN w:val="0"/>
        <w:adjustRightInd w:val="0"/>
        <w:spacing w:line="276" w:lineRule="auto"/>
        <w:ind w:left="1701" w:hanging="283"/>
        <w:jc w:val="both"/>
        <w:rPr>
          <w:rFonts w:eastAsia="Calibri"/>
          <w:sz w:val="24"/>
          <w:szCs w:val="24"/>
          <w:lang w:val="en-PH"/>
        </w:rPr>
      </w:pPr>
      <w:r>
        <w:rPr>
          <w:rFonts w:eastAsia="Calibri"/>
          <w:sz w:val="24"/>
          <w:szCs w:val="24"/>
          <w:lang w:val="en-PH"/>
        </w:rPr>
        <w:t>Cash and short-term deposits, trade receivables, trade payables, and other current liabilities approximate their carrying amounts largely due to the short-term maturities of these instruments;</w:t>
      </w:r>
    </w:p>
    <w:p>
      <w:pPr>
        <w:tabs>
          <w:tab w:val="left" w:pos="720"/>
        </w:tabs>
        <w:autoSpaceDE w:val="0"/>
        <w:autoSpaceDN w:val="0"/>
        <w:adjustRightInd w:val="0"/>
        <w:ind w:left="1418"/>
        <w:jc w:val="both"/>
        <w:rPr>
          <w:rFonts w:eastAsia="Calibri"/>
          <w:sz w:val="24"/>
          <w:szCs w:val="24"/>
          <w:lang w:val="en-PH"/>
        </w:rPr>
      </w:pPr>
    </w:p>
    <w:p>
      <w:pPr>
        <w:pStyle w:val="ListParagraph"/>
        <w:numPr>
          <w:ilvl w:val="0"/>
          <w:numId w:val="9"/>
        </w:numPr>
        <w:autoSpaceDE w:val="0"/>
        <w:autoSpaceDN w:val="0"/>
        <w:adjustRightInd w:val="0"/>
        <w:spacing w:line="276" w:lineRule="auto"/>
        <w:ind w:left="1701" w:hanging="283"/>
        <w:jc w:val="both"/>
        <w:rPr>
          <w:rFonts w:eastAsia="Calibri"/>
          <w:sz w:val="24"/>
          <w:szCs w:val="24"/>
          <w:lang w:val="en-PH"/>
        </w:rPr>
      </w:pPr>
      <w:r>
        <w:rPr>
          <w:rFonts w:eastAsia="Calibri"/>
          <w:sz w:val="24"/>
          <w:szCs w:val="24"/>
          <w:lang w:val="en-PH"/>
        </w:rPr>
        <w:t>Long-term fixed-rate and variable-rate receivables/ borrowings are evaluated by the LGU based on parameters such as interest rates, individual creditworthiness of the customer, and the risk characteristics of the financed project. Based on this evaluation, allowances are taken to account for the incurred losses of these receivables and market-related interest rates. As of 31 December 2021, the carrying amounts of such receivables, net of allowances, are not materially different from their calculated fair values;</w:t>
      </w:r>
    </w:p>
    <w:p>
      <w:pPr>
        <w:autoSpaceDE w:val="0"/>
        <w:autoSpaceDN w:val="0"/>
        <w:adjustRightInd w:val="0"/>
        <w:jc w:val="both"/>
        <w:rPr>
          <w:rFonts w:eastAsia="Calibri"/>
          <w:sz w:val="24"/>
          <w:szCs w:val="24"/>
          <w:lang w:val="en-PH"/>
        </w:rPr>
      </w:pPr>
    </w:p>
    <w:p>
      <w:pPr>
        <w:pStyle w:val="ListParagraph"/>
        <w:numPr>
          <w:ilvl w:val="0"/>
          <w:numId w:val="9"/>
        </w:numPr>
        <w:autoSpaceDE w:val="0"/>
        <w:autoSpaceDN w:val="0"/>
        <w:adjustRightInd w:val="0"/>
        <w:spacing w:line="276" w:lineRule="auto"/>
        <w:ind w:left="1701" w:hanging="283"/>
        <w:jc w:val="both"/>
        <w:rPr>
          <w:rFonts w:eastAsia="Calibri"/>
          <w:sz w:val="24"/>
          <w:szCs w:val="24"/>
          <w:lang w:val="en-PH"/>
        </w:rPr>
      </w:pPr>
      <w:r>
        <w:rPr>
          <w:rFonts w:eastAsia="Calibri"/>
          <w:sz w:val="24"/>
          <w:szCs w:val="24"/>
          <w:lang w:val="en-PH"/>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pPr>
        <w:autoSpaceDE w:val="0"/>
        <w:autoSpaceDN w:val="0"/>
        <w:adjustRightInd w:val="0"/>
        <w:jc w:val="both"/>
        <w:rPr>
          <w:rFonts w:eastAsia="Calibri"/>
          <w:sz w:val="24"/>
          <w:szCs w:val="24"/>
          <w:lang w:val="en-PH"/>
        </w:rPr>
      </w:pPr>
    </w:p>
    <w:p>
      <w:pPr>
        <w:pStyle w:val="ListParagraph"/>
        <w:numPr>
          <w:ilvl w:val="0"/>
          <w:numId w:val="9"/>
        </w:numPr>
        <w:autoSpaceDE w:val="0"/>
        <w:autoSpaceDN w:val="0"/>
        <w:adjustRightInd w:val="0"/>
        <w:spacing w:line="276" w:lineRule="auto"/>
        <w:ind w:left="1701" w:hanging="283"/>
        <w:jc w:val="both"/>
        <w:rPr>
          <w:rFonts w:eastAsia="Calibri"/>
          <w:sz w:val="24"/>
          <w:szCs w:val="24"/>
          <w:lang w:val="en-PH"/>
        </w:rPr>
      </w:pPr>
      <w:r>
        <w:rPr>
          <w:rFonts w:eastAsia="Calibri"/>
          <w:sz w:val="24"/>
          <w:szCs w:val="24"/>
          <w:lang w:val="en-PH"/>
        </w:rPr>
        <w:t>Fair value of financial assets is derived from quoted market prices in active markets, if available; and</w:t>
      </w:r>
    </w:p>
    <w:p>
      <w:pPr>
        <w:autoSpaceDE w:val="0"/>
        <w:autoSpaceDN w:val="0"/>
        <w:adjustRightInd w:val="0"/>
        <w:jc w:val="both"/>
        <w:rPr>
          <w:rFonts w:eastAsia="Calibri"/>
          <w:sz w:val="24"/>
          <w:szCs w:val="24"/>
          <w:lang w:val="en-PH"/>
        </w:rPr>
      </w:pPr>
    </w:p>
    <w:p>
      <w:pPr>
        <w:pStyle w:val="ListParagraph"/>
        <w:numPr>
          <w:ilvl w:val="0"/>
          <w:numId w:val="9"/>
        </w:numPr>
        <w:autoSpaceDE w:val="0"/>
        <w:autoSpaceDN w:val="0"/>
        <w:adjustRightInd w:val="0"/>
        <w:spacing w:line="276" w:lineRule="auto"/>
        <w:ind w:left="1701" w:hanging="283"/>
        <w:jc w:val="both"/>
        <w:rPr>
          <w:rFonts w:eastAsia="Calibri"/>
          <w:sz w:val="24"/>
          <w:szCs w:val="24"/>
          <w:lang w:val="en-PH"/>
        </w:rPr>
      </w:pPr>
      <w:r>
        <w:rPr>
          <w:rFonts w:eastAsia="Calibri"/>
          <w:sz w:val="24"/>
          <w:szCs w:val="24"/>
          <w:lang w:val="en-PH"/>
        </w:rPr>
        <w:t>Fair value of unquoted available-for-sale financial assets is estimated using appropriate valuation techniques</w:t>
      </w:r>
    </w:p>
    <w:p>
      <w:pPr>
        <w:autoSpaceDE w:val="0"/>
        <w:autoSpaceDN w:val="0"/>
        <w:adjustRightInd w:val="0"/>
        <w:ind w:left="1440"/>
        <w:rPr>
          <w:rFonts w:eastAsia="Calibri"/>
          <w:iCs/>
          <w:sz w:val="24"/>
          <w:szCs w:val="24"/>
          <w:lang w:val="en-PH"/>
        </w:rPr>
      </w:pPr>
    </w:p>
    <w:p>
      <w:pPr>
        <w:autoSpaceDE w:val="0"/>
        <w:autoSpaceDN w:val="0"/>
        <w:adjustRightInd w:val="0"/>
        <w:ind w:left="1440"/>
        <w:rPr>
          <w:rFonts w:eastAsia="Calibri"/>
          <w:iCs/>
          <w:sz w:val="24"/>
          <w:szCs w:val="24"/>
          <w:lang w:val="en-PH"/>
        </w:rPr>
      </w:pPr>
    </w:p>
    <w:p>
      <w:pPr>
        <w:autoSpaceDE w:val="0"/>
        <w:autoSpaceDN w:val="0"/>
        <w:adjustRightInd w:val="0"/>
        <w:ind w:left="1440"/>
        <w:rPr>
          <w:rFonts w:eastAsia="Calibri"/>
          <w:iCs/>
          <w:sz w:val="24"/>
          <w:szCs w:val="24"/>
          <w:lang w:val="en-PH"/>
        </w:rPr>
      </w:pPr>
    </w:p>
    <w:p>
      <w:pPr>
        <w:autoSpaceDE w:val="0"/>
        <w:autoSpaceDN w:val="0"/>
        <w:adjustRightInd w:val="0"/>
        <w:ind w:left="1440"/>
        <w:rPr>
          <w:rFonts w:eastAsia="Calibri"/>
          <w:iCs/>
          <w:sz w:val="24"/>
          <w:szCs w:val="24"/>
          <w:lang w:val="en-PH"/>
        </w:rPr>
      </w:pPr>
    </w:p>
    <w:p>
      <w:pPr>
        <w:autoSpaceDE w:val="0"/>
        <w:autoSpaceDN w:val="0"/>
        <w:adjustRightInd w:val="0"/>
        <w:ind w:left="1418"/>
        <w:rPr>
          <w:rFonts w:eastAsia="Calibri"/>
          <w:bCs/>
          <w:i/>
          <w:sz w:val="24"/>
          <w:szCs w:val="24"/>
          <w:lang w:val="en-PH"/>
        </w:rPr>
      </w:pPr>
      <w:r>
        <w:rPr>
          <w:rFonts w:eastAsia="Calibri"/>
          <w:bCs/>
          <w:i/>
          <w:sz w:val="24"/>
          <w:szCs w:val="24"/>
          <w:lang w:val="en-PH"/>
        </w:rPr>
        <w:t>Fair value hierarchy</w:t>
      </w:r>
    </w:p>
    <w:p>
      <w:pPr>
        <w:autoSpaceDE w:val="0"/>
        <w:autoSpaceDN w:val="0"/>
        <w:adjustRightInd w:val="0"/>
        <w:ind w:left="1440"/>
        <w:rPr>
          <w:rFonts w:eastAsia="Calibri"/>
          <w:b/>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uses the following hierarchy for determining and disclosing the fair value of financial instruments by valuation technique:</w:t>
      </w:r>
    </w:p>
    <w:p>
      <w:pPr>
        <w:autoSpaceDE w:val="0"/>
        <w:autoSpaceDN w:val="0"/>
        <w:adjustRightInd w:val="0"/>
        <w:ind w:left="1418"/>
        <w:jc w:val="both"/>
        <w:rPr>
          <w:rFonts w:eastAsia="Calibri"/>
          <w:sz w:val="24"/>
          <w:szCs w:val="24"/>
          <w:lang w:val="en-PH"/>
        </w:rPr>
      </w:pPr>
    </w:p>
    <w:p>
      <w:pPr>
        <w:autoSpaceDE w:val="0"/>
        <w:autoSpaceDN w:val="0"/>
        <w:adjustRightInd w:val="0"/>
        <w:ind w:left="1418"/>
        <w:jc w:val="both"/>
        <w:rPr>
          <w:rFonts w:eastAsia="Calibri"/>
          <w:sz w:val="24"/>
          <w:szCs w:val="24"/>
          <w:lang w:val="en-PH"/>
        </w:rPr>
      </w:pPr>
      <w:r>
        <w:rPr>
          <w:rFonts w:eastAsia="Calibri"/>
          <w:sz w:val="24"/>
          <w:szCs w:val="24"/>
          <w:lang w:val="en-PH"/>
        </w:rPr>
        <w:t>Level 1: Quoted (unadjusted) prices in active markets for identical assets or liabilities;</w:t>
      </w: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Level 2: Inputs other than quoted prices included within Level 1 that are observable for the asset or liability, either directly (i.e., as price) or indirectly (i.e., derived from prices);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Level 3: Techniques which use inputs that have a significant effect on the recorded fair value that are not based on observable market data.</w:t>
      </w:r>
    </w:p>
    <w:p>
      <w:pPr>
        <w:autoSpaceDE w:val="0"/>
        <w:autoSpaceDN w:val="0"/>
        <w:adjustRightInd w:val="0"/>
        <w:ind w:left="1418"/>
        <w:jc w:val="both"/>
        <w:rPr>
          <w:rFonts w:eastAsia="Calibri"/>
          <w:bCs/>
          <w:sz w:val="24"/>
          <w:szCs w:val="24"/>
          <w:lang w:val="en-PH"/>
        </w:rPr>
      </w:pPr>
    </w:p>
    <w:p>
      <w:pPr>
        <w:autoSpaceDE w:val="0"/>
        <w:autoSpaceDN w:val="0"/>
        <w:adjustRightInd w:val="0"/>
        <w:ind w:left="1418"/>
        <w:jc w:val="both"/>
        <w:rPr>
          <w:rFonts w:eastAsia="Calibri"/>
          <w:bCs/>
          <w:i/>
          <w:sz w:val="24"/>
          <w:szCs w:val="24"/>
          <w:lang w:val="en-PH"/>
        </w:rPr>
      </w:pPr>
      <w:r>
        <w:rPr>
          <w:rFonts w:eastAsia="Calibri"/>
          <w:bCs/>
          <w:i/>
          <w:sz w:val="24"/>
          <w:szCs w:val="24"/>
          <w:lang w:val="en-PH"/>
        </w:rPr>
        <w:t>Credit risk</w:t>
      </w:r>
    </w:p>
    <w:p>
      <w:pPr>
        <w:autoSpaceDE w:val="0"/>
        <w:autoSpaceDN w:val="0"/>
        <w:adjustRightInd w:val="0"/>
        <w:ind w:left="1440"/>
        <w:jc w:val="both"/>
        <w:rPr>
          <w:rFonts w:eastAsia="Calibri"/>
          <w:bCs/>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bCs/>
          <w:sz w:val="24"/>
          <w:szCs w:val="24"/>
          <w:lang w:val="en-PH"/>
        </w:rPr>
        <w:t xml:space="preserve">Credit risk is the risk </w:t>
      </w:r>
      <w:r>
        <w:rPr>
          <w:rFonts w:eastAsia="Calibri"/>
          <w:sz w:val="24"/>
          <w:szCs w:val="24"/>
          <w:lang w:val="en-PH"/>
        </w:rPr>
        <w:t>of financial loss to the LGU if customers or counterparties to financial instruments fail to meet their contractual obligations, and it arises principally from the LGU’s investments, loans, receivables, and cash and cash equivalents. The carrying amount of financial assets represents the maximum credit exposure.</w:t>
      </w:r>
    </w:p>
    <w:p>
      <w:pPr>
        <w:autoSpaceDE w:val="0"/>
        <w:autoSpaceDN w:val="0"/>
        <w:adjustRightInd w:val="0"/>
        <w:ind w:left="1440"/>
        <w:jc w:val="both"/>
        <w:rPr>
          <w:rFonts w:eastAsia="Calibri"/>
          <w:bCs/>
          <w:sz w:val="24"/>
          <w:szCs w:val="24"/>
          <w:lang w:val="en-PH"/>
        </w:rPr>
      </w:pPr>
    </w:p>
    <w:p>
      <w:pPr>
        <w:autoSpaceDE w:val="0"/>
        <w:autoSpaceDN w:val="0"/>
        <w:adjustRightInd w:val="0"/>
        <w:ind w:left="1418"/>
        <w:jc w:val="both"/>
        <w:rPr>
          <w:rFonts w:eastAsia="Calibri"/>
          <w:bCs/>
          <w:i/>
          <w:sz w:val="24"/>
          <w:szCs w:val="24"/>
          <w:lang w:val="en-PH"/>
        </w:rPr>
      </w:pPr>
      <w:r>
        <w:rPr>
          <w:rFonts w:eastAsia="Calibri"/>
          <w:bCs/>
          <w:i/>
          <w:sz w:val="24"/>
          <w:szCs w:val="24"/>
          <w:lang w:val="en-PH"/>
        </w:rPr>
        <w:t>Credit quality</w:t>
      </w:r>
    </w:p>
    <w:p>
      <w:pPr>
        <w:autoSpaceDE w:val="0"/>
        <w:autoSpaceDN w:val="0"/>
        <w:adjustRightInd w:val="0"/>
        <w:ind w:left="1440"/>
        <w:jc w:val="both"/>
        <w:rPr>
          <w:rFonts w:eastAsia="Calibri"/>
          <w:bCs/>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Credit quality is an assessed risk of default attached to counterparties to which the LGU extends credit and those parties with whom the LGU invests. As such, the credit quality assessed extends to the customers, investments and banks servicing the LGU.</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bCs/>
          <w:i/>
          <w:sz w:val="24"/>
          <w:szCs w:val="24"/>
          <w:lang w:val="en-PH"/>
        </w:rPr>
      </w:pPr>
      <w:r>
        <w:rPr>
          <w:rFonts w:eastAsia="Calibri"/>
          <w:bCs/>
          <w:i/>
          <w:sz w:val="24"/>
          <w:szCs w:val="24"/>
          <w:lang w:val="en-PH"/>
        </w:rPr>
        <w:t>Investments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The LGU limits its exposure to credit risk by investing with only reputable financial institutions that have a sound credit rating (rated BB and above), which are within the specific guidelines set in accordance with the LGU Finance Committee and the </w:t>
      </w:r>
    </w:p>
    <w:p>
      <w:pPr>
        <w:autoSpaceDE w:val="0"/>
        <w:autoSpaceDN w:val="0"/>
        <w:adjustRightInd w:val="0"/>
        <w:ind w:left="1418"/>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Sanggunian approved investment policy. Consequently, the LGU does not consider there to be any significant exposure to credit risk.</w:t>
      </w:r>
    </w:p>
    <w:p>
      <w:pPr>
        <w:autoSpaceDE w:val="0"/>
        <w:autoSpaceDN w:val="0"/>
        <w:adjustRightInd w:val="0"/>
        <w:ind w:left="1440"/>
        <w:rPr>
          <w:rFonts w:eastAsia="Calibri"/>
          <w:b/>
          <w:bCs/>
          <w:sz w:val="24"/>
          <w:szCs w:val="24"/>
          <w:lang w:val="en-PH"/>
        </w:rPr>
      </w:pPr>
    </w:p>
    <w:p>
      <w:pPr>
        <w:autoSpaceDE w:val="0"/>
        <w:autoSpaceDN w:val="0"/>
        <w:adjustRightInd w:val="0"/>
        <w:ind w:left="1418"/>
        <w:jc w:val="both"/>
        <w:rPr>
          <w:rFonts w:eastAsia="Calibri"/>
          <w:bCs/>
          <w:i/>
          <w:sz w:val="24"/>
          <w:szCs w:val="24"/>
          <w:lang w:val="en-PH"/>
        </w:rPr>
      </w:pPr>
      <w:r>
        <w:rPr>
          <w:rFonts w:eastAsia="Calibri"/>
          <w:bCs/>
          <w:i/>
          <w:sz w:val="24"/>
          <w:szCs w:val="24"/>
          <w:lang w:val="en-PH"/>
        </w:rPr>
        <w:t>Receivables</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 xml:space="preserve">Receivables are amounts owed by consumers and are presented net of impairment losses. The LGU has a credit risk policy in place, and the exposure to credit risk is monitored on an ongoing basis. The LGU is compelled by its constitutional mandate to provide all its residents with basic minimum services, without recourse to an assessment of creditworthiness. There were no material changes in the exposure to </w:t>
      </w:r>
      <w:r>
        <w:rPr>
          <w:rFonts w:eastAsia="Calibri"/>
          <w:sz w:val="24"/>
          <w:szCs w:val="24"/>
          <w:lang w:val="en-PH"/>
        </w:rPr>
        <w:lastRenderedPageBreak/>
        <w:t>credit risk and its objectives, policies, and processes for managing and measuring the risk during the year under review.</w:t>
      </w:r>
    </w:p>
    <w:p>
      <w:pPr>
        <w:autoSpaceDE w:val="0"/>
        <w:autoSpaceDN w:val="0"/>
        <w:adjustRightInd w:val="0"/>
        <w:ind w:left="1440"/>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LGU’s maximum exposure to credit risk is represented by the carrying value of each financial asset in the statement of financial performance. The LGU has no significant concentration of credit risk, with exposure spread over a large number of consumers, and is not concentrated in any particular sector or geographic area.</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Cash and cash equivalents</w:t>
      </w:r>
    </w:p>
    <w:p>
      <w:pPr>
        <w:autoSpaceDE w:val="0"/>
        <w:autoSpaceDN w:val="0"/>
        <w:adjustRightInd w:val="0"/>
        <w:ind w:left="1440"/>
        <w:jc w:val="both"/>
        <w:rPr>
          <w:rFonts w:eastAsia="Calibr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The LGU limits its exposure to credit risk by investing cash and cash equivalents with only reputable financial institutions that have a sound credit rating, and within specific guidelines set in accordance with the Sanggunian’s approved investment policy. Consequently, the LGU does not consider the accounts to be any significant exposure to credit risk.</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Liquidity risk</w:t>
      </w:r>
    </w:p>
    <w:p>
      <w:pPr>
        <w:autoSpaceDE w:val="0"/>
        <w:autoSpaceDN w:val="0"/>
        <w:adjustRightInd w:val="0"/>
        <w:ind w:left="1418"/>
        <w:jc w:val="both"/>
        <w:rPr>
          <w:rFonts w:eastAsia="Calibri"/>
          <w:i/>
          <w:sz w:val="24"/>
          <w:szCs w:val="24"/>
          <w:lang w:val="en-PH"/>
        </w:rPr>
      </w:pPr>
    </w:p>
    <w:p>
      <w:pPr>
        <w:autoSpaceDE w:val="0"/>
        <w:autoSpaceDN w:val="0"/>
        <w:adjustRightInd w:val="0"/>
        <w:spacing w:line="276" w:lineRule="auto"/>
        <w:ind w:left="1418"/>
        <w:jc w:val="both"/>
        <w:rPr>
          <w:rFonts w:eastAsia="Calibri"/>
          <w:sz w:val="24"/>
          <w:szCs w:val="24"/>
          <w:lang w:val="en-PH"/>
        </w:rPr>
      </w:pPr>
      <w:r>
        <w:rPr>
          <w:rFonts w:eastAsia="Calibri"/>
          <w:sz w:val="24"/>
          <w:szCs w:val="24"/>
          <w:lang w:val="en-PH"/>
        </w:rPr>
        <w:t>Liquidity risk is the risk of the LGU not being able to meet its obligations as they fall due. The LGU’s approach to managing liquidity risk is to ensure that sufficient liquidity is available to meet its liabilities when due, without incurring unacceptable losses or risking damage to the LGU’s reputation.</w:t>
      </w:r>
    </w:p>
    <w:p>
      <w:pPr>
        <w:autoSpaceDE w:val="0"/>
        <w:autoSpaceDN w:val="0"/>
        <w:adjustRightInd w:val="0"/>
        <w:ind w:left="1440"/>
        <w:jc w:val="both"/>
        <w:rPr>
          <w:rFonts w:eastAsia="Calibri"/>
          <w:sz w:val="24"/>
          <w:szCs w:val="24"/>
          <w:lang w:val="en-PH"/>
        </w:rPr>
      </w:pPr>
    </w:p>
    <w:p>
      <w:pPr>
        <w:autoSpaceDE w:val="0"/>
        <w:autoSpaceDN w:val="0"/>
        <w:adjustRightInd w:val="0"/>
        <w:ind w:left="1418"/>
        <w:jc w:val="both"/>
        <w:rPr>
          <w:rFonts w:eastAsia="Calibri"/>
          <w:i/>
          <w:sz w:val="24"/>
          <w:szCs w:val="24"/>
          <w:lang w:val="en-PH"/>
        </w:rPr>
      </w:pPr>
      <w:r>
        <w:rPr>
          <w:rFonts w:eastAsia="Calibri"/>
          <w:i/>
          <w:sz w:val="24"/>
          <w:szCs w:val="24"/>
          <w:lang w:val="en-PH"/>
        </w:rPr>
        <w:t>Capital management</w:t>
      </w:r>
    </w:p>
    <w:p>
      <w:pPr>
        <w:autoSpaceDE w:val="0"/>
        <w:autoSpaceDN w:val="0"/>
        <w:adjustRightInd w:val="0"/>
        <w:ind w:left="1440"/>
        <w:jc w:val="both"/>
        <w:rPr>
          <w:rFonts w:eastAsia="Calibri"/>
          <w:i/>
          <w:sz w:val="24"/>
          <w:szCs w:val="24"/>
          <w:lang w:val="en-PH"/>
        </w:rPr>
      </w:pPr>
    </w:p>
    <w:p>
      <w:pPr>
        <w:tabs>
          <w:tab w:val="left" w:pos="851"/>
        </w:tabs>
        <w:spacing w:line="276" w:lineRule="auto"/>
        <w:ind w:left="1418"/>
        <w:contextualSpacing/>
        <w:jc w:val="both"/>
        <w:rPr>
          <w:rFonts w:eastAsia="Calibri"/>
          <w:sz w:val="24"/>
          <w:szCs w:val="24"/>
          <w:lang w:val="en-PH"/>
        </w:rPr>
      </w:pPr>
      <w:r>
        <w:rPr>
          <w:rFonts w:eastAsia="Calibri"/>
          <w:sz w:val="24"/>
          <w:szCs w:val="24"/>
          <w:lang w:val="en-PH"/>
        </w:rPr>
        <w:tab/>
        <w:t>The primary objective of managing the LGU’s capital is to ensure that there is sufficient cash available to support the LGU’s funding requirements, including capital expenditure, to ensure that the LGU remains financially sound.</w:t>
      </w:r>
    </w:p>
    <w:p>
      <w:pPr>
        <w:tabs>
          <w:tab w:val="left" w:pos="851"/>
        </w:tabs>
        <w:contextualSpacing/>
        <w:jc w:val="both"/>
        <w:rPr>
          <w:rFonts w:eastAsia="Calibri"/>
          <w:sz w:val="24"/>
          <w:szCs w:val="24"/>
          <w:lang w:val="en-PH"/>
        </w:rPr>
      </w:pPr>
    </w:p>
    <w:p>
      <w:pPr>
        <w:jc w:val="both"/>
        <w:rPr>
          <w:rFonts w:eastAsia="Calibri"/>
          <w:b/>
          <w:bCs/>
          <w:sz w:val="24"/>
          <w:szCs w:val="24"/>
          <w:lang w:val="en-PH"/>
        </w:rPr>
      </w:pPr>
      <w:r>
        <w:rPr>
          <w:b/>
          <w:bCs/>
          <w:sz w:val="24"/>
          <w:szCs w:val="24"/>
        </w:rPr>
        <w:t>Note 4 – Cash and Cash Equivalent</w:t>
      </w:r>
    </w:p>
    <w:p>
      <w:pPr>
        <w:tabs>
          <w:tab w:val="left" w:pos="851"/>
        </w:tabs>
        <w:contextualSpacing/>
        <w:jc w:val="both"/>
        <w:rPr>
          <w:rFonts w:eastAsia="Calibri"/>
          <w:b/>
          <w:bCs/>
          <w:sz w:val="24"/>
          <w:szCs w:val="24"/>
          <w:lang w:val="en-PH"/>
        </w:rPr>
      </w:pPr>
      <w:r>
        <w:rPr>
          <w:rFonts w:eastAsia="Calibri"/>
          <w:b/>
          <w:bCs/>
          <w:sz w:val="24"/>
          <w:szCs w:val="24"/>
          <w:lang w:val="en-PH"/>
        </w:rPr>
        <w:tab/>
      </w:r>
    </w:p>
    <w:p>
      <w:pPr>
        <w:tabs>
          <w:tab w:val="left" w:pos="851"/>
        </w:tabs>
        <w:spacing w:line="276" w:lineRule="auto"/>
        <w:ind w:left="851"/>
        <w:contextualSpacing/>
        <w:jc w:val="both"/>
        <w:rPr>
          <w:rFonts w:eastAsia="Calibri"/>
          <w:sz w:val="24"/>
          <w:szCs w:val="24"/>
          <w:lang w:val="en-PH"/>
        </w:rPr>
      </w:pPr>
      <w:r>
        <w:rPr>
          <w:rFonts w:eastAsia="Calibri"/>
          <w:sz w:val="24"/>
          <w:szCs w:val="24"/>
          <w:lang w:val="en-PH"/>
        </w:rPr>
        <w:t>This major group of accounts consists of the following with its comparative figures for the years 2022 and 2021:</w:t>
      </w:r>
    </w:p>
    <w:p>
      <w:pPr>
        <w:tabs>
          <w:tab w:val="left" w:pos="851"/>
        </w:tabs>
        <w:contextualSpacing/>
        <w:jc w:val="both"/>
        <w:rPr>
          <w:rFonts w:eastAsia="Calibri"/>
          <w:b/>
          <w:bCs/>
          <w:sz w:val="24"/>
          <w:szCs w:val="24"/>
          <w:lang w:val="en-PH"/>
        </w:rPr>
      </w:pPr>
    </w:p>
    <w:tbl>
      <w:tblPr>
        <w:tblW w:w="8650" w:type="dxa"/>
        <w:tblInd w:w="959" w:type="dxa"/>
        <w:tblLook w:val="04A0" w:firstRow="1" w:lastRow="0" w:firstColumn="1" w:lastColumn="0" w:noHBand="0" w:noVBand="1"/>
      </w:tblPr>
      <w:tblGrid>
        <w:gridCol w:w="4506"/>
        <w:gridCol w:w="2072"/>
        <w:gridCol w:w="2072"/>
      </w:tblGrid>
      <w:tr>
        <w:trPr>
          <w:trHeight w:val="340"/>
        </w:trPr>
        <w:tc>
          <w:tcPr>
            <w:tcW w:w="4506" w:type="dxa"/>
            <w:tcBorders>
              <w:top w:val="single" w:sz="4" w:space="0" w:color="FFFFFF"/>
              <w:left w:val="single" w:sz="4" w:space="0" w:color="FFFFFF"/>
              <w:bottom w:val="single" w:sz="4" w:space="0" w:color="A6A6A6"/>
              <w:right w:val="single" w:sz="4" w:space="0" w:color="FFFFFF"/>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072" w:type="dxa"/>
            <w:tcBorders>
              <w:top w:val="single" w:sz="4" w:space="0" w:color="FFFFFF"/>
              <w:left w:val="nil"/>
              <w:bottom w:val="single" w:sz="4" w:space="0" w:color="A6A6A6"/>
              <w:right w:val="single" w:sz="4" w:space="0" w:color="FFFFFF"/>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072" w:type="dxa"/>
            <w:tcBorders>
              <w:top w:val="single" w:sz="4" w:space="0" w:color="FFFFFF"/>
              <w:left w:val="nil"/>
              <w:bottom w:val="single" w:sz="4" w:space="0" w:color="A6A6A6"/>
              <w:right w:val="single" w:sz="4" w:space="0" w:color="FFFFFF"/>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506" w:type="dxa"/>
            <w:tcBorders>
              <w:top w:val="nil"/>
              <w:left w:val="single" w:sz="4" w:space="0" w:color="FFFFFF"/>
              <w:bottom w:val="single" w:sz="4" w:space="0" w:color="FFFFFF"/>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Cash on Hand</w:t>
            </w:r>
          </w:p>
        </w:tc>
        <w:tc>
          <w:tcPr>
            <w:tcW w:w="2072" w:type="dxa"/>
            <w:tcBorders>
              <w:top w:val="nil"/>
              <w:left w:val="nil"/>
              <w:bottom w:val="single" w:sz="4" w:space="0" w:color="FFFFFF"/>
              <w:right w:val="single" w:sz="4" w:space="0" w:color="FFFFFF"/>
            </w:tcBorders>
            <w:shd w:val="clear" w:color="auto" w:fill="auto"/>
            <w:noWrap/>
            <w:vAlign w:val="center"/>
          </w:tcPr>
          <w:p>
            <w:pPr>
              <w:ind w:firstLineChars="200" w:firstLine="480"/>
              <w:rPr>
                <w:sz w:val="24"/>
                <w:szCs w:val="24"/>
                <w:lang w:val="en-PH" w:eastAsia="en-PH"/>
              </w:rPr>
            </w:pPr>
          </w:p>
        </w:tc>
        <w:tc>
          <w:tcPr>
            <w:tcW w:w="2072" w:type="dxa"/>
            <w:tcBorders>
              <w:top w:val="nil"/>
              <w:left w:val="nil"/>
              <w:bottom w:val="single" w:sz="4" w:space="0" w:color="FFFFFF"/>
              <w:right w:val="single" w:sz="4" w:space="0" w:color="FFFFFF"/>
            </w:tcBorders>
            <w:shd w:val="clear" w:color="auto" w:fill="auto"/>
            <w:noWrap/>
            <w:vAlign w:val="center"/>
            <w:hideMark/>
          </w:tcPr>
          <w:p>
            <w:pPr>
              <w:ind w:firstLineChars="200" w:firstLine="480"/>
              <w:rPr>
                <w:sz w:val="24"/>
                <w:szCs w:val="24"/>
                <w:lang w:val="en-PH" w:eastAsia="en-PH"/>
              </w:rPr>
            </w:pPr>
            <w:r>
              <w:rPr>
                <w:sz w:val="24"/>
                <w:szCs w:val="24"/>
                <w:lang w:val="en-PH" w:eastAsia="en-PH"/>
              </w:rPr>
              <w:t> </w:t>
            </w:r>
          </w:p>
        </w:tc>
      </w:tr>
      <w:tr>
        <w:trPr>
          <w:trHeight w:val="340"/>
        </w:trPr>
        <w:tc>
          <w:tcPr>
            <w:tcW w:w="4506" w:type="dxa"/>
            <w:tcBorders>
              <w:top w:val="nil"/>
              <w:left w:val="single" w:sz="4" w:space="0" w:color="FFFFFF"/>
              <w:bottom w:val="single" w:sz="4" w:space="0" w:color="FFFFFF"/>
              <w:right w:val="single" w:sz="4" w:space="0" w:color="FFFFFF"/>
            </w:tcBorders>
            <w:shd w:val="clear" w:color="auto" w:fill="auto"/>
            <w:noWrap/>
            <w:vAlign w:val="center"/>
            <w:hideMark/>
          </w:tcPr>
          <w:p>
            <w:pPr>
              <w:rPr>
                <w:sz w:val="24"/>
                <w:szCs w:val="24"/>
                <w:lang w:val="en-PH" w:eastAsia="en-PH"/>
              </w:rPr>
            </w:pPr>
            <w:r>
              <w:rPr>
                <w:sz w:val="24"/>
                <w:szCs w:val="24"/>
                <w:lang w:val="en-PH" w:eastAsia="en-PH"/>
              </w:rPr>
              <w:t>Cash Local Treasury</w:t>
            </w:r>
          </w:p>
        </w:tc>
        <w:tc>
          <w:tcPr>
            <w:tcW w:w="207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10,173,299.33 </w:t>
            </w:r>
          </w:p>
        </w:tc>
        <w:tc>
          <w:tcPr>
            <w:tcW w:w="207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2,681,394.51</w:t>
            </w:r>
          </w:p>
        </w:tc>
      </w:tr>
      <w:tr>
        <w:trPr>
          <w:trHeight w:val="340"/>
        </w:trPr>
        <w:tc>
          <w:tcPr>
            <w:tcW w:w="4506" w:type="dxa"/>
            <w:tcBorders>
              <w:top w:val="nil"/>
              <w:left w:val="single" w:sz="4" w:space="0" w:color="FFFFFF"/>
              <w:bottom w:val="single" w:sz="4" w:space="0" w:color="FFFFFF"/>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Cash in Bank - Local Currency</w:t>
            </w:r>
          </w:p>
        </w:tc>
        <w:tc>
          <w:tcPr>
            <w:tcW w:w="2072" w:type="dxa"/>
            <w:tcBorders>
              <w:top w:val="nil"/>
              <w:left w:val="nil"/>
              <w:bottom w:val="single" w:sz="4" w:space="0" w:color="FFFFFF"/>
              <w:right w:val="single" w:sz="4" w:space="0" w:color="FFFFFF"/>
            </w:tcBorders>
            <w:shd w:val="clear" w:color="auto" w:fill="auto"/>
            <w:noWrap/>
            <w:vAlign w:val="center"/>
            <w:hideMark/>
          </w:tcPr>
          <w:p>
            <w:pPr>
              <w:ind w:firstLineChars="200" w:firstLine="480"/>
              <w:rPr>
                <w:sz w:val="24"/>
                <w:szCs w:val="24"/>
                <w:lang w:val="en-PH" w:eastAsia="en-PH"/>
              </w:rPr>
            </w:pPr>
            <w:r>
              <w:rPr>
                <w:sz w:val="24"/>
                <w:szCs w:val="24"/>
                <w:lang w:val="en-PH" w:eastAsia="en-PH"/>
              </w:rPr>
              <w:t> </w:t>
            </w:r>
          </w:p>
        </w:tc>
        <w:tc>
          <w:tcPr>
            <w:tcW w:w="207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p>
        </w:tc>
      </w:tr>
      <w:tr>
        <w:trPr>
          <w:trHeight w:val="340"/>
        </w:trPr>
        <w:tc>
          <w:tcPr>
            <w:tcW w:w="4506" w:type="dxa"/>
            <w:tcBorders>
              <w:top w:val="nil"/>
              <w:left w:val="single" w:sz="4" w:space="0" w:color="FFFFFF"/>
              <w:bottom w:val="nil"/>
              <w:right w:val="single" w:sz="4" w:space="0" w:color="FFFFFF"/>
            </w:tcBorders>
            <w:shd w:val="clear" w:color="auto" w:fill="auto"/>
            <w:noWrap/>
            <w:vAlign w:val="center"/>
            <w:hideMark/>
          </w:tcPr>
          <w:p>
            <w:pPr>
              <w:rPr>
                <w:sz w:val="24"/>
                <w:szCs w:val="24"/>
                <w:lang w:val="en-PH" w:eastAsia="en-PH"/>
              </w:rPr>
            </w:pPr>
            <w:r>
              <w:rPr>
                <w:sz w:val="24"/>
                <w:szCs w:val="24"/>
                <w:lang w:val="en-PH" w:eastAsia="en-PH"/>
              </w:rPr>
              <w:t>Cash in Bank – LC, Current Account</w:t>
            </w:r>
          </w:p>
        </w:tc>
        <w:tc>
          <w:tcPr>
            <w:tcW w:w="2072" w:type="dxa"/>
            <w:tcBorders>
              <w:top w:val="nil"/>
              <w:left w:val="nil"/>
              <w:bottom w:val="nil"/>
              <w:right w:val="single" w:sz="4" w:space="0" w:color="FFFFFF"/>
            </w:tcBorders>
            <w:shd w:val="clear" w:color="auto" w:fill="auto"/>
            <w:noWrap/>
            <w:vAlign w:val="center"/>
            <w:hideMark/>
          </w:tcPr>
          <w:p>
            <w:pPr>
              <w:jc w:val="right"/>
              <w:rPr>
                <w:sz w:val="24"/>
                <w:szCs w:val="24"/>
                <w:lang w:val="en-PH"/>
              </w:rPr>
            </w:pPr>
            <w:r>
              <w:rPr>
                <w:sz w:val="24"/>
                <w:szCs w:val="24"/>
              </w:rPr>
              <w:t xml:space="preserve">1,490,103,176.52 </w:t>
            </w:r>
          </w:p>
        </w:tc>
        <w:tc>
          <w:tcPr>
            <w:tcW w:w="2072" w:type="dxa"/>
            <w:tcBorders>
              <w:top w:val="nil"/>
              <w:left w:val="nil"/>
              <w:bottom w:val="nil"/>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1,352,399,863.58</w:t>
            </w:r>
          </w:p>
        </w:tc>
      </w:tr>
      <w:tr>
        <w:trPr>
          <w:trHeight w:val="340"/>
        </w:trPr>
        <w:tc>
          <w:tcPr>
            <w:tcW w:w="4506" w:type="dxa"/>
            <w:tcBorders>
              <w:top w:val="single" w:sz="4" w:space="0" w:color="A6A6A6"/>
              <w:left w:val="single" w:sz="4" w:space="0" w:color="FFFFFF"/>
              <w:bottom w:val="double" w:sz="6" w:space="0" w:color="A6A6A6"/>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Total</w:t>
            </w:r>
          </w:p>
        </w:tc>
        <w:tc>
          <w:tcPr>
            <w:tcW w:w="2072"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rPr>
              <w:t>1,500,277,075.85</w:t>
            </w:r>
          </w:p>
        </w:tc>
        <w:tc>
          <w:tcPr>
            <w:tcW w:w="2072"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1,355,081,258.09</w:t>
            </w:r>
          </w:p>
        </w:tc>
      </w:tr>
    </w:tbl>
    <w:p>
      <w:pPr>
        <w:tabs>
          <w:tab w:val="left" w:pos="851"/>
        </w:tabs>
        <w:contextualSpacing/>
        <w:jc w:val="both"/>
        <w:rPr>
          <w:rFonts w:eastAsia="Calibri"/>
          <w:b/>
          <w:bCs/>
          <w:sz w:val="24"/>
          <w:szCs w:val="24"/>
          <w:lang w:val="en-PH"/>
        </w:rPr>
      </w:pPr>
    </w:p>
    <w:p>
      <w:pPr>
        <w:tabs>
          <w:tab w:val="left" w:pos="851"/>
        </w:tabs>
        <w:contextualSpacing/>
        <w:jc w:val="both"/>
        <w:rPr>
          <w:rFonts w:eastAsia="Calibri"/>
          <w:b/>
          <w:bCs/>
          <w:sz w:val="24"/>
          <w:szCs w:val="24"/>
          <w:lang w:val="en-PH"/>
        </w:rPr>
      </w:pPr>
    </w:p>
    <w:p>
      <w:pPr>
        <w:tabs>
          <w:tab w:val="left" w:pos="851"/>
        </w:tabs>
        <w:contextualSpacing/>
        <w:jc w:val="both"/>
        <w:rPr>
          <w:rFonts w:eastAsia="Calibri"/>
          <w:b/>
          <w:bCs/>
          <w:sz w:val="24"/>
          <w:szCs w:val="24"/>
          <w:lang w:val="en-PH"/>
        </w:rPr>
      </w:pPr>
    </w:p>
    <w:p>
      <w:pPr>
        <w:pStyle w:val="ListParagraph"/>
        <w:numPr>
          <w:ilvl w:val="1"/>
          <w:numId w:val="10"/>
        </w:numPr>
        <w:ind w:left="993" w:hanging="141"/>
        <w:jc w:val="both"/>
        <w:rPr>
          <w:b/>
          <w:bCs/>
          <w:sz w:val="24"/>
          <w:szCs w:val="24"/>
        </w:rPr>
      </w:pPr>
      <w:r>
        <w:rPr>
          <w:b/>
          <w:bCs/>
          <w:sz w:val="24"/>
          <w:szCs w:val="24"/>
        </w:rPr>
        <w:t>Cash on Hand</w:t>
      </w:r>
    </w:p>
    <w:p>
      <w:pPr>
        <w:pStyle w:val="ListParagraph"/>
        <w:ind w:left="1440"/>
        <w:jc w:val="both"/>
        <w:rPr>
          <w:b/>
          <w:bCs/>
          <w:sz w:val="24"/>
          <w:szCs w:val="24"/>
        </w:rPr>
      </w:pPr>
    </w:p>
    <w:p>
      <w:pPr>
        <w:pStyle w:val="ListParagraph"/>
        <w:numPr>
          <w:ilvl w:val="2"/>
          <w:numId w:val="10"/>
        </w:numPr>
        <w:jc w:val="both"/>
        <w:rPr>
          <w:b/>
          <w:bCs/>
          <w:sz w:val="24"/>
          <w:szCs w:val="24"/>
        </w:rPr>
      </w:pPr>
      <w:r>
        <w:rPr>
          <w:b/>
          <w:bCs/>
          <w:sz w:val="24"/>
          <w:szCs w:val="24"/>
        </w:rPr>
        <w:t>Cash Local Treasury</w:t>
      </w:r>
    </w:p>
    <w:p>
      <w:pPr>
        <w:pStyle w:val="ListParagraph"/>
        <w:ind w:left="2160"/>
        <w:jc w:val="both"/>
        <w:rPr>
          <w:b/>
          <w:bCs/>
          <w:sz w:val="24"/>
          <w:szCs w:val="24"/>
        </w:rPr>
      </w:pPr>
    </w:p>
    <w:p>
      <w:pPr>
        <w:spacing w:line="276" w:lineRule="auto"/>
        <w:ind w:left="1440"/>
        <w:jc w:val="both"/>
        <w:rPr>
          <w:sz w:val="24"/>
          <w:szCs w:val="24"/>
        </w:rPr>
      </w:pPr>
      <w:r>
        <w:rPr>
          <w:sz w:val="24"/>
          <w:szCs w:val="24"/>
        </w:rPr>
        <w:t>Cash Local Treasury is mainly the deposit in transit at the end of the year. The deposit in transit comprised of the following collections:</w:t>
      </w:r>
    </w:p>
    <w:p>
      <w:pPr>
        <w:ind w:left="1440"/>
        <w:jc w:val="both"/>
        <w:rPr>
          <w:sz w:val="24"/>
          <w:szCs w:val="24"/>
        </w:rPr>
      </w:pPr>
    </w:p>
    <w:tbl>
      <w:tblPr>
        <w:tblW w:w="8363" w:type="dxa"/>
        <w:tblInd w:w="1526" w:type="dxa"/>
        <w:tblLayout w:type="fixed"/>
        <w:tblLook w:val="04A0" w:firstRow="1" w:lastRow="0" w:firstColumn="1" w:lastColumn="0" w:noHBand="0" w:noVBand="1"/>
      </w:tblPr>
      <w:tblGrid>
        <w:gridCol w:w="4459"/>
        <w:gridCol w:w="1952"/>
        <w:gridCol w:w="1952"/>
      </w:tblGrid>
      <w:tr>
        <w:trPr>
          <w:trHeight w:val="283"/>
          <w:tblHeader/>
        </w:trPr>
        <w:tc>
          <w:tcPr>
            <w:tcW w:w="4459" w:type="dxa"/>
            <w:tcBorders>
              <w:top w:val="single" w:sz="4" w:space="0" w:color="FFFFFF"/>
              <w:left w:val="single" w:sz="4" w:space="0" w:color="FFFFFF"/>
              <w:bottom w:val="single" w:sz="4" w:space="0" w:color="A6A6A6"/>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Particulars</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459" w:type="dxa"/>
            <w:tcBorders>
              <w:top w:val="nil"/>
              <w:left w:val="nil"/>
              <w:bottom w:val="nil"/>
              <w:right w:val="nil"/>
            </w:tcBorders>
            <w:shd w:val="clear" w:color="auto" w:fill="auto"/>
            <w:noWrap/>
            <w:vAlign w:val="center"/>
            <w:hideMark/>
          </w:tcPr>
          <w:p>
            <w:pPr>
              <w:rPr>
                <w:b/>
                <w:bCs/>
                <w:sz w:val="24"/>
                <w:szCs w:val="24"/>
                <w:lang w:val="en-PH" w:eastAsia="en-PH"/>
              </w:rPr>
            </w:pPr>
            <w:r>
              <w:rPr>
                <w:b/>
                <w:bCs/>
                <w:sz w:val="24"/>
                <w:szCs w:val="24"/>
                <w:lang w:val="en-PH" w:eastAsia="en-PH"/>
              </w:rPr>
              <w:t>General Fund</w:t>
            </w:r>
          </w:p>
        </w:tc>
        <w:tc>
          <w:tcPr>
            <w:tcW w:w="1952" w:type="dxa"/>
            <w:tcBorders>
              <w:top w:val="nil"/>
              <w:left w:val="nil"/>
              <w:bottom w:val="nil"/>
              <w:right w:val="nil"/>
            </w:tcBorders>
            <w:shd w:val="clear" w:color="auto" w:fill="auto"/>
            <w:noWrap/>
            <w:vAlign w:val="center"/>
            <w:hideMark/>
          </w:tcPr>
          <w:p>
            <w:pPr>
              <w:jc w:val="right"/>
              <w:rPr>
                <w:b/>
                <w:bCs/>
                <w:sz w:val="24"/>
                <w:szCs w:val="24"/>
                <w:lang w:val="en-PH" w:eastAsia="en-PH"/>
              </w:rPr>
            </w:pPr>
          </w:p>
        </w:tc>
        <w:tc>
          <w:tcPr>
            <w:tcW w:w="1952" w:type="dxa"/>
            <w:tcBorders>
              <w:top w:val="nil"/>
              <w:left w:val="nil"/>
              <w:bottom w:val="nil"/>
              <w:right w:val="nil"/>
            </w:tcBorders>
            <w:shd w:val="clear" w:color="auto" w:fill="auto"/>
            <w:noWrap/>
            <w:vAlign w:val="center"/>
            <w:hideMark/>
          </w:tcPr>
          <w:p>
            <w:pPr>
              <w:jc w:val="right"/>
              <w:rPr>
                <w:sz w:val="24"/>
                <w:szCs w:val="24"/>
                <w:lang w:val="en-PH" w:eastAsia="en-PH"/>
              </w:rPr>
            </w:pP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Local Taxes</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2,326,529.47</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349,912.60</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Service &amp; Business</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144,282.50</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38,245.57</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Market Operation</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360,063.07</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348,417.47</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Cemetery Operation</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102,437.07</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121,170.57</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Terminal Operation</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245,675.44</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196,515.36</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Slaughterhouse Operation</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24,288.00</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62,148.00</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Collections recognized as a liability</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131,055.40</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33,234.69</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Receivables</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12,532.98</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245,906.80</w:t>
            </w:r>
          </w:p>
        </w:tc>
      </w:tr>
      <w:tr>
        <w:trPr>
          <w:trHeight w:val="283"/>
        </w:trPr>
        <w:tc>
          <w:tcPr>
            <w:tcW w:w="4459" w:type="dxa"/>
            <w:tcBorders>
              <w:top w:val="nil"/>
              <w:left w:val="single" w:sz="4" w:space="0" w:color="FFFFFF"/>
              <w:bottom w:val="single" w:sz="4" w:space="0" w:color="FFFFFF"/>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Receipt of fund transfer from other funds</w:t>
            </w:r>
          </w:p>
        </w:tc>
        <w:tc>
          <w:tcPr>
            <w:tcW w:w="1952" w:type="dxa"/>
            <w:tcBorders>
              <w:top w:val="nil"/>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5,385,280.79</w:t>
            </w:r>
          </w:p>
        </w:tc>
        <w:tc>
          <w:tcPr>
            <w:tcW w:w="1952" w:type="dxa"/>
            <w:tcBorders>
              <w:top w:val="nil"/>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p>
        </w:tc>
      </w:tr>
      <w:tr>
        <w:trPr>
          <w:trHeight w:val="283"/>
        </w:trPr>
        <w:tc>
          <w:tcPr>
            <w:tcW w:w="4459" w:type="dxa"/>
            <w:tcBorders>
              <w:top w:val="nil"/>
              <w:left w:val="single" w:sz="4" w:space="0" w:color="FFFFFF"/>
              <w:bottom w:val="single" w:sz="4" w:space="0" w:color="A6A6A6"/>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of Other Income</w:t>
            </w:r>
          </w:p>
        </w:tc>
        <w:tc>
          <w:tcPr>
            <w:tcW w:w="1952" w:type="dxa"/>
            <w:tcBorders>
              <w:top w:val="nil"/>
              <w:left w:val="nil"/>
              <w:bottom w:val="single" w:sz="4" w:space="0" w:color="A6A6A6"/>
              <w:right w:val="single" w:sz="4" w:space="0" w:color="FFFFFF"/>
            </w:tcBorders>
            <w:shd w:val="clear" w:color="auto" w:fill="auto"/>
            <w:noWrap/>
            <w:vAlign w:val="center"/>
            <w:hideMark/>
          </w:tcPr>
          <w:p>
            <w:pPr>
              <w:jc w:val="right"/>
              <w:rPr>
                <w:sz w:val="24"/>
                <w:szCs w:val="24"/>
                <w:lang w:val="en-PH" w:eastAsia="en-PH"/>
              </w:rPr>
            </w:pPr>
          </w:p>
        </w:tc>
        <w:tc>
          <w:tcPr>
            <w:tcW w:w="1952" w:type="dxa"/>
            <w:tcBorders>
              <w:top w:val="nil"/>
              <w:left w:val="nil"/>
              <w:bottom w:val="single" w:sz="4" w:space="0" w:color="A6A6A6"/>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94,301.22</w:t>
            </w:r>
          </w:p>
        </w:tc>
      </w:tr>
      <w:tr>
        <w:trPr>
          <w:trHeight w:val="283"/>
        </w:trPr>
        <w:tc>
          <w:tcPr>
            <w:tcW w:w="4459" w:type="dxa"/>
            <w:tcBorders>
              <w:top w:val="single" w:sz="4" w:space="0" w:color="FFFFFF"/>
              <w:left w:val="single" w:sz="4" w:space="0" w:color="FFFFFF"/>
              <w:bottom w:val="single" w:sz="4" w:space="0" w:color="A6A6A6"/>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Sub-Total</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8,732,144.72</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1,489,852.28</w:t>
            </w:r>
          </w:p>
        </w:tc>
      </w:tr>
      <w:tr>
        <w:trPr>
          <w:trHeight w:val="283"/>
        </w:trPr>
        <w:tc>
          <w:tcPr>
            <w:tcW w:w="4459" w:type="dxa"/>
            <w:tcBorders>
              <w:top w:val="single" w:sz="4" w:space="0" w:color="FFFFFF"/>
              <w:left w:val="single" w:sz="4" w:space="0" w:color="FFFFFF"/>
              <w:bottom w:val="single" w:sz="4" w:space="0" w:color="FFFFFF"/>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Special Education Fund</w:t>
            </w:r>
          </w:p>
        </w:tc>
        <w:tc>
          <w:tcPr>
            <w:tcW w:w="1952" w:type="dxa"/>
            <w:tcBorders>
              <w:top w:val="single" w:sz="4" w:space="0" w:color="FFFFFF"/>
              <w:left w:val="nil"/>
              <w:bottom w:val="single" w:sz="4" w:space="0" w:color="FFFFFF"/>
              <w:right w:val="single" w:sz="4" w:space="0" w:color="FFFFFF"/>
            </w:tcBorders>
            <w:shd w:val="clear" w:color="auto" w:fill="auto"/>
            <w:noWrap/>
            <w:vAlign w:val="center"/>
            <w:hideMark/>
          </w:tcPr>
          <w:p>
            <w:pPr>
              <w:jc w:val="right"/>
              <w:rPr>
                <w:sz w:val="24"/>
                <w:szCs w:val="24"/>
                <w:lang w:val="en-PH" w:eastAsia="en-PH"/>
              </w:rPr>
            </w:pPr>
          </w:p>
        </w:tc>
        <w:tc>
          <w:tcPr>
            <w:tcW w:w="1952" w:type="dxa"/>
            <w:tcBorders>
              <w:top w:val="single" w:sz="4" w:space="0" w:color="FFFFFF"/>
              <w:left w:val="nil"/>
              <w:bottom w:val="single" w:sz="4" w:space="0" w:color="FFFFFF"/>
              <w:right w:val="single" w:sz="4" w:space="0" w:color="FFFFFF"/>
            </w:tcBorders>
            <w:shd w:val="clear" w:color="auto" w:fill="auto"/>
            <w:noWrap/>
            <w:vAlign w:val="center"/>
            <w:hideMark/>
          </w:tcPr>
          <w:p>
            <w:pPr>
              <w:ind w:firstLineChars="200" w:firstLine="480"/>
              <w:jc w:val="right"/>
              <w:rPr>
                <w:sz w:val="24"/>
                <w:szCs w:val="24"/>
                <w:lang w:val="en-PH" w:eastAsia="en-PH"/>
              </w:rPr>
            </w:pPr>
          </w:p>
        </w:tc>
      </w:tr>
      <w:tr>
        <w:trPr>
          <w:trHeight w:val="283"/>
        </w:trPr>
        <w:tc>
          <w:tcPr>
            <w:tcW w:w="4459" w:type="dxa"/>
            <w:tcBorders>
              <w:top w:val="nil"/>
              <w:left w:val="single" w:sz="4" w:space="0" w:color="FFFFFF"/>
              <w:bottom w:val="single" w:sz="4" w:space="0" w:color="A6A6A6"/>
              <w:right w:val="single" w:sz="4" w:space="0" w:color="FFFFFF"/>
            </w:tcBorders>
            <w:shd w:val="clear" w:color="auto" w:fill="auto"/>
            <w:noWrap/>
            <w:vAlign w:val="center"/>
            <w:hideMark/>
          </w:tcPr>
          <w:p>
            <w:pPr>
              <w:ind w:firstLineChars="100" w:firstLine="240"/>
              <w:rPr>
                <w:sz w:val="24"/>
                <w:szCs w:val="24"/>
                <w:lang w:val="en-PH" w:eastAsia="en-PH"/>
              </w:rPr>
            </w:pPr>
            <w:r>
              <w:rPr>
                <w:sz w:val="24"/>
                <w:szCs w:val="24"/>
                <w:lang w:val="en-PH" w:eastAsia="en-PH"/>
              </w:rPr>
              <w:t>Collection from Special Education Tax</w:t>
            </w:r>
          </w:p>
        </w:tc>
        <w:tc>
          <w:tcPr>
            <w:tcW w:w="1952" w:type="dxa"/>
            <w:tcBorders>
              <w:top w:val="nil"/>
              <w:left w:val="nil"/>
              <w:bottom w:val="single" w:sz="4" w:space="0" w:color="A6A6A6"/>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1,441,154.61</w:t>
            </w:r>
          </w:p>
        </w:tc>
        <w:tc>
          <w:tcPr>
            <w:tcW w:w="1952" w:type="dxa"/>
            <w:tcBorders>
              <w:top w:val="nil"/>
              <w:left w:val="nil"/>
              <w:bottom w:val="single" w:sz="4" w:space="0" w:color="A6A6A6"/>
              <w:right w:val="single" w:sz="4" w:space="0" w:color="FFFFFF"/>
            </w:tcBorders>
            <w:shd w:val="clear" w:color="auto" w:fill="auto"/>
            <w:noWrap/>
            <w:vAlign w:val="center"/>
            <w:hideMark/>
          </w:tcPr>
          <w:p>
            <w:pPr>
              <w:jc w:val="right"/>
              <w:rPr>
                <w:sz w:val="24"/>
                <w:szCs w:val="24"/>
                <w:lang w:val="en-PH" w:eastAsia="en-PH"/>
              </w:rPr>
            </w:pPr>
            <w:r>
              <w:rPr>
                <w:sz w:val="24"/>
                <w:szCs w:val="24"/>
                <w:lang w:val="en-PH" w:eastAsia="en-PH"/>
              </w:rPr>
              <w:t>1,191,542.23</w:t>
            </w:r>
          </w:p>
        </w:tc>
      </w:tr>
      <w:tr>
        <w:trPr>
          <w:trHeight w:val="283"/>
        </w:trPr>
        <w:tc>
          <w:tcPr>
            <w:tcW w:w="4459" w:type="dxa"/>
            <w:tcBorders>
              <w:top w:val="single" w:sz="4" w:space="0" w:color="FFFFFF"/>
              <w:left w:val="single" w:sz="4" w:space="0" w:color="FFFFFF"/>
              <w:bottom w:val="single" w:sz="4" w:space="0" w:color="A6A6A6"/>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Sub-Total</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1,441,154.61</w:t>
            </w:r>
          </w:p>
        </w:tc>
        <w:tc>
          <w:tcPr>
            <w:tcW w:w="1952" w:type="dxa"/>
            <w:tcBorders>
              <w:top w:val="single" w:sz="4" w:space="0" w:color="FFFFFF"/>
              <w:left w:val="nil"/>
              <w:bottom w:val="single" w:sz="4"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1,191,542.23</w:t>
            </w:r>
          </w:p>
        </w:tc>
      </w:tr>
      <w:tr>
        <w:trPr>
          <w:trHeight w:val="283"/>
        </w:trPr>
        <w:tc>
          <w:tcPr>
            <w:tcW w:w="4459" w:type="dxa"/>
            <w:tcBorders>
              <w:top w:val="nil"/>
              <w:left w:val="single" w:sz="4" w:space="0" w:color="FFFFFF"/>
              <w:bottom w:val="double" w:sz="6" w:space="0" w:color="A6A6A6"/>
              <w:right w:val="single" w:sz="4" w:space="0" w:color="FFFFFF"/>
            </w:tcBorders>
            <w:shd w:val="clear" w:color="auto" w:fill="auto"/>
            <w:noWrap/>
            <w:vAlign w:val="center"/>
            <w:hideMark/>
          </w:tcPr>
          <w:p>
            <w:pPr>
              <w:rPr>
                <w:b/>
                <w:bCs/>
                <w:sz w:val="24"/>
                <w:szCs w:val="24"/>
                <w:lang w:val="en-PH" w:eastAsia="en-PH"/>
              </w:rPr>
            </w:pPr>
            <w:r>
              <w:rPr>
                <w:b/>
                <w:bCs/>
                <w:sz w:val="24"/>
                <w:szCs w:val="24"/>
                <w:lang w:val="en-PH" w:eastAsia="en-PH"/>
              </w:rPr>
              <w:t>Grand Total</w:t>
            </w:r>
          </w:p>
        </w:tc>
        <w:tc>
          <w:tcPr>
            <w:tcW w:w="1952" w:type="dxa"/>
            <w:tcBorders>
              <w:top w:val="nil"/>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10,173,299.33</w:t>
            </w:r>
          </w:p>
        </w:tc>
        <w:tc>
          <w:tcPr>
            <w:tcW w:w="1952" w:type="dxa"/>
            <w:tcBorders>
              <w:top w:val="nil"/>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2,681,394.51</w:t>
            </w:r>
          </w:p>
        </w:tc>
      </w:tr>
    </w:tbl>
    <w:p>
      <w:pPr>
        <w:pStyle w:val="ListParagraph"/>
        <w:ind w:left="1134"/>
        <w:jc w:val="both"/>
        <w:rPr>
          <w:b/>
          <w:bCs/>
          <w:sz w:val="24"/>
          <w:szCs w:val="24"/>
        </w:rPr>
      </w:pPr>
    </w:p>
    <w:p>
      <w:pPr>
        <w:pStyle w:val="ListParagraph"/>
        <w:numPr>
          <w:ilvl w:val="1"/>
          <w:numId w:val="10"/>
        </w:numPr>
        <w:ind w:left="993" w:hanging="141"/>
        <w:jc w:val="both"/>
        <w:rPr>
          <w:b/>
          <w:bCs/>
          <w:sz w:val="24"/>
          <w:szCs w:val="24"/>
        </w:rPr>
      </w:pPr>
      <w:r>
        <w:rPr>
          <w:b/>
          <w:bCs/>
          <w:sz w:val="24"/>
          <w:szCs w:val="24"/>
        </w:rPr>
        <w:t>Cash in Bank – Local Currency</w:t>
      </w:r>
    </w:p>
    <w:p>
      <w:pPr>
        <w:pStyle w:val="ListParagraph"/>
        <w:ind w:left="1134"/>
        <w:jc w:val="both"/>
        <w:rPr>
          <w:b/>
          <w:bCs/>
          <w:sz w:val="24"/>
          <w:szCs w:val="24"/>
        </w:rPr>
      </w:pPr>
      <w:r>
        <w:rPr>
          <w:b/>
          <w:bCs/>
          <w:sz w:val="24"/>
          <w:szCs w:val="24"/>
        </w:rPr>
        <w:t xml:space="preserve">      </w:t>
      </w:r>
    </w:p>
    <w:p>
      <w:pPr>
        <w:spacing w:line="276" w:lineRule="auto"/>
        <w:ind w:left="1418"/>
        <w:jc w:val="both"/>
        <w:rPr>
          <w:sz w:val="24"/>
          <w:szCs w:val="24"/>
        </w:rPr>
      </w:pPr>
      <w:r>
        <w:rPr>
          <w:sz w:val="24"/>
          <w:szCs w:val="24"/>
        </w:rPr>
        <w:t>The local government unit of Panabo had maintained twenty-two (22) bank accounts in local currency. Below are the balances of each bank account year ended December 31, 2022, with comparative figures for the year ended 2021.</w:t>
      </w:r>
    </w:p>
    <w:p>
      <w:pPr>
        <w:ind w:left="993"/>
        <w:jc w:val="both"/>
        <w:rPr>
          <w:sz w:val="24"/>
          <w:szCs w:val="24"/>
        </w:rPr>
      </w:pPr>
    </w:p>
    <w:p>
      <w:pPr>
        <w:ind w:left="993"/>
        <w:jc w:val="both"/>
        <w:rPr>
          <w:sz w:val="24"/>
          <w:szCs w:val="24"/>
        </w:rPr>
      </w:pPr>
    </w:p>
    <w:tbl>
      <w:tblPr>
        <w:tblW w:w="8363" w:type="dxa"/>
        <w:tblInd w:w="1526" w:type="dxa"/>
        <w:tblLook w:val="04A0" w:firstRow="1" w:lastRow="0" w:firstColumn="1" w:lastColumn="0" w:noHBand="0" w:noVBand="1"/>
      </w:tblPr>
      <w:tblGrid>
        <w:gridCol w:w="1446"/>
        <w:gridCol w:w="1594"/>
        <w:gridCol w:w="1953"/>
        <w:gridCol w:w="1669"/>
        <w:gridCol w:w="1701"/>
      </w:tblGrid>
      <w:tr>
        <w:trPr>
          <w:trHeight w:val="283"/>
          <w:tblHeader/>
        </w:trPr>
        <w:tc>
          <w:tcPr>
            <w:tcW w:w="1446" w:type="dxa"/>
            <w:tcBorders>
              <w:top w:val="single" w:sz="4" w:space="0" w:color="A6A6A6"/>
              <w:left w:val="single" w:sz="4" w:space="0" w:color="A6A6A6"/>
              <w:bottom w:val="single" w:sz="4" w:space="0" w:color="A6A6A6"/>
              <w:right w:val="nil"/>
            </w:tcBorders>
            <w:shd w:val="clear" w:color="auto" w:fill="auto"/>
            <w:vAlign w:val="center"/>
            <w:hideMark/>
          </w:tcPr>
          <w:p>
            <w:pPr>
              <w:jc w:val="center"/>
              <w:rPr>
                <w:b/>
                <w:bCs/>
                <w:lang w:val="en-PH" w:eastAsia="en-PH"/>
              </w:rPr>
            </w:pPr>
            <w:r>
              <w:rPr>
                <w:b/>
                <w:bCs/>
                <w:lang w:val="en-PH" w:eastAsia="en-PH"/>
              </w:rPr>
              <w:t>Depository Bank</w:t>
            </w:r>
          </w:p>
        </w:tc>
        <w:tc>
          <w:tcPr>
            <w:tcW w:w="1594" w:type="dxa"/>
            <w:tcBorders>
              <w:top w:val="single" w:sz="4" w:space="0" w:color="A6A6A6"/>
              <w:left w:val="nil"/>
              <w:bottom w:val="single" w:sz="4" w:space="0" w:color="A6A6A6"/>
              <w:right w:val="nil"/>
            </w:tcBorders>
            <w:shd w:val="clear" w:color="auto" w:fill="auto"/>
            <w:vAlign w:val="center"/>
            <w:hideMark/>
          </w:tcPr>
          <w:p>
            <w:pPr>
              <w:jc w:val="center"/>
              <w:rPr>
                <w:b/>
                <w:bCs/>
                <w:lang w:val="en-PH" w:eastAsia="en-PH"/>
              </w:rPr>
            </w:pPr>
            <w:r>
              <w:rPr>
                <w:b/>
                <w:bCs/>
                <w:lang w:val="en-PH" w:eastAsia="en-PH"/>
              </w:rPr>
              <w:t>Account Number</w:t>
            </w:r>
          </w:p>
        </w:tc>
        <w:tc>
          <w:tcPr>
            <w:tcW w:w="1953" w:type="dxa"/>
            <w:tcBorders>
              <w:top w:val="single" w:sz="4" w:space="0" w:color="A6A6A6"/>
              <w:left w:val="nil"/>
              <w:bottom w:val="single" w:sz="4" w:space="0" w:color="A6A6A6"/>
              <w:right w:val="nil"/>
            </w:tcBorders>
            <w:shd w:val="clear" w:color="auto" w:fill="auto"/>
            <w:noWrap/>
            <w:vAlign w:val="center"/>
            <w:hideMark/>
          </w:tcPr>
          <w:p>
            <w:pPr>
              <w:jc w:val="center"/>
              <w:rPr>
                <w:b/>
                <w:bCs/>
                <w:lang w:val="en-PH" w:eastAsia="en-PH"/>
              </w:rPr>
            </w:pPr>
            <w:r>
              <w:rPr>
                <w:b/>
                <w:bCs/>
                <w:lang w:val="en-PH" w:eastAsia="en-PH"/>
              </w:rPr>
              <w:t>Account Name</w:t>
            </w:r>
          </w:p>
        </w:tc>
        <w:tc>
          <w:tcPr>
            <w:tcW w:w="1669" w:type="dxa"/>
            <w:tcBorders>
              <w:top w:val="single" w:sz="4" w:space="0" w:color="A6A6A6"/>
              <w:left w:val="nil"/>
              <w:bottom w:val="single" w:sz="4" w:space="0" w:color="A6A6A6"/>
              <w:right w:val="nil"/>
            </w:tcBorders>
            <w:shd w:val="clear" w:color="auto" w:fill="auto"/>
            <w:noWrap/>
            <w:vAlign w:val="center"/>
            <w:hideMark/>
          </w:tcPr>
          <w:p>
            <w:pPr>
              <w:jc w:val="center"/>
              <w:rPr>
                <w:b/>
                <w:bCs/>
                <w:lang w:val="en-PH" w:eastAsia="en-PH"/>
              </w:rPr>
            </w:pPr>
            <w:r>
              <w:rPr>
                <w:b/>
                <w:bCs/>
                <w:lang w:val="en-PH" w:eastAsia="en-PH"/>
              </w:rPr>
              <w:t>2022</w:t>
            </w:r>
          </w:p>
        </w:tc>
        <w:tc>
          <w:tcPr>
            <w:tcW w:w="1701" w:type="dxa"/>
            <w:tcBorders>
              <w:top w:val="single" w:sz="4" w:space="0" w:color="A6A6A6"/>
              <w:left w:val="nil"/>
              <w:bottom w:val="single" w:sz="4" w:space="0" w:color="A6A6A6"/>
              <w:right w:val="single" w:sz="4" w:space="0" w:color="A6A6A6"/>
            </w:tcBorders>
            <w:shd w:val="clear" w:color="auto" w:fill="auto"/>
            <w:noWrap/>
            <w:vAlign w:val="center"/>
            <w:hideMark/>
          </w:tcPr>
          <w:p>
            <w:pPr>
              <w:jc w:val="center"/>
              <w:rPr>
                <w:b/>
                <w:bCs/>
                <w:lang w:val="en-PH" w:eastAsia="en-PH"/>
              </w:rPr>
            </w:pPr>
            <w:r>
              <w:rPr>
                <w:b/>
                <w:bCs/>
                <w:lang w:val="en-PH" w:eastAsia="en-PH"/>
              </w:rPr>
              <w:t>2021</w:t>
            </w:r>
          </w:p>
        </w:tc>
      </w:tr>
      <w:tr>
        <w:trPr>
          <w:trHeight w:val="283"/>
        </w:trPr>
        <w:tc>
          <w:tcPr>
            <w:tcW w:w="8363" w:type="dxa"/>
            <w:gridSpan w:val="5"/>
            <w:tcBorders>
              <w:top w:val="nil"/>
              <w:left w:val="single" w:sz="4" w:space="0" w:color="A6A6A6"/>
              <w:bottom w:val="single" w:sz="4" w:space="0" w:color="A6A6A6"/>
              <w:right w:val="single" w:sz="4" w:space="0" w:color="A6A6A6"/>
            </w:tcBorders>
            <w:shd w:val="clear" w:color="auto" w:fill="auto"/>
            <w:noWrap/>
            <w:vAlign w:val="center"/>
            <w:hideMark/>
          </w:tcPr>
          <w:p>
            <w:pPr>
              <w:rPr>
                <w:lang w:val="en-PH" w:eastAsia="en-PH"/>
              </w:rPr>
            </w:pPr>
            <w:r>
              <w:rPr>
                <w:b/>
                <w:bCs/>
                <w:lang w:val="en-PH" w:eastAsia="en-PH"/>
              </w:rPr>
              <w:t>General Fund</w:t>
            </w:r>
            <w:r>
              <w:rPr>
                <w:lang w:val="en-PH" w:eastAsia="en-PH"/>
              </w:rPr>
              <w:t> </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1742-1006-90</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GF-Proper</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767,400,200.37</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534,616,869.39</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bookmarkStart w:id="1" w:name="RANGE!D6"/>
            <w:r>
              <w:rPr>
                <w:lang w:val="en-PH" w:eastAsia="en-PH"/>
              </w:rPr>
              <w:t>1742-1008-35</w:t>
            </w:r>
            <w:bookmarkEnd w:id="1"/>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CEEMDO</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70,835,896.06</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55,492,528.04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1742-1037-29</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Slaughterhouse</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8,499,349.41</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10,493,487.19</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1742-1033-46</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Terminal</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15,018,391.09</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10,367,602.24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1742-1037-10</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Cemetery</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38,968,583.16</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32,233,361.04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1742-1037-96</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20% IRA</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225,775,467.08</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123,917,899.11</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1742-1035-67</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City Hall</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926,453.27</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899,229.71</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1742-1035-59</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MPC</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145,140.24</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131,217.86</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lastRenderedPageBreak/>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1742-1007-03</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TF-Proper</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1,955,792.45</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ONB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2057084</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GF-Proper</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33,180.73</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33,180.73</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DBP - Tagum</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50172-916-8</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GF-Proper</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3,478,193.75</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6,830,794.28</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Subtotal</w:t>
            </w:r>
          </w:p>
        </w:tc>
        <w:tc>
          <w:tcPr>
            <w:tcW w:w="1594" w:type="dxa"/>
            <w:tcBorders>
              <w:top w:val="nil"/>
              <w:left w:val="nil"/>
              <w:bottom w:val="single" w:sz="4" w:space="0" w:color="A6A6A6"/>
              <w:right w:val="nil"/>
            </w:tcBorders>
            <w:shd w:val="clear" w:color="auto" w:fill="auto"/>
            <w:noWrap/>
            <w:vAlign w:val="center"/>
            <w:hideMark/>
          </w:tcPr>
          <w:p>
            <w:pPr>
              <w:rPr>
                <w:b/>
                <w:bCs/>
                <w:lang w:val="en-PH" w:eastAsia="en-PH"/>
              </w:rPr>
            </w:pPr>
          </w:p>
        </w:tc>
        <w:tc>
          <w:tcPr>
            <w:tcW w:w="1953" w:type="dxa"/>
            <w:tcBorders>
              <w:top w:val="nil"/>
              <w:left w:val="nil"/>
              <w:bottom w:val="single" w:sz="4" w:space="0" w:color="A6A6A6"/>
              <w:right w:val="nil"/>
            </w:tcBorders>
            <w:shd w:val="clear" w:color="auto" w:fill="auto"/>
            <w:noWrap/>
            <w:vAlign w:val="center"/>
            <w:hideMark/>
          </w:tcPr>
          <w:p>
            <w:pPr>
              <w:ind w:firstLineChars="100" w:firstLine="201"/>
              <w:rPr>
                <w:b/>
                <w:bCs/>
                <w:lang w:val="en-PH" w:eastAsia="en-PH"/>
              </w:rPr>
            </w:pPr>
          </w:p>
        </w:tc>
        <w:tc>
          <w:tcPr>
            <w:tcW w:w="1669" w:type="dxa"/>
            <w:tcBorders>
              <w:top w:val="nil"/>
              <w:left w:val="nil"/>
              <w:bottom w:val="single" w:sz="4" w:space="0" w:color="A6A6A6"/>
              <w:right w:val="nil"/>
            </w:tcBorders>
            <w:shd w:val="clear" w:color="auto" w:fill="auto"/>
            <w:noWrap/>
            <w:vAlign w:val="center"/>
            <w:hideMark/>
          </w:tcPr>
          <w:p>
            <w:pPr>
              <w:rPr>
                <w:b/>
                <w:bCs/>
                <w:lang w:val="en-PH" w:eastAsia="en-PH"/>
              </w:rPr>
            </w:pPr>
            <w:r>
              <w:rPr>
                <w:b/>
                <w:bCs/>
                <w:lang w:val="en-PH" w:eastAsia="en-PH"/>
              </w:rPr>
              <w:t>1,131,080,255.16</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b/>
                <w:bCs/>
                <w:lang w:val="en-PH" w:eastAsia="en-PH"/>
              </w:rPr>
            </w:pPr>
            <w:r>
              <w:rPr>
                <w:b/>
                <w:bCs/>
                <w:lang w:val="en-PH" w:eastAsia="en-PH"/>
              </w:rPr>
              <w:t>776,971,962.04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SEF</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1742-1006-81</w:t>
            </w: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r>
              <w:rPr>
                <w:lang w:val="en-PH" w:eastAsia="en-PH"/>
              </w:rPr>
              <w:t>SEF</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61,350,698.44</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80,064,145.74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Subtotal</w:t>
            </w:r>
          </w:p>
        </w:tc>
        <w:tc>
          <w:tcPr>
            <w:tcW w:w="1594" w:type="dxa"/>
            <w:tcBorders>
              <w:top w:val="nil"/>
              <w:left w:val="nil"/>
              <w:bottom w:val="single" w:sz="4" w:space="0" w:color="A6A6A6"/>
              <w:right w:val="nil"/>
            </w:tcBorders>
            <w:shd w:val="clear" w:color="auto" w:fill="auto"/>
            <w:noWrap/>
            <w:vAlign w:val="center"/>
            <w:hideMark/>
          </w:tcPr>
          <w:p>
            <w:pPr>
              <w:rPr>
                <w:b/>
                <w:bCs/>
                <w:lang w:val="en-PH" w:eastAsia="en-PH"/>
              </w:rPr>
            </w:pPr>
          </w:p>
        </w:tc>
        <w:tc>
          <w:tcPr>
            <w:tcW w:w="1953" w:type="dxa"/>
            <w:tcBorders>
              <w:top w:val="nil"/>
              <w:left w:val="nil"/>
              <w:bottom w:val="single" w:sz="4" w:space="0" w:color="A6A6A6"/>
              <w:right w:val="nil"/>
            </w:tcBorders>
            <w:shd w:val="clear" w:color="auto" w:fill="auto"/>
            <w:noWrap/>
            <w:vAlign w:val="center"/>
            <w:hideMark/>
          </w:tcPr>
          <w:p>
            <w:pPr>
              <w:ind w:firstLineChars="100" w:firstLine="201"/>
              <w:rPr>
                <w:b/>
                <w:bCs/>
                <w:lang w:val="en-PH" w:eastAsia="en-PH"/>
              </w:rPr>
            </w:pPr>
          </w:p>
        </w:tc>
        <w:tc>
          <w:tcPr>
            <w:tcW w:w="1669" w:type="dxa"/>
            <w:tcBorders>
              <w:top w:val="nil"/>
              <w:left w:val="nil"/>
              <w:bottom w:val="single" w:sz="4" w:space="0" w:color="A6A6A6"/>
              <w:right w:val="nil"/>
            </w:tcBorders>
            <w:shd w:val="clear" w:color="auto" w:fill="auto"/>
            <w:noWrap/>
            <w:vAlign w:val="center"/>
            <w:hideMark/>
          </w:tcPr>
          <w:p>
            <w:pPr>
              <w:jc w:val="right"/>
              <w:rPr>
                <w:b/>
                <w:bCs/>
                <w:lang w:val="en-PH" w:eastAsia="en-PH"/>
              </w:rPr>
            </w:pPr>
            <w:r>
              <w:rPr>
                <w:b/>
                <w:bCs/>
                <w:lang w:val="en-PH" w:eastAsia="en-PH"/>
              </w:rPr>
              <w:t>61,350,698.44</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b/>
                <w:bCs/>
                <w:lang w:val="en-PH" w:eastAsia="en-PH"/>
              </w:rPr>
            </w:pPr>
            <w:r>
              <w:rPr>
                <w:b/>
                <w:bCs/>
                <w:lang w:val="en-PH" w:eastAsia="en-PH"/>
              </w:rPr>
              <w:t xml:space="preserve">      80,064,145.74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Trust Fund</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p>
        </w:tc>
        <w:tc>
          <w:tcPr>
            <w:tcW w:w="1953" w:type="dxa"/>
            <w:tcBorders>
              <w:top w:val="nil"/>
              <w:left w:val="nil"/>
              <w:bottom w:val="single" w:sz="4" w:space="0" w:color="A6A6A6"/>
              <w:right w:val="nil"/>
            </w:tcBorders>
            <w:shd w:val="clear" w:color="auto" w:fill="auto"/>
            <w:noWrap/>
            <w:vAlign w:val="center"/>
            <w:hideMark/>
          </w:tcPr>
          <w:p>
            <w:pPr>
              <w:ind w:firstLineChars="100" w:firstLine="200"/>
              <w:rPr>
                <w:lang w:val="en-PH" w:eastAsia="en-PH"/>
              </w:rPr>
            </w:pP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1742-1043-50</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DSWD Programs &amp; Services</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14,479,381.72</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14,490,669.37</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1742-1007-03</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TF-Proper</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273,595,554.57</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468,006,208.28</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1742-1046-10</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 xml:space="preserve">Panabo Emergency &amp; </w:t>
            </w:r>
            <w:r>
              <w:rPr>
                <w:lang w:val="en-PH" w:eastAsia="en-PH"/>
              </w:rPr>
              <w:br/>
              <w:t>Safe Birthing</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 xml:space="preserve">  846,991.79</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846,991.79</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1742-1045-20</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MDG FACES</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 xml:space="preserve">          30.50</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30.50</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1742-1045-04</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Performance Challenge Fund</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3,481,264.28</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3,481,152.94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1742-1064-26</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HCI-Charges</w:t>
            </w: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t xml:space="preserve">       1,941,614.62</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597,561.14</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1742-1064-34</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PHIC-Professional Fees</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right"/>
              <w:rPr>
                <w:lang w:val="en-PH" w:eastAsia="en-PH"/>
              </w:rPr>
            </w:pPr>
            <w:r>
              <w:t xml:space="preserve"> 999,686.30</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509,840.00</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1742-1066-55</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Mindanao Railway Project</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center"/>
              <w:rPr>
                <w:lang w:val="en-PH" w:eastAsia="en-PH"/>
              </w:rPr>
            </w:pPr>
            <w:r>
              <w:t xml:space="preserve">  27,227.40 </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27,209.10</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1742-1043-85</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MRDP-Loan Proceeds</w:t>
            </w:r>
          </w:p>
        </w:tc>
        <w:tc>
          <w:tcPr>
            <w:tcW w:w="1669" w:type="dxa"/>
            <w:tcBorders>
              <w:top w:val="nil"/>
              <w:left w:val="nil"/>
              <w:bottom w:val="single" w:sz="4" w:space="0" w:color="A6A6A6"/>
              <w:right w:val="nil"/>
            </w:tcBorders>
            <w:shd w:val="clear" w:color="auto" w:fill="auto"/>
            <w:noWrap/>
            <w:vAlign w:val="center"/>
            <w:hideMark/>
          </w:tcPr>
          <w:p>
            <w:pPr>
              <w:ind w:firstLineChars="200" w:firstLine="400"/>
              <w:jc w:val="center"/>
              <w:rPr>
                <w:lang w:val="en-PH" w:eastAsia="en-PH"/>
              </w:rPr>
            </w:pPr>
            <w:r>
              <w:t xml:space="preserve">230,874.17 </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230,827.00</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LBP - Panabo</w:t>
            </w:r>
          </w:p>
        </w:tc>
        <w:tc>
          <w:tcPr>
            <w:tcW w:w="1594"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1742-1044-07</w:t>
            </w:r>
          </w:p>
        </w:tc>
        <w:tc>
          <w:tcPr>
            <w:tcW w:w="1953" w:type="dxa"/>
            <w:tcBorders>
              <w:top w:val="nil"/>
              <w:left w:val="nil"/>
              <w:bottom w:val="single" w:sz="4" w:space="0" w:color="A6A6A6"/>
              <w:right w:val="nil"/>
            </w:tcBorders>
            <w:shd w:val="clear" w:color="auto" w:fill="auto"/>
            <w:noWrap/>
            <w:vAlign w:val="center"/>
            <w:hideMark/>
          </w:tcPr>
          <w:p>
            <w:pPr>
              <w:rPr>
                <w:lang w:val="en-PH" w:eastAsia="en-PH"/>
              </w:rPr>
            </w:pPr>
            <w:r>
              <w:rPr>
                <w:lang w:val="en-PH" w:eastAsia="en-PH"/>
              </w:rPr>
              <w:t>MRDP-Local C-part</w:t>
            </w:r>
          </w:p>
        </w:tc>
        <w:tc>
          <w:tcPr>
            <w:tcW w:w="1669" w:type="dxa"/>
            <w:tcBorders>
              <w:top w:val="nil"/>
              <w:left w:val="nil"/>
              <w:bottom w:val="single" w:sz="4" w:space="0" w:color="A6A6A6"/>
              <w:right w:val="nil"/>
            </w:tcBorders>
            <w:shd w:val="clear" w:color="auto" w:fill="auto"/>
            <w:noWrap/>
            <w:vAlign w:val="center"/>
            <w:hideMark/>
          </w:tcPr>
          <w:p>
            <w:pPr>
              <w:rPr>
                <w:lang w:val="en-PH" w:eastAsia="en-PH"/>
              </w:rPr>
            </w:pPr>
            <w:r>
              <w:t xml:space="preserve">       2,069,597.57</w:t>
            </w:r>
          </w:p>
        </w:tc>
        <w:tc>
          <w:tcPr>
            <w:tcW w:w="1701" w:type="dxa"/>
            <w:tcBorders>
              <w:top w:val="nil"/>
              <w:left w:val="nil"/>
              <w:bottom w:val="single" w:sz="4" w:space="0" w:color="A6A6A6"/>
              <w:right w:val="single" w:sz="4" w:space="0" w:color="A6A6A6"/>
            </w:tcBorders>
            <w:shd w:val="clear" w:color="auto" w:fill="auto"/>
            <w:noWrap/>
            <w:vAlign w:val="center"/>
            <w:hideMark/>
          </w:tcPr>
          <w:p>
            <w:pPr>
              <w:ind w:firstLineChars="200" w:firstLine="400"/>
              <w:jc w:val="right"/>
              <w:rPr>
                <w:lang w:val="en-PH" w:eastAsia="en-PH"/>
              </w:rPr>
            </w:pPr>
            <w:r>
              <w:rPr>
                <w:lang w:val="en-PH" w:eastAsia="en-PH"/>
              </w:rPr>
              <w:t>7,173,265.68</w:t>
            </w:r>
          </w:p>
        </w:tc>
      </w:tr>
      <w:tr>
        <w:trPr>
          <w:trHeight w:val="283"/>
        </w:trPr>
        <w:tc>
          <w:tcPr>
            <w:tcW w:w="1446" w:type="dxa"/>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Subtotal</w:t>
            </w:r>
          </w:p>
        </w:tc>
        <w:tc>
          <w:tcPr>
            <w:tcW w:w="1594" w:type="dxa"/>
            <w:tcBorders>
              <w:top w:val="nil"/>
              <w:left w:val="nil"/>
              <w:bottom w:val="single" w:sz="4" w:space="0" w:color="A6A6A6"/>
              <w:right w:val="nil"/>
            </w:tcBorders>
            <w:shd w:val="clear" w:color="auto" w:fill="auto"/>
            <w:noWrap/>
            <w:vAlign w:val="center"/>
            <w:hideMark/>
          </w:tcPr>
          <w:p>
            <w:pPr>
              <w:jc w:val="right"/>
              <w:rPr>
                <w:b/>
                <w:bCs/>
                <w:lang w:val="en-PH" w:eastAsia="en-PH"/>
              </w:rPr>
            </w:pPr>
          </w:p>
        </w:tc>
        <w:tc>
          <w:tcPr>
            <w:tcW w:w="1953" w:type="dxa"/>
            <w:tcBorders>
              <w:top w:val="nil"/>
              <w:left w:val="nil"/>
              <w:bottom w:val="single" w:sz="4" w:space="0" w:color="A6A6A6"/>
              <w:right w:val="nil"/>
            </w:tcBorders>
            <w:shd w:val="clear" w:color="auto" w:fill="auto"/>
            <w:noWrap/>
            <w:vAlign w:val="center"/>
            <w:hideMark/>
          </w:tcPr>
          <w:p>
            <w:pPr>
              <w:ind w:firstLineChars="100" w:firstLine="201"/>
              <w:jc w:val="right"/>
              <w:rPr>
                <w:b/>
                <w:bCs/>
                <w:lang w:val="en-PH" w:eastAsia="en-PH"/>
              </w:rPr>
            </w:pPr>
          </w:p>
        </w:tc>
        <w:tc>
          <w:tcPr>
            <w:tcW w:w="1669" w:type="dxa"/>
            <w:tcBorders>
              <w:top w:val="nil"/>
              <w:left w:val="nil"/>
              <w:bottom w:val="single" w:sz="4" w:space="0" w:color="A6A6A6"/>
              <w:right w:val="nil"/>
            </w:tcBorders>
            <w:shd w:val="clear" w:color="auto" w:fill="auto"/>
            <w:noWrap/>
            <w:vAlign w:val="center"/>
            <w:hideMark/>
          </w:tcPr>
          <w:p>
            <w:pPr>
              <w:jc w:val="right"/>
              <w:rPr>
                <w:b/>
                <w:bCs/>
                <w:lang w:val="en-PH" w:eastAsia="en-PH"/>
              </w:rPr>
            </w:pPr>
            <w:r>
              <w:rPr>
                <w:b/>
                <w:bCs/>
                <w:lang w:val="en-PH" w:eastAsia="en-PH"/>
              </w:rPr>
              <w:t xml:space="preserve">   297,672,222.92</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b/>
                <w:bCs/>
                <w:lang w:val="en-PH" w:eastAsia="en-PH"/>
              </w:rPr>
            </w:pPr>
            <w:r>
              <w:rPr>
                <w:b/>
                <w:bCs/>
                <w:lang w:val="en-PH" w:eastAsia="en-PH"/>
              </w:rPr>
              <w:t>495,363,755.80</w:t>
            </w:r>
          </w:p>
        </w:tc>
      </w:tr>
      <w:tr>
        <w:trPr>
          <w:trHeight w:val="283"/>
        </w:trPr>
        <w:tc>
          <w:tcPr>
            <w:tcW w:w="3040" w:type="dxa"/>
            <w:gridSpan w:val="2"/>
            <w:tcBorders>
              <w:top w:val="nil"/>
              <w:left w:val="single" w:sz="4" w:space="0" w:color="A6A6A6"/>
              <w:bottom w:val="single" w:sz="4" w:space="0" w:color="A6A6A6"/>
              <w:right w:val="nil"/>
            </w:tcBorders>
            <w:shd w:val="clear" w:color="auto" w:fill="auto"/>
            <w:noWrap/>
            <w:vAlign w:val="center"/>
            <w:hideMark/>
          </w:tcPr>
          <w:p>
            <w:pPr>
              <w:rPr>
                <w:b/>
                <w:bCs/>
                <w:lang w:val="en-PH" w:eastAsia="en-PH"/>
              </w:rPr>
            </w:pPr>
            <w:r>
              <w:rPr>
                <w:b/>
                <w:bCs/>
                <w:lang w:val="en-PH" w:eastAsia="en-PH"/>
              </w:rPr>
              <w:t>Grand Total</w:t>
            </w:r>
          </w:p>
        </w:tc>
        <w:tc>
          <w:tcPr>
            <w:tcW w:w="1953" w:type="dxa"/>
            <w:tcBorders>
              <w:top w:val="nil"/>
              <w:left w:val="nil"/>
              <w:bottom w:val="single" w:sz="4" w:space="0" w:color="A6A6A6"/>
              <w:right w:val="nil"/>
            </w:tcBorders>
            <w:shd w:val="clear" w:color="auto" w:fill="auto"/>
            <w:noWrap/>
            <w:vAlign w:val="center"/>
            <w:hideMark/>
          </w:tcPr>
          <w:p>
            <w:pPr>
              <w:ind w:firstLineChars="100" w:firstLine="201"/>
              <w:jc w:val="right"/>
              <w:rPr>
                <w:b/>
                <w:bCs/>
                <w:lang w:val="en-PH" w:eastAsia="en-PH"/>
              </w:rPr>
            </w:pPr>
          </w:p>
        </w:tc>
        <w:tc>
          <w:tcPr>
            <w:tcW w:w="1669" w:type="dxa"/>
            <w:tcBorders>
              <w:top w:val="nil"/>
              <w:left w:val="nil"/>
              <w:bottom w:val="single" w:sz="4" w:space="0" w:color="A6A6A6"/>
              <w:right w:val="nil"/>
            </w:tcBorders>
            <w:shd w:val="clear" w:color="auto" w:fill="auto"/>
            <w:noWrap/>
            <w:vAlign w:val="center"/>
            <w:hideMark/>
          </w:tcPr>
          <w:p>
            <w:pPr>
              <w:jc w:val="right"/>
              <w:rPr>
                <w:lang w:val="en-PH" w:eastAsia="en-PH"/>
              </w:rPr>
            </w:pPr>
            <w:r>
              <w:rPr>
                <w:b/>
                <w:bCs/>
              </w:rPr>
              <w:t>1,490,103,776.52</w:t>
            </w:r>
          </w:p>
        </w:tc>
        <w:tc>
          <w:tcPr>
            <w:tcW w:w="1701" w:type="dxa"/>
            <w:tcBorders>
              <w:top w:val="nil"/>
              <w:left w:val="nil"/>
              <w:bottom w:val="single" w:sz="4" w:space="0" w:color="A6A6A6"/>
              <w:right w:val="single" w:sz="4" w:space="0" w:color="A6A6A6"/>
            </w:tcBorders>
            <w:shd w:val="clear" w:color="auto" w:fill="auto"/>
            <w:noWrap/>
            <w:vAlign w:val="center"/>
            <w:hideMark/>
          </w:tcPr>
          <w:p>
            <w:pPr>
              <w:jc w:val="right"/>
              <w:rPr>
                <w:b/>
                <w:bCs/>
                <w:lang w:val="en-PH" w:eastAsia="en-PH"/>
              </w:rPr>
            </w:pPr>
            <w:r>
              <w:rPr>
                <w:b/>
                <w:bCs/>
                <w:lang w:val="en-PH" w:eastAsia="en-PH"/>
              </w:rPr>
              <w:t>1,352,399,863.58</w:t>
            </w:r>
          </w:p>
        </w:tc>
      </w:tr>
    </w:tbl>
    <w:p>
      <w:pPr>
        <w:pStyle w:val="ListParagraph"/>
        <w:ind w:left="1440"/>
        <w:jc w:val="both"/>
        <w:rPr>
          <w:sz w:val="24"/>
          <w:szCs w:val="24"/>
        </w:rPr>
      </w:pPr>
    </w:p>
    <w:p>
      <w:pPr>
        <w:autoSpaceDE w:val="0"/>
        <w:autoSpaceDN w:val="0"/>
        <w:adjustRightInd w:val="0"/>
        <w:spacing w:line="276" w:lineRule="auto"/>
        <w:ind w:left="851"/>
        <w:jc w:val="both"/>
        <w:rPr>
          <w:rFonts w:eastAsia="Calibri"/>
          <w:sz w:val="24"/>
          <w:szCs w:val="24"/>
          <w:lang w:val="en-PH"/>
        </w:rPr>
      </w:pPr>
      <w:r>
        <w:rPr>
          <w:rFonts w:eastAsia="Calibri"/>
          <w:sz w:val="24"/>
          <w:szCs w:val="24"/>
          <w:lang w:val="en-PH"/>
        </w:rPr>
        <w:t xml:space="preserve">Cash in the government depository bank – Land Bank of the Philippines, earns interest based on the prevailing bank deposit rates. Short-term deposits are made for varying periods, depending on the immediate cash requirements of the LGU, and earn interest at the respective short-term deposit rate. </w:t>
      </w:r>
    </w:p>
    <w:p>
      <w:pPr>
        <w:autoSpaceDE w:val="0"/>
        <w:autoSpaceDN w:val="0"/>
        <w:adjustRightInd w:val="0"/>
        <w:ind w:left="851"/>
        <w:jc w:val="both"/>
        <w:rPr>
          <w:rFonts w:eastAsia="Calibri"/>
          <w:sz w:val="24"/>
          <w:szCs w:val="24"/>
          <w:lang w:val="en-PH"/>
        </w:rPr>
      </w:pPr>
    </w:p>
    <w:p>
      <w:pPr>
        <w:autoSpaceDE w:val="0"/>
        <w:autoSpaceDN w:val="0"/>
        <w:adjustRightInd w:val="0"/>
        <w:spacing w:line="276" w:lineRule="auto"/>
        <w:ind w:left="851"/>
        <w:jc w:val="both"/>
        <w:rPr>
          <w:rFonts w:eastAsia="Calibri"/>
          <w:sz w:val="24"/>
          <w:szCs w:val="24"/>
          <w:lang w:val="en-PH"/>
        </w:rPr>
      </w:pPr>
      <w:r>
        <w:rPr>
          <w:rFonts w:eastAsia="Calibri"/>
          <w:sz w:val="24"/>
          <w:szCs w:val="24"/>
          <w:lang w:val="en-PH"/>
        </w:rPr>
        <w:t>The cash bank balances under ONB amounting to Php33,180.73 has been set up as a new bank account on December 31, 2008. Upon verification of this account with the City Treasurer’s Office, documents evidencing the ownership of the City to this bank account cannot be reliably ascertained. A confirmation letter was sent to ONB in previous years, but the bank denied the existence of such a bank account. Further verification to the bank will be conducted again at the earliest time next year 2023 so the accounting office will do the closing entry for this account.</w:t>
      </w:r>
    </w:p>
    <w:p>
      <w:pPr>
        <w:autoSpaceDE w:val="0"/>
        <w:autoSpaceDN w:val="0"/>
        <w:adjustRightInd w:val="0"/>
        <w:ind w:left="720"/>
        <w:jc w:val="both"/>
        <w:rPr>
          <w:rFonts w:eastAsia="Calibri"/>
          <w:sz w:val="24"/>
          <w:szCs w:val="24"/>
          <w:lang w:val="en-PH"/>
        </w:rPr>
      </w:pPr>
    </w:p>
    <w:p>
      <w:pPr>
        <w:jc w:val="both"/>
        <w:rPr>
          <w:b/>
          <w:bCs/>
          <w:sz w:val="24"/>
          <w:szCs w:val="24"/>
        </w:rPr>
      </w:pPr>
      <w:r>
        <w:rPr>
          <w:b/>
          <w:bCs/>
          <w:sz w:val="24"/>
          <w:szCs w:val="24"/>
        </w:rPr>
        <w:t>Note 5 – Investments</w:t>
      </w:r>
    </w:p>
    <w:p>
      <w:pPr>
        <w:tabs>
          <w:tab w:val="left" w:pos="851"/>
        </w:tabs>
        <w:contextualSpacing/>
        <w:jc w:val="both"/>
        <w:rPr>
          <w:rFonts w:eastAsia="Calibri"/>
          <w:b/>
          <w:bCs/>
          <w:sz w:val="24"/>
          <w:szCs w:val="24"/>
          <w:lang w:val="en-PH"/>
        </w:rPr>
      </w:pPr>
    </w:p>
    <w:p>
      <w:pPr>
        <w:spacing w:line="276" w:lineRule="auto"/>
        <w:ind w:left="851"/>
        <w:jc w:val="both"/>
        <w:rPr>
          <w:rFonts w:eastAsia="Calibri"/>
          <w:bCs/>
          <w:sz w:val="24"/>
          <w:szCs w:val="24"/>
          <w:lang w:val="en-PH"/>
        </w:rPr>
      </w:pPr>
      <w:r>
        <w:rPr>
          <w:rFonts w:eastAsia="Calibri"/>
          <w:sz w:val="24"/>
          <w:szCs w:val="24"/>
          <w:lang w:val="en-PH"/>
        </w:rPr>
        <w:t xml:space="preserve">The only investment account that the city has been using is the Guaranty Deposits. </w:t>
      </w:r>
      <w:r>
        <w:rPr>
          <w:rFonts w:eastAsia="Calibri"/>
          <w:bCs/>
          <w:sz w:val="24"/>
          <w:szCs w:val="24"/>
          <w:lang w:val="en-PH"/>
        </w:rPr>
        <w:t xml:space="preserve">The amount in Guaranty Deposits pertains to deposits to Davao Light of Power Corporation </w:t>
      </w:r>
      <w:r>
        <w:rPr>
          <w:rFonts w:eastAsia="Calibri"/>
          <w:bCs/>
          <w:sz w:val="24"/>
          <w:szCs w:val="24"/>
          <w:lang w:val="en-PH"/>
        </w:rPr>
        <w:lastRenderedPageBreak/>
        <w:t>(DLPC) for the Rural Electrification of the City and its barangays. The deposit will be refunded at a rate of 75% of the gross distribution revenue for the calendar year derived from all customers connected to the facilities until such an amount is fully refunded. Below are the transactions affecting the account with its comparative figures.</w:t>
      </w:r>
    </w:p>
    <w:p>
      <w:pPr>
        <w:tabs>
          <w:tab w:val="left" w:pos="851"/>
        </w:tabs>
        <w:ind w:left="851"/>
        <w:contextualSpacing/>
        <w:jc w:val="both"/>
        <w:rPr>
          <w:rFonts w:eastAsia="Calibri"/>
          <w:bCs/>
          <w:sz w:val="24"/>
          <w:szCs w:val="24"/>
          <w:lang w:val="en-PH"/>
        </w:rPr>
      </w:pPr>
    </w:p>
    <w:tbl>
      <w:tblPr>
        <w:tblW w:w="8647" w:type="dxa"/>
        <w:tblInd w:w="959" w:type="dxa"/>
        <w:tblLook w:val="04A0" w:firstRow="1" w:lastRow="0" w:firstColumn="1" w:lastColumn="0" w:noHBand="0" w:noVBand="1"/>
      </w:tblPr>
      <w:tblGrid>
        <w:gridCol w:w="4464"/>
        <w:gridCol w:w="2000"/>
        <w:gridCol w:w="2183"/>
      </w:tblGrid>
      <w:tr>
        <w:trPr>
          <w:trHeight w:val="340"/>
        </w:trPr>
        <w:tc>
          <w:tcPr>
            <w:tcW w:w="446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200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8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46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Beginning Balance</w:t>
            </w:r>
          </w:p>
        </w:tc>
        <w:tc>
          <w:tcPr>
            <w:tcW w:w="200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27,751,603.10</w:t>
            </w:r>
          </w:p>
        </w:tc>
        <w:tc>
          <w:tcPr>
            <w:tcW w:w="2183"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22,416,089.00</w:t>
            </w:r>
          </w:p>
        </w:tc>
      </w:tr>
      <w:tr>
        <w:trPr>
          <w:trHeight w:val="340"/>
        </w:trPr>
        <w:tc>
          <w:tcPr>
            <w:tcW w:w="446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Deposit during the year</w:t>
            </w:r>
          </w:p>
        </w:tc>
        <w:tc>
          <w:tcPr>
            <w:tcW w:w="200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8,038,694.29</w:t>
            </w:r>
          </w:p>
        </w:tc>
        <w:tc>
          <w:tcPr>
            <w:tcW w:w="2183"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1,699,317.06</w:t>
            </w:r>
          </w:p>
        </w:tc>
      </w:tr>
      <w:tr>
        <w:trPr>
          <w:trHeight w:val="340"/>
        </w:trPr>
        <w:tc>
          <w:tcPr>
            <w:tcW w:w="446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Refund during the year</w:t>
            </w:r>
          </w:p>
        </w:tc>
        <w:tc>
          <w:tcPr>
            <w:tcW w:w="200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c>
          <w:tcPr>
            <w:tcW w:w="21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3,636,197.04</w:t>
            </w:r>
          </w:p>
        </w:tc>
      </w:tr>
      <w:tr>
        <w:trPr>
          <w:trHeight w:val="340"/>
        </w:trPr>
        <w:tc>
          <w:tcPr>
            <w:tcW w:w="446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00"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rPr>
            </w:pPr>
            <w:r>
              <w:rPr>
                <w:b/>
                <w:bCs/>
                <w:sz w:val="24"/>
                <w:szCs w:val="24"/>
              </w:rPr>
              <w:t xml:space="preserve">35,790,297.39 </w:t>
            </w:r>
          </w:p>
        </w:tc>
        <w:tc>
          <w:tcPr>
            <w:tcW w:w="2183"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27,751,603.10</w:t>
            </w:r>
          </w:p>
        </w:tc>
      </w:tr>
    </w:tbl>
    <w:p>
      <w:pPr>
        <w:jc w:val="both"/>
        <w:rPr>
          <w:b/>
          <w:bCs/>
          <w:sz w:val="24"/>
          <w:szCs w:val="24"/>
        </w:rPr>
      </w:pPr>
      <w:r>
        <w:rPr>
          <w:b/>
          <w:bCs/>
          <w:sz w:val="24"/>
          <w:szCs w:val="24"/>
        </w:rPr>
        <w:tab/>
      </w:r>
    </w:p>
    <w:p>
      <w:pPr>
        <w:spacing w:line="276" w:lineRule="auto"/>
        <w:ind w:left="851"/>
        <w:jc w:val="both"/>
        <w:rPr>
          <w:sz w:val="24"/>
          <w:szCs w:val="24"/>
        </w:rPr>
      </w:pPr>
      <w:r>
        <w:rPr>
          <w:sz w:val="24"/>
          <w:szCs w:val="24"/>
        </w:rPr>
        <w:t>The increase in guaranty deposit balance is mainly due to Electrification projects funded by grants from the National Agency under the Support to Barangay Development Program of the National Task Force to End Local Communist Armed Conflict (ELCAC) amounting to Php 6,100,000.00 and bill deposits for pole installation amounting to Php 1,936,694.29.</w:t>
      </w:r>
    </w:p>
    <w:p>
      <w:pPr>
        <w:spacing w:line="276" w:lineRule="auto"/>
        <w:ind w:left="720"/>
        <w:jc w:val="both"/>
        <w:rPr>
          <w:b/>
          <w:bCs/>
          <w:sz w:val="24"/>
          <w:szCs w:val="24"/>
        </w:rPr>
      </w:pPr>
    </w:p>
    <w:p>
      <w:pPr>
        <w:jc w:val="both"/>
        <w:rPr>
          <w:b/>
          <w:bCs/>
          <w:sz w:val="24"/>
          <w:szCs w:val="24"/>
        </w:rPr>
      </w:pPr>
      <w:r>
        <w:rPr>
          <w:b/>
          <w:bCs/>
          <w:sz w:val="24"/>
          <w:szCs w:val="24"/>
        </w:rPr>
        <w:t>Note 6 – Receivables</w:t>
      </w:r>
    </w:p>
    <w:p>
      <w:pPr>
        <w:jc w:val="both"/>
        <w:rPr>
          <w:b/>
          <w:bCs/>
          <w:sz w:val="24"/>
          <w:szCs w:val="24"/>
        </w:rPr>
      </w:pPr>
    </w:p>
    <w:p>
      <w:pPr>
        <w:spacing w:line="276" w:lineRule="auto"/>
        <w:ind w:left="851"/>
        <w:jc w:val="both"/>
        <w:rPr>
          <w:sz w:val="24"/>
          <w:szCs w:val="24"/>
        </w:rPr>
      </w:pPr>
      <w:r>
        <w:rPr>
          <w:sz w:val="24"/>
          <w:szCs w:val="24"/>
        </w:rPr>
        <w:t>This account group comprises the following major group account with their comparative figures for the year ended 2022 and 2021.</w:t>
      </w:r>
    </w:p>
    <w:p>
      <w:pPr>
        <w:jc w:val="both"/>
        <w:rPr>
          <w:sz w:val="24"/>
          <w:szCs w:val="24"/>
        </w:rPr>
      </w:pPr>
    </w:p>
    <w:tbl>
      <w:tblPr>
        <w:tblW w:w="8703" w:type="dxa"/>
        <w:tblInd w:w="959" w:type="dxa"/>
        <w:tblLook w:val="04A0" w:firstRow="1" w:lastRow="0" w:firstColumn="1" w:lastColumn="0" w:noHBand="0" w:noVBand="1"/>
      </w:tblPr>
      <w:tblGrid>
        <w:gridCol w:w="4077"/>
        <w:gridCol w:w="2279"/>
        <w:gridCol w:w="2347"/>
      </w:tblGrid>
      <w:tr>
        <w:trPr>
          <w:trHeight w:val="340"/>
        </w:trPr>
        <w:tc>
          <w:tcPr>
            <w:tcW w:w="4077"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279"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347"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0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Loans and Receivables Accounts</w:t>
            </w:r>
          </w:p>
        </w:tc>
        <w:tc>
          <w:tcPr>
            <w:tcW w:w="2279" w:type="dxa"/>
            <w:tcBorders>
              <w:top w:val="nil"/>
              <w:left w:val="nil"/>
              <w:bottom w:val="nil"/>
              <w:right w:val="nil"/>
            </w:tcBorders>
            <w:shd w:val="clear" w:color="auto" w:fill="auto"/>
            <w:noWrap/>
            <w:vAlign w:val="center"/>
            <w:hideMark/>
          </w:tcPr>
          <w:p>
            <w:pPr>
              <w:jc w:val="right"/>
              <w:rPr>
                <w:sz w:val="24"/>
                <w:szCs w:val="24"/>
                <w:lang w:val="en-PH"/>
              </w:rPr>
            </w:pPr>
            <w:r>
              <w:rPr>
                <w:sz w:val="24"/>
                <w:szCs w:val="24"/>
              </w:rPr>
              <w:t xml:space="preserve">      145,347,955.41</w:t>
            </w:r>
          </w:p>
        </w:tc>
        <w:tc>
          <w:tcPr>
            <w:tcW w:w="234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23,645,134.65 </w:t>
            </w:r>
          </w:p>
        </w:tc>
      </w:tr>
      <w:tr>
        <w:trPr>
          <w:trHeight w:val="340"/>
        </w:trPr>
        <w:tc>
          <w:tcPr>
            <w:tcW w:w="40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Inter-Agency Receivables</w:t>
            </w:r>
          </w:p>
        </w:tc>
        <w:tc>
          <w:tcPr>
            <w:tcW w:w="227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15,647,867.44</w:t>
            </w:r>
          </w:p>
        </w:tc>
        <w:tc>
          <w:tcPr>
            <w:tcW w:w="234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15,301,557.42 </w:t>
            </w:r>
          </w:p>
        </w:tc>
      </w:tr>
      <w:tr>
        <w:trPr>
          <w:trHeight w:val="340"/>
        </w:trPr>
        <w:tc>
          <w:tcPr>
            <w:tcW w:w="40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Intra-Agency Receivables</w:t>
            </w:r>
          </w:p>
        </w:tc>
        <w:tc>
          <w:tcPr>
            <w:tcW w:w="227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51,290,733.79</w:t>
            </w:r>
          </w:p>
        </w:tc>
        <w:tc>
          <w:tcPr>
            <w:tcW w:w="234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88,661,786.07 </w:t>
            </w:r>
          </w:p>
        </w:tc>
      </w:tr>
      <w:tr>
        <w:trPr>
          <w:trHeight w:val="340"/>
        </w:trPr>
        <w:tc>
          <w:tcPr>
            <w:tcW w:w="40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Advances</w:t>
            </w:r>
          </w:p>
        </w:tc>
        <w:tc>
          <w:tcPr>
            <w:tcW w:w="227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14,858,473.50</w:t>
            </w:r>
          </w:p>
        </w:tc>
        <w:tc>
          <w:tcPr>
            <w:tcW w:w="234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11,038,104.69 </w:t>
            </w:r>
          </w:p>
        </w:tc>
      </w:tr>
      <w:tr>
        <w:trPr>
          <w:trHeight w:val="340"/>
        </w:trPr>
        <w:tc>
          <w:tcPr>
            <w:tcW w:w="40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Other Receivables</w:t>
            </w:r>
          </w:p>
        </w:tc>
        <w:tc>
          <w:tcPr>
            <w:tcW w:w="227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44,110,539.26</w:t>
            </w:r>
          </w:p>
        </w:tc>
        <w:tc>
          <w:tcPr>
            <w:tcW w:w="234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44,291,080.50 </w:t>
            </w:r>
          </w:p>
        </w:tc>
      </w:tr>
      <w:tr>
        <w:trPr>
          <w:trHeight w:val="340"/>
        </w:trPr>
        <w:tc>
          <w:tcPr>
            <w:tcW w:w="407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7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271,255,569.40</w:t>
            </w:r>
          </w:p>
        </w:tc>
        <w:tc>
          <w:tcPr>
            <w:tcW w:w="234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182,937,663.33</w:t>
            </w:r>
          </w:p>
        </w:tc>
      </w:tr>
    </w:tbl>
    <w:p>
      <w:pPr>
        <w:ind w:left="840"/>
        <w:jc w:val="both"/>
        <w:rPr>
          <w:sz w:val="24"/>
          <w:szCs w:val="24"/>
        </w:rPr>
      </w:pPr>
    </w:p>
    <w:p>
      <w:pPr>
        <w:pStyle w:val="ListParagraph"/>
        <w:numPr>
          <w:ilvl w:val="1"/>
          <w:numId w:val="11"/>
        </w:numPr>
        <w:ind w:left="1418" w:hanging="502"/>
        <w:jc w:val="both"/>
        <w:rPr>
          <w:b/>
          <w:bCs/>
          <w:sz w:val="24"/>
          <w:szCs w:val="24"/>
        </w:rPr>
      </w:pPr>
      <w:r>
        <w:rPr>
          <w:b/>
          <w:bCs/>
          <w:sz w:val="24"/>
          <w:szCs w:val="24"/>
        </w:rPr>
        <w:t>Loans and Receivables Accounts</w:t>
      </w:r>
    </w:p>
    <w:p>
      <w:pPr>
        <w:pStyle w:val="ListParagraph"/>
        <w:ind w:left="1080"/>
        <w:jc w:val="both"/>
        <w:rPr>
          <w:b/>
          <w:bCs/>
          <w:sz w:val="24"/>
          <w:szCs w:val="24"/>
        </w:rPr>
      </w:pPr>
    </w:p>
    <w:p>
      <w:pPr>
        <w:pStyle w:val="ListParagraph"/>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pStyle w:val="ListParagraph"/>
        <w:spacing w:line="276" w:lineRule="auto"/>
        <w:ind w:left="1080"/>
        <w:jc w:val="both"/>
        <w:rPr>
          <w:sz w:val="24"/>
          <w:szCs w:val="24"/>
        </w:rPr>
      </w:pPr>
    </w:p>
    <w:tbl>
      <w:tblPr>
        <w:tblW w:w="8279" w:type="dxa"/>
        <w:tblInd w:w="1526" w:type="dxa"/>
        <w:tblLook w:val="04A0" w:firstRow="1" w:lastRow="0" w:firstColumn="1" w:lastColumn="0" w:noHBand="0" w:noVBand="1"/>
      </w:tblPr>
      <w:tblGrid>
        <w:gridCol w:w="3626"/>
        <w:gridCol w:w="2297"/>
        <w:gridCol w:w="2356"/>
      </w:tblGrid>
      <w:tr>
        <w:trPr>
          <w:trHeight w:val="283"/>
        </w:trPr>
        <w:tc>
          <w:tcPr>
            <w:tcW w:w="3626"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297"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356"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626"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Accounts Receivable</w:t>
            </w:r>
          </w:p>
        </w:tc>
        <w:tc>
          <w:tcPr>
            <w:tcW w:w="229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1,780,110.78 </w:t>
            </w:r>
          </w:p>
        </w:tc>
        <w:tc>
          <w:tcPr>
            <w:tcW w:w="23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2,171,875.05 </w:t>
            </w:r>
          </w:p>
        </w:tc>
      </w:tr>
      <w:tr>
        <w:trPr>
          <w:trHeight w:val="283"/>
        </w:trPr>
        <w:tc>
          <w:tcPr>
            <w:tcW w:w="3626"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Real Property Tax Receivable</w:t>
            </w:r>
          </w:p>
        </w:tc>
        <w:tc>
          <w:tcPr>
            <w:tcW w:w="229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58,774,054.16 </w:t>
            </w:r>
          </w:p>
        </w:tc>
        <w:tc>
          <w:tcPr>
            <w:tcW w:w="23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1,485,422.79 </w:t>
            </w:r>
          </w:p>
        </w:tc>
      </w:tr>
      <w:tr>
        <w:trPr>
          <w:trHeight w:val="283"/>
        </w:trPr>
        <w:tc>
          <w:tcPr>
            <w:tcW w:w="3626"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Special Education Tax Receivable</w:t>
            </w:r>
          </w:p>
        </w:tc>
        <w:tc>
          <w:tcPr>
            <w:tcW w:w="229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57,277,785.28 </w:t>
            </w:r>
          </w:p>
        </w:tc>
        <w:tc>
          <w:tcPr>
            <w:tcW w:w="23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3626"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Loans Receivables - Others</w:t>
            </w:r>
          </w:p>
        </w:tc>
        <w:tc>
          <w:tcPr>
            <w:tcW w:w="229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19,284,615.18 </w:t>
            </w:r>
          </w:p>
        </w:tc>
        <w:tc>
          <w:tcPr>
            <w:tcW w:w="23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18,040,343.68 </w:t>
            </w:r>
          </w:p>
        </w:tc>
      </w:tr>
      <w:tr>
        <w:trPr>
          <w:trHeight w:val="283"/>
        </w:trPr>
        <w:tc>
          <w:tcPr>
            <w:tcW w:w="3626" w:type="dxa"/>
            <w:tcBorders>
              <w:top w:val="nil"/>
              <w:left w:val="nil"/>
              <w:bottom w:val="nil"/>
              <w:right w:val="nil"/>
            </w:tcBorders>
            <w:shd w:val="clear" w:color="auto" w:fill="auto"/>
            <w:noWrap/>
            <w:vAlign w:val="center"/>
          </w:tcPr>
          <w:p>
            <w:pPr>
              <w:rPr>
                <w:sz w:val="24"/>
                <w:szCs w:val="24"/>
                <w:lang w:val="en-PH" w:eastAsia="en-PH"/>
              </w:rPr>
            </w:pPr>
            <w:r>
              <w:rPr>
                <w:sz w:val="24"/>
                <w:szCs w:val="24"/>
                <w:lang w:val="en-PH" w:eastAsia="en-PH"/>
              </w:rPr>
              <w:t>Operating Lease Receivable</w:t>
            </w:r>
          </w:p>
        </w:tc>
        <w:tc>
          <w:tcPr>
            <w:tcW w:w="2297"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lang w:val="en-PH" w:eastAsia="en-PH"/>
              </w:rPr>
              <w:t>8,231,390.01</w:t>
            </w:r>
          </w:p>
        </w:tc>
        <w:tc>
          <w:tcPr>
            <w:tcW w:w="2356"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lang w:val="en-PH" w:eastAsia="en-PH"/>
              </w:rPr>
              <w:t>1,947,493.13</w:t>
            </w:r>
          </w:p>
        </w:tc>
      </w:tr>
      <w:tr>
        <w:trPr>
          <w:trHeight w:val="283"/>
        </w:trPr>
        <w:tc>
          <w:tcPr>
            <w:tcW w:w="362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9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rPr>
              <w:t xml:space="preserve">145,347,955.41 </w:t>
            </w:r>
          </w:p>
        </w:tc>
        <w:tc>
          <w:tcPr>
            <w:tcW w:w="235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23,645,134.65</w:t>
            </w:r>
          </w:p>
        </w:tc>
      </w:tr>
    </w:tbl>
    <w:p>
      <w:pPr>
        <w:pStyle w:val="ListParagraph"/>
        <w:ind w:left="1080"/>
        <w:jc w:val="both"/>
        <w:rPr>
          <w:b/>
          <w:bCs/>
          <w:sz w:val="24"/>
          <w:szCs w:val="24"/>
        </w:rPr>
      </w:pPr>
    </w:p>
    <w:p>
      <w:pPr>
        <w:pStyle w:val="ListParagraph"/>
        <w:numPr>
          <w:ilvl w:val="2"/>
          <w:numId w:val="11"/>
        </w:numPr>
        <w:ind w:left="2127"/>
        <w:jc w:val="both"/>
        <w:rPr>
          <w:b/>
          <w:bCs/>
          <w:sz w:val="24"/>
          <w:szCs w:val="24"/>
        </w:rPr>
      </w:pPr>
      <w:r>
        <w:rPr>
          <w:b/>
          <w:bCs/>
          <w:sz w:val="24"/>
          <w:szCs w:val="24"/>
        </w:rPr>
        <w:t>Accounts Receivable</w:t>
      </w:r>
    </w:p>
    <w:p>
      <w:pPr>
        <w:ind w:left="1440"/>
        <w:jc w:val="both"/>
        <w:rPr>
          <w:b/>
          <w:bCs/>
          <w:sz w:val="24"/>
          <w:szCs w:val="24"/>
        </w:rPr>
      </w:pPr>
    </w:p>
    <w:p>
      <w:pPr>
        <w:spacing w:line="276" w:lineRule="auto"/>
        <w:ind w:left="1418"/>
        <w:jc w:val="both"/>
        <w:rPr>
          <w:sz w:val="24"/>
          <w:szCs w:val="24"/>
        </w:rPr>
      </w:pPr>
      <w:r>
        <w:rPr>
          <w:rFonts w:eastAsia="Calibri"/>
          <w:iCs/>
          <w:sz w:val="24"/>
          <w:szCs w:val="24"/>
          <w:lang w:val="en-PH"/>
        </w:rPr>
        <w:t xml:space="preserve">The Account Receivables are amounts due from clients arising from service and business transactions. The amount of Account Receivables is derived from the sale of cemetery lawn lots and a family estate availed on an installment basis with a payment scheme of 24 and 60 months and earns interest at 11% per annum. </w:t>
      </w:r>
      <w:r>
        <w:rPr>
          <w:sz w:val="24"/>
          <w:szCs w:val="24"/>
        </w:rPr>
        <w:t xml:space="preserve">During the year 2022, the decrease in accounts receivable balance was mainly due to collections as per the below details. The reclassification made during the year was the accounts receivables of retirees previously booked as due from officers and employees. Below are the movement of accounts during the year. </w:t>
      </w:r>
    </w:p>
    <w:p>
      <w:pPr>
        <w:spacing w:line="276" w:lineRule="auto"/>
        <w:ind w:left="1440"/>
        <w:jc w:val="both"/>
        <w:rPr>
          <w:sz w:val="24"/>
          <w:szCs w:val="24"/>
        </w:rPr>
      </w:pPr>
    </w:p>
    <w:tbl>
      <w:tblPr>
        <w:tblW w:w="6141" w:type="dxa"/>
        <w:tblInd w:w="2518" w:type="dxa"/>
        <w:tblLook w:val="04A0" w:firstRow="1" w:lastRow="0" w:firstColumn="1" w:lastColumn="0" w:noHBand="0" w:noVBand="1"/>
      </w:tblPr>
      <w:tblGrid>
        <w:gridCol w:w="4214"/>
        <w:gridCol w:w="1927"/>
      </w:tblGrid>
      <w:tr>
        <w:trPr>
          <w:trHeight w:val="283"/>
        </w:trPr>
        <w:tc>
          <w:tcPr>
            <w:tcW w:w="421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Accounts Receivable</w:t>
            </w:r>
          </w:p>
        </w:tc>
        <w:tc>
          <w:tcPr>
            <w:tcW w:w="19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421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Beginning Balance</w:t>
            </w:r>
          </w:p>
        </w:tc>
        <w:tc>
          <w:tcPr>
            <w:tcW w:w="192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2,171,875.05</w:t>
            </w:r>
          </w:p>
        </w:tc>
      </w:tr>
      <w:tr>
        <w:trPr>
          <w:trHeight w:val="283"/>
        </w:trPr>
        <w:tc>
          <w:tcPr>
            <w:tcW w:w="421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Sales on Accounts</w:t>
            </w:r>
          </w:p>
        </w:tc>
        <w:tc>
          <w:tcPr>
            <w:tcW w:w="1927" w:type="dxa"/>
            <w:tcBorders>
              <w:top w:val="nil"/>
              <w:left w:val="nil"/>
              <w:bottom w:val="nil"/>
              <w:right w:val="nil"/>
            </w:tcBorders>
            <w:shd w:val="clear" w:color="auto" w:fill="auto"/>
            <w:vAlign w:val="center"/>
            <w:hideMark/>
          </w:tcPr>
          <w:p>
            <w:pPr>
              <w:jc w:val="right"/>
              <w:rPr>
                <w:sz w:val="24"/>
                <w:szCs w:val="24"/>
                <w:lang w:val="en-PH" w:eastAsia="en-PH"/>
              </w:rPr>
            </w:pPr>
          </w:p>
        </w:tc>
      </w:tr>
      <w:tr>
        <w:trPr>
          <w:trHeight w:val="283"/>
        </w:trPr>
        <w:tc>
          <w:tcPr>
            <w:tcW w:w="421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Reclassification</w:t>
            </w:r>
          </w:p>
        </w:tc>
        <w:tc>
          <w:tcPr>
            <w:tcW w:w="192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39,223.43</w:t>
            </w:r>
          </w:p>
        </w:tc>
      </w:tr>
      <w:tr>
        <w:trPr>
          <w:trHeight w:val="283"/>
        </w:trPr>
        <w:tc>
          <w:tcPr>
            <w:tcW w:w="421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Collections</w:t>
            </w:r>
          </w:p>
        </w:tc>
        <w:tc>
          <w:tcPr>
            <w:tcW w:w="192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(430,987.70)</w:t>
            </w:r>
          </w:p>
        </w:tc>
      </w:tr>
      <w:tr>
        <w:trPr>
          <w:trHeight w:val="283"/>
        </w:trPr>
        <w:tc>
          <w:tcPr>
            <w:tcW w:w="421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Ending Balance</w:t>
            </w:r>
          </w:p>
        </w:tc>
        <w:tc>
          <w:tcPr>
            <w:tcW w:w="1927"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1,780,110.78</w:t>
            </w:r>
          </w:p>
        </w:tc>
      </w:tr>
    </w:tbl>
    <w:p>
      <w:pPr>
        <w:ind w:left="1440"/>
        <w:jc w:val="both"/>
        <w:rPr>
          <w:sz w:val="24"/>
          <w:szCs w:val="24"/>
        </w:rPr>
      </w:pPr>
    </w:p>
    <w:p>
      <w:pPr>
        <w:pStyle w:val="ListParagraph"/>
        <w:numPr>
          <w:ilvl w:val="2"/>
          <w:numId w:val="11"/>
        </w:numPr>
        <w:ind w:left="2127"/>
        <w:jc w:val="both"/>
        <w:rPr>
          <w:b/>
          <w:bCs/>
          <w:sz w:val="24"/>
          <w:szCs w:val="24"/>
        </w:rPr>
      </w:pPr>
      <w:r>
        <w:rPr>
          <w:b/>
          <w:bCs/>
          <w:sz w:val="24"/>
          <w:szCs w:val="24"/>
        </w:rPr>
        <w:t>Real Property Tax Receivable</w:t>
      </w:r>
    </w:p>
    <w:p>
      <w:pPr>
        <w:pStyle w:val="ListParagraph"/>
        <w:ind w:left="2160"/>
        <w:jc w:val="both"/>
        <w:rPr>
          <w:b/>
          <w:bCs/>
          <w:sz w:val="24"/>
          <w:szCs w:val="24"/>
        </w:rPr>
      </w:pPr>
    </w:p>
    <w:p>
      <w:pPr>
        <w:spacing w:line="276" w:lineRule="auto"/>
        <w:ind w:left="1418"/>
        <w:jc w:val="both"/>
        <w:rPr>
          <w:b/>
          <w:bCs/>
          <w:sz w:val="24"/>
          <w:szCs w:val="24"/>
        </w:rPr>
      </w:pPr>
      <w:r>
        <w:rPr>
          <w:rFonts w:eastAsia="Calibri"/>
          <w:iCs/>
          <w:sz w:val="24"/>
          <w:szCs w:val="24"/>
          <w:lang w:val="en-PH"/>
        </w:rPr>
        <w:t xml:space="preserve">Real Property Tax Receivables are income accruing to the LGU from the taxpayers for basic real property tax from real properties such as land, building, and equipment. </w:t>
      </w:r>
      <w:r>
        <w:rPr>
          <w:sz w:val="24"/>
          <w:szCs w:val="24"/>
        </w:rPr>
        <w:t>During the year 2022, the movement of the accounts was affected mainly due to the recognition of receivables for the year and had decreased by collections as per the following figures.</w:t>
      </w:r>
    </w:p>
    <w:p>
      <w:pPr>
        <w:jc w:val="both"/>
        <w:rPr>
          <w:b/>
          <w:bCs/>
          <w:sz w:val="24"/>
          <w:szCs w:val="24"/>
        </w:rPr>
      </w:pPr>
      <w:r>
        <w:rPr>
          <w:b/>
          <w:bCs/>
          <w:sz w:val="24"/>
          <w:szCs w:val="24"/>
        </w:rPr>
        <w:tab/>
      </w:r>
      <w:r>
        <w:rPr>
          <w:b/>
          <w:bCs/>
          <w:sz w:val="24"/>
          <w:szCs w:val="24"/>
        </w:rPr>
        <w:tab/>
      </w:r>
    </w:p>
    <w:tbl>
      <w:tblPr>
        <w:tblW w:w="8363" w:type="dxa"/>
        <w:tblInd w:w="1526" w:type="dxa"/>
        <w:tblLook w:val="04A0" w:firstRow="1" w:lastRow="0" w:firstColumn="1" w:lastColumn="0" w:noHBand="0" w:noVBand="1"/>
      </w:tblPr>
      <w:tblGrid>
        <w:gridCol w:w="4215"/>
        <w:gridCol w:w="1946"/>
        <w:gridCol w:w="2202"/>
      </w:tblGrid>
      <w:tr>
        <w:trPr>
          <w:trHeight w:val="283"/>
        </w:trPr>
        <w:tc>
          <w:tcPr>
            <w:tcW w:w="421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19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0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Beginning Balance</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1,485,422.79</w:t>
            </w:r>
          </w:p>
        </w:tc>
        <w:tc>
          <w:tcPr>
            <w:tcW w:w="2202"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10,354,874.11</w:t>
            </w:r>
          </w:p>
        </w:tc>
      </w:tr>
      <w:tr>
        <w:trPr>
          <w:trHeight w:val="283"/>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Receivables recognized during the year</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80,364,117.70</w:t>
            </w:r>
          </w:p>
        </w:tc>
        <w:tc>
          <w:tcPr>
            <w:tcW w:w="2202"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45,233,800.79</w:t>
            </w:r>
          </w:p>
        </w:tc>
      </w:tr>
      <w:tr>
        <w:trPr>
          <w:trHeight w:val="283"/>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Collections during the year</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(60,419,038.82)</w:t>
            </w:r>
          </w:p>
        </w:tc>
        <w:tc>
          <w:tcPr>
            <w:tcW w:w="220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(40,533,111.87)</w:t>
            </w:r>
          </w:p>
        </w:tc>
      </w:tr>
      <w:tr>
        <w:trPr>
          <w:trHeight w:val="283"/>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Adjustments</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37,343,552.49</w:t>
            </w:r>
          </w:p>
        </w:tc>
        <w:tc>
          <w:tcPr>
            <w:tcW w:w="220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(13,570,140.24)</w:t>
            </w:r>
          </w:p>
        </w:tc>
      </w:tr>
      <w:tr>
        <w:trPr>
          <w:trHeight w:val="283"/>
        </w:trPr>
        <w:tc>
          <w:tcPr>
            <w:tcW w:w="421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Ending Balance</w:t>
            </w:r>
          </w:p>
        </w:tc>
        <w:tc>
          <w:tcPr>
            <w:tcW w:w="1946"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58,774,054.16</w:t>
            </w:r>
          </w:p>
        </w:tc>
        <w:tc>
          <w:tcPr>
            <w:tcW w:w="220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1,485,422.79</w:t>
            </w:r>
          </w:p>
        </w:tc>
      </w:tr>
    </w:tbl>
    <w:p>
      <w:pPr>
        <w:jc w:val="both"/>
        <w:rPr>
          <w:b/>
          <w:bCs/>
          <w:sz w:val="24"/>
          <w:szCs w:val="24"/>
        </w:rPr>
      </w:pPr>
    </w:p>
    <w:p>
      <w:pPr>
        <w:spacing w:line="276" w:lineRule="auto"/>
        <w:ind w:left="1440"/>
        <w:jc w:val="both"/>
        <w:rPr>
          <w:sz w:val="24"/>
          <w:szCs w:val="24"/>
        </w:rPr>
      </w:pPr>
      <w:r>
        <w:rPr>
          <w:sz w:val="24"/>
          <w:szCs w:val="24"/>
        </w:rPr>
        <w:t>The adjustment made on this account is the true up value of establishment of real property tax receivable for the year 2020 and 2021 amounting to Php 10,777,670.28 and Php 26,565,882.21 respectively.</w:t>
      </w:r>
    </w:p>
    <w:p>
      <w:pPr>
        <w:jc w:val="both"/>
        <w:rPr>
          <w:b/>
          <w:bCs/>
          <w:sz w:val="24"/>
          <w:szCs w:val="24"/>
        </w:rPr>
      </w:pPr>
    </w:p>
    <w:p>
      <w:pPr>
        <w:ind w:left="720" w:firstLine="720"/>
        <w:jc w:val="both"/>
        <w:rPr>
          <w:b/>
          <w:bCs/>
          <w:sz w:val="24"/>
          <w:szCs w:val="24"/>
        </w:rPr>
      </w:pPr>
      <w:r>
        <w:rPr>
          <w:b/>
          <w:bCs/>
          <w:sz w:val="24"/>
          <w:szCs w:val="24"/>
        </w:rPr>
        <w:t xml:space="preserve">6.1.3 </w:t>
      </w:r>
      <w:r>
        <w:rPr>
          <w:b/>
          <w:bCs/>
          <w:sz w:val="24"/>
          <w:szCs w:val="24"/>
        </w:rPr>
        <w:tab/>
        <w:t>Special Education Tax Receivable</w:t>
      </w:r>
    </w:p>
    <w:p>
      <w:pPr>
        <w:ind w:left="1440"/>
        <w:jc w:val="both"/>
        <w:rPr>
          <w:b/>
          <w:bCs/>
          <w:sz w:val="24"/>
          <w:szCs w:val="24"/>
        </w:rPr>
      </w:pPr>
    </w:p>
    <w:p>
      <w:pPr>
        <w:spacing w:line="276" w:lineRule="auto"/>
        <w:ind w:left="1440"/>
        <w:jc w:val="both"/>
        <w:rPr>
          <w:rFonts w:eastAsia="Calibri"/>
          <w:iCs/>
          <w:sz w:val="24"/>
          <w:szCs w:val="24"/>
          <w:lang w:val="en-PH"/>
        </w:rPr>
      </w:pPr>
      <w:r>
        <w:rPr>
          <w:rFonts w:eastAsia="Calibri"/>
          <w:iCs/>
          <w:sz w:val="24"/>
          <w:szCs w:val="24"/>
          <w:lang w:val="en-PH"/>
        </w:rPr>
        <w:t>Special Education Tax Receivables are special education tax income accruing to the LGU due from the taxpayers for the additional one percent (1%) tax from real property for special education.</w:t>
      </w:r>
    </w:p>
    <w:p>
      <w:pPr>
        <w:ind w:left="1440"/>
        <w:jc w:val="both"/>
        <w:rPr>
          <w:rFonts w:eastAsia="Calibri"/>
          <w:iCs/>
          <w:sz w:val="24"/>
          <w:szCs w:val="24"/>
          <w:lang w:val="en-PH"/>
        </w:rPr>
      </w:pPr>
    </w:p>
    <w:tbl>
      <w:tblPr>
        <w:tblW w:w="8363" w:type="dxa"/>
        <w:tblInd w:w="1526" w:type="dxa"/>
        <w:tblLook w:val="04A0" w:firstRow="1" w:lastRow="0" w:firstColumn="1" w:lastColumn="0" w:noHBand="0" w:noVBand="1"/>
      </w:tblPr>
      <w:tblGrid>
        <w:gridCol w:w="4236"/>
        <w:gridCol w:w="1957"/>
        <w:gridCol w:w="2170"/>
      </w:tblGrid>
      <w:tr>
        <w:trPr>
          <w:trHeight w:val="283"/>
        </w:trPr>
        <w:tc>
          <w:tcPr>
            <w:tcW w:w="423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195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7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2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Beginning Balance</w:t>
            </w:r>
          </w:p>
        </w:tc>
        <w:tc>
          <w:tcPr>
            <w:tcW w:w="195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0.00   </w:t>
            </w:r>
          </w:p>
        </w:tc>
        <w:tc>
          <w:tcPr>
            <w:tcW w:w="2170"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 xml:space="preserve">0.00   </w:t>
            </w:r>
          </w:p>
        </w:tc>
      </w:tr>
      <w:tr>
        <w:trPr>
          <w:trHeight w:val="283"/>
        </w:trPr>
        <w:tc>
          <w:tcPr>
            <w:tcW w:w="42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Receivables recognized during the year</w:t>
            </w:r>
          </w:p>
        </w:tc>
        <w:tc>
          <w:tcPr>
            <w:tcW w:w="195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80,364,117.70 </w:t>
            </w:r>
          </w:p>
        </w:tc>
        <w:tc>
          <w:tcPr>
            <w:tcW w:w="2170"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val="en-PH" w:eastAsia="en-PH"/>
              </w:rPr>
              <w:t xml:space="preserve">55,397,989.59 </w:t>
            </w:r>
          </w:p>
        </w:tc>
      </w:tr>
      <w:tr>
        <w:trPr>
          <w:trHeight w:val="283"/>
        </w:trPr>
        <w:tc>
          <w:tcPr>
            <w:tcW w:w="42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Collections during the year</w:t>
            </w:r>
          </w:p>
        </w:tc>
        <w:tc>
          <w:tcPr>
            <w:tcW w:w="195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(60,429,884.91) </w:t>
            </w:r>
          </w:p>
        </w:tc>
        <w:tc>
          <w:tcPr>
            <w:tcW w:w="2170"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(55,397,989.59)</w:t>
            </w:r>
          </w:p>
        </w:tc>
      </w:tr>
      <w:tr>
        <w:trPr>
          <w:trHeight w:val="283"/>
        </w:trPr>
        <w:tc>
          <w:tcPr>
            <w:tcW w:w="4236" w:type="dxa"/>
            <w:tcBorders>
              <w:top w:val="nil"/>
              <w:left w:val="nil"/>
              <w:bottom w:val="nil"/>
              <w:right w:val="nil"/>
            </w:tcBorders>
            <w:shd w:val="clear" w:color="auto" w:fill="auto"/>
            <w:vAlign w:val="center"/>
          </w:tcPr>
          <w:p>
            <w:pPr>
              <w:rPr>
                <w:sz w:val="24"/>
                <w:szCs w:val="24"/>
                <w:lang w:val="en-PH" w:eastAsia="en-PH"/>
              </w:rPr>
            </w:pPr>
            <w:r>
              <w:rPr>
                <w:sz w:val="24"/>
                <w:szCs w:val="24"/>
                <w:lang w:val="en-PH" w:eastAsia="en-PH"/>
              </w:rPr>
              <w:t>Adjustments</w:t>
            </w:r>
          </w:p>
        </w:tc>
        <w:tc>
          <w:tcPr>
            <w:tcW w:w="1957" w:type="dxa"/>
            <w:tcBorders>
              <w:top w:val="nil"/>
              <w:left w:val="nil"/>
              <w:bottom w:val="nil"/>
              <w:right w:val="nil"/>
            </w:tcBorders>
            <w:shd w:val="clear" w:color="auto" w:fill="auto"/>
            <w:vAlign w:val="center"/>
          </w:tcPr>
          <w:p>
            <w:pPr>
              <w:jc w:val="right"/>
              <w:rPr>
                <w:sz w:val="24"/>
                <w:szCs w:val="24"/>
                <w:lang w:val="en-PH" w:eastAsia="en-PH"/>
              </w:rPr>
            </w:pPr>
            <w:r>
              <w:rPr>
                <w:sz w:val="24"/>
                <w:szCs w:val="24"/>
                <w:lang w:val="en-PH" w:eastAsia="en-PH"/>
              </w:rPr>
              <w:t>37,343,552.49</w:t>
            </w:r>
          </w:p>
        </w:tc>
        <w:tc>
          <w:tcPr>
            <w:tcW w:w="2170"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lang w:val="en-PH" w:eastAsia="en-PH"/>
              </w:rPr>
              <w:t>0.00</w:t>
            </w:r>
          </w:p>
        </w:tc>
      </w:tr>
      <w:tr>
        <w:trPr>
          <w:trHeight w:val="283"/>
        </w:trPr>
        <w:tc>
          <w:tcPr>
            <w:tcW w:w="423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Ending Balance</w:t>
            </w:r>
          </w:p>
        </w:tc>
        <w:tc>
          <w:tcPr>
            <w:tcW w:w="1957"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57,277,785.28</w:t>
            </w:r>
          </w:p>
        </w:tc>
        <w:tc>
          <w:tcPr>
            <w:tcW w:w="2170"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0.00   </w:t>
            </w:r>
          </w:p>
        </w:tc>
      </w:tr>
    </w:tbl>
    <w:p>
      <w:pPr>
        <w:jc w:val="both"/>
        <w:rPr>
          <w:sz w:val="24"/>
          <w:szCs w:val="24"/>
        </w:rPr>
      </w:pPr>
    </w:p>
    <w:p>
      <w:pPr>
        <w:spacing w:line="276" w:lineRule="auto"/>
        <w:ind w:left="1440"/>
        <w:jc w:val="both"/>
        <w:rPr>
          <w:sz w:val="24"/>
          <w:szCs w:val="24"/>
        </w:rPr>
      </w:pPr>
      <w:r>
        <w:rPr>
          <w:sz w:val="24"/>
          <w:szCs w:val="24"/>
        </w:rPr>
        <w:t>The adjustment made on this account is the true up value of establishment of special education tax receivable for the year 2020 and 2021 amounting to Php 10,777,670.28 and Php 26,565,882.21 respectively.</w:t>
      </w:r>
    </w:p>
    <w:p>
      <w:pPr>
        <w:jc w:val="both"/>
        <w:rPr>
          <w:sz w:val="24"/>
          <w:szCs w:val="24"/>
        </w:rPr>
      </w:pPr>
    </w:p>
    <w:p>
      <w:pPr>
        <w:ind w:left="2127" w:hanging="709"/>
        <w:jc w:val="both"/>
        <w:rPr>
          <w:b/>
          <w:bCs/>
          <w:sz w:val="24"/>
          <w:szCs w:val="24"/>
        </w:rPr>
      </w:pPr>
      <w:r>
        <w:rPr>
          <w:b/>
          <w:bCs/>
          <w:sz w:val="24"/>
          <w:szCs w:val="24"/>
        </w:rPr>
        <w:t xml:space="preserve">6.1.4 </w:t>
      </w:r>
      <w:r>
        <w:rPr>
          <w:b/>
          <w:bCs/>
          <w:sz w:val="24"/>
          <w:szCs w:val="24"/>
        </w:rPr>
        <w:tab/>
        <w:t>Loans Receivable – Others</w:t>
      </w:r>
    </w:p>
    <w:p>
      <w:pPr>
        <w:ind w:left="2160"/>
        <w:jc w:val="both"/>
        <w:rPr>
          <w:b/>
          <w:bCs/>
          <w:sz w:val="24"/>
          <w:szCs w:val="24"/>
        </w:rPr>
      </w:pPr>
    </w:p>
    <w:p>
      <w:pPr>
        <w:spacing w:line="276" w:lineRule="auto"/>
        <w:ind w:left="1418"/>
        <w:jc w:val="both"/>
        <w:rPr>
          <w:sz w:val="24"/>
          <w:szCs w:val="24"/>
        </w:rPr>
      </w:pPr>
      <w:r>
        <w:rPr>
          <w:sz w:val="24"/>
          <w:szCs w:val="24"/>
        </w:rPr>
        <w:t>Loan Receivables – Others are the various type of livelihood assistance thru loans granted to qualified beneficiaries both individuals and cooperatives. The following are the types of livelihood loans with their balances as of December 31, 2022.</w:t>
      </w:r>
    </w:p>
    <w:p>
      <w:pPr>
        <w:jc w:val="both"/>
        <w:rPr>
          <w:sz w:val="24"/>
          <w:szCs w:val="24"/>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1560"/>
        <w:gridCol w:w="1417"/>
        <w:gridCol w:w="1417"/>
        <w:gridCol w:w="1418"/>
      </w:tblGrid>
      <w:tr>
        <w:trPr>
          <w:trHeight w:val="283"/>
          <w:tblHeader/>
        </w:trPr>
        <w:tc>
          <w:tcPr>
            <w:tcW w:w="2551" w:type="dxa"/>
            <w:shd w:val="clear" w:color="auto" w:fill="auto"/>
            <w:vAlign w:val="center"/>
            <w:hideMark/>
          </w:tcPr>
          <w:p>
            <w:pPr>
              <w:jc w:val="center"/>
              <w:rPr>
                <w:b/>
                <w:bCs/>
                <w:lang w:val="en-PH" w:eastAsia="en-PH"/>
              </w:rPr>
            </w:pPr>
            <w:r>
              <w:rPr>
                <w:b/>
                <w:bCs/>
                <w:lang w:val="en-PH" w:eastAsia="en-PH"/>
              </w:rPr>
              <w:t>Type of Livelihood Loans</w:t>
            </w:r>
          </w:p>
        </w:tc>
        <w:tc>
          <w:tcPr>
            <w:tcW w:w="1560" w:type="dxa"/>
            <w:shd w:val="clear" w:color="auto" w:fill="auto"/>
            <w:vAlign w:val="center"/>
            <w:hideMark/>
          </w:tcPr>
          <w:p>
            <w:pPr>
              <w:jc w:val="center"/>
              <w:rPr>
                <w:b/>
                <w:bCs/>
                <w:lang w:val="en-PH" w:eastAsia="en-PH"/>
              </w:rPr>
            </w:pPr>
            <w:r>
              <w:rPr>
                <w:b/>
                <w:bCs/>
                <w:lang w:val="en-PH" w:eastAsia="en-PH"/>
              </w:rPr>
              <w:t xml:space="preserve"> Beginning Balance </w:t>
            </w:r>
          </w:p>
        </w:tc>
        <w:tc>
          <w:tcPr>
            <w:tcW w:w="1417" w:type="dxa"/>
            <w:shd w:val="clear" w:color="auto" w:fill="auto"/>
            <w:vAlign w:val="center"/>
            <w:hideMark/>
          </w:tcPr>
          <w:p>
            <w:pPr>
              <w:jc w:val="center"/>
              <w:rPr>
                <w:b/>
                <w:bCs/>
                <w:lang w:val="en-PH" w:eastAsia="en-PH"/>
              </w:rPr>
            </w:pPr>
            <w:r>
              <w:rPr>
                <w:b/>
                <w:bCs/>
                <w:lang w:val="en-PH" w:eastAsia="en-PH"/>
              </w:rPr>
              <w:t xml:space="preserve"> Grants during the year </w:t>
            </w:r>
          </w:p>
        </w:tc>
        <w:tc>
          <w:tcPr>
            <w:tcW w:w="1417" w:type="dxa"/>
            <w:shd w:val="clear" w:color="auto" w:fill="auto"/>
            <w:vAlign w:val="center"/>
            <w:hideMark/>
          </w:tcPr>
          <w:p>
            <w:pPr>
              <w:jc w:val="center"/>
              <w:rPr>
                <w:b/>
                <w:bCs/>
                <w:lang w:val="en-PH" w:eastAsia="en-PH"/>
              </w:rPr>
            </w:pPr>
            <w:r>
              <w:rPr>
                <w:b/>
                <w:bCs/>
                <w:lang w:val="en-PH" w:eastAsia="en-PH"/>
              </w:rPr>
              <w:t xml:space="preserve"> Collection during the year </w:t>
            </w:r>
          </w:p>
        </w:tc>
        <w:tc>
          <w:tcPr>
            <w:tcW w:w="1418" w:type="dxa"/>
            <w:shd w:val="clear" w:color="auto" w:fill="auto"/>
            <w:vAlign w:val="center"/>
            <w:hideMark/>
          </w:tcPr>
          <w:p>
            <w:pPr>
              <w:jc w:val="center"/>
              <w:rPr>
                <w:b/>
                <w:bCs/>
                <w:lang w:val="en-PH" w:eastAsia="en-PH"/>
              </w:rPr>
            </w:pPr>
            <w:r>
              <w:rPr>
                <w:b/>
                <w:bCs/>
                <w:lang w:val="en-PH" w:eastAsia="en-PH"/>
              </w:rPr>
              <w:t xml:space="preserve"> Ending Balance </w:t>
            </w:r>
          </w:p>
        </w:tc>
      </w:tr>
      <w:tr>
        <w:trPr>
          <w:trHeight w:val="283"/>
        </w:trPr>
        <w:tc>
          <w:tcPr>
            <w:tcW w:w="2551" w:type="dxa"/>
            <w:shd w:val="clear" w:color="auto" w:fill="auto"/>
            <w:noWrap/>
            <w:vAlign w:val="center"/>
            <w:hideMark/>
          </w:tcPr>
          <w:p>
            <w:pPr>
              <w:rPr>
                <w:lang w:val="en-PH" w:eastAsia="en-PH"/>
              </w:rPr>
            </w:pPr>
            <w:r>
              <w:rPr>
                <w:lang w:val="en-PH" w:eastAsia="en-PH"/>
              </w:rPr>
              <w:t>Loans to various Coop</w:t>
            </w:r>
          </w:p>
        </w:tc>
        <w:tc>
          <w:tcPr>
            <w:tcW w:w="1560" w:type="dxa"/>
            <w:shd w:val="clear" w:color="auto" w:fill="auto"/>
            <w:noWrap/>
            <w:vAlign w:val="center"/>
            <w:hideMark/>
          </w:tcPr>
          <w:p>
            <w:pPr>
              <w:jc w:val="right"/>
              <w:rPr>
                <w:lang w:val="en-PH" w:eastAsia="en-PH"/>
              </w:rPr>
            </w:pPr>
            <w:r>
              <w:rPr>
                <w:lang w:val="en-PH" w:eastAsia="en-PH"/>
              </w:rPr>
              <w:t>3,743,240.28</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3,743,240.28</w:t>
            </w:r>
          </w:p>
        </w:tc>
      </w:tr>
      <w:tr>
        <w:trPr>
          <w:trHeight w:val="283"/>
        </w:trPr>
        <w:tc>
          <w:tcPr>
            <w:tcW w:w="2551" w:type="dxa"/>
            <w:shd w:val="clear" w:color="auto" w:fill="auto"/>
            <w:noWrap/>
            <w:vAlign w:val="center"/>
            <w:hideMark/>
          </w:tcPr>
          <w:p>
            <w:pPr>
              <w:rPr>
                <w:lang w:val="en-PH" w:eastAsia="en-PH"/>
              </w:rPr>
            </w:pPr>
            <w:r>
              <w:rPr>
                <w:lang w:val="en-PH" w:eastAsia="en-PH"/>
              </w:rPr>
              <w:t>Soft Loan receivables</w:t>
            </w:r>
          </w:p>
        </w:tc>
        <w:tc>
          <w:tcPr>
            <w:tcW w:w="1560" w:type="dxa"/>
            <w:shd w:val="clear" w:color="auto" w:fill="auto"/>
            <w:noWrap/>
            <w:vAlign w:val="center"/>
            <w:hideMark/>
          </w:tcPr>
          <w:p>
            <w:pPr>
              <w:jc w:val="right"/>
              <w:rPr>
                <w:lang w:val="en-PH" w:eastAsia="en-PH"/>
              </w:rPr>
            </w:pPr>
            <w:r>
              <w:rPr>
                <w:lang w:val="en-PH" w:eastAsia="en-PH"/>
              </w:rPr>
              <w:t>1,873,319.88</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1,873,319.88</w:t>
            </w:r>
          </w:p>
        </w:tc>
      </w:tr>
      <w:tr>
        <w:trPr>
          <w:trHeight w:val="283"/>
        </w:trPr>
        <w:tc>
          <w:tcPr>
            <w:tcW w:w="2551" w:type="dxa"/>
            <w:shd w:val="clear" w:color="auto" w:fill="auto"/>
            <w:noWrap/>
            <w:vAlign w:val="center"/>
            <w:hideMark/>
          </w:tcPr>
          <w:p>
            <w:pPr>
              <w:rPr>
                <w:lang w:val="en-PH" w:eastAsia="en-PH"/>
              </w:rPr>
            </w:pPr>
            <w:r>
              <w:rPr>
                <w:lang w:val="en-PH" w:eastAsia="en-PH"/>
              </w:rPr>
              <w:t>Backyard Broiler Production</w:t>
            </w:r>
          </w:p>
        </w:tc>
        <w:tc>
          <w:tcPr>
            <w:tcW w:w="1560" w:type="dxa"/>
            <w:shd w:val="clear" w:color="auto" w:fill="auto"/>
            <w:noWrap/>
            <w:vAlign w:val="center"/>
            <w:hideMark/>
          </w:tcPr>
          <w:p>
            <w:pPr>
              <w:jc w:val="right"/>
              <w:rPr>
                <w:lang w:val="en-PH" w:eastAsia="en-PH"/>
              </w:rPr>
            </w:pPr>
            <w:r>
              <w:rPr>
                <w:lang w:val="en-PH" w:eastAsia="en-PH"/>
              </w:rPr>
              <w:t>2,703,943.95</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2,703,943.95</w:t>
            </w:r>
          </w:p>
        </w:tc>
      </w:tr>
      <w:tr>
        <w:trPr>
          <w:trHeight w:val="283"/>
        </w:trPr>
        <w:tc>
          <w:tcPr>
            <w:tcW w:w="2551" w:type="dxa"/>
            <w:shd w:val="clear" w:color="auto" w:fill="auto"/>
            <w:noWrap/>
            <w:vAlign w:val="center"/>
            <w:hideMark/>
          </w:tcPr>
          <w:p>
            <w:pPr>
              <w:rPr>
                <w:lang w:val="en-PH" w:eastAsia="en-PH"/>
              </w:rPr>
            </w:pPr>
            <w:r>
              <w:rPr>
                <w:lang w:val="en-PH" w:eastAsia="en-PH"/>
              </w:rPr>
              <w:t>Meat Processing Livelihood</w:t>
            </w:r>
          </w:p>
        </w:tc>
        <w:tc>
          <w:tcPr>
            <w:tcW w:w="1560" w:type="dxa"/>
            <w:shd w:val="clear" w:color="auto" w:fill="auto"/>
            <w:noWrap/>
            <w:vAlign w:val="center"/>
            <w:hideMark/>
          </w:tcPr>
          <w:p>
            <w:pPr>
              <w:ind w:firstLineChars="200" w:firstLine="400"/>
              <w:jc w:val="right"/>
              <w:rPr>
                <w:lang w:val="en-PH" w:eastAsia="en-PH"/>
              </w:rPr>
            </w:pPr>
            <w:r>
              <w:rPr>
                <w:lang w:val="en-PH" w:eastAsia="en-PH"/>
              </w:rPr>
              <w:t>22,250.00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22,250.00</w:t>
            </w:r>
          </w:p>
        </w:tc>
      </w:tr>
      <w:tr>
        <w:trPr>
          <w:trHeight w:val="283"/>
        </w:trPr>
        <w:tc>
          <w:tcPr>
            <w:tcW w:w="2551" w:type="dxa"/>
            <w:shd w:val="clear" w:color="auto" w:fill="auto"/>
            <w:noWrap/>
            <w:vAlign w:val="center"/>
            <w:hideMark/>
          </w:tcPr>
          <w:p>
            <w:pPr>
              <w:rPr>
                <w:lang w:val="en-PH" w:eastAsia="en-PH"/>
              </w:rPr>
            </w:pPr>
            <w:r>
              <w:rPr>
                <w:lang w:val="en-PH" w:eastAsia="en-PH"/>
              </w:rPr>
              <w:t>Swine Livelihood</w:t>
            </w:r>
          </w:p>
        </w:tc>
        <w:tc>
          <w:tcPr>
            <w:tcW w:w="1560" w:type="dxa"/>
            <w:shd w:val="clear" w:color="auto" w:fill="auto"/>
            <w:noWrap/>
            <w:vAlign w:val="center"/>
            <w:hideMark/>
          </w:tcPr>
          <w:p>
            <w:pPr>
              <w:jc w:val="right"/>
              <w:rPr>
                <w:lang w:val="en-PH" w:eastAsia="en-PH"/>
              </w:rPr>
            </w:pPr>
            <w:r>
              <w:rPr>
                <w:lang w:val="en-PH" w:eastAsia="en-PH"/>
              </w:rPr>
              <w:t>1,965,221.00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1,965,221.00</w:t>
            </w:r>
          </w:p>
        </w:tc>
      </w:tr>
      <w:tr>
        <w:trPr>
          <w:trHeight w:val="283"/>
        </w:trPr>
        <w:tc>
          <w:tcPr>
            <w:tcW w:w="2551" w:type="dxa"/>
            <w:shd w:val="clear" w:color="auto" w:fill="auto"/>
            <w:noWrap/>
            <w:vAlign w:val="center"/>
            <w:hideMark/>
          </w:tcPr>
          <w:p>
            <w:pPr>
              <w:rPr>
                <w:lang w:val="en-PH" w:eastAsia="en-PH"/>
              </w:rPr>
            </w:pPr>
            <w:r>
              <w:rPr>
                <w:lang w:val="en-PH" w:eastAsia="en-PH"/>
              </w:rPr>
              <w:t>Microbiz Livelihood</w:t>
            </w:r>
          </w:p>
        </w:tc>
        <w:tc>
          <w:tcPr>
            <w:tcW w:w="1560" w:type="dxa"/>
            <w:shd w:val="clear" w:color="auto" w:fill="auto"/>
            <w:noWrap/>
            <w:vAlign w:val="center"/>
            <w:hideMark/>
          </w:tcPr>
          <w:p>
            <w:pPr>
              <w:jc w:val="right"/>
              <w:rPr>
                <w:lang w:val="en-PH" w:eastAsia="en-PH"/>
              </w:rPr>
            </w:pPr>
            <w:r>
              <w:rPr>
                <w:lang w:val="en-PH" w:eastAsia="en-PH"/>
              </w:rPr>
              <w:t>3,824,086.46</w:t>
            </w:r>
          </w:p>
        </w:tc>
        <w:tc>
          <w:tcPr>
            <w:tcW w:w="1417" w:type="dxa"/>
            <w:shd w:val="clear" w:color="auto" w:fill="auto"/>
            <w:noWrap/>
            <w:vAlign w:val="center"/>
            <w:hideMark/>
          </w:tcPr>
          <w:p>
            <w:pPr>
              <w:jc w:val="right"/>
              <w:rPr>
                <w:lang w:val="en-PH" w:eastAsia="en-PH"/>
              </w:rPr>
            </w:pPr>
            <w:r>
              <w:rPr>
                <w:lang w:val="en-PH" w:eastAsia="en-PH"/>
              </w:rPr>
              <w:t>1,566,000.00</w:t>
            </w:r>
          </w:p>
        </w:tc>
        <w:tc>
          <w:tcPr>
            <w:tcW w:w="1417" w:type="dxa"/>
            <w:shd w:val="clear" w:color="auto" w:fill="auto"/>
            <w:noWrap/>
            <w:vAlign w:val="center"/>
            <w:hideMark/>
          </w:tcPr>
          <w:p>
            <w:pPr>
              <w:jc w:val="right"/>
              <w:rPr>
                <w:lang w:val="en-PH" w:eastAsia="en-PH"/>
              </w:rPr>
            </w:pPr>
            <w:r>
              <w:rPr>
                <w:lang w:val="en-PH" w:eastAsia="en-PH"/>
              </w:rPr>
              <w:t>321,728.50</w:t>
            </w:r>
          </w:p>
        </w:tc>
        <w:tc>
          <w:tcPr>
            <w:tcW w:w="1418" w:type="dxa"/>
            <w:shd w:val="clear" w:color="auto" w:fill="auto"/>
            <w:noWrap/>
            <w:vAlign w:val="center"/>
            <w:hideMark/>
          </w:tcPr>
          <w:p>
            <w:pPr>
              <w:jc w:val="right"/>
              <w:rPr>
                <w:lang w:val="en-PH" w:eastAsia="en-PH"/>
              </w:rPr>
            </w:pPr>
            <w:r>
              <w:rPr>
                <w:lang w:val="en-PH" w:eastAsia="en-PH"/>
              </w:rPr>
              <w:t>5,068,357.96</w:t>
            </w:r>
          </w:p>
        </w:tc>
      </w:tr>
      <w:tr>
        <w:trPr>
          <w:trHeight w:val="283"/>
        </w:trPr>
        <w:tc>
          <w:tcPr>
            <w:tcW w:w="2551" w:type="dxa"/>
            <w:shd w:val="clear" w:color="auto" w:fill="auto"/>
            <w:noWrap/>
            <w:vAlign w:val="center"/>
            <w:hideMark/>
          </w:tcPr>
          <w:p>
            <w:pPr>
              <w:rPr>
                <w:lang w:val="en-PH" w:eastAsia="en-PH"/>
              </w:rPr>
            </w:pPr>
            <w:r>
              <w:rPr>
                <w:lang w:val="en-PH" w:eastAsia="en-PH"/>
              </w:rPr>
              <w:t>Corn Production Livelihood</w:t>
            </w:r>
          </w:p>
        </w:tc>
        <w:tc>
          <w:tcPr>
            <w:tcW w:w="1560" w:type="dxa"/>
            <w:shd w:val="clear" w:color="auto" w:fill="auto"/>
            <w:noWrap/>
            <w:vAlign w:val="center"/>
            <w:hideMark/>
          </w:tcPr>
          <w:p>
            <w:pPr>
              <w:ind w:firstLineChars="200" w:firstLine="400"/>
              <w:jc w:val="right"/>
              <w:rPr>
                <w:lang w:val="en-PH" w:eastAsia="en-PH"/>
              </w:rPr>
            </w:pPr>
            <w:r>
              <w:rPr>
                <w:lang w:val="en-PH" w:eastAsia="en-PH"/>
              </w:rPr>
              <w:t>365,200.00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365,200.00</w:t>
            </w:r>
          </w:p>
        </w:tc>
      </w:tr>
      <w:tr>
        <w:trPr>
          <w:trHeight w:val="283"/>
        </w:trPr>
        <w:tc>
          <w:tcPr>
            <w:tcW w:w="2551" w:type="dxa"/>
            <w:shd w:val="clear" w:color="auto" w:fill="auto"/>
            <w:noWrap/>
            <w:vAlign w:val="center"/>
            <w:hideMark/>
          </w:tcPr>
          <w:p>
            <w:pPr>
              <w:rPr>
                <w:lang w:val="en-PH" w:eastAsia="en-PH"/>
              </w:rPr>
            </w:pPr>
            <w:r>
              <w:rPr>
                <w:lang w:val="en-PH" w:eastAsia="en-PH"/>
              </w:rPr>
              <w:t>PNPL Rubber Seeds Livelihood</w:t>
            </w:r>
          </w:p>
        </w:tc>
        <w:tc>
          <w:tcPr>
            <w:tcW w:w="1560" w:type="dxa"/>
            <w:shd w:val="clear" w:color="auto" w:fill="auto"/>
            <w:noWrap/>
            <w:vAlign w:val="center"/>
            <w:hideMark/>
          </w:tcPr>
          <w:p>
            <w:pPr>
              <w:ind w:firstLineChars="200" w:firstLine="400"/>
              <w:jc w:val="right"/>
              <w:rPr>
                <w:lang w:val="en-PH" w:eastAsia="en-PH"/>
              </w:rPr>
            </w:pPr>
            <w:r>
              <w:rPr>
                <w:lang w:val="en-PH" w:eastAsia="en-PH"/>
              </w:rPr>
              <w:t>531,500.00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531,500.00</w:t>
            </w:r>
          </w:p>
        </w:tc>
      </w:tr>
      <w:tr>
        <w:trPr>
          <w:trHeight w:val="283"/>
        </w:trPr>
        <w:tc>
          <w:tcPr>
            <w:tcW w:w="2551" w:type="dxa"/>
            <w:shd w:val="clear" w:color="auto" w:fill="auto"/>
            <w:noWrap/>
            <w:vAlign w:val="center"/>
            <w:hideMark/>
          </w:tcPr>
          <w:p>
            <w:pPr>
              <w:rPr>
                <w:lang w:val="en-PH" w:eastAsia="en-PH"/>
              </w:rPr>
            </w:pPr>
            <w:r>
              <w:rPr>
                <w:lang w:val="en-PH" w:eastAsia="en-PH"/>
              </w:rPr>
              <w:t>Backyard Native Chicken Production</w:t>
            </w:r>
          </w:p>
        </w:tc>
        <w:tc>
          <w:tcPr>
            <w:tcW w:w="1560" w:type="dxa"/>
            <w:shd w:val="clear" w:color="auto" w:fill="auto"/>
            <w:noWrap/>
            <w:vAlign w:val="center"/>
            <w:hideMark/>
          </w:tcPr>
          <w:p>
            <w:pPr>
              <w:ind w:firstLineChars="200" w:firstLine="400"/>
              <w:jc w:val="right"/>
              <w:rPr>
                <w:lang w:val="en-PH" w:eastAsia="en-PH"/>
              </w:rPr>
            </w:pPr>
            <w:r>
              <w:rPr>
                <w:lang w:val="en-PH" w:eastAsia="en-PH"/>
              </w:rPr>
              <w:t>388,246.00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388,246.00</w:t>
            </w:r>
          </w:p>
        </w:tc>
      </w:tr>
      <w:tr>
        <w:trPr>
          <w:trHeight w:val="283"/>
        </w:trPr>
        <w:tc>
          <w:tcPr>
            <w:tcW w:w="2551" w:type="dxa"/>
            <w:shd w:val="clear" w:color="auto" w:fill="auto"/>
            <w:noWrap/>
            <w:vAlign w:val="center"/>
            <w:hideMark/>
          </w:tcPr>
          <w:p>
            <w:pPr>
              <w:rPr>
                <w:lang w:val="en-PH" w:eastAsia="en-PH"/>
              </w:rPr>
            </w:pPr>
            <w:r>
              <w:rPr>
                <w:lang w:val="en-PH" w:eastAsia="en-PH"/>
              </w:rPr>
              <w:t>Tilapia Production</w:t>
            </w:r>
          </w:p>
        </w:tc>
        <w:tc>
          <w:tcPr>
            <w:tcW w:w="1560" w:type="dxa"/>
            <w:shd w:val="clear" w:color="auto" w:fill="auto"/>
            <w:noWrap/>
            <w:vAlign w:val="center"/>
            <w:hideMark/>
          </w:tcPr>
          <w:p>
            <w:pPr>
              <w:ind w:firstLineChars="200" w:firstLine="400"/>
              <w:jc w:val="right"/>
              <w:rPr>
                <w:lang w:val="en-PH" w:eastAsia="en-PH"/>
              </w:rPr>
            </w:pPr>
            <w:r>
              <w:rPr>
                <w:lang w:val="en-PH" w:eastAsia="en-PH"/>
              </w:rPr>
              <w:t>22,624.00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22,624.00</w:t>
            </w:r>
          </w:p>
        </w:tc>
      </w:tr>
      <w:tr>
        <w:trPr>
          <w:trHeight w:val="283"/>
        </w:trPr>
        <w:tc>
          <w:tcPr>
            <w:tcW w:w="2551" w:type="dxa"/>
            <w:shd w:val="clear" w:color="auto" w:fill="auto"/>
            <w:noWrap/>
            <w:vAlign w:val="center"/>
            <w:hideMark/>
          </w:tcPr>
          <w:p>
            <w:pPr>
              <w:rPr>
                <w:lang w:val="en-PH" w:eastAsia="en-PH"/>
              </w:rPr>
            </w:pPr>
            <w:r>
              <w:rPr>
                <w:lang w:val="en-PH" w:eastAsia="en-PH"/>
              </w:rPr>
              <w:t>Cattle Production</w:t>
            </w:r>
          </w:p>
        </w:tc>
        <w:tc>
          <w:tcPr>
            <w:tcW w:w="1560" w:type="dxa"/>
            <w:shd w:val="clear" w:color="auto" w:fill="auto"/>
            <w:noWrap/>
            <w:vAlign w:val="center"/>
            <w:hideMark/>
          </w:tcPr>
          <w:p>
            <w:pPr>
              <w:ind w:firstLineChars="200" w:firstLine="400"/>
              <w:jc w:val="right"/>
              <w:rPr>
                <w:lang w:val="en-PH" w:eastAsia="en-PH"/>
              </w:rPr>
            </w:pPr>
            <w:r>
              <w:rPr>
                <w:lang w:val="en-PH" w:eastAsia="en-PH"/>
              </w:rPr>
              <w:t>215,000.00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215,000.00</w:t>
            </w:r>
          </w:p>
        </w:tc>
      </w:tr>
      <w:tr>
        <w:trPr>
          <w:trHeight w:val="283"/>
        </w:trPr>
        <w:tc>
          <w:tcPr>
            <w:tcW w:w="2551" w:type="dxa"/>
            <w:shd w:val="clear" w:color="auto" w:fill="auto"/>
            <w:noWrap/>
            <w:vAlign w:val="center"/>
            <w:hideMark/>
          </w:tcPr>
          <w:p>
            <w:pPr>
              <w:rPr>
                <w:lang w:val="en-PH" w:eastAsia="en-PH"/>
              </w:rPr>
            </w:pPr>
            <w:r>
              <w:rPr>
                <w:lang w:val="en-PH" w:eastAsia="en-PH"/>
              </w:rPr>
              <w:t>Rabbit Prodn Livelihood</w:t>
            </w:r>
          </w:p>
        </w:tc>
        <w:tc>
          <w:tcPr>
            <w:tcW w:w="1560" w:type="dxa"/>
            <w:shd w:val="clear" w:color="auto" w:fill="auto"/>
            <w:noWrap/>
            <w:vAlign w:val="center"/>
            <w:hideMark/>
          </w:tcPr>
          <w:p>
            <w:pPr>
              <w:ind w:firstLineChars="200" w:firstLine="400"/>
              <w:jc w:val="right"/>
              <w:rPr>
                <w:lang w:val="en-PH" w:eastAsia="en-PH"/>
              </w:rPr>
            </w:pPr>
            <w:r>
              <w:rPr>
                <w:lang w:val="en-PH" w:eastAsia="en-PH"/>
              </w:rPr>
              <w:t>45,600.00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45,600.00</w:t>
            </w:r>
          </w:p>
        </w:tc>
      </w:tr>
      <w:tr>
        <w:trPr>
          <w:trHeight w:val="283"/>
        </w:trPr>
        <w:tc>
          <w:tcPr>
            <w:tcW w:w="2551" w:type="dxa"/>
            <w:shd w:val="clear" w:color="auto" w:fill="auto"/>
            <w:noWrap/>
            <w:vAlign w:val="center"/>
            <w:hideMark/>
          </w:tcPr>
          <w:p>
            <w:pPr>
              <w:rPr>
                <w:lang w:val="en-PH" w:eastAsia="en-PH"/>
              </w:rPr>
            </w:pPr>
            <w:r>
              <w:rPr>
                <w:lang w:val="en-PH" w:eastAsia="en-PH"/>
              </w:rPr>
              <w:t>Cacao Production PNPL</w:t>
            </w:r>
          </w:p>
        </w:tc>
        <w:tc>
          <w:tcPr>
            <w:tcW w:w="1560" w:type="dxa"/>
            <w:shd w:val="clear" w:color="auto" w:fill="auto"/>
            <w:noWrap/>
            <w:vAlign w:val="center"/>
            <w:hideMark/>
          </w:tcPr>
          <w:p>
            <w:pPr>
              <w:jc w:val="right"/>
              <w:rPr>
                <w:lang w:val="en-PH" w:eastAsia="en-PH"/>
              </w:rPr>
            </w:pPr>
            <w:r>
              <w:rPr>
                <w:lang w:val="en-PH" w:eastAsia="en-PH"/>
              </w:rPr>
              <w:t>1,883,753.00</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1,883,753.00</w:t>
            </w:r>
          </w:p>
        </w:tc>
      </w:tr>
      <w:tr>
        <w:trPr>
          <w:trHeight w:val="283"/>
        </w:trPr>
        <w:tc>
          <w:tcPr>
            <w:tcW w:w="2551" w:type="dxa"/>
            <w:shd w:val="clear" w:color="auto" w:fill="auto"/>
            <w:noWrap/>
            <w:vAlign w:val="center"/>
            <w:hideMark/>
          </w:tcPr>
          <w:p>
            <w:pPr>
              <w:rPr>
                <w:lang w:val="en-PH" w:eastAsia="en-PH"/>
              </w:rPr>
            </w:pPr>
            <w:r>
              <w:rPr>
                <w:lang w:val="en-PH" w:eastAsia="en-PH"/>
              </w:rPr>
              <w:t>Joesil Grow Micro Program</w:t>
            </w:r>
          </w:p>
        </w:tc>
        <w:tc>
          <w:tcPr>
            <w:tcW w:w="1560" w:type="dxa"/>
            <w:shd w:val="clear" w:color="auto" w:fill="auto"/>
            <w:noWrap/>
            <w:vAlign w:val="center"/>
            <w:hideMark/>
          </w:tcPr>
          <w:p>
            <w:pPr>
              <w:ind w:firstLineChars="200" w:firstLine="400"/>
              <w:jc w:val="right"/>
              <w:rPr>
                <w:lang w:val="en-PH" w:eastAsia="en-PH"/>
              </w:rPr>
            </w:pPr>
            <w:r>
              <w:rPr>
                <w:lang w:val="en-PH" w:eastAsia="en-PH"/>
              </w:rPr>
              <w:t>456,359.11</w:t>
            </w:r>
          </w:p>
        </w:tc>
        <w:tc>
          <w:tcPr>
            <w:tcW w:w="1417" w:type="dxa"/>
            <w:shd w:val="clear" w:color="auto" w:fill="auto"/>
            <w:noWrap/>
            <w:vAlign w:val="center"/>
            <w:hideMark/>
          </w:tcPr>
          <w:p>
            <w:pPr>
              <w:jc w:val="right"/>
              <w:rPr>
                <w:lang w:val="en-PH" w:eastAsia="en-PH"/>
              </w:rPr>
            </w:pPr>
          </w:p>
        </w:tc>
        <w:tc>
          <w:tcPr>
            <w:tcW w:w="1417" w:type="dxa"/>
            <w:shd w:val="clear" w:color="auto" w:fill="auto"/>
            <w:noWrap/>
            <w:vAlign w:val="center"/>
            <w:hideMark/>
          </w:tcPr>
          <w:p>
            <w:pPr>
              <w:jc w:val="right"/>
              <w:rPr>
                <w:lang w:val="en-PH" w:eastAsia="en-PH"/>
              </w:rPr>
            </w:pPr>
          </w:p>
        </w:tc>
        <w:tc>
          <w:tcPr>
            <w:tcW w:w="1418" w:type="dxa"/>
            <w:shd w:val="clear" w:color="auto" w:fill="auto"/>
            <w:noWrap/>
            <w:vAlign w:val="center"/>
            <w:hideMark/>
          </w:tcPr>
          <w:p>
            <w:pPr>
              <w:jc w:val="right"/>
              <w:rPr>
                <w:lang w:val="en-PH" w:eastAsia="en-PH"/>
              </w:rPr>
            </w:pPr>
            <w:r>
              <w:rPr>
                <w:lang w:val="en-PH" w:eastAsia="en-PH"/>
              </w:rPr>
              <w:t>456,359.11</w:t>
            </w:r>
          </w:p>
        </w:tc>
      </w:tr>
      <w:tr>
        <w:trPr>
          <w:trHeight w:val="283"/>
        </w:trPr>
        <w:tc>
          <w:tcPr>
            <w:tcW w:w="2551" w:type="dxa"/>
            <w:shd w:val="clear" w:color="auto" w:fill="auto"/>
            <w:vAlign w:val="center"/>
            <w:hideMark/>
          </w:tcPr>
          <w:p>
            <w:pPr>
              <w:jc w:val="right"/>
              <w:rPr>
                <w:b/>
                <w:bCs/>
                <w:lang w:val="en-PH" w:eastAsia="en-PH"/>
              </w:rPr>
            </w:pPr>
            <w:r>
              <w:rPr>
                <w:b/>
                <w:bCs/>
                <w:lang w:val="en-PH" w:eastAsia="en-PH"/>
              </w:rPr>
              <w:t>Grand Total</w:t>
            </w:r>
          </w:p>
        </w:tc>
        <w:tc>
          <w:tcPr>
            <w:tcW w:w="1560" w:type="dxa"/>
            <w:shd w:val="clear" w:color="auto" w:fill="auto"/>
            <w:noWrap/>
            <w:vAlign w:val="center"/>
            <w:hideMark/>
          </w:tcPr>
          <w:p>
            <w:pPr>
              <w:jc w:val="right"/>
              <w:rPr>
                <w:b/>
                <w:bCs/>
                <w:lang w:val="en-PH" w:eastAsia="en-PH"/>
              </w:rPr>
            </w:pPr>
            <w:r>
              <w:rPr>
                <w:b/>
                <w:bCs/>
                <w:lang w:val="en-PH" w:eastAsia="en-PH"/>
              </w:rPr>
              <w:t>18,040,343.68</w:t>
            </w:r>
          </w:p>
        </w:tc>
        <w:tc>
          <w:tcPr>
            <w:tcW w:w="1417" w:type="dxa"/>
            <w:shd w:val="clear" w:color="auto" w:fill="auto"/>
            <w:noWrap/>
            <w:vAlign w:val="center"/>
            <w:hideMark/>
          </w:tcPr>
          <w:p>
            <w:pPr>
              <w:jc w:val="right"/>
              <w:rPr>
                <w:b/>
                <w:bCs/>
                <w:lang w:val="en-PH" w:eastAsia="en-PH"/>
              </w:rPr>
            </w:pPr>
            <w:r>
              <w:rPr>
                <w:b/>
                <w:bCs/>
                <w:lang w:val="en-PH" w:eastAsia="en-PH"/>
              </w:rPr>
              <w:t>1,566,000.00</w:t>
            </w:r>
          </w:p>
        </w:tc>
        <w:tc>
          <w:tcPr>
            <w:tcW w:w="1417" w:type="dxa"/>
            <w:shd w:val="clear" w:color="auto" w:fill="auto"/>
            <w:noWrap/>
            <w:vAlign w:val="center"/>
            <w:hideMark/>
          </w:tcPr>
          <w:p>
            <w:pPr>
              <w:jc w:val="right"/>
              <w:rPr>
                <w:b/>
                <w:bCs/>
                <w:lang w:val="en-PH" w:eastAsia="en-PH"/>
              </w:rPr>
            </w:pPr>
            <w:r>
              <w:rPr>
                <w:b/>
                <w:bCs/>
                <w:lang w:val="en-PH" w:eastAsia="en-PH"/>
              </w:rPr>
              <w:t>321,728.50</w:t>
            </w:r>
          </w:p>
        </w:tc>
        <w:tc>
          <w:tcPr>
            <w:tcW w:w="1418" w:type="dxa"/>
            <w:shd w:val="clear" w:color="auto" w:fill="auto"/>
            <w:noWrap/>
            <w:vAlign w:val="center"/>
            <w:hideMark/>
          </w:tcPr>
          <w:p>
            <w:pPr>
              <w:jc w:val="right"/>
              <w:rPr>
                <w:b/>
                <w:bCs/>
                <w:lang w:val="en-PH" w:eastAsia="en-PH"/>
              </w:rPr>
            </w:pPr>
            <w:r>
              <w:rPr>
                <w:b/>
                <w:bCs/>
                <w:lang w:val="en-PH" w:eastAsia="en-PH"/>
              </w:rPr>
              <w:t>19,284,615.18</w:t>
            </w:r>
          </w:p>
        </w:tc>
      </w:tr>
    </w:tbl>
    <w:p>
      <w:pPr>
        <w:jc w:val="both"/>
        <w:rPr>
          <w:sz w:val="24"/>
          <w:szCs w:val="24"/>
        </w:rPr>
      </w:pPr>
    </w:p>
    <w:p>
      <w:pPr>
        <w:spacing w:line="276" w:lineRule="auto"/>
        <w:ind w:left="1418"/>
        <w:jc w:val="both"/>
        <w:rPr>
          <w:sz w:val="24"/>
          <w:szCs w:val="24"/>
        </w:rPr>
      </w:pPr>
      <w:r>
        <w:rPr>
          <w:sz w:val="24"/>
          <w:szCs w:val="24"/>
        </w:rPr>
        <w:t>During the year, only micro biz livelihood loans have additional grants and loan repayments from the beneficiaries. Other livelihood loans have long outstanding balances where no repayments have been received by the city government. These accounts were currently in review and reconciliation for proper actions.</w:t>
      </w:r>
    </w:p>
    <w:p>
      <w:pPr>
        <w:ind w:firstLine="720"/>
        <w:jc w:val="both"/>
        <w:rPr>
          <w:b/>
          <w:sz w:val="24"/>
          <w:szCs w:val="24"/>
        </w:rPr>
      </w:pPr>
    </w:p>
    <w:p>
      <w:pPr>
        <w:ind w:firstLine="720"/>
        <w:jc w:val="both"/>
        <w:rPr>
          <w:b/>
          <w:sz w:val="24"/>
          <w:szCs w:val="24"/>
        </w:rPr>
      </w:pPr>
    </w:p>
    <w:p>
      <w:pPr>
        <w:ind w:firstLine="720"/>
        <w:jc w:val="both"/>
        <w:rPr>
          <w:b/>
          <w:sz w:val="24"/>
          <w:szCs w:val="24"/>
        </w:rPr>
      </w:pPr>
    </w:p>
    <w:p>
      <w:pPr>
        <w:ind w:firstLine="720"/>
        <w:jc w:val="both"/>
        <w:rPr>
          <w:b/>
          <w:sz w:val="24"/>
          <w:szCs w:val="24"/>
        </w:rPr>
      </w:pPr>
      <w:r>
        <w:rPr>
          <w:b/>
          <w:sz w:val="24"/>
          <w:szCs w:val="24"/>
        </w:rPr>
        <w:t xml:space="preserve">   </w:t>
      </w:r>
      <w:r>
        <w:rPr>
          <w:b/>
          <w:sz w:val="24"/>
          <w:szCs w:val="24"/>
        </w:rPr>
        <w:tab/>
        <w:t>6.1.5 Operating Lease Receivables</w:t>
      </w:r>
    </w:p>
    <w:p>
      <w:pPr>
        <w:ind w:firstLine="720"/>
        <w:jc w:val="both"/>
        <w:rPr>
          <w:b/>
          <w:sz w:val="24"/>
          <w:szCs w:val="24"/>
        </w:rPr>
      </w:pPr>
      <w:r>
        <w:rPr>
          <w:b/>
          <w:sz w:val="24"/>
          <w:szCs w:val="24"/>
        </w:rPr>
        <w:t xml:space="preserve">    </w:t>
      </w:r>
    </w:p>
    <w:p>
      <w:pPr>
        <w:spacing w:line="276" w:lineRule="auto"/>
        <w:ind w:left="1418"/>
        <w:jc w:val="both"/>
        <w:rPr>
          <w:bCs/>
          <w:sz w:val="24"/>
          <w:szCs w:val="24"/>
        </w:rPr>
      </w:pPr>
      <w:r>
        <w:rPr>
          <w:bCs/>
          <w:sz w:val="24"/>
          <w:szCs w:val="24"/>
        </w:rPr>
        <w:t>This account is used to account for the receivables of stall rentals both from the market and terminal operation. Below is the movement during the year:</w:t>
      </w:r>
    </w:p>
    <w:p>
      <w:pPr>
        <w:ind w:left="1080"/>
        <w:jc w:val="both"/>
        <w:rPr>
          <w:bCs/>
          <w:sz w:val="24"/>
          <w:szCs w:val="24"/>
        </w:rPr>
      </w:pPr>
    </w:p>
    <w:tbl>
      <w:tblPr>
        <w:tblW w:w="8314"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3178"/>
      </w:tblGrid>
      <w:tr>
        <w:trPr>
          <w:trHeight w:val="283"/>
          <w:tblHeader/>
        </w:trPr>
        <w:tc>
          <w:tcPr>
            <w:tcW w:w="5136" w:type="dxa"/>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3178" w:type="dxa"/>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136" w:type="dxa"/>
            <w:shd w:val="clear" w:color="auto" w:fill="auto"/>
            <w:noWrap/>
            <w:vAlign w:val="center"/>
            <w:hideMark/>
          </w:tcPr>
          <w:p>
            <w:pPr>
              <w:rPr>
                <w:sz w:val="24"/>
                <w:szCs w:val="24"/>
                <w:lang w:val="en-PH" w:eastAsia="en-PH"/>
              </w:rPr>
            </w:pPr>
            <w:r>
              <w:rPr>
                <w:sz w:val="24"/>
                <w:szCs w:val="24"/>
                <w:lang w:val="en-PH" w:eastAsia="en-PH"/>
              </w:rPr>
              <w:t>Beginning Balance</w:t>
            </w:r>
          </w:p>
        </w:tc>
        <w:tc>
          <w:tcPr>
            <w:tcW w:w="3178" w:type="dxa"/>
            <w:shd w:val="clear" w:color="auto" w:fill="auto"/>
            <w:noWrap/>
            <w:vAlign w:val="center"/>
            <w:hideMark/>
          </w:tcPr>
          <w:p>
            <w:pPr>
              <w:jc w:val="right"/>
              <w:rPr>
                <w:sz w:val="24"/>
                <w:szCs w:val="24"/>
                <w:lang w:val="en-PH" w:eastAsia="en-PH"/>
              </w:rPr>
            </w:pPr>
            <w:r>
              <w:rPr>
                <w:sz w:val="24"/>
                <w:szCs w:val="24"/>
                <w:lang w:val="en-PH" w:eastAsia="en-PH"/>
              </w:rPr>
              <w:t xml:space="preserve">           1,947,493.13 </w:t>
            </w:r>
          </w:p>
        </w:tc>
      </w:tr>
      <w:tr>
        <w:trPr>
          <w:trHeight w:val="283"/>
        </w:trPr>
        <w:tc>
          <w:tcPr>
            <w:tcW w:w="5136" w:type="dxa"/>
            <w:shd w:val="clear" w:color="auto" w:fill="auto"/>
            <w:noWrap/>
            <w:vAlign w:val="center"/>
            <w:hideMark/>
          </w:tcPr>
          <w:p>
            <w:pPr>
              <w:rPr>
                <w:sz w:val="24"/>
                <w:szCs w:val="24"/>
                <w:lang w:val="en-PH" w:eastAsia="en-PH"/>
              </w:rPr>
            </w:pPr>
            <w:r>
              <w:rPr>
                <w:sz w:val="24"/>
                <w:szCs w:val="24"/>
                <w:lang w:val="en-PH" w:eastAsia="en-PH"/>
              </w:rPr>
              <w:t>Recognized receivables during the year</w:t>
            </w:r>
          </w:p>
        </w:tc>
        <w:tc>
          <w:tcPr>
            <w:tcW w:w="3178" w:type="dxa"/>
            <w:shd w:val="clear" w:color="auto" w:fill="auto"/>
            <w:noWrap/>
            <w:vAlign w:val="center"/>
            <w:hideMark/>
          </w:tcPr>
          <w:p>
            <w:pPr>
              <w:jc w:val="right"/>
              <w:rPr>
                <w:sz w:val="24"/>
                <w:szCs w:val="24"/>
                <w:lang w:val="en-PH" w:eastAsia="en-PH"/>
              </w:rPr>
            </w:pPr>
            <w:r>
              <w:rPr>
                <w:sz w:val="24"/>
                <w:szCs w:val="24"/>
                <w:lang w:val="en-PH" w:eastAsia="en-PH"/>
              </w:rPr>
              <w:t xml:space="preserve">         52,034,220.79 </w:t>
            </w:r>
          </w:p>
        </w:tc>
      </w:tr>
      <w:tr>
        <w:trPr>
          <w:trHeight w:val="283"/>
        </w:trPr>
        <w:tc>
          <w:tcPr>
            <w:tcW w:w="5136" w:type="dxa"/>
            <w:shd w:val="clear" w:color="auto" w:fill="auto"/>
            <w:noWrap/>
            <w:vAlign w:val="center"/>
            <w:hideMark/>
          </w:tcPr>
          <w:p>
            <w:pPr>
              <w:rPr>
                <w:sz w:val="24"/>
                <w:szCs w:val="24"/>
                <w:lang w:val="en-PH" w:eastAsia="en-PH"/>
              </w:rPr>
            </w:pPr>
            <w:r>
              <w:rPr>
                <w:sz w:val="24"/>
                <w:szCs w:val="24"/>
                <w:lang w:val="en-PH" w:eastAsia="en-PH"/>
              </w:rPr>
              <w:t>Collection during the year</w:t>
            </w:r>
          </w:p>
        </w:tc>
        <w:tc>
          <w:tcPr>
            <w:tcW w:w="3178" w:type="dxa"/>
            <w:shd w:val="clear" w:color="auto" w:fill="auto"/>
            <w:noWrap/>
            <w:vAlign w:val="center"/>
            <w:hideMark/>
          </w:tcPr>
          <w:p>
            <w:pPr>
              <w:jc w:val="right"/>
              <w:rPr>
                <w:sz w:val="24"/>
                <w:szCs w:val="24"/>
                <w:lang w:val="en-PH" w:eastAsia="en-PH"/>
              </w:rPr>
            </w:pPr>
            <w:r>
              <w:rPr>
                <w:sz w:val="24"/>
                <w:szCs w:val="24"/>
                <w:lang w:val="en-PH" w:eastAsia="en-PH"/>
              </w:rPr>
              <w:t>(48,816,288.69)</w:t>
            </w:r>
          </w:p>
        </w:tc>
      </w:tr>
      <w:tr>
        <w:trPr>
          <w:trHeight w:val="283"/>
        </w:trPr>
        <w:tc>
          <w:tcPr>
            <w:tcW w:w="5136" w:type="dxa"/>
            <w:shd w:val="clear" w:color="auto" w:fill="auto"/>
            <w:noWrap/>
            <w:vAlign w:val="center"/>
            <w:hideMark/>
          </w:tcPr>
          <w:p>
            <w:pPr>
              <w:rPr>
                <w:sz w:val="24"/>
                <w:szCs w:val="24"/>
                <w:lang w:val="en-PH" w:eastAsia="en-PH"/>
              </w:rPr>
            </w:pPr>
            <w:r>
              <w:rPr>
                <w:sz w:val="24"/>
                <w:szCs w:val="24"/>
                <w:lang w:val="en-PH" w:eastAsia="en-PH"/>
              </w:rPr>
              <w:t xml:space="preserve">Adjustments </w:t>
            </w:r>
          </w:p>
        </w:tc>
        <w:tc>
          <w:tcPr>
            <w:tcW w:w="3178" w:type="dxa"/>
            <w:shd w:val="clear" w:color="auto" w:fill="auto"/>
            <w:noWrap/>
            <w:vAlign w:val="center"/>
            <w:hideMark/>
          </w:tcPr>
          <w:p>
            <w:pPr>
              <w:jc w:val="right"/>
              <w:rPr>
                <w:sz w:val="24"/>
                <w:szCs w:val="24"/>
                <w:lang w:val="en-PH" w:eastAsia="en-PH"/>
              </w:rPr>
            </w:pPr>
            <w:r>
              <w:rPr>
                <w:sz w:val="24"/>
                <w:szCs w:val="24"/>
                <w:lang w:val="en-PH" w:eastAsia="en-PH"/>
              </w:rPr>
              <w:t>4,133,199.69</w:t>
            </w:r>
          </w:p>
        </w:tc>
      </w:tr>
      <w:tr>
        <w:trPr>
          <w:trHeight w:val="283"/>
        </w:trPr>
        <w:tc>
          <w:tcPr>
            <w:tcW w:w="5136" w:type="dxa"/>
            <w:shd w:val="clear" w:color="auto" w:fill="auto"/>
            <w:vAlign w:val="center"/>
            <w:hideMark/>
          </w:tcPr>
          <w:p>
            <w:pPr>
              <w:rPr>
                <w:b/>
                <w:bCs/>
                <w:sz w:val="24"/>
                <w:szCs w:val="24"/>
                <w:lang w:val="en-PH" w:eastAsia="en-PH"/>
              </w:rPr>
            </w:pPr>
            <w:r>
              <w:rPr>
                <w:b/>
                <w:bCs/>
                <w:sz w:val="24"/>
                <w:szCs w:val="24"/>
                <w:lang w:val="en-PH" w:eastAsia="en-PH"/>
              </w:rPr>
              <w:t>Ending Balance</w:t>
            </w:r>
          </w:p>
        </w:tc>
        <w:tc>
          <w:tcPr>
            <w:tcW w:w="3178" w:type="dxa"/>
            <w:shd w:val="clear" w:color="auto" w:fill="auto"/>
            <w:vAlign w:val="center"/>
            <w:hideMark/>
          </w:tcPr>
          <w:p>
            <w:pPr>
              <w:jc w:val="right"/>
              <w:rPr>
                <w:b/>
                <w:bCs/>
                <w:sz w:val="24"/>
                <w:szCs w:val="24"/>
                <w:lang w:val="en-PH" w:eastAsia="en-PH"/>
              </w:rPr>
            </w:pPr>
            <w:r>
              <w:rPr>
                <w:b/>
                <w:bCs/>
                <w:sz w:val="24"/>
                <w:szCs w:val="24"/>
                <w:lang w:val="en-PH" w:eastAsia="en-PH"/>
              </w:rPr>
              <w:t xml:space="preserve">        9,298,624.92 </w:t>
            </w:r>
          </w:p>
        </w:tc>
      </w:tr>
      <w:tr>
        <w:trPr>
          <w:trHeight w:val="283"/>
        </w:trPr>
        <w:tc>
          <w:tcPr>
            <w:tcW w:w="5136" w:type="dxa"/>
            <w:shd w:val="clear" w:color="auto" w:fill="auto"/>
            <w:noWrap/>
            <w:vAlign w:val="center"/>
            <w:hideMark/>
          </w:tcPr>
          <w:p>
            <w:pPr>
              <w:rPr>
                <w:sz w:val="24"/>
                <w:szCs w:val="24"/>
                <w:lang w:val="en-PH" w:eastAsia="en-PH"/>
              </w:rPr>
            </w:pPr>
            <w:r>
              <w:rPr>
                <w:sz w:val="24"/>
                <w:szCs w:val="24"/>
                <w:lang w:val="en-PH" w:eastAsia="en-PH"/>
              </w:rPr>
              <w:t>Book Balance</w:t>
            </w:r>
          </w:p>
        </w:tc>
        <w:tc>
          <w:tcPr>
            <w:tcW w:w="3178" w:type="dxa"/>
            <w:shd w:val="clear" w:color="auto" w:fill="auto"/>
            <w:noWrap/>
            <w:vAlign w:val="center"/>
            <w:hideMark/>
          </w:tcPr>
          <w:p>
            <w:pPr>
              <w:jc w:val="right"/>
              <w:rPr>
                <w:sz w:val="24"/>
                <w:szCs w:val="24"/>
                <w:lang w:val="en-PH" w:eastAsia="en-PH"/>
              </w:rPr>
            </w:pPr>
            <w:r>
              <w:rPr>
                <w:sz w:val="24"/>
                <w:szCs w:val="24"/>
                <w:lang w:val="en-PH" w:eastAsia="en-PH"/>
              </w:rPr>
              <w:t>8,231,390.01</w:t>
            </w:r>
          </w:p>
        </w:tc>
      </w:tr>
      <w:tr>
        <w:trPr>
          <w:trHeight w:val="283"/>
        </w:trPr>
        <w:tc>
          <w:tcPr>
            <w:tcW w:w="5136" w:type="dxa"/>
            <w:shd w:val="clear" w:color="auto" w:fill="auto"/>
            <w:vAlign w:val="center"/>
            <w:hideMark/>
          </w:tcPr>
          <w:p>
            <w:pPr>
              <w:rPr>
                <w:b/>
                <w:bCs/>
                <w:sz w:val="24"/>
                <w:szCs w:val="24"/>
                <w:lang w:val="en-PH" w:eastAsia="en-PH"/>
              </w:rPr>
            </w:pPr>
            <w:r>
              <w:rPr>
                <w:b/>
                <w:bCs/>
                <w:sz w:val="24"/>
                <w:szCs w:val="24"/>
                <w:lang w:val="en-PH" w:eastAsia="en-PH"/>
              </w:rPr>
              <w:t>Variance for reconciliation</w:t>
            </w:r>
          </w:p>
        </w:tc>
        <w:tc>
          <w:tcPr>
            <w:tcW w:w="3178" w:type="dxa"/>
            <w:shd w:val="clear" w:color="auto" w:fill="auto"/>
            <w:vAlign w:val="center"/>
            <w:hideMark/>
          </w:tcPr>
          <w:p>
            <w:pPr>
              <w:jc w:val="right"/>
              <w:rPr>
                <w:b/>
                <w:bCs/>
                <w:sz w:val="24"/>
                <w:szCs w:val="24"/>
                <w:lang w:val="en-PH" w:eastAsia="en-PH"/>
              </w:rPr>
            </w:pPr>
            <w:r>
              <w:rPr>
                <w:b/>
                <w:bCs/>
                <w:sz w:val="24"/>
                <w:szCs w:val="24"/>
                <w:lang w:val="en-PH" w:eastAsia="en-PH"/>
              </w:rPr>
              <w:t xml:space="preserve">        1,067,234.91 </w:t>
            </w:r>
          </w:p>
        </w:tc>
      </w:tr>
    </w:tbl>
    <w:p>
      <w:pPr>
        <w:ind w:left="1080"/>
        <w:jc w:val="both"/>
        <w:rPr>
          <w:bCs/>
          <w:sz w:val="24"/>
          <w:szCs w:val="24"/>
        </w:rPr>
      </w:pPr>
    </w:p>
    <w:p>
      <w:pPr>
        <w:spacing w:line="276" w:lineRule="auto"/>
        <w:ind w:left="1418"/>
        <w:jc w:val="both"/>
        <w:rPr>
          <w:sz w:val="24"/>
          <w:szCs w:val="24"/>
        </w:rPr>
      </w:pPr>
      <w:r>
        <w:rPr>
          <w:sz w:val="24"/>
          <w:szCs w:val="24"/>
        </w:rPr>
        <w:t xml:space="preserve">The adjustment of this account is mainly due to the collection of space rental and the market fee was accounted/credited and treated as a collection of stall rental, hence, adjusted and accounted as other business income accordingly. And the variance is subject for further reconciliation because the beginning balance of this account was manually estimated during prior year manual preparation of financial statement and there was no actual entry made in the system. </w:t>
      </w:r>
    </w:p>
    <w:p>
      <w:pPr>
        <w:pStyle w:val="ListParagraph"/>
        <w:ind w:left="1080"/>
        <w:jc w:val="both"/>
        <w:rPr>
          <w:b/>
          <w:bCs/>
          <w:sz w:val="24"/>
          <w:szCs w:val="24"/>
        </w:rPr>
      </w:pPr>
    </w:p>
    <w:p>
      <w:pPr>
        <w:pStyle w:val="ListParagraph"/>
        <w:numPr>
          <w:ilvl w:val="1"/>
          <w:numId w:val="11"/>
        </w:numPr>
        <w:ind w:left="1418" w:hanging="502"/>
        <w:jc w:val="both"/>
        <w:rPr>
          <w:b/>
          <w:bCs/>
          <w:sz w:val="24"/>
          <w:szCs w:val="24"/>
        </w:rPr>
      </w:pPr>
      <w:r>
        <w:rPr>
          <w:b/>
          <w:bCs/>
          <w:sz w:val="24"/>
          <w:szCs w:val="24"/>
        </w:rPr>
        <w:t>Inter-Agency Receivables</w:t>
      </w:r>
    </w:p>
    <w:p>
      <w:pPr>
        <w:ind w:left="720"/>
        <w:jc w:val="both"/>
        <w:rPr>
          <w:b/>
          <w:bCs/>
          <w:sz w:val="24"/>
          <w:szCs w:val="24"/>
        </w:rPr>
      </w:pPr>
    </w:p>
    <w:p>
      <w:pPr>
        <w:spacing w:line="276" w:lineRule="auto"/>
        <w:ind w:left="1418"/>
        <w:jc w:val="both"/>
        <w:rPr>
          <w:sz w:val="24"/>
          <w:szCs w:val="24"/>
        </w:rPr>
      </w:pPr>
      <w:r>
        <w:rPr>
          <w:sz w:val="24"/>
          <w:szCs w:val="24"/>
        </w:rPr>
        <w:t>This account group comprises the following major group account with their comparative figures for the year ended 2022 and 2021.</w:t>
      </w:r>
    </w:p>
    <w:p>
      <w:pPr>
        <w:ind w:left="720"/>
        <w:jc w:val="both"/>
        <w:rPr>
          <w:bCs/>
          <w:sz w:val="24"/>
          <w:szCs w:val="24"/>
        </w:rPr>
      </w:pPr>
    </w:p>
    <w:tbl>
      <w:tblPr>
        <w:tblW w:w="8363" w:type="dxa"/>
        <w:tblInd w:w="1526" w:type="dxa"/>
        <w:tblLayout w:type="fixed"/>
        <w:tblLook w:val="04A0" w:firstRow="1" w:lastRow="0" w:firstColumn="1" w:lastColumn="0" w:noHBand="0" w:noVBand="1"/>
      </w:tblPr>
      <w:tblGrid>
        <w:gridCol w:w="4252"/>
        <w:gridCol w:w="2055"/>
        <w:gridCol w:w="242"/>
        <w:gridCol w:w="1814"/>
      </w:tblGrid>
      <w:tr>
        <w:trPr>
          <w:trHeight w:val="57"/>
        </w:trPr>
        <w:tc>
          <w:tcPr>
            <w:tcW w:w="4252"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055"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056" w:type="dxa"/>
            <w:gridSpan w:val="2"/>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57"/>
        </w:trPr>
        <w:tc>
          <w:tcPr>
            <w:tcW w:w="425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National Government Agencies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5,961,891.31</w:t>
            </w:r>
          </w:p>
        </w:tc>
        <w:tc>
          <w:tcPr>
            <w:tcW w:w="2056" w:type="dxa"/>
            <w:gridSpan w:val="2"/>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5,758,287.05 </w:t>
            </w:r>
          </w:p>
        </w:tc>
      </w:tr>
      <w:tr>
        <w:trPr>
          <w:trHeight w:val="57"/>
        </w:trPr>
        <w:tc>
          <w:tcPr>
            <w:tcW w:w="425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GOCCs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c>
          <w:tcPr>
            <w:tcW w:w="2056" w:type="dxa"/>
            <w:gridSpan w:val="2"/>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400.00 </w:t>
            </w:r>
          </w:p>
        </w:tc>
      </w:tr>
      <w:tr>
        <w:trPr>
          <w:trHeight w:val="57"/>
        </w:trPr>
        <w:tc>
          <w:tcPr>
            <w:tcW w:w="425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Local Government Units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9,685,976.13</w:t>
            </w:r>
          </w:p>
        </w:tc>
        <w:tc>
          <w:tcPr>
            <w:tcW w:w="2056" w:type="dxa"/>
            <w:gridSpan w:val="2"/>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9,542,870.37 </w:t>
            </w:r>
          </w:p>
        </w:tc>
      </w:tr>
      <w:tr>
        <w:trPr>
          <w:trHeight w:val="57"/>
        </w:trPr>
        <w:tc>
          <w:tcPr>
            <w:tcW w:w="425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55"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 xml:space="preserve">15,647,867.44  </w:t>
            </w:r>
          </w:p>
        </w:tc>
        <w:tc>
          <w:tcPr>
            <w:tcW w:w="2056" w:type="dxa"/>
            <w:gridSpan w:val="2"/>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15,301,557.42 </w:t>
            </w:r>
          </w:p>
        </w:tc>
      </w:tr>
      <w:tr>
        <w:trPr>
          <w:trHeight w:val="57"/>
        </w:trPr>
        <w:tc>
          <w:tcPr>
            <w:tcW w:w="4252" w:type="dxa"/>
            <w:tcBorders>
              <w:top w:val="nil"/>
              <w:left w:val="nil"/>
              <w:bottom w:val="nil"/>
              <w:right w:val="nil"/>
            </w:tcBorders>
            <w:shd w:val="clear" w:color="auto" w:fill="auto"/>
            <w:noWrap/>
            <w:vAlign w:val="center"/>
            <w:hideMark/>
          </w:tcPr>
          <w:p>
            <w:pPr>
              <w:ind w:firstLineChars="200" w:firstLine="482"/>
              <w:rPr>
                <w:b/>
                <w:bCs/>
                <w:sz w:val="24"/>
                <w:szCs w:val="24"/>
                <w:lang w:val="en-PH" w:eastAsia="en-PH"/>
              </w:rPr>
            </w:pPr>
          </w:p>
        </w:tc>
        <w:tc>
          <w:tcPr>
            <w:tcW w:w="2297" w:type="dxa"/>
            <w:gridSpan w:val="2"/>
            <w:tcBorders>
              <w:top w:val="nil"/>
              <w:left w:val="nil"/>
              <w:bottom w:val="nil"/>
              <w:right w:val="nil"/>
            </w:tcBorders>
            <w:shd w:val="clear" w:color="auto" w:fill="auto"/>
            <w:noWrap/>
            <w:vAlign w:val="center"/>
            <w:hideMark/>
          </w:tcPr>
          <w:p>
            <w:pPr>
              <w:ind w:firstLineChars="500" w:firstLine="1200"/>
              <w:rPr>
                <w:sz w:val="24"/>
                <w:szCs w:val="24"/>
                <w:lang w:val="en-PH" w:eastAsia="en-PH"/>
              </w:rPr>
            </w:pPr>
          </w:p>
        </w:tc>
        <w:tc>
          <w:tcPr>
            <w:tcW w:w="1814" w:type="dxa"/>
            <w:tcBorders>
              <w:top w:val="nil"/>
              <w:left w:val="nil"/>
              <w:bottom w:val="nil"/>
              <w:right w:val="nil"/>
            </w:tcBorders>
            <w:shd w:val="clear" w:color="auto" w:fill="auto"/>
            <w:noWrap/>
            <w:vAlign w:val="center"/>
            <w:hideMark/>
          </w:tcPr>
          <w:p>
            <w:pPr>
              <w:jc w:val="center"/>
              <w:rPr>
                <w:sz w:val="24"/>
                <w:szCs w:val="24"/>
                <w:lang w:val="en-PH" w:eastAsia="en-PH"/>
              </w:rPr>
            </w:pPr>
          </w:p>
        </w:tc>
      </w:tr>
    </w:tbl>
    <w:p>
      <w:pPr>
        <w:jc w:val="both"/>
        <w:rPr>
          <w:b/>
          <w:bCs/>
          <w:sz w:val="24"/>
          <w:szCs w:val="24"/>
        </w:rPr>
      </w:pPr>
    </w:p>
    <w:p>
      <w:pPr>
        <w:pStyle w:val="ListParagraph"/>
        <w:numPr>
          <w:ilvl w:val="2"/>
          <w:numId w:val="11"/>
        </w:numPr>
        <w:jc w:val="both"/>
        <w:rPr>
          <w:b/>
          <w:bCs/>
          <w:sz w:val="24"/>
          <w:szCs w:val="24"/>
        </w:rPr>
      </w:pPr>
      <w:r>
        <w:rPr>
          <w:b/>
          <w:bCs/>
          <w:sz w:val="24"/>
          <w:szCs w:val="24"/>
        </w:rPr>
        <w:t>Due from National Government Agencies</w:t>
      </w:r>
    </w:p>
    <w:p>
      <w:pPr>
        <w:pStyle w:val="ListParagraph"/>
        <w:ind w:left="2160"/>
        <w:jc w:val="both"/>
        <w:rPr>
          <w:b/>
          <w:bCs/>
          <w:sz w:val="24"/>
          <w:szCs w:val="24"/>
        </w:rPr>
      </w:pPr>
    </w:p>
    <w:p>
      <w:pPr>
        <w:spacing w:line="276" w:lineRule="auto"/>
        <w:ind w:left="1440"/>
        <w:jc w:val="both"/>
        <w:rPr>
          <w:bCs/>
          <w:iCs/>
          <w:sz w:val="24"/>
          <w:szCs w:val="24"/>
        </w:rPr>
      </w:pPr>
      <w:r>
        <w:rPr>
          <w:bCs/>
          <w:iCs/>
          <w:sz w:val="24"/>
          <w:szCs w:val="24"/>
        </w:rPr>
        <w:t>Due from National Government Agencies mainly composed of a.) 20% share of LGU from Fire Code Revenues (1-1-10 to 12-31-18) amounting to Php 4,520,830.53, b.) City Counterpart to Institution (PEEDO) to Indigent Client Php 500,000.00, c.) Counterpart under DSWD Programs amounting to Php 226,750.66 and d.) City counterpart to Palarong Pambansa 2018 &amp; 2019 amounting to Php 500,000.00</w:t>
      </w:r>
    </w:p>
    <w:p>
      <w:pPr>
        <w:ind w:left="1440"/>
        <w:jc w:val="both"/>
        <w:rPr>
          <w:bCs/>
          <w:iCs/>
          <w:sz w:val="24"/>
          <w:szCs w:val="24"/>
        </w:rPr>
      </w:pPr>
    </w:p>
    <w:p>
      <w:pPr>
        <w:ind w:left="1440"/>
        <w:jc w:val="both"/>
        <w:rPr>
          <w:bCs/>
          <w:iCs/>
          <w:sz w:val="24"/>
          <w:szCs w:val="24"/>
        </w:rPr>
      </w:pPr>
    </w:p>
    <w:p>
      <w:pPr>
        <w:ind w:left="1440"/>
        <w:jc w:val="both"/>
        <w:rPr>
          <w:bCs/>
          <w:iCs/>
          <w:sz w:val="24"/>
          <w:szCs w:val="24"/>
        </w:rPr>
      </w:pPr>
    </w:p>
    <w:p>
      <w:pPr>
        <w:ind w:left="1440"/>
        <w:jc w:val="both"/>
        <w:rPr>
          <w:bCs/>
          <w:iCs/>
          <w:sz w:val="24"/>
          <w:szCs w:val="24"/>
        </w:rPr>
      </w:pPr>
    </w:p>
    <w:p>
      <w:pPr>
        <w:ind w:left="1440"/>
        <w:jc w:val="both"/>
        <w:rPr>
          <w:bCs/>
          <w:iCs/>
          <w:sz w:val="24"/>
          <w:szCs w:val="24"/>
        </w:rPr>
      </w:pPr>
    </w:p>
    <w:p>
      <w:pPr>
        <w:pStyle w:val="ListParagraph"/>
        <w:numPr>
          <w:ilvl w:val="2"/>
          <w:numId w:val="11"/>
        </w:numPr>
        <w:jc w:val="both"/>
        <w:rPr>
          <w:b/>
          <w:bCs/>
          <w:sz w:val="24"/>
          <w:szCs w:val="24"/>
        </w:rPr>
      </w:pPr>
      <w:r>
        <w:rPr>
          <w:b/>
          <w:bCs/>
          <w:sz w:val="24"/>
          <w:szCs w:val="24"/>
        </w:rPr>
        <w:t>Due from Local Government Units</w:t>
      </w:r>
    </w:p>
    <w:p>
      <w:pPr>
        <w:pStyle w:val="ListParagraph"/>
        <w:ind w:left="2160"/>
        <w:jc w:val="both"/>
        <w:rPr>
          <w:b/>
          <w:bCs/>
          <w:sz w:val="24"/>
          <w:szCs w:val="24"/>
        </w:rPr>
      </w:pPr>
    </w:p>
    <w:p>
      <w:pPr>
        <w:spacing w:line="276" w:lineRule="auto"/>
        <w:ind w:left="1440"/>
        <w:jc w:val="both"/>
        <w:rPr>
          <w:sz w:val="24"/>
          <w:szCs w:val="24"/>
        </w:rPr>
      </w:pPr>
      <w:r>
        <w:rPr>
          <w:bCs/>
          <w:iCs/>
          <w:sz w:val="24"/>
          <w:szCs w:val="24"/>
        </w:rPr>
        <w:t>Due from Local Government Unit is mainly comprised of the equity from the Province of Davao del Norte as equity in the Rehabilitation of Little Panay-Kasilak-Katipunan PRDP Project amounting to Php 3,000,000.00, Counterpart for Pamana Project Concreting of Datu Abdul Dadia FMR amounting to Php 4,000,000.00 and financial assistance to barangays as support to BADAC Anti -Illegal Drug Activities amounting to Php 300,000.00.</w:t>
      </w:r>
    </w:p>
    <w:p>
      <w:pPr>
        <w:ind w:left="720" w:firstLine="360"/>
        <w:jc w:val="both"/>
        <w:rPr>
          <w:bCs/>
          <w:iCs/>
          <w:sz w:val="24"/>
          <w:szCs w:val="24"/>
        </w:rPr>
      </w:pPr>
      <w:r>
        <w:rPr>
          <w:bCs/>
          <w:iCs/>
          <w:sz w:val="24"/>
          <w:szCs w:val="24"/>
        </w:rPr>
        <w:tab/>
      </w:r>
    </w:p>
    <w:p>
      <w:pPr>
        <w:pStyle w:val="ListParagraph"/>
        <w:numPr>
          <w:ilvl w:val="1"/>
          <w:numId w:val="11"/>
        </w:numPr>
        <w:ind w:left="1418" w:hanging="502"/>
        <w:jc w:val="both"/>
        <w:rPr>
          <w:b/>
          <w:bCs/>
          <w:sz w:val="24"/>
          <w:szCs w:val="24"/>
        </w:rPr>
      </w:pPr>
      <w:r>
        <w:rPr>
          <w:b/>
          <w:bCs/>
          <w:sz w:val="24"/>
          <w:szCs w:val="24"/>
        </w:rPr>
        <w:t>Inter-Agency Receivables</w:t>
      </w:r>
    </w:p>
    <w:p>
      <w:pPr>
        <w:pStyle w:val="ListParagraph"/>
        <w:ind w:left="360"/>
        <w:jc w:val="both"/>
        <w:rPr>
          <w:b/>
          <w:bCs/>
          <w:sz w:val="24"/>
          <w:szCs w:val="24"/>
        </w:rPr>
      </w:pPr>
    </w:p>
    <w:p>
      <w:pPr>
        <w:spacing w:line="276" w:lineRule="auto"/>
        <w:ind w:left="1418"/>
        <w:jc w:val="both"/>
        <w:rPr>
          <w:b/>
          <w:bCs/>
          <w:sz w:val="24"/>
          <w:szCs w:val="24"/>
        </w:rPr>
      </w:pPr>
      <w:r>
        <w:rPr>
          <w:sz w:val="24"/>
          <w:szCs w:val="24"/>
        </w:rPr>
        <w:t>This account group comprises the following major group account with their comparative figures for the year ended 2022 and 2021.</w:t>
      </w:r>
    </w:p>
    <w:p>
      <w:pPr>
        <w:jc w:val="both"/>
        <w:rPr>
          <w:b/>
          <w:bCs/>
          <w:sz w:val="24"/>
          <w:szCs w:val="24"/>
        </w:rPr>
      </w:pPr>
      <w:r>
        <w:rPr>
          <w:b/>
          <w:bCs/>
          <w:sz w:val="24"/>
          <w:szCs w:val="24"/>
        </w:rPr>
        <w:tab/>
      </w:r>
    </w:p>
    <w:tbl>
      <w:tblPr>
        <w:tblW w:w="8363" w:type="dxa"/>
        <w:tblInd w:w="1526" w:type="dxa"/>
        <w:tblLayout w:type="fixed"/>
        <w:tblLook w:val="04A0" w:firstRow="1" w:lastRow="0" w:firstColumn="1" w:lastColumn="0" w:noHBand="0" w:noVBand="1"/>
      </w:tblPr>
      <w:tblGrid>
        <w:gridCol w:w="4118"/>
        <w:gridCol w:w="2122"/>
        <w:gridCol w:w="2123"/>
      </w:tblGrid>
      <w:tr>
        <w:trPr>
          <w:trHeight w:val="283"/>
        </w:trPr>
        <w:tc>
          <w:tcPr>
            <w:tcW w:w="411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122"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123"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118"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Other Funds</w:t>
            </w:r>
          </w:p>
        </w:tc>
        <w:tc>
          <w:tcPr>
            <w:tcW w:w="212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39,169,754.12</w:t>
            </w:r>
          </w:p>
        </w:tc>
        <w:tc>
          <w:tcPr>
            <w:tcW w:w="21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67,477,852.27 </w:t>
            </w:r>
          </w:p>
        </w:tc>
      </w:tr>
      <w:tr>
        <w:trPr>
          <w:trHeight w:val="283"/>
        </w:trPr>
        <w:tc>
          <w:tcPr>
            <w:tcW w:w="4118"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Special Accounts</w:t>
            </w:r>
          </w:p>
        </w:tc>
        <w:tc>
          <w:tcPr>
            <w:tcW w:w="212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5,727,771.80</w:t>
            </w:r>
          </w:p>
        </w:tc>
        <w:tc>
          <w:tcPr>
            <w:tcW w:w="21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17,751,950.89 </w:t>
            </w:r>
          </w:p>
        </w:tc>
      </w:tr>
      <w:tr>
        <w:trPr>
          <w:trHeight w:val="283"/>
        </w:trPr>
        <w:tc>
          <w:tcPr>
            <w:tcW w:w="4118"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Due from Local Economic Enterprise</w:t>
            </w:r>
          </w:p>
        </w:tc>
        <w:tc>
          <w:tcPr>
            <w:tcW w:w="212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6,393,207.87</w:t>
            </w:r>
          </w:p>
        </w:tc>
        <w:tc>
          <w:tcPr>
            <w:tcW w:w="21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3,431,982.91 </w:t>
            </w:r>
          </w:p>
        </w:tc>
      </w:tr>
      <w:tr>
        <w:trPr>
          <w:trHeight w:val="283"/>
        </w:trPr>
        <w:tc>
          <w:tcPr>
            <w:tcW w:w="4118"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2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51,290,733.79               </w:t>
            </w:r>
          </w:p>
        </w:tc>
        <w:tc>
          <w:tcPr>
            <w:tcW w:w="2123"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88,661,786.07 </w:t>
            </w:r>
          </w:p>
        </w:tc>
      </w:tr>
    </w:tbl>
    <w:p>
      <w:pPr>
        <w:pStyle w:val="ListParagraph"/>
        <w:ind w:left="2160"/>
        <w:jc w:val="both"/>
        <w:rPr>
          <w:b/>
          <w:bCs/>
          <w:sz w:val="24"/>
          <w:szCs w:val="24"/>
        </w:rPr>
      </w:pPr>
    </w:p>
    <w:p>
      <w:pPr>
        <w:pStyle w:val="ListParagraph"/>
        <w:numPr>
          <w:ilvl w:val="2"/>
          <w:numId w:val="11"/>
        </w:numPr>
        <w:jc w:val="both"/>
        <w:rPr>
          <w:b/>
          <w:bCs/>
          <w:sz w:val="24"/>
          <w:szCs w:val="24"/>
        </w:rPr>
      </w:pPr>
      <w:r>
        <w:rPr>
          <w:b/>
          <w:bCs/>
          <w:sz w:val="24"/>
          <w:szCs w:val="24"/>
        </w:rPr>
        <w:t>Due from Other Funds</w:t>
      </w:r>
    </w:p>
    <w:p>
      <w:pPr>
        <w:pStyle w:val="ListParagraph"/>
        <w:ind w:left="2160"/>
        <w:jc w:val="both"/>
        <w:rPr>
          <w:b/>
          <w:bCs/>
          <w:sz w:val="24"/>
          <w:szCs w:val="24"/>
        </w:rPr>
      </w:pPr>
    </w:p>
    <w:p>
      <w:pPr>
        <w:spacing w:line="276" w:lineRule="auto"/>
        <w:ind w:left="1440"/>
        <w:jc w:val="both"/>
        <w:rPr>
          <w:sz w:val="24"/>
          <w:szCs w:val="24"/>
        </w:rPr>
      </w:pPr>
      <w:r>
        <w:rPr>
          <w:sz w:val="24"/>
          <w:szCs w:val="24"/>
        </w:rPr>
        <w:t xml:space="preserve">Due from Other Funds are receivables recognized from General Fund Proper, Special Education Fund and Trust Fund, Due from Special Accounts are receivables recognized from 20% Development Fund and Loans and the Due from Local Economic Enterprise are receivables recognized from Market Operation, Terminal Operation, Cemetery Operation and Slaughterhouse Operation. All of the mentioned receivables accounts have a </w:t>
      </w:r>
      <w:proofErr w:type="gramStart"/>
      <w:r>
        <w:rPr>
          <w:sz w:val="24"/>
          <w:szCs w:val="24"/>
        </w:rPr>
        <w:t>reciprocal accounts</w:t>
      </w:r>
      <w:proofErr w:type="gramEnd"/>
      <w:r>
        <w:rPr>
          <w:sz w:val="24"/>
          <w:szCs w:val="24"/>
        </w:rPr>
        <w:t xml:space="preserve"> of Due to Other Funds, Due to Special Accounts and Due to Local Economics Enterprise respectively. Below is the summary and details of reconciliation to its reciprocal accounts:</w:t>
      </w:r>
    </w:p>
    <w:p>
      <w:pPr>
        <w:ind w:left="1440"/>
        <w:jc w:val="both"/>
        <w:rPr>
          <w:sz w:val="24"/>
          <w:szCs w:val="24"/>
        </w:rPr>
      </w:pPr>
    </w:p>
    <w:tbl>
      <w:tblPr>
        <w:tblW w:w="83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559"/>
        <w:gridCol w:w="1560"/>
        <w:gridCol w:w="1701"/>
        <w:gridCol w:w="1366"/>
      </w:tblGrid>
      <w:tr>
        <w:trPr>
          <w:trHeight w:val="728"/>
        </w:trPr>
        <w:tc>
          <w:tcPr>
            <w:tcW w:w="2126" w:type="dxa"/>
            <w:shd w:val="clear" w:color="auto" w:fill="auto"/>
            <w:noWrap/>
            <w:vAlign w:val="center"/>
            <w:hideMark/>
          </w:tcPr>
          <w:p>
            <w:pPr>
              <w:jc w:val="center"/>
              <w:rPr>
                <w:b/>
                <w:bCs/>
                <w:lang w:val="en-PH" w:eastAsia="en-PH"/>
              </w:rPr>
            </w:pPr>
            <w:r>
              <w:rPr>
                <w:b/>
                <w:bCs/>
                <w:lang w:val="en-PH" w:eastAsia="en-PH"/>
              </w:rPr>
              <w:t>Particulars</w:t>
            </w:r>
          </w:p>
        </w:tc>
        <w:tc>
          <w:tcPr>
            <w:tcW w:w="1559" w:type="dxa"/>
            <w:shd w:val="clear" w:color="auto" w:fill="auto"/>
            <w:vAlign w:val="center"/>
            <w:hideMark/>
          </w:tcPr>
          <w:p>
            <w:pPr>
              <w:jc w:val="center"/>
              <w:rPr>
                <w:b/>
                <w:bCs/>
                <w:lang w:val="en-PH" w:eastAsia="en-PH"/>
              </w:rPr>
            </w:pPr>
            <w:r>
              <w:rPr>
                <w:b/>
                <w:bCs/>
                <w:lang w:val="en-PH" w:eastAsia="en-PH"/>
              </w:rPr>
              <w:t xml:space="preserve">Due to </w:t>
            </w:r>
            <w:r>
              <w:rPr>
                <w:b/>
                <w:bCs/>
                <w:lang w:val="en-PH" w:eastAsia="en-PH"/>
              </w:rPr>
              <w:br/>
              <w:t>Other Fund</w:t>
            </w:r>
          </w:p>
        </w:tc>
        <w:tc>
          <w:tcPr>
            <w:tcW w:w="1560" w:type="dxa"/>
            <w:shd w:val="clear" w:color="auto" w:fill="auto"/>
            <w:vAlign w:val="center"/>
            <w:hideMark/>
          </w:tcPr>
          <w:p>
            <w:pPr>
              <w:jc w:val="center"/>
              <w:rPr>
                <w:b/>
                <w:bCs/>
                <w:lang w:val="en-PH" w:eastAsia="en-PH"/>
              </w:rPr>
            </w:pPr>
            <w:r>
              <w:rPr>
                <w:b/>
                <w:bCs/>
                <w:lang w:val="en-PH" w:eastAsia="en-PH"/>
              </w:rPr>
              <w:t xml:space="preserve">Due to Local </w:t>
            </w:r>
            <w:r>
              <w:rPr>
                <w:b/>
                <w:bCs/>
                <w:lang w:val="en-PH" w:eastAsia="en-PH"/>
              </w:rPr>
              <w:br/>
              <w:t>Economics Enterprise</w:t>
            </w:r>
          </w:p>
        </w:tc>
        <w:tc>
          <w:tcPr>
            <w:tcW w:w="1701" w:type="dxa"/>
            <w:shd w:val="clear" w:color="auto" w:fill="auto"/>
            <w:vAlign w:val="center"/>
            <w:hideMark/>
          </w:tcPr>
          <w:p>
            <w:pPr>
              <w:jc w:val="center"/>
              <w:rPr>
                <w:b/>
                <w:bCs/>
                <w:lang w:val="en-PH" w:eastAsia="en-PH"/>
              </w:rPr>
            </w:pPr>
            <w:r>
              <w:rPr>
                <w:b/>
                <w:bCs/>
                <w:lang w:val="en-PH" w:eastAsia="en-PH"/>
              </w:rPr>
              <w:t xml:space="preserve">Due to </w:t>
            </w:r>
            <w:r>
              <w:rPr>
                <w:b/>
                <w:bCs/>
                <w:lang w:val="en-PH" w:eastAsia="en-PH"/>
              </w:rPr>
              <w:br/>
              <w:t>Special Accounts</w:t>
            </w:r>
          </w:p>
        </w:tc>
        <w:tc>
          <w:tcPr>
            <w:tcW w:w="1366" w:type="dxa"/>
            <w:shd w:val="clear" w:color="auto" w:fill="auto"/>
            <w:vAlign w:val="center"/>
            <w:hideMark/>
          </w:tcPr>
          <w:p>
            <w:pPr>
              <w:jc w:val="center"/>
              <w:rPr>
                <w:b/>
                <w:bCs/>
                <w:lang w:val="en-PH" w:eastAsia="en-PH"/>
              </w:rPr>
            </w:pPr>
            <w:r>
              <w:rPr>
                <w:b/>
                <w:bCs/>
                <w:lang w:val="en-PH" w:eastAsia="en-PH"/>
              </w:rPr>
              <w:t>Total</w:t>
            </w:r>
          </w:p>
        </w:tc>
      </w:tr>
      <w:tr>
        <w:trPr>
          <w:trHeight w:val="269"/>
        </w:trPr>
        <w:tc>
          <w:tcPr>
            <w:tcW w:w="2126" w:type="dxa"/>
            <w:shd w:val="clear" w:color="auto" w:fill="auto"/>
            <w:vAlign w:val="center"/>
            <w:hideMark/>
          </w:tcPr>
          <w:p>
            <w:pPr>
              <w:rPr>
                <w:lang w:val="en-PH" w:eastAsia="en-PH"/>
              </w:rPr>
            </w:pPr>
            <w:r>
              <w:rPr>
                <w:lang w:val="en-PH" w:eastAsia="en-PH"/>
              </w:rPr>
              <w:t>Due from Other Fund</w:t>
            </w:r>
          </w:p>
        </w:tc>
        <w:tc>
          <w:tcPr>
            <w:tcW w:w="1559" w:type="dxa"/>
            <w:shd w:val="clear" w:color="auto" w:fill="auto"/>
            <w:noWrap/>
            <w:vAlign w:val="center"/>
            <w:hideMark/>
          </w:tcPr>
          <w:p>
            <w:pPr>
              <w:jc w:val="right"/>
              <w:rPr>
                <w:lang w:val="en-PH" w:eastAsia="en-PH"/>
              </w:rPr>
            </w:pPr>
            <w:r>
              <w:rPr>
                <w:lang w:val="en-PH" w:eastAsia="en-PH"/>
              </w:rPr>
              <w:t>26,166,761.39</w:t>
            </w:r>
          </w:p>
        </w:tc>
        <w:tc>
          <w:tcPr>
            <w:tcW w:w="1560" w:type="dxa"/>
            <w:shd w:val="clear" w:color="auto" w:fill="auto"/>
            <w:noWrap/>
            <w:vAlign w:val="center"/>
            <w:hideMark/>
          </w:tcPr>
          <w:p>
            <w:pPr>
              <w:jc w:val="right"/>
              <w:rPr>
                <w:lang w:val="en-PH" w:eastAsia="en-PH"/>
              </w:rPr>
            </w:pPr>
            <w:r>
              <w:rPr>
                <w:lang w:val="en-PH" w:eastAsia="en-PH"/>
              </w:rPr>
              <w:t>303,755.89</w:t>
            </w:r>
          </w:p>
        </w:tc>
        <w:tc>
          <w:tcPr>
            <w:tcW w:w="1701" w:type="dxa"/>
            <w:shd w:val="clear" w:color="auto" w:fill="auto"/>
            <w:noWrap/>
            <w:vAlign w:val="center"/>
            <w:hideMark/>
          </w:tcPr>
          <w:p>
            <w:pPr>
              <w:jc w:val="right"/>
              <w:rPr>
                <w:lang w:val="en-PH" w:eastAsia="en-PH"/>
              </w:rPr>
            </w:pPr>
            <w:r>
              <w:rPr>
                <w:lang w:val="en-PH" w:eastAsia="en-PH"/>
              </w:rPr>
              <w:t>12,699,236.84</w:t>
            </w:r>
          </w:p>
        </w:tc>
        <w:tc>
          <w:tcPr>
            <w:tcW w:w="1366" w:type="dxa"/>
            <w:shd w:val="clear" w:color="auto" w:fill="auto"/>
            <w:noWrap/>
            <w:vAlign w:val="center"/>
            <w:hideMark/>
          </w:tcPr>
          <w:p>
            <w:pPr>
              <w:jc w:val="right"/>
              <w:rPr>
                <w:b/>
                <w:bCs/>
                <w:lang w:val="en-PH" w:eastAsia="en-PH"/>
              </w:rPr>
            </w:pPr>
            <w:r>
              <w:rPr>
                <w:b/>
                <w:bCs/>
                <w:lang w:val="en-PH" w:eastAsia="en-PH"/>
              </w:rPr>
              <w:t>39,169,754.12</w:t>
            </w:r>
          </w:p>
        </w:tc>
      </w:tr>
      <w:tr>
        <w:trPr>
          <w:trHeight w:val="269"/>
        </w:trPr>
        <w:tc>
          <w:tcPr>
            <w:tcW w:w="2126" w:type="dxa"/>
            <w:shd w:val="clear" w:color="auto" w:fill="auto"/>
            <w:vAlign w:val="center"/>
            <w:hideMark/>
          </w:tcPr>
          <w:p>
            <w:pPr>
              <w:rPr>
                <w:lang w:val="en-PH" w:eastAsia="en-PH"/>
              </w:rPr>
            </w:pPr>
            <w:r>
              <w:rPr>
                <w:lang w:val="en-PH" w:eastAsia="en-PH"/>
              </w:rPr>
              <w:t>Due from Special Accounts</w:t>
            </w:r>
          </w:p>
        </w:tc>
        <w:tc>
          <w:tcPr>
            <w:tcW w:w="1559" w:type="dxa"/>
            <w:shd w:val="clear" w:color="auto" w:fill="auto"/>
            <w:noWrap/>
            <w:vAlign w:val="center"/>
            <w:hideMark/>
          </w:tcPr>
          <w:p>
            <w:pPr>
              <w:jc w:val="right"/>
              <w:rPr>
                <w:lang w:val="en-PH" w:eastAsia="en-PH"/>
              </w:rPr>
            </w:pPr>
            <w:r>
              <w:rPr>
                <w:lang w:val="en-PH" w:eastAsia="en-PH"/>
              </w:rPr>
              <w:t>5,727,771.80</w:t>
            </w:r>
          </w:p>
        </w:tc>
        <w:tc>
          <w:tcPr>
            <w:tcW w:w="1560" w:type="dxa"/>
            <w:shd w:val="clear" w:color="auto" w:fill="auto"/>
            <w:noWrap/>
            <w:vAlign w:val="center"/>
            <w:hideMark/>
          </w:tcPr>
          <w:p>
            <w:pPr>
              <w:jc w:val="right"/>
              <w:rPr>
                <w:lang w:val="en-PH" w:eastAsia="en-PH"/>
              </w:rPr>
            </w:pPr>
            <w:r>
              <w:rPr>
                <w:lang w:val="en-PH" w:eastAsia="en-PH"/>
              </w:rPr>
              <w:t>0.00</w:t>
            </w:r>
          </w:p>
        </w:tc>
        <w:tc>
          <w:tcPr>
            <w:tcW w:w="1701" w:type="dxa"/>
            <w:shd w:val="clear" w:color="auto" w:fill="auto"/>
            <w:noWrap/>
            <w:vAlign w:val="center"/>
            <w:hideMark/>
          </w:tcPr>
          <w:p>
            <w:pPr>
              <w:jc w:val="right"/>
              <w:rPr>
                <w:lang w:val="en-PH" w:eastAsia="en-PH"/>
              </w:rPr>
            </w:pPr>
            <w:r>
              <w:rPr>
                <w:lang w:val="en-PH" w:eastAsia="en-PH"/>
              </w:rPr>
              <w:t>0.00</w:t>
            </w:r>
          </w:p>
        </w:tc>
        <w:tc>
          <w:tcPr>
            <w:tcW w:w="1366" w:type="dxa"/>
            <w:shd w:val="clear" w:color="auto" w:fill="auto"/>
            <w:noWrap/>
            <w:vAlign w:val="center"/>
            <w:hideMark/>
          </w:tcPr>
          <w:p>
            <w:pPr>
              <w:jc w:val="right"/>
              <w:rPr>
                <w:b/>
                <w:bCs/>
                <w:lang w:val="en-PH" w:eastAsia="en-PH"/>
              </w:rPr>
            </w:pPr>
            <w:r>
              <w:rPr>
                <w:b/>
                <w:bCs/>
                <w:lang w:val="en-PH" w:eastAsia="en-PH"/>
              </w:rPr>
              <w:t>5,727,771.80</w:t>
            </w:r>
          </w:p>
        </w:tc>
      </w:tr>
      <w:tr>
        <w:trPr>
          <w:trHeight w:val="539"/>
        </w:trPr>
        <w:tc>
          <w:tcPr>
            <w:tcW w:w="2126" w:type="dxa"/>
            <w:shd w:val="clear" w:color="auto" w:fill="auto"/>
            <w:vAlign w:val="center"/>
            <w:hideMark/>
          </w:tcPr>
          <w:p>
            <w:pPr>
              <w:rPr>
                <w:lang w:val="en-PH" w:eastAsia="en-PH"/>
              </w:rPr>
            </w:pPr>
            <w:r>
              <w:rPr>
                <w:lang w:val="en-PH" w:eastAsia="en-PH"/>
              </w:rPr>
              <w:t>Due from Local Economics Enterprise</w:t>
            </w:r>
          </w:p>
        </w:tc>
        <w:tc>
          <w:tcPr>
            <w:tcW w:w="1559" w:type="dxa"/>
            <w:shd w:val="clear" w:color="auto" w:fill="auto"/>
            <w:noWrap/>
            <w:vAlign w:val="center"/>
            <w:hideMark/>
          </w:tcPr>
          <w:p>
            <w:pPr>
              <w:jc w:val="right"/>
              <w:rPr>
                <w:lang w:val="en-PH" w:eastAsia="en-PH"/>
              </w:rPr>
            </w:pPr>
            <w:r>
              <w:rPr>
                <w:lang w:val="en-PH" w:eastAsia="en-PH"/>
              </w:rPr>
              <w:t>1,232,885.13</w:t>
            </w:r>
          </w:p>
        </w:tc>
        <w:tc>
          <w:tcPr>
            <w:tcW w:w="1560" w:type="dxa"/>
            <w:shd w:val="clear" w:color="auto" w:fill="auto"/>
            <w:noWrap/>
            <w:vAlign w:val="center"/>
            <w:hideMark/>
          </w:tcPr>
          <w:p>
            <w:pPr>
              <w:jc w:val="right"/>
              <w:rPr>
                <w:lang w:val="en-PH" w:eastAsia="en-PH"/>
              </w:rPr>
            </w:pPr>
            <w:r>
              <w:rPr>
                <w:lang w:val="en-PH" w:eastAsia="en-PH"/>
              </w:rPr>
              <w:t>5,160,322.74</w:t>
            </w:r>
          </w:p>
        </w:tc>
        <w:tc>
          <w:tcPr>
            <w:tcW w:w="1701" w:type="dxa"/>
            <w:shd w:val="clear" w:color="auto" w:fill="auto"/>
            <w:noWrap/>
            <w:vAlign w:val="center"/>
            <w:hideMark/>
          </w:tcPr>
          <w:p>
            <w:pPr>
              <w:jc w:val="right"/>
              <w:rPr>
                <w:lang w:val="en-PH" w:eastAsia="en-PH"/>
              </w:rPr>
            </w:pPr>
            <w:r>
              <w:rPr>
                <w:lang w:val="en-PH" w:eastAsia="en-PH"/>
              </w:rPr>
              <w:t>0.00</w:t>
            </w:r>
          </w:p>
        </w:tc>
        <w:tc>
          <w:tcPr>
            <w:tcW w:w="1366" w:type="dxa"/>
            <w:shd w:val="clear" w:color="auto" w:fill="auto"/>
            <w:noWrap/>
            <w:vAlign w:val="center"/>
            <w:hideMark/>
          </w:tcPr>
          <w:p>
            <w:pPr>
              <w:jc w:val="right"/>
              <w:rPr>
                <w:b/>
                <w:bCs/>
                <w:lang w:val="en-PH" w:eastAsia="en-PH"/>
              </w:rPr>
            </w:pPr>
            <w:r>
              <w:rPr>
                <w:b/>
                <w:bCs/>
                <w:lang w:val="en-PH" w:eastAsia="en-PH"/>
              </w:rPr>
              <w:t>6,393,207.87</w:t>
            </w:r>
          </w:p>
        </w:tc>
      </w:tr>
      <w:tr>
        <w:trPr>
          <w:trHeight w:val="269"/>
        </w:trPr>
        <w:tc>
          <w:tcPr>
            <w:tcW w:w="2126" w:type="dxa"/>
            <w:shd w:val="clear" w:color="auto" w:fill="auto"/>
            <w:vAlign w:val="center"/>
            <w:hideMark/>
          </w:tcPr>
          <w:p>
            <w:pPr>
              <w:rPr>
                <w:b/>
                <w:bCs/>
                <w:lang w:val="en-PH" w:eastAsia="en-PH"/>
              </w:rPr>
            </w:pPr>
            <w:r>
              <w:rPr>
                <w:b/>
                <w:bCs/>
                <w:lang w:val="en-PH" w:eastAsia="en-PH"/>
              </w:rPr>
              <w:t>Total</w:t>
            </w:r>
          </w:p>
        </w:tc>
        <w:tc>
          <w:tcPr>
            <w:tcW w:w="1559" w:type="dxa"/>
            <w:shd w:val="clear" w:color="auto" w:fill="auto"/>
            <w:noWrap/>
            <w:vAlign w:val="center"/>
            <w:hideMark/>
          </w:tcPr>
          <w:p>
            <w:pPr>
              <w:jc w:val="right"/>
              <w:rPr>
                <w:b/>
                <w:bCs/>
                <w:lang w:val="en-PH" w:eastAsia="en-PH"/>
              </w:rPr>
            </w:pPr>
            <w:r>
              <w:rPr>
                <w:b/>
                <w:bCs/>
                <w:lang w:val="en-PH" w:eastAsia="en-PH"/>
              </w:rPr>
              <w:t>33,127,418.32</w:t>
            </w:r>
          </w:p>
        </w:tc>
        <w:tc>
          <w:tcPr>
            <w:tcW w:w="1560" w:type="dxa"/>
            <w:shd w:val="clear" w:color="auto" w:fill="auto"/>
            <w:noWrap/>
            <w:vAlign w:val="center"/>
            <w:hideMark/>
          </w:tcPr>
          <w:p>
            <w:pPr>
              <w:jc w:val="right"/>
              <w:rPr>
                <w:b/>
                <w:bCs/>
                <w:lang w:val="en-PH" w:eastAsia="en-PH"/>
              </w:rPr>
            </w:pPr>
            <w:r>
              <w:rPr>
                <w:b/>
                <w:bCs/>
                <w:lang w:val="en-PH" w:eastAsia="en-PH"/>
              </w:rPr>
              <w:t>5,464,078.63</w:t>
            </w:r>
          </w:p>
        </w:tc>
        <w:tc>
          <w:tcPr>
            <w:tcW w:w="1701" w:type="dxa"/>
            <w:shd w:val="clear" w:color="auto" w:fill="auto"/>
            <w:noWrap/>
            <w:vAlign w:val="center"/>
            <w:hideMark/>
          </w:tcPr>
          <w:p>
            <w:pPr>
              <w:jc w:val="right"/>
              <w:rPr>
                <w:b/>
                <w:bCs/>
                <w:lang w:val="en-PH" w:eastAsia="en-PH"/>
              </w:rPr>
            </w:pPr>
            <w:r>
              <w:rPr>
                <w:b/>
                <w:bCs/>
                <w:lang w:val="en-PH" w:eastAsia="en-PH"/>
              </w:rPr>
              <w:t>12,699,236.84</w:t>
            </w:r>
          </w:p>
        </w:tc>
        <w:tc>
          <w:tcPr>
            <w:tcW w:w="1366" w:type="dxa"/>
            <w:shd w:val="clear" w:color="auto" w:fill="auto"/>
            <w:noWrap/>
            <w:vAlign w:val="center"/>
            <w:hideMark/>
          </w:tcPr>
          <w:p>
            <w:pPr>
              <w:jc w:val="right"/>
              <w:rPr>
                <w:b/>
                <w:bCs/>
                <w:lang w:val="en-PH" w:eastAsia="en-PH"/>
              </w:rPr>
            </w:pPr>
          </w:p>
        </w:tc>
      </w:tr>
      <w:tr>
        <w:trPr>
          <w:trHeight w:val="269"/>
        </w:trPr>
        <w:tc>
          <w:tcPr>
            <w:tcW w:w="2126" w:type="dxa"/>
            <w:shd w:val="clear" w:color="auto" w:fill="auto"/>
            <w:vAlign w:val="center"/>
            <w:hideMark/>
          </w:tcPr>
          <w:p>
            <w:pPr>
              <w:rPr>
                <w:lang w:val="en-PH" w:eastAsia="en-PH"/>
              </w:rPr>
            </w:pPr>
            <w:r>
              <w:rPr>
                <w:lang w:val="en-PH" w:eastAsia="en-PH"/>
              </w:rPr>
              <w:t>Balance per Book</w:t>
            </w:r>
          </w:p>
        </w:tc>
        <w:tc>
          <w:tcPr>
            <w:tcW w:w="1559" w:type="dxa"/>
            <w:shd w:val="clear" w:color="auto" w:fill="auto"/>
            <w:noWrap/>
            <w:vAlign w:val="center"/>
            <w:hideMark/>
          </w:tcPr>
          <w:p>
            <w:pPr>
              <w:jc w:val="right"/>
              <w:rPr>
                <w:lang w:val="en-PH" w:eastAsia="en-PH"/>
              </w:rPr>
            </w:pPr>
            <w:r>
              <w:rPr>
                <w:lang w:val="en-PH" w:eastAsia="en-PH"/>
              </w:rPr>
              <w:t>29,752,873.13</w:t>
            </w:r>
          </w:p>
        </w:tc>
        <w:tc>
          <w:tcPr>
            <w:tcW w:w="1560" w:type="dxa"/>
            <w:shd w:val="clear" w:color="auto" w:fill="auto"/>
            <w:noWrap/>
            <w:vAlign w:val="center"/>
            <w:hideMark/>
          </w:tcPr>
          <w:p>
            <w:pPr>
              <w:jc w:val="right"/>
              <w:rPr>
                <w:lang w:val="en-PH" w:eastAsia="en-PH"/>
              </w:rPr>
            </w:pPr>
            <w:r>
              <w:rPr>
                <w:lang w:val="en-PH" w:eastAsia="en-PH"/>
              </w:rPr>
              <w:t>5,503,837.77</w:t>
            </w:r>
          </w:p>
        </w:tc>
        <w:tc>
          <w:tcPr>
            <w:tcW w:w="1701" w:type="dxa"/>
            <w:shd w:val="clear" w:color="auto" w:fill="auto"/>
            <w:noWrap/>
            <w:vAlign w:val="center"/>
            <w:hideMark/>
          </w:tcPr>
          <w:p>
            <w:pPr>
              <w:jc w:val="right"/>
              <w:rPr>
                <w:lang w:val="en-PH" w:eastAsia="en-PH"/>
              </w:rPr>
            </w:pPr>
            <w:r>
              <w:rPr>
                <w:lang w:val="en-PH" w:eastAsia="en-PH"/>
              </w:rPr>
              <w:t>10,632,331.33</w:t>
            </w:r>
          </w:p>
        </w:tc>
        <w:tc>
          <w:tcPr>
            <w:tcW w:w="1366" w:type="dxa"/>
            <w:shd w:val="clear" w:color="auto" w:fill="auto"/>
            <w:noWrap/>
            <w:vAlign w:val="center"/>
            <w:hideMark/>
          </w:tcPr>
          <w:p>
            <w:pPr>
              <w:jc w:val="right"/>
              <w:rPr>
                <w:lang w:val="en-PH" w:eastAsia="en-PH"/>
              </w:rPr>
            </w:pPr>
          </w:p>
        </w:tc>
      </w:tr>
      <w:tr>
        <w:trPr>
          <w:trHeight w:val="269"/>
        </w:trPr>
        <w:tc>
          <w:tcPr>
            <w:tcW w:w="2126" w:type="dxa"/>
            <w:shd w:val="clear" w:color="auto" w:fill="auto"/>
            <w:vAlign w:val="center"/>
            <w:hideMark/>
          </w:tcPr>
          <w:p>
            <w:pPr>
              <w:rPr>
                <w:b/>
                <w:bCs/>
                <w:lang w:val="en-PH" w:eastAsia="en-PH"/>
              </w:rPr>
            </w:pPr>
            <w:r>
              <w:rPr>
                <w:b/>
                <w:bCs/>
                <w:lang w:val="en-PH" w:eastAsia="en-PH"/>
              </w:rPr>
              <w:t>For Reconciliation</w:t>
            </w:r>
          </w:p>
        </w:tc>
        <w:tc>
          <w:tcPr>
            <w:tcW w:w="1559" w:type="dxa"/>
            <w:shd w:val="clear" w:color="auto" w:fill="auto"/>
            <w:noWrap/>
            <w:vAlign w:val="center"/>
            <w:hideMark/>
          </w:tcPr>
          <w:p>
            <w:pPr>
              <w:jc w:val="right"/>
              <w:rPr>
                <w:b/>
                <w:bCs/>
                <w:lang w:val="en-PH" w:eastAsia="en-PH"/>
              </w:rPr>
            </w:pPr>
            <w:r>
              <w:rPr>
                <w:b/>
                <w:bCs/>
                <w:lang w:val="en-PH" w:eastAsia="en-PH"/>
              </w:rPr>
              <w:t>3,374,545.19</w:t>
            </w:r>
          </w:p>
        </w:tc>
        <w:tc>
          <w:tcPr>
            <w:tcW w:w="1560" w:type="dxa"/>
            <w:shd w:val="clear" w:color="auto" w:fill="auto"/>
            <w:noWrap/>
            <w:vAlign w:val="center"/>
            <w:hideMark/>
          </w:tcPr>
          <w:p>
            <w:pPr>
              <w:jc w:val="right"/>
              <w:rPr>
                <w:b/>
                <w:bCs/>
                <w:lang w:val="en-PH" w:eastAsia="en-PH"/>
              </w:rPr>
            </w:pPr>
            <w:r>
              <w:rPr>
                <w:b/>
                <w:bCs/>
                <w:lang w:val="en-PH" w:eastAsia="en-PH"/>
              </w:rPr>
              <w:t xml:space="preserve"> (39,759.14)</w:t>
            </w:r>
          </w:p>
        </w:tc>
        <w:tc>
          <w:tcPr>
            <w:tcW w:w="1701" w:type="dxa"/>
            <w:shd w:val="clear" w:color="auto" w:fill="auto"/>
            <w:noWrap/>
            <w:vAlign w:val="center"/>
            <w:hideMark/>
          </w:tcPr>
          <w:p>
            <w:pPr>
              <w:jc w:val="right"/>
              <w:rPr>
                <w:b/>
                <w:bCs/>
                <w:lang w:val="en-PH" w:eastAsia="en-PH"/>
              </w:rPr>
            </w:pPr>
            <w:r>
              <w:rPr>
                <w:b/>
                <w:bCs/>
                <w:lang w:val="en-PH" w:eastAsia="en-PH"/>
              </w:rPr>
              <w:t>2,066,905.51</w:t>
            </w:r>
          </w:p>
        </w:tc>
        <w:tc>
          <w:tcPr>
            <w:tcW w:w="1366" w:type="dxa"/>
            <w:shd w:val="clear" w:color="auto" w:fill="auto"/>
            <w:noWrap/>
            <w:vAlign w:val="center"/>
            <w:hideMark/>
          </w:tcPr>
          <w:p>
            <w:pPr>
              <w:jc w:val="right"/>
              <w:rPr>
                <w:b/>
                <w:bCs/>
                <w:lang w:val="en-PH" w:eastAsia="en-PH"/>
              </w:rPr>
            </w:pPr>
            <w:r>
              <w:rPr>
                <w:b/>
                <w:bCs/>
                <w:lang w:val="en-PH" w:eastAsia="en-PH"/>
              </w:rPr>
              <w:t>5,401,691.56</w:t>
            </w:r>
          </w:p>
        </w:tc>
      </w:tr>
    </w:tbl>
    <w:p>
      <w:pPr>
        <w:jc w:val="both"/>
        <w:rPr>
          <w:sz w:val="24"/>
          <w:szCs w:val="24"/>
        </w:rPr>
      </w:pPr>
    </w:p>
    <w:p>
      <w:pPr>
        <w:spacing w:line="276" w:lineRule="auto"/>
        <w:ind w:left="1418"/>
        <w:jc w:val="both"/>
        <w:rPr>
          <w:sz w:val="24"/>
          <w:szCs w:val="24"/>
        </w:rPr>
      </w:pPr>
    </w:p>
    <w:p>
      <w:pPr>
        <w:spacing w:line="276" w:lineRule="auto"/>
        <w:ind w:left="1418"/>
        <w:jc w:val="both"/>
        <w:rPr>
          <w:sz w:val="24"/>
          <w:szCs w:val="24"/>
        </w:rPr>
      </w:pPr>
    </w:p>
    <w:p>
      <w:pPr>
        <w:spacing w:line="276" w:lineRule="auto"/>
        <w:ind w:left="1418"/>
        <w:jc w:val="both"/>
        <w:rPr>
          <w:sz w:val="24"/>
          <w:szCs w:val="24"/>
        </w:rPr>
      </w:pPr>
      <w:r>
        <w:rPr>
          <w:sz w:val="24"/>
          <w:szCs w:val="24"/>
        </w:rPr>
        <w:t>Table of Details of the Reconciliation of accounts Due from Other Fund, Due from Special Accounts and Due from Local Economics Enterprise against Due to Other Fund account:</w:t>
      </w:r>
    </w:p>
    <w:p>
      <w:pPr>
        <w:jc w:val="both"/>
        <w:rPr>
          <w:sz w:val="24"/>
          <w:szCs w:val="24"/>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366"/>
        <w:gridCol w:w="1186"/>
        <w:gridCol w:w="1417"/>
        <w:gridCol w:w="851"/>
        <w:gridCol w:w="1417"/>
      </w:tblGrid>
      <w:tr>
        <w:trPr>
          <w:trHeight w:val="283"/>
          <w:tblHeader/>
        </w:trPr>
        <w:tc>
          <w:tcPr>
            <w:tcW w:w="2126" w:type="dxa"/>
            <w:vMerge w:val="restart"/>
            <w:shd w:val="clear" w:color="auto" w:fill="auto"/>
            <w:noWrap/>
            <w:vAlign w:val="center"/>
            <w:hideMark/>
          </w:tcPr>
          <w:p>
            <w:pPr>
              <w:jc w:val="center"/>
              <w:rPr>
                <w:lang w:val="en-PH" w:eastAsia="en-PH"/>
              </w:rPr>
            </w:pPr>
          </w:p>
          <w:p>
            <w:pPr>
              <w:jc w:val="center"/>
              <w:rPr>
                <w:lang w:val="en-PH" w:eastAsia="en-PH"/>
              </w:rPr>
            </w:pPr>
            <w:r>
              <w:rPr>
                <w:b/>
                <w:bCs/>
                <w:lang w:val="en-PH" w:eastAsia="en-PH"/>
              </w:rPr>
              <w:t>Particulars</w:t>
            </w:r>
          </w:p>
        </w:tc>
        <w:tc>
          <w:tcPr>
            <w:tcW w:w="6237" w:type="dxa"/>
            <w:gridSpan w:val="5"/>
            <w:shd w:val="clear" w:color="auto" w:fill="auto"/>
            <w:noWrap/>
            <w:vAlign w:val="bottom"/>
            <w:hideMark/>
          </w:tcPr>
          <w:p>
            <w:pPr>
              <w:jc w:val="center"/>
              <w:rPr>
                <w:b/>
                <w:bCs/>
                <w:lang w:val="en-PH" w:eastAsia="en-PH"/>
              </w:rPr>
            </w:pPr>
            <w:r>
              <w:rPr>
                <w:b/>
                <w:bCs/>
                <w:lang w:val="en-PH" w:eastAsia="en-PH"/>
              </w:rPr>
              <w:t>Due to Other Fund</w:t>
            </w:r>
          </w:p>
        </w:tc>
      </w:tr>
      <w:tr>
        <w:trPr>
          <w:trHeight w:val="283"/>
          <w:tblHeader/>
        </w:trPr>
        <w:tc>
          <w:tcPr>
            <w:tcW w:w="2126" w:type="dxa"/>
            <w:vMerge/>
            <w:shd w:val="clear" w:color="auto" w:fill="auto"/>
            <w:vAlign w:val="center"/>
            <w:hideMark/>
          </w:tcPr>
          <w:p>
            <w:pPr>
              <w:jc w:val="center"/>
              <w:rPr>
                <w:b/>
                <w:bCs/>
                <w:lang w:val="en-PH" w:eastAsia="en-PH"/>
              </w:rPr>
            </w:pPr>
          </w:p>
        </w:tc>
        <w:tc>
          <w:tcPr>
            <w:tcW w:w="1366" w:type="dxa"/>
            <w:shd w:val="clear" w:color="auto" w:fill="auto"/>
            <w:vAlign w:val="center"/>
            <w:hideMark/>
          </w:tcPr>
          <w:p>
            <w:pPr>
              <w:jc w:val="center"/>
              <w:rPr>
                <w:b/>
                <w:bCs/>
                <w:lang w:val="en-PH" w:eastAsia="en-PH"/>
              </w:rPr>
            </w:pPr>
            <w:r>
              <w:rPr>
                <w:b/>
                <w:bCs/>
                <w:lang w:val="en-PH" w:eastAsia="en-PH"/>
              </w:rPr>
              <w:t>GF-Proper</w:t>
            </w:r>
          </w:p>
        </w:tc>
        <w:tc>
          <w:tcPr>
            <w:tcW w:w="1186" w:type="dxa"/>
            <w:shd w:val="clear" w:color="auto" w:fill="auto"/>
            <w:vAlign w:val="center"/>
            <w:hideMark/>
          </w:tcPr>
          <w:p>
            <w:pPr>
              <w:jc w:val="center"/>
              <w:rPr>
                <w:b/>
                <w:bCs/>
                <w:lang w:val="en-PH" w:eastAsia="en-PH"/>
              </w:rPr>
            </w:pPr>
            <w:r>
              <w:rPr>
                <w:b/>
                <w:bCs/>
                <w:lang w:val="en-PH" w:eastAsia="en-PH"/>
              </w:rPr>
              <w:t>SEF</w:t>
            </w:r>
          </w:p>
        </w:tc>
        <w:tc>
          <w:tcPr>
            <w:tcW w:w="1417" w:type="dxa"/>
            <w:shd w:val="clear" w:color="auto" w:fill="auto"/>
            <w:vAlign w:val="center"/>
            <w:hideMark/>
          </w:tcPr>
          <w:p>
            <w:pPr>
              <w:jc w:val="center"/>
              <w:rPr>
                <w:b/>
                <w:bCs/>
                <w:lang w:val="en-PH" w:eastAsia="en-PH"/>
              </w:rPr>
            </w:pPr>
            <w:r>
              <w:rPr>
                <w:b/>
                <w:bCs/>
                <w:lang w:val="en-PH" w:eastAsia="en-PH"/>
              </w:rPr>
              <w:t>TF_Proper</w:t>
            </w:r>
          </w:p>
        </w:tc>
        <w:tc>
          <w:tcPr>
            <w:tcW w:w="851" w:type="dxa"/>
            <w:shd w:val="clear" w:color="auto" w:fill="auto"/>
            <w:vAlign w:val="center"/>
            <w:hideMark/>
          </w:tcPr>
          <w:p>
            <w:pPr>
              <w:jc w:val="center"/>
              <w:rPr>
                <w:b/>
                <w:bCs/>
                <w:lang w:val="en-PH" w:eastAsia="en-PH"/>
              </w:rPr>
            </w:pPr>
            <w:r>
              <w:rPr>
                <w:b/>
                <w:bCs/>
                <w:lang w:val="en-PH" w:eastAsia="en-PH"/>
              </w:rPr>
              <w:t>TF-MRDP</w:t>
            </w:r>
          </w:p>
        </w:tc>
        <w:tc>
          <w:tcPr>
            <w:tcW w:w="1417" w:type="dxa"/>
            <w:shd w:val="clear" w:color="auto" w:fill="auto"/>
            <w:vAlign w:val="center"/>
            <w:hideMark/>
          </w:tcPr>
          <w:p>
            <w:pPr>
              <w:jc w:val="center"/>
              <w:rPr>
                <w:b/>
                <w:bCs/>
                <w:lang w:val="en-PH" w:eastAsia="en-PH"/>
              </w:rPr>
            </w:pPr>
            <w:r>
              <w:rPr>
                <w:b/>
                <w:bCs/>
                <w:lang w:val="en-PH" w:eastAsia="en-PH"/>
              </w:rPr>
              <w:t>TOTAL</w:t>
            </w:r>
          </w:p>
        </w:tc>
      </w:tr>
      <w:tr>
        <w:trPr>
          <w:trHeight w:val="283"/>
        </w:trPr>
        <w:tc>
          <w:tcPr>
            <w:tcW w:w="8363" w:type="dxa"/>
            <w:gridSpan w:val="6"/>
            <w:shd w:val="clear" w:color="auto" w:fill="auto"/>
            <w:noWrap/>
            <w:vAlign w:val="center"/>
            <w:hideMark/>
          </w:tcPr>
          <w:p>
            <w:pPr>
              <w:rPr>
                <w:b/>
                <w:bCs/>
                <w:lang w:val="en-PH" w:eastAsia="en-PH"/>
              </w:rPr>
            </w:pPr>
            <w:r>
              <w:rPr>
                <w:b/>
                <w:bCs/>
                <w:lang w:val="en-PH" w:eastAsia="en-PH"/>
              </w:rPr>
              <w:t>DUE FROM OTHER FUNDS</w:t>
            </w:r>
          </w:p>
        </w:tc>
      </w:tr>
      <w:tr>
        <w:trPr>
          <w:trHeight w:val="283"/>
        </w:trPr>
        <w:tc>
          <w:tcPr>
            <w:tcW w:w="2126" w:type="dxa"/>
            <w:shd w:val="clear" w:color="auto" w:fill="auto"/>
            <w:noWrap/>
            <w:vAlign w:val="bottom"/>
            <w:hideMark/>
          </w:tcPr>
          <w:p>
            <w:pPr>
              <w:rPr>
                <w:lang w:val="en-PH" w:eastAsia="en-PH"/>
              </w:rPr>
            </w:pPr>
            <w:r>
              <w:rPr>
                <w:lang w:val="en-PH" w:eastAsia="en-PH"/>
              </w:rPr>
              <w:t>GF-Proper</w:t>
            </w:r>
          </w:p>
        </w:tc>
        <w:tc>
          <w:tcPr>
            <w:tcW w:w="1366" w:type="dxa"/>
            <w:shd w:val="clear" w:color="auto" w:fill="auto"/>
            <w:noWrap/>
            <w:vAlign w:val="center"/>
            <w:hideMark/>
          </w:tcPr>
          <w:p>
            <w:pPr>
              <w:jc w:val="right"/>
              <w:rPr>
                <w:lang w:val="en-PH" w:eastAsia="en-PH"/>
              </w:rPr>
            </w:pPr>
            <w:r>
              <w:rPr>
                <w:lang w:val="en-PH" w:eastAsia="en-PH"/>
              </w:rPr>
              <w:t>0.00</w:t>
            </w:r>
          </w:p>
        </w:tc>
        <w:tc>
          <w:tcPr>
            <w:tcW w:w="1186" w:type="dxa"/>
            <w:shd w:val="clear" w:color="auto" w:fill="auto"/>
            <w:noWrap/>
            <w:vAlign w:val="center"/>
            <w:hideMark/>
          </w:tcPr>
          <w:p>
            <w:pPr>
              <w:jc w:val="right"/>
              <w:rPr>
                <w:lang w:val="en-PH" w:eastAsia="en-PH"/>
              </w:rPr>
            </w:pPr>
            <w:r>
              <w:rPr>
                <w:lang w:val="en-PH" w:eastAsia="en-PH"/>
              </w:rPr>
              <w:t>781,946.81</w:t>
            </w:r>
          </w:p>
        </w:tc>
        <w:tc>
          <w:tcPr>
            <w:tcW w:w="1417" w:type="dxa"/>
            <w:shd w:val="clear" w:color="auto" w:fill="auto"/>
            <w:noWrap/>
            <w:vAlign w:val="center"/>
            <w:hideMark/>
          </w:tcPr>
          <w:p>
            <w:pPr>
              <w:jc w:val="right"/>
              <w:rPr>
                <w:lang w:val="en-PH" w:eastAsia="en-PH"/>
              </w:rPr>
            </w:pPr>
            <w:r>
              <w:rPr>
                <w:lang w:val="en-PH" w:eastAsia="en-PH"/>
              </w:rPr>
              <w:t>11,773,227.36</w:t>
            </w:r>
          </w:p>
        </w:tc>
        <w:tc>
          <w:tcPr>
            <w:tcW w:w="851" w:type="dxa"/>
            <w:shd w:val="clear" w:color="auto" w:fill="auto"/>
            <w:noWrap/>
            <w:vAlign w:val="center"/>
            <w:hideMark/>
          </w:tcPr>
          <w:p>
            <w:pPr>
              <w:jc w:val="right"/>
              <w:rPr>
                <w:lang w:val="en-PH" w:eastAsia="en-PH"/>
              </w:rPr>
            </w:pPr>
            <w:r>
              <w:rPr>
                <w:lang w:val="en-PH" w:eastAsia="en-PH"/>
              </w:rPr>
              <w:t>725.79</w:t>
            </w:r>
          </w:p>
        </w:tc>
        <w:tc>
          <w:tcPr>
            <w:tcW w:w="1417" w:type="dxa"/>
            <w:shd w:val="clear" w:color="auto" w:fill="auto"/>
            <w:noWrap/>
            <w:vAlign w:val="center"/>
            <w:hideMark/>
          </w:tcPr>
          <w:p>
            <w:pPr>
              <w:jc w:val="right"/>
              <w:rPr>
                <w:lang w:val="en-PH" w:eastAsia="en-PH"/>
              </w:rPr>
            </w:pPr>
            <w:r>
              <w:rPr>
                <w:lang w:val="en-PH" w:eastAsia="en-PH"/>
              </w:rPr>
              <w:t>12,555,899.96</w:t>
            </w:r>
          </w:p>
        </w:tc>
      </w:tr>
      <w:tr>
        <w:trPr>
          <w:trHeight w:val="283"/>
        </w:trPr>
        <w:tc>
          <w:tcPr>
            <w:tcW w:w="2126" w:type="dxa"/>
            <w:shd w:val="clear" w:color="auto" w:fill="auto"/>
            <w:noWrap/>
            <w:vAlign w:val="bottom"/>
            <w:hideMark/>
          </w:tcPr>
          <w:p>
            <w:pPr>
              <w:rPr>
                <w:lang w:val="en-PH" w:eastAsia="en-PH"/>
              </w:rPr>
            </w:pPr>
            <w:r>
              <w:rPr>
                <w:lang w:val="en-PH" w:eastAsia="en-PH"/>
              </w:rPr>
              <w:t>SEF</w:t>
            </w:r>
          </w:p>
        </w:tc>
        <w:tc>
          <w:tcPr>
            <w:tcW w:w="1366" w:type="dxa"/>
            <w:shd w:val="clear" w:color="auto" w:fill="auto"/>
            <w:noWrap/>
            <w:vAlign w:val="center"/>
            <w:hideMark/>
          </w:tcPr>
          <w:p>
            <w:pPr>
              <w:jc w:val="right"/>
              <w:rPr>
                <w:lang w:val="en-PH" w:eastAsia="en-PH"/>
              </w:rPr>
            </w:pPr>
            <w:r>
              <w:rPr>
                <w:lang w:val="en-PH" w:eastAsia="en-PH"/>
              </w:rPr>
              <w:t>252,314.66</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252,314.66</w:t>
            </w:r>
          </w:p>
        </w:tc>
      </w:tr>
      <w:tr>
        <w:trPr>
          <w:trHeight w:val="283"/>
        </w:trPr>
        <w:tc>
          <w:tcPr>
            <w:tcW w:w="2126" w:type="dxa"/>
            <w:shd w:val="clear" w:color="auto" w:fill="auto"/>
            <w:noWrap/>
            <w:vAlign w:val="bottom"/>
            <w:hideMark/>
          </w:tcPr>
          <w:p>
            <w:pPr>
              <w:rPr>
                <w:lang w:val="en-PH" w:eastAsia="en-PH"/>
              </w:rPr>
            </w:pPr>
            <w:r>
              <w:rPr>
                <w:lang w:val="en-PH" w:eastAsia="en-PH"/>
              </w:rPr>
              <w:t>TF_Proper</w:t>
            </w:r>
          </w:p>
        </w:tc>
        <w:tc>
          <w:tcPr>
            <w:tcW w:w="1366" w:type="dxa"/>
            <w:shd w:val="clear" w:color="auto" w:fill="auto"/>
            <w:noWrap/>
            <w:vAlign w:val="center"/>
            <w:hideMark/>
          </w:tcPr>
          <w:p>
            <w:pPr>
              <w:jc w:val="right"/>
              <w:rPr>
                <w:lang w:val="en-PH" w:eastAsia="en-PH"/>
              </w:rPr>
            </w:pPr>
            <w:r>
              <w:rPr>
                <w:lang w:val="en-PH" w:eastAsia="en-PH"/>
              </w:rPr>
              <w:t>6,520,862.25</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6,520,862.25</w:t>
            </w:r>
          </w:p>
        </w:tc>
      </w:tr>
      <w:tr>
        <w:trPr>
          <w:trHeight w:val="283"/>
        </w:trPr>
        <w:tc>
          <w:tcPr>
            <w:tcW w:w="2126" w:type="dxa"/>
            <w:shd w:val="clear" w:color="auto" w:fill="auto"/>
            <w:noWrap/>
            <w:vAlign w:val="bottom"/>
            <w:hideMark/>
          </w:tcPr>
          <w:p>
            <w:pPr>
              <w:rPr>
                <w:lang w:val="en-PH" w:eastAsia="en-PH"/>
              </w:rPr>
            </w:pPr>
            <w:r>
              <w:rPr>
                <w:lang w:val="en-PH" w:eastAsia="en-PH"/>
              </w:rPr>
              <w:t>TF-MRDP</w:t>
            </w:r>
          </w:p>
        </w:tc>
        <w:tc>
          <w:tcPr>
            <w:tcW w:w="1366" w:type="dxa"/>
            <w:shd w:val="clear" w:color="auto" w:fill="auto"/>
            <w:noWrap/>
            <w:vAlign w:val="center"/>
            <w:hideMark/>
          </w:tcPr>
          <w:p>
            <w:pPr>
              <w:jc w:val="right"/>
              <w:rPr>
                <w:lang w:val="en-PH" w:eastAsia="en-PH"/>
              </w:rPr>
            </w:pPr>
            <w:r>
              <w:rPr>
                <w:lang w:val="en-PH" w:eastAsia="en-PH"/>
              </w:rPr>
              <w:t>5,531,930.92</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5,531,930.92</w:t>
            </w:r>
          </w:p>
        </w:tc>
      </w:tr>
      <w:tr>
        <w:trPr>
          <w:trHeight w:val="283"/>
        </w:trPr>
        <w:tc>
          <w:tcPr>
            <w:tcW w:w="2126" w:type="dxa"/>
            <w:shd w:val="clear" w:color="auto" w:fill="auto"/>
            <w:noWrap/>
            <w:vAlign w:val="bottom"/>
            <w:hideMark/>
          </w:tcPr>
          <w:p>
            <w:pPr>
              <w:rPr>
                <w:lang w:val="en-PH" w:eastAsia="en-PH"/>
              </w:rPr>
            </w:pPr>
            <w:r>
              <w:rPr>
                <w:lang w:val="en-PH" w:eastAsia="en-PH"/>
              </w:rPr>
              <w:t>Loans</w:t>
            </w:r>
          </w:p>
        </w:tc>
        <w:tc>
          <w:tcPr>
            <w:tcW w:w="1366" w:type="dxa"/>
            <w:shd w:val="clear" w:color="auto" w:fill="auto"/>
            <w:noWrap/>
            <w:vAlign w:val="center"/>
            <w:hideMark/>
          </w:tcPr>
          <w:p>
            <w:pPr>
              <w:jc w:val="right"/>
              <w:rPr>
                <w:lang w:val="en-PH" w:eastAsia="en-PH"/>
              </w:rPr>
            </w:pPr>
            <w:r>
              <w:rPr>
                <w:lang w:val="en-PH" w:eastAsia="en-PH"/>
              </w:rPr>
              <w:t>356,778.83</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948,974.77</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1,305,753.60</w:t>
            </w:r>
          </w:p>
        </w:tc>
      </w:tr>
      <w:tr>
        <w:trPr>
          <w:trHeight w:val="283"/>
        </w:trPr>
        <w:tc>
          <w:tcPr>
            <w:tcW w:w="2126" w:type="dxa"/>
            <w:shd w:val="clear" w:color="auto" w:fill="auto"/>
            <w:vAlign w:val="center"/>
            <w:hideMark/>
          </w:tcPr>
          <w:p>
            <w:pPr>
              <w:rPr>
                <w:b/>
                <w:bCs/>
                <w:lang w:val="en-PH" w:eastAsia="en-PH"/>
              </w:rPr>
            </w:pPr>
            <w:r>
              <w:rPr>
                <w:b/>
                <w:bCs/>
                <w:lang w:val="en-PH" w:eastAsia="en-PH"/>
              </w:rPr>
              <w:t>Total</w:t>
            </w:r>
          </w:p>
        </w:tc>
        <w:tc>
          <w:tcPr>
            <w:tcW w:w="1366" w:type="dxa"/>
            <w:shd w:val="clear" w:color="auto" w:fill="auto"/>
            <w:noWrap/>
            <w:vAlign w:val="center"/>
            <w:hideMark/>
          </w:tcPr>
          <w:p>
            <w:pPr>
              <w:jc w:val="right"/>
              <w:rPr>
                <w:b/>
                <w:bCs/>
                <w:lang w:val="en-PH" w:eastAsia="en-PH"/>
              </w:rPr>
            </w:pPr>
            <w:r>
              <w:rPr>
                <w:b/>
                <w:bCs/>
                <w:lang w:val="en-PH" w:eastAsia="en-PH"/>
              </w:rPr>
              <w:t>12,661,886.66</w:t>
            </w:r>
          </w:p>
        </w:tc>
        <w:tc>
          <w:tcPr>
            <w:tcW w:w="1186" w:type="dxa"/>
            <w:shd w:val="clear" w:color="auto" w:fill="auto"/>
            <w:noWrap/>
            <w:vAlign w:val="center"/>
            <w:hideMark/>
          </w:tcPr>
          <w:p>
            <w:pPr>
              <w:jc w:val="right"/>
              <w:rPr>
                <w:b/>
                <w:bCs/>
                <w:lang w:val="en-PH" w:eastAsia="en-PH"/>
              </w:rPr>
            </w:pPr>
            <w:r>
              <w:rPr>
                <w:b/>
                <w:bCs/>
                <w:lang w:val="en-PH" w:eastAsia="en-PH"/>
              </w:rPr>
              <w:t>781,946.81</w:t>
            </w:r>
          </w:p>
        </w:tc>
        <w:tc>
          <w:tcPr>
            <w:tcW w:w="1417" w:type="dxa"/>
            <w:shd w:val="clear" w:color="auto" w:fill="auto"/>
            <w:noWrap/>
            <w:vAlign w:val="center"/>
            <w:hideMark/>
          </w:tcPr>
          <w:p>
            <w:pPr>
              <w:jc w:val="right"/>
              <w:rPr>
                <w:b/>
                <w:bCs/>
                <w:lang w:val="en-PH" w:eastAsia="en-PH"/>
              </w:rPr>
            </w:pPr>
            <w:r>
              <w:rPr>
                <w:b/>
                <w:bCs/>
                <w:lang w:val="en-PH" w:eastAsia="en-PH"/>
              </w:rPr>
              <w:t>12,722,202.13</w:t>
            </w:r>
          </w:p>
        </w:tc>
        <w:tc>
          <w:tcPr>
            <w:tcW w:w="851" w:type="dxa"/>
            <w:shd w:val="clear" w:color="auto" w:fill="auto"/>
            <w:noWrap/>
            <w:vAlign w:val="center"/>
            <w:hideMark/>
          </w:tcPr>
          <w:p>
            <w:pPr>
              <w:jc w:val="right"/>
              <w:rPr>
                <w:b/>
                <w:bCs/>
                <w:lang w:val="en-PH" w:eastAsia="en-PH"/>
              </w:rPr>
            </w:pPr>
            <w:r>
              <w:rPr>
                <w:b/>
                <w:bCs/>
                <w:lang w:val="en-PH" w:eastAsia="en-PH"/>
              </w:rPr>
              <w:t>725.79</w:t>
            </w:r>
          </w:p>
        </w:tc>
        <w:tc>
          <w:tcPr>
            <w:tcW w:w="1417" w:type="dxa"/>
            <w:shd w:val="clear" w:color="auto" w:fill="auto"/>
            <w:noWrap/>
            <w:vAlign w:val="center"/>
            <w:hideMark/>
          </w:tcPr>
          <w:p>
            <w:pPr>
              <w:jc w:val="right"/>
              <w:rPr>
                <w:b/>
                <w:bCs/>
                <w:lang w:val="en-PH" w:eastAsia="en-PH"/>
              </w:rPr>
            </w:pPr>
            <w:r>
              <w:rPr>
                <w:b/>
                <w:bCs/>
                <w:lang w:val="en-PH" w:eastAsia="en-PH"/>
              </w:rPr>
              <w:t>26,166,761.39</w:t>
            </w:r>
          </w:p>
        </w:tc>
      </w:tr>
      <w:tr>
        <w:trPr>
          <w:trHeight w:val="283"/>
        </w:trPr>
        <w:tc>
          <w:tcPr>
            <w:tcW w:w="8363" w:type="dxa"/>
            <w:gridSpan w:val="6"/>
            <w:shd w:val="clear" w:color="auto" w:fill="auto"/>
            <w:noWrap/>
            <w:vAlign w:val="center"/>
            <w:hideMark/>
          </w:tcPr>
          <w:p>
            <w:pPr>
              <w:rPr>
                <w:b/>
                <w:bCs/>
                <w:lang w:val="en-PH" w:eastAsia="en-PH"/>
              </w:rPr>
            </w:pPr>
            <w:r>
              <w:rPr>
                <w:b/>
                <w:bCs/>
                <w:lang w:val="en-PH" w:eastAsia="en-PH"/>
              </w:rPr>
              <w:t>DUE FROM SPECIAL ACCOUNTS</w:t>
            </w:r>
          </w:p>
        </w:tc>
      </w:tr>
      <w:tr>
        <w:trPr>
          <w:trHeight w:val="283"/>
        </w:trPr>
        <w:tc>
          <w:tcPr>
            <w:tcW w:w="2126" w:type="dxa"/>
            <w:shd w:val="clear" w:color="auto" w:fill="auto"/>
            <w:noWrap/>
            <w:vAlign w:val="bottom"/>
            <w:hideMark/>
          </w:tcPr>
          <w:p>
            <w:pPr>
              <w:rPr>
                <w:lang w:val="en-PH" w:eastAsia="en-PH"/>
              </w:rPr>
            </w:pPr>
            <w:r>
              <w:rPr>
                <w:lang w:val="en-PH" w:eastAsia="en-PH"/>
              </w:rPr>
              <w:t>20% DF</w:t>
            </w:r>
          </w:p>
        </w:tc>
        <w:tc>
          <w:tcPr>
            <w:tcW w:w="1366" w:type="dxa"/>
            <w:shd w:val="clear" w:color="auto" w:fill="auto"/>
            <w:noWrap/>
            <w:vAlign w:val="center"/>
            <w:hideMark/>
          </w:tcPr>
          <w:p>
            <w:pPr>
              <w:jc w:val="right"/>
              <w:rPr>
                <w:lang w:val="en-PH" w:eastAsia="en-PH"/>
              </w:rPr>
            </w:pPr>
            <w:r>
              <w:rPr>
                <w:lang w:val="en-PH" w:eastAsia="en-PH"/>
              </w:rPr>
              <w:t>5,684,136.33</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8,261.75</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5,692,398.08</w:t>
            </w:r>
          </w:p>
        </w:tc>
      </w:tr>
      <w:tr>
        <w:trPr>
          <w:trHeight w:val="283"/>
        </w:trPr>
        <w:tc>
          <w:tcPr>
            <w:tcW w:w="2126" w:type="dxa"/>
            <w:shd w:val="clear" w:color="auto" w:fill="auto"/>
            <w:noWrap/>
            <w:vAlign w:val="bottom"/>
            <w:hideMark/>
          </w:tcPr>
          <w:p>
            <w:pPr>
              <w:rPr>
                <w:lang w:val="en-PH" w:eastAsia="en-PH"/>
              </w:rPr>
            </w:pPr>
            <w:r>
              <w:rPr>
                <w:lang w:val="en-PH" w:eastAsia="en-PH"/>
              </w:rPr>
              <w:t>Loans</w:t>
            </w:r>
          </w:p>
        </w:tc>
        <w:tc>
          <w:tcPr>
            <w:tcW w:w="1366" w:type="dxa"/>
            <w:shd w:val="clear" w:color="auto" w:fill="auto"/>
            <w:noWrap/>
            <w:vAlign w:val="center"/>
            <w:hideMark/>
          </w:tcPr>
          <w:p>
            <w:pPr>
              <w:jc w:val="right"/>
              <w:rPr>
                <w:lang w:val="en-PH" w:eastAsia="en-PH"/>
              </w:rPr>
            </w:pPr>
            <w:r>
              <w:rPr>
                <w:lang w:val="en-PH" w:eastAsia="en-PH"/>
              </w:rPr>
              <w:t>34,164.41</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34,164.41</w:t>
            </w:r>
          </w:p>
        </w:tc>
      </w:tr>
      <w:tr>
        <w:trPr>
          <w:trHeight w:val="283"/>
        </w:trPr>
        <w:tc>
          <w:tcPr>
            <w:tcW w:w="2126" w:type="dxa"/>
            <w:shd w:val="clear" w:color="auto" w:fill="auto"/>
            <w:noWrap/>
            <w:vAlign w:val="bottom"/>
            <w:hideMark/>
          </w:tcPr>
          <w:p>
            <w:pPr>
              <w:rPr>
                <w:lang w:val="en-PH" w:eastAsia="en-PH"/>
              </w:rPr>
            </w:pPr>
            <w:r>
              <w:rPr>
                <w:lang w:val="en-PH" w:eastAsia="en-PH"/>
              </w:rPr>
              <w:t>DBP</w:t>
            </w:r>
          </w:p>
        </w:tc>
        <w:tc>
          <w:tcPr>
            <w:tcW w:w="1366" w:type="dxa"/>
            <w:shd w:val="clear" w:color="auto" w:fill="auto"/>
            <w:noWrap/>
            <w:vAlign w:val="center"/>
            <w:hideMark/>
          </w:tcPr>
          <w:p>
            <w:pPr>
              <w:jc w:val="right"/>
              <w:rPr>
                <w:lang w:val="en-PH" w:eastAsia="en-PH"/>
              </w:rPr>
            </w:pPr>
            <w:r>
              <w:rPr>
                <w:lang w:val="en-PH" w:eastAsia="en-PH"/>
              </w:rPr>
              <w:t>1,209.31</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1,209.31</w:t>
            </w:r>
          </w:p>
        </w:tc>
      </w:tr>
      <w:tr>
        <w:trPr>
          <w:trHeight w:val="283"/>
        </w:trPr>
        <w:tc>
          <w:tcPr>
            <w:tcW w:w="2126" w:type="dxa"/>
            <w:shd w:val="clear" w:color="auto" w:fill="auto"/>
            <w:vAlign w:val="center"/>
            <w:hideMark/>
          </w:tcPr>
          <w:p>
            <w:pPr>
              <w:rPr>
                <w:b/>
                <w:bCs/>
                <w:lang w:val="en-PH" w:eastAsia="en-PH"/>
              </w:rPr>
            </w:pPr>
            <w:r>
              <w:rPr>
                <w:b/>
                <w:bCs/>
                <w:lang w:val="en-PH" w:eastAsia="en-PH"/>
              </w:rPr>
              <w:t xml:space="preserve">Total </w:t>
            </w:r>
          </w:p>
        </w:tc>
        <w:tc>
          <w:tcPr>
            <w:tcW w:w="1366" w:type="dxa"/>
            <w:shd w:val="clear" w:color="auto" w:fill="auto"/>
            <w:noWrap/>
            <w:vAlign w:val="center"/>
            <w:hideMark/>
          </w:tcPr>
          <w:p>
            <w:pPr>
              <w:jc w:val="right"/>
              <w:rPr>
                <w:b/>
                <w:bCs/>
                <w:lang w:val="en-PH" w:eastAsia="en-PH"/>
              </w:rPr>
            </w:pPr>
            <w:r>
              <w:rPr>
                <w:b/>
                <w:bCs/>
                <w:lang w:val="en-PH" w:eastAsia="en-PH"/>
              </w:rPr>
              <w:t>5,719,510.05</w:t>
            </w:r>
          </w:p>
        </w:tc>
        <w:tc>
          <w:tcPr>
            <w:tcW w:w="1186" w:type="dxa"/>
            <w:shd w:val="clear" w:color="auto" w:fill="auto"/>
            <w:noWrap/>
            <w:vAlign w:val="center"/>
            <w:hideMark/>
          </w:tcPr>
          <w:p>
            <w:pPr>
              <w:jc w:val="right"/>
              <w:rPr>
                <w:b/>
                <w:bCs/>
                <w:lang w:val="en-PH" w:eastAsia="en-PH"/>
              </w:rPr>
            </w:pPr>
            <w:r>
              <w:rPr>
                <w:b/>
                <w:lang w:val="en-PH" w:eastAsia="en-PH"/>
              </w:rPr>
              <w:t>0.00</w:t>
            </w:r>
          </w:p>
        </w:tc>
        <w:tc>
          <w:tcPr>
            <w:tcW w:w="1417" w:type="dxa"/>
            <w:shd w:val="clear" w:color="auto" w:fill="auto"/>
            <w:noWrap/>
            <w:vAlign w:val="center"/>
            <w:hideMark/>
          </w:tcPr>
          <w:p>
            <w:pPr>
              <w:jc w:val="right"/>
              <w:rPr>
                <w:b/>
                <w:bCs/>
                <w:lang w:val="en-PH" w:eastAsia="en-PH"/>
              </w:rPr>
            </w:pPr>
            <w:r>
              <w:rPr>
                <w:b/>
                <w:bCs/>
                <w:lang w:val="en-PH" w:eastAsia="en-PH"/>
              </w:rPr>
              <w:t>8,261.75</w:t>
            </w:r>
          </w:p>
        </w:tc>
        <w:tc>
          <w:tcPr>
            <w:tcW w:w="851" w:type="dxa"/>
            <w:shd w:val="clear" w:color="auto" w:fill="auto"/>
            <w:noWrap/>
            <w:vAlign w:val="center"/>
            <w:hideMark/>
          </w:tcPr>
          <w:p>
            <w:pPr>
              <w:jc w:val="right"/>
              <w:rPr>
                <w:b/>
                <w:bCs/>
                <w:lang w:val="en-PH" w:eastAsia="en-PH"/>
              </w:rPr>
            </w:pPr>
            <w:r>
              <w:rPr>
                <w:b/>
                <w:lang w:val="en-PH" w:eastAsia="en-PH"/>
              </w:rPr>
              <w:t>0.00</w:t>
            </w:r>
          </w:p>
        </w:tc>
        <w:tc>
          <w:tcPr>
            <w:tcW w:w="1417" w:type="dxa"/>
            <w:shd w:val="clear" w:color="auto" w:fill="auto"/>
            <w:noWrap/>
            <w:vAlign w:val="center"/>
            <w:hideMark/>
          </w:tcPr>
          <w:p>
            <w:pPr>
              <w:jc w:val="right"/>
              <w:rPr>
                <w:b/>
                <w:bCs/>
                <w:lang w:val="en-PH" w:eastAsia="en-PH"/>
              </w:rPr>
            </w:pPr>
            <w:r>
              <w:rPr>
                <w:b/>
                <w:bCs/>
                <w:lang w:val="en-PH" w:eastAsia="en-PH"/>
              </w:rPr>
              <w:t>5,727,771.80</w:t>
            </w:r>
          </w:p>
        </w:tc>
      </w:tr>
      <w:tr>
        <w:trPr>
          <w:trHeight w:val="283"/>
        </w:trPr>
        <w:tc>
          <w:tcPr>
            <w:tcW w:w="8363" w:type="dxa"/>
            <w:gridSpan w:val="6"/>
            <w:shd w:val="clear" w:color="auto" w:fill="auto"/>
            <w:noWrap/>
            <w:vAlign w:val="center"/>
            <w:hideMark/>
          </w:tcPr>
          <w:p>
            <w:pPr>
              <w:rPr>
                <w:b/>
                <w:bCs/>
                <w:lang w:val="en-PH" w:eastAsia="en-PH"/>
              </w:rPr>
            </w:pPr>
            <w:r>
              <w:rPr>
                <w:b/>
                <w:bCs/>
                <w:lang w:val="en-PH" w:eastAsia="en-PH"/>
              </w:rPr>
              <w:t>DUE FROM LOCAL ECON. ENT</w:t>
            </w:r>
          </w:p>
        </w:tc>
      </w:tr>
      <w:tr>
        <w:trPr>
          <w:trHeight w:val="283"/>
        </w:trPr>
        <w:tc>
          <w:tcPr>
            <w:tcW w:w="2126" w:type="dxa"/>
            <w:shd w:val="clear" w:color="auto" w:fill="auto"/>
            <w:noWrap/>
            <w:vAlign w:val="bottom"/>
            <w:hideMark/>
          </w:tcPr>
          <w:p>
            <w:pPr>
              <w:rPr>
                <w:lang w:val="en-PH" w:eastAsia="en-PH"/>
              </w:rPr>
            </w:pPr>
            <w:r>
              <w:rPr>
                <w:lang w:val="en-PH" w:eastAsia="en-PH"/>
              </w:rPr>
              <w:t>Market Operation</w:t>
            </w:r>
          </w:p>
        </w:tc>
        <w:tc>
          <w:tcPr>
            <w:tcW w:w="1366" w:type="dxa"/>
            <w:shd w:val="clear" w:color="auto" w:fill="auto"/>
            <w:noWrap/>
            <w:vAlign w:val="center"/>
            <w:hideMark/>
          </w:tcPr>
          <w:p>
            <w:pPr>
              <w:jc w:val="right"/>
              <w:rPr>
                <w:lang w:val="en-PH" w:eastAsia="en-PH"/>
              </w:rPr>
            </w:pPr>
            <w:r>
              <w:rPr>
                <w:lang w:val="en-PH" w:eastAsia="en-PH"/>
              </w:rPr>
              <w:t>888,417.73</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888,417.73</w:t>
            </w:r>
          </w:p>
        </w:tc>
      </w:tr>
      <w:tr>
        <w:trPr>
          <w:trHeight w:val="283"/>
        </w:trPr>
        <w:tc>
          <w:tcPr>
            <w:tcW w:w="2126" w:type="dxa"/>
            <w:shd w:val="clear" w:color="auto" w:fill="auto"/>
            <w:noWrap/>
            <w:vAlign w:val="bottom"/>
            <w:hideMark/>
          </w:tcPr>
          <w:p>
            <w:pPr>
              <w:rPr>
                <w:lang w:val="en-PH" w:eastAsia="en-PH"/>
              </w:rPr>
            </w:pPr>
            <w:r>
              <w:rPr>
                <w:lang w:val="en-PH" w:eastAsia="en-PH"/>
              </w:rPr>
              <w:t>Terminal Operation</w:t>
            </w:r>
          </w:p>
        </w:tc>
        <w:tc>
          <w:tcPr>
            <w:tcW w:w="1366" w:type="dxa"/>
            <w:shd w:val="clear" w:color="auto" w:fill="auto"/>
            <w:noWrap/>
            <w:vAlign w:val="center"/>
            <w:hideMark/>
          </w:tcPr>
          <w:p>
            <w:pPr>
              <w:jc w:val="right"/>
              <w:rPr>
                <w:lang w:val="en-PH" w:eastAsia="en-PH"/>
              </w:rPr>
            </w:pPr>
            <w:r>
              <w:rPr>
                <w:lang w:val="en-PH" w:eastAsia="en-PH"/>
              </w:rPr>
              <w:t>193,474.09</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1,700.00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195,174.09</w:t>
            </w:r>
          </w:p>
        </w:tc>
      </w:tr>
      <w:tr>
        <w:trPr>
          <w:trHeight w:val="283"/>
        </w:trPr>
        <w:tc>
          <w:tcPr>
            <w:tcW w:w="2126" w:type="dxa"/>
            <w:shd w:val="clear" w:color="auto" w:fill="auto"/>
            <w:noWrap/>
            <w:vAlign w:val="bottom"/>
            <w:hideMark/>
          </w:tcPr>
          <w:p>
            <w:pPr>
              <w:rPr>
                <w:lang w:val="en-PH" w:eastAsia="en-PH"/>
              </w:rPr>
            </w:pPr>
            <w:r>
              <w:rPr>
                <w:lang w:val="en-PH" w:eastAsia="en-PH"/>
              </w:rPr>
              <w:t>Cemetery Operation</w:t>
            </w:r>
          </w:p>
        </w:tc>
        <w:tc>
          <w:tcPr>
            <w:tcW w:w="1366" w:type="dxa"/>
            <w:shd w:val="clear" w:color="auto" w:fill="auto"/>
            <w:noWrap/>
            <w:vAlign w:val="center"/>
            <w:hideMark/>
          </w:tcPr>
          <w:p>
            <w:pPr>
              <w:jc w:val="right"/>
              <w:rPr>
                <w:lang w:val="en-PH" w:eastAsia="en-PH"/>
              </w:rPr>
            </w:pPr>
            <w:r>
              <w:rPr>
                <w:lang w:val="en-PH" w:eastAsia="en-PH"/>
              </w:rPr>
              <w:t>107,306.41</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107,306.41</w:t>
            </w:r>
          </w:p>
        </w:tc>
      </w:tr>
      <w:tr>
        <w:trPr>
          <w:trHeight w:val="283"/>
        </w:trPr>
        <w:tc>
          <w:tcPr>
            <w:tcW w:w="2126" w:type="dxa"/>
            <w:shd w:val="clear" w:color="auto" w:fill="auto"/>
            <w:noWrap/>
            <w:vAlign w:val="bottom"/>
            <w:hideMark/>
          </w:tcPr>
          <w:p>
            <w:pPr>
              <w:rPr>
                <w:lang w:val="en-PH" w:eastAsia="en-PH"/>
              </w:rPr>
            </w:pPr>
            <w:r>
              <w:rPr>
                <w:lang w:val="en-PH" w:eastAsia="en-PH"/>
              </w:rPr>
              <w:t>Slaughterhouse Operation</w:t>
            </w:r>
          </w:p>
        </w:tc>
        <w:tc>
          <w:tcPr>
            <w:tcW w:w="1366" w:type="dxa"/>
            <w:shd w:val="clear" w:color="auto" w:fill="auto"/>
            <w:noWrap/>
            <w:vAlign w:val="center"/>
            <w:hideMark/>
          </w:tcPr>
          <w:p>
            <w:pPr>
              <w:jc w:val="right"/>
              <w:rPr>
                <w:lang w:val="en-PH" w:eastAsia="en-PH"/>
              </w:rPr>
            </w:pPr>
            <w:r>
              <w:rPr>
                <w:lang w:val="en-PH" w:eastAsia="en-PH"/>
              </w:rPr>
              <w:t>41,986.90</w:t>
            </w:r>
          </w:p>
        </w:tc>
        <w:tc>
          <w:tcPr>
            <w:tcW w:w="1186"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0.00</w:t>
            </w:r>
          </w:p>
        </w:tc>
        <w:tc>
          <w:tcPr>
            <w:tcW w:w="851" w:type="dxa"/>
            <w:shd w:val="clear" w:color="auto" w:fill="auto"/>
            <w:noWrap/>
            <w:vAlign w:val="center"/>
            <w:hideMark/>
          </w:tcPr>
          <w:p>
            <w:pPr>
              <w:jc w:val="right"/>
              <w:rPr>
                <w:lang w:val="en-PH" w:eastAsia="en-PH"/>
              </w:rPr>
            </w:pPr>
            <w:r>
              <w:rPr>
                <w:lang w:val="en-PH" w:eastAsia="en-PH"/>
              </w:rPr>
              <w:t>0.00</w:t>
            </w:r>
          </w:p>
        </w:tc>
        <w:tc>
          <w:tcPr>
            <w:tcW w:w="1417" w:type="dxa"/>
            <w:shd w:val="clear" w:color="auto" w:fill="auto"/>
            <w:noWrap/>
            <w:vAlign w:val="center"/>
            <w:hideMark/>
          </w:tcPr>
          <w:p>
            <w:pPr>
              <w:jc w:val="right"/>
              <w:rPr>
                <w:lang w:val="en-PH" w:eastAsia="en-PH"/>
              </w:rPr>
            </w:pPr>
            <w:r>
              <w:rPr>
                <w:lang w:val="en-PH" w:eastAsia="en-PH"/>
              </w:rPr>
              <w:t>41,986.90</w:t>
            </w:r>
          </w:p>
        </w:tc>
      </w:tr>
      <w:tr>
        <w:trPr>
          <w:trHeight w:val="283"/>
        </w:trPr>
        <w:tc>
          <w:tcPr>
            <w:tcW w:w="2126" w:type="dxa"/>
            <w:shd w:val="clear" w:color="auto" w:fill="auto"/>
            <w:vAlign w:val="center"/>
            <w:hideMark/>
          </w:tcPr>
          <w:p>
            <w:pPr>
              <w:rPr>
                <w:b/>
                <w:bCs/>
                <w:lang w:val="en-PH" w:eastAsia="en-PH"/>
              </w:rPr>
            </w:pPr>
            <w:r>
              <w:rPr>
                <w:b/>
                <w:bCs/>
                <w:lang w:val="en-PH" w:eastAsia="en-PH"/>
              </w:rPr>
              <w:t>Total</w:t>
            </w:r>
          </w:p>
        </w:tc>
        <w:tc>
          <w:tcPr>
            <w:tcW w:w="1366" w:type="dxa"/>
            <w:shd w:val="clear" w:color="auto" w:fill="auto"/>
            <w:noWrap/>
            <w:vAlign w:val="center"/>
            <w:hideMark/>
          </w:tcPr>
          <w:p>
            <w:pPr>
              <w:jc w:val="right"/>
              <w:rPr>
                <w:b/>
                <w:bCs/>
                <w:lang w:val="en-PH" w:eastAsia="en-PH"/>
              </w:rPr>
            </w:pPr>
            <w:r>
              <w:rPr>
                <w:b/>
                <w:bCs/>
                <w:lang w:val="en-PH" w:eastAsia="en-PH"/>
              </w:rPr>
              <w:t>1,231,185.13</w:t>
            </w:r>
          </w:p>
        </w:tc>
        <w:tc>
          <w:tcPr>
            <w:tcW w:w="1186" w:type="dxa"/>
            <w:shd w:val="clear" w:color="auto" w:fill="auto"/>
            <w:noWrap/>
            <w:vAlign w:val="center"/>
            <w:hideMark/>
          </w:tcPr>
          <w:p>
            <w:pPr>
              <w:jc w:val="right"/>
              <w:rPr>
                <w:b/>
                <w:bCs/>
                <w:lang w:val="en-PH" w:eastAsia="en-PH"/>
              </w:rPr>
            </w:pPr>
            <w:r>
              <w:rPr>
                <w:b/>
                <w:lang w:val="en-PH" w:eastAsia="en-PH"/>
              </w:rPr>
              <w:t>0.00</w:t>
            </w:r>
          </w:p>
        </w:tc>
        <w:tc>
          <w:tcPr>
            <w:tcW w:w="1417" w:type="dxa"/>
            <w:shd w:val="clear" w:color="auto" w:fill="auto"/>
            <w:noWrap/>
            <w:vAlign w:val="center"/>
            <w:hideMark/>
          </w:tcPr>
          <w:p>
            <w:pPr>
              <w:jc w:val="right"/>
              <w:rPr>
                <w:b/>
                <w:bCs/>
                <w:lang w:val="en-PH" w:eastAsia="en-PH"/>
              </w:rPr>
            </w:pPr>
            <w:r>
              <w:rPr>
                <w:b/>
                <w:bCs/>
                <w:lang w:val="en-PH" w:eastAsia="en-PH"/>
              </w:rPr>
              <w:t>1,700.00</w:t>
            </w:r>
          </w:p>
        </w:tc>
        <w:tc>
          <w:tcPr>
            <w:tcW w:w="851" w:type="dxa"/>
            <w:shd w:val="clear" w:color="auto" w:fill="auto"/>
            <w:noWrap/>
            <w:vAlign w:val="center"/>
            <w:hideMark/>
          </w:tcPr>
          <w:p>
            <w:pPr>
              <w:jc w:val="right"/>
              <w:rPr>
                <w:b/>
                <w:bCs/>
                <w:lang w:val="en-PH" w:eastAsia="en-PH"/>
              </w:rPr>
            </w:pPr>
            <w:r>
              <w:rPr>
                <w:b/>
                <w:lang w:val="en-PH" w:eastAsia="en-PH"/>
              </w:rPr>
              <w:t>0.00</w:t>
            </w:r>
          </w:p>
        </w:tc>
        <w:tc>
          <w:tcPr>
            <w:tcW w:w="1417" w:type="dxa"/>
            <w:shd w:val="clear" w:color="auto" w:fill="auto"/>
            <w:noWrap/>
            <w:vAlign w:val="center"/>
            <w:hideMark/>
          </w:tcPr>
          <w:p>
            <w:pPr>
              <w:jc w:val="right"/>
              <w:rPr>
                <w:b/>
                <w:bCs/>
                <w:lang w:val="en-PH" w:eastAsia="en-PH"/>
              </w:rPr>
            </w:pPr>
            <w:r>
              <w:rPr>
                <w:b/>
                <w:bCs/>
                <w:lang w:val="en-PH" w:eastAsia="en-PH"/>
              </w:rPr>
              <w:t>1,232,885.13</w:t>
            </w:r>
          </w:p>
        </w:tc>
      </w:tr>
    </w:tbl>
    <w:p>
      <w:pPr>
        <w:ind w:left="720"/>
        <w:rPr>
          <w:sz w:val="24"/>
          <w:szCs w:val="24"/>
        </w:rPr>
      </w:pPr>
    </w:p>
    <w:p>
      <w:pPr>
        <w:spacing w:line="276" w:lineRule="auto"/>
        <w:ind w:left="1418"/>
        <w:jc w:val="both"/>
        <w:rPr>
          <w:sz w:val="24"/>
          <w:szCs w:val="24"/>
        </w:rPr>
      </w:pPr>
      <w:r>
        <w:rPr>
          <w:sz w:val="24"/>
          <w:szCs w:val="24"/>
        </w:rPr>
        <w:t>Table of Details of the Reconciliation of three Due from Other Fund and Due from Local Economic Enterprise against Due to Local Economic Enterprise account and Due to Special Accounts:</w:t>
      </w:r>
    </w:p>
    <w:p>
      <w:pPr>
        <w:rPr>
          <w:sz w:val="24"/>
          <w:szCs w:val="24"/>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559"/>
        <w:gridCol w:w="425"/>
        <w:gridCol w:w="1051"/>
        <w:gridCol w:w="933"/>
        <w:gridCol w:w="673"/>
        <w:gridCol w:w="1312"/>
      </w:tblGrid>
      <w:tr>
        <w:trPr>
          <w:trHeight w:val="283"/>
        </w:trPr>
        <w:tc>
          <w:tcPr>
            <w:tcW w:w="2410" w:type="dxa"/>
            <w:vMerge w:val="restart"/>
            <w:shd w:val="clear" w:color="auto" w:fill="auto"/>
            <w:noWrap/>
            <w:vAlign w:val="center"/>
            <w:hideMark/>
          </w:tcPr>
          <w:p>
            <w:pPr>
              <w:jc w:val="center"/>
              <w:rPr>
                <w:lang w:val="en-PH" w:eastAsia="en-PH"/>
              </w:rPr>
            </w:pPr>
          </w:p>
          <w:p>
            <w:pPr>
              <w:jc w:val="center"/>
              <w:rPr>
                <w:lang w:val="en-PH" w:eastAsia="en-PH"/>
              </w:rPr>
            </w:pPr>
            <w:r>
              <w:rPr>
                <w:b/>
                <w:bCs/>
                <w:lang w:val="en-PH" w:eastAsia="en-PH"/>
              </w:rPr>
              <w:t>Particulars</w:t>
            </w:r>
          </w:p>
        </w:tc>
        <w:tc>
          <w:tcPr>
            <w:tcW w:w="5953" w:type="dxa"/>
            <w:gridSpan w:val="6"/>
            <w:shd w:val="clear" w:color="auto" w:fill="auto"/>
            <w:noWrap/>
            <w:vAlign w:val="bottom"/>
            <w:hideMark/>
          </w:tcPr>
          <w:p>
            <w:pPr>
              <w:jc w:val="center"/>
              <w:rPr>
                <w:b/>
                <w:bCs/>
                <w:lang w:val="en-PH" w:eastAsia="en-PH"/>
              </w:rPr>
            </w:pPr>
            <w:r>
              <w:rPr>
                <w:b/>
                <w:bCs/>
                <w:lang w:val="en-PH" w:eastAsia="en-PH"/>
              </w:rPr>
              <w:t>Due to Local Economics Enterprise</w:t>
            </w:r>
          </w:p>
        </w:tc>
      </w:tr>
      <w:tr>
        <w:trPr>
          <w:trHeight w:val="283"/>
        </w:trPr>
        <w:tc>
          <w:tcPr>
            <w:tcW w:w="2410" w:type="dxa"/>
            <w:vMerge/>
            <w:shd w:val="clear" w:color="auto" w:fill="auto"/>
            <w:vAlign w:val="center"/>
            <w:hideMark/>
          </w:tcPr>
          <w:p>
            <w:pPr>
              <w:jc w:val="center"/>
              <w:rPr>
                <w:b/>
                <w:bCs/>
                <w:lang w:val="en-PH" w:eastAsia="en-PH"/>
              </w:rPr>
            </w:pPr>
          </w:p>
        </w:tc>
        <w:tc>
          <w:tcPr>
            <w:tcW w:w="1559" w:type="dxa"/>
            <w:shd w:val="clear" w:color="auto" w:fill="auto"/>
            <w:vAlign w:val="center"/>
            <w:hideMark/>
          </w:tcPr>
          <w:p>
            <w:pPr>
              <w:jc w:val="center"/>
              <w:rPr>
                <w:b/>
                <w:bCs/>
                <w:lang w:val="en-PH" w:eastAsia="en-PH"/>
              </w:rPr>
            </w:pPr>
            <w:r>
              <w:rPr>
                <w:b/>
                <w:bCs/>
                <w:lang w:val="en-PH" w:eastAsia="en-PH"/>
              </w:rPr>
              <w:t>Cemetery Operation</w:t>
            </w:r>
          </w:p>
        </w:tc>
        <w:tc>
          <w:tcPr>
            <w:tcW w:w="1476" w:type="dxa"/>
            <w:gridSpan w:val="2"/>
            <w:shd w:val="clear" w:color="auto" w:fill="auto"/>
            <w:vAlign w:val="center"/>
            <w:hideMark/>
          </w:tcPr>
          <w:p>
            <w:pPr>
              <w:jc w:val="center"/>
              <w:rPr>
                <w:b/>
                <w:bCs/>
                <w:lang w:val="en-PH" w:eastAsia="en-PH"/>
              </w:rPr>
            </w:pPr>
            <w:r>
              <w:rPr>
                <w:b/>
                <w:bCs/>
                <w:lang w:val="en-PH" w:eastAsia="en-PH"/>
              </w:rPr>
              <w:t>Market Operation</w:t>
            </w:r>
          </w:p>
        </w:tc>
        <w:tc>
          <w:tcPr>
            <w:tcW w:w="1606" w:type="dxa"/>
            <w:gridSpan w:val="2"/>
            <w:shd w:val="clear" w:color="auto" w:fill="auto"/>
            <w:vAlign w:val="center"/>
            <w:hideMark/>
          </w:tcPr>
          <w:p>
            <w:pPr>
              <w:jc w:val="center"/>
              <w:rPr>
                <w:b/>
                <w:bCs/>
                <w:lang w:val="en-PH" w:eastAsia="en-PH"/>
              </w:rPr>
            </w:pPr>
            <w:r>
              <w:rPr>
                <w:b/>
                <w:bCs/>
                <w:lang w:val="en-PH" w:eastAsia="en-PH"/>
              </w:rPr>
              <w:t>Terminal Operation</w:t>
            </w:r>
          </w:p>
        </w:tc>
        <w:tc>
          <w:tcPr>
            <w:tcW w:w="1312" w:type="dxa"/>
            <w:shd w:val="clear" w:color="auto" w:fill="auto"/>
            <w:vAlign w:val="center"/>
            <w:hideMark/>
          </w:tcPr>
          <w:p>
            <w:pPr>
              <w:jc w:val="center"/>
              <w:rPr>
                <w:b/>
                <w:bCs/>
                <w:lang w:val="en-PH" w:eastAsia="en-PH"/>
              </w:rPr>
            </w:pPr>
            <w:r>
              <w:rPr>
                <w:b/>
                <w:bCs/>
                <w:lang w:val="en-PH" w:eastAsia="en-PH"/>
              </w:rPr>
              <w:t>TOTAL</w:t>
            </w:r>
          </w:p>
        </w:tc>
      </w:tr>
      <w:tr>
        <w:trPr>
          <w:trHeight w:val="283"/>
        </w:trPr>
        <w:tc>
          <w:tcPr>
            <w:tcW w:w="8363" w:type="dxa"/>
            <w:gridSpan w:val="7"/>
            <w:shd w:val="clear" w:color="auto" w:fill="auto"/>
            <w:noWrap/>
            <w:vAlign w:val="center"/>
            <w:hideMark/>
          </w:tcPr>
          <w:p>
            <w:pPr>
              <w:rPr>
                <w:lang w:val="en-PH" w:eastAsia="en-PH"/>
              </w:rPr>
            </w:pPr>
            <w:r>
              <w:rPr>
                <w:b/>
                <w:bCs/>
                <w:lang w:val="en-PH" w:eastAsia="en-PH"/>
              </w:rPr>
              <w:t>DUE FROM OTHER FUNDS</w:t>
            </w:r>
            <w:r>
              <w:rPr>
                <w:lang w:val="en-PH" w:eastAsia="en-PH"/>
              </w:rPr>
              <w:t> </w:t>
            </w:r>
          </w:p>
        </w:tc>
      </w:tr>
      <w:tr>
        <w:trPr>
          <w:trHeight w:val="283"/>
        </w:trPr>
        <w:tc>
          <w:tcPr>
            <w:tcW w:w="2410" w:type="dxa"/>
            <w:shd w:val="clear" w:color="auto" w:fill="auto"/>
            <w:noWrap/>
            <w:vAlign w:val="bottom"/>
            <w:hideMark/>
          </w:tcPr>
          <w:p>
            <w:pPr>
              <w:rPr>
                <w:lang w:val="en-PH" w:eastAsia="en-PH"/>
              </w:rPr>
            </w:pPr>
            <w:r>
              <w:rPr>
                <w:lang w:val="en-PH" w:eastAsia="en-PH"/>
              </w:rPr>
              <w:t>GF-Proper</w:t>
            </w:r>
          </w:p>
        </w:tc>
        <w:tc>
          <w:tcPr>
            <w:tcW w:w="1559" w:type="dxa"/>
            <w:shd w:val="clear" w:color="auto" w:fill="auto"/>
            <w:noWrap/>
            <w:vAlign w:val="center"/>
            <w:hideMark/>
          </w:tcPr>
          <w:p>
            <w:pPr>
              <w:jc w:val="right"/>
              <w:rPr>
                <w:lang w:val="en-PH" w:eastAsia="en-PH"/>
              </w:rPr>
            </w:pPr>
            <w:r>
              <w:rPr>
                <w:lang w:val="en-PH" w:eastAsia="en-PH"/>
              </w:rPr>
              <w:t>57,887.92</w:t>
            </w:r>
          </w:p>
        </w:tc>
        <w:tc>
          <w:tcPr>
            <w:tcW w:w="1476" w:type="dxa"/>
            <w:gridSpan w:val="2"/>
            <w:shd w:val="clear" w:color="auto" w:fill="auto"/>
            <w:noWrap/>
            <w:vAlign w:val="center"/>
            <w:hideMark/>
          </w:tcPr>
          <w:p>
            <w:pPr>
              <w:jc w:val="right"/>
              <w:rPr>
                <w:lang w:val="en-PH" w:eastAsia="en-PH"/>
              </w:rPr>
            </w:pPr>
            <w:r>
              <w:rPr>
                <w:lang w:val="en-PH" w:eastAsia="en-PH"/>
              </w:rPr>
              <w:t>279,782.17</w:t>
            </w:r>
          </w:p>
        </w:tc>
        <w:tc>
          <w:tcPr>
            <w:tcW w:w="1606" w:type="dxa"/>
            <w:gridSpan w:val="2"/>
            <w:shd w:val="clear" w:color="auto" w:fill="auto"/>
            <w:noWrap/>
            <w:vAlign w:val="center"/>
            <w:hideMark/>
          </w:tcPr>
          <w:p>
            <w:pPr>
              <w:jc w:val="right"/>
              <w:rPr>
                <w:lang w:val="en-PH" w:eastAsia="en-PH"/>
              </w:rPr>
            </w:pPr>
            <w:r>
              <w:rPr>
                <w:lang w:val="en-PH" w:eastAsia="en-PH"/>
              </w:rPr>
              <w:t>3046.45</w:t>
            </w:r>
          </w:p>
        </w:tc>
        <w:tc>
          <w:tcPr>
            <w:tcW w:w="1312" w:type="dxa"/>
            <w:shd w:val="clear" w:color="auto" w:fill="auto"/>
            <w:noWrap/>
            <w:vAlign w:val="center"/>
            <w:hideMark/>
          </w:tcPr>
          <w:p>
            <w:pPr>
              <w:jc w:val="right"/>
              <w:rPr>
                <w:lang w:val="en-PH" w:eastAsia="en-PH"/>
              </w:rPr>
            </w:pPr>
            <w:r>
              <w:rPr>
                <w:lang w:val="en-PH" w:eastAsia="en-PH"/>
              </w:rPr>
              <w:t>340,716.54</w:t>
            </w:r>
          </w:p>
        </w:tc>
      </w:tr>
      <w:tr>
        <w:trPr>
          <w:trHeight w:val="283"/>
        </w:trPr>
        <w:tc>
          <w:tcPr>
            <w:tcW w:w="2410" w:type="dxa"/>
            <w:shd w:val="clear" w:color="auto" w:fill="auto"/>
            <w:noWrap/>
            <w:vAlign w:val="bottom"/>
            <w:hideMark/>
          </w:tcPr>
          <w:p>
            <w:pPr>
              <w:rPr>
                <w:lang w:val="en-PH" w:eastAsia="en-PH"/>
              </w:rPr>
            </w:pPr>
            <w:r>
              <w:rPr>
                <w:lang w:val="en-PH" w:eastAsia="en-PH"/>
              </w:rPr>
              <w:t>For reconciliation</w:t>
            </w:r>
          </w:p>
        </w:tc>
        <w:tc>
          <w:tcPr>
            <w:tcW w:w="1559" w:type="dxa"/>
            <w:shd w:val="clear" w:color="auto" w:fill="auto"/>
            <w:noWrap/>
            <w:vAlign w:val="center"/>
            <w:hideMark/>
          </w:tcPr>
          <w:p>
            <w:pPr>
              <w:jc w:val="right"/>
              <w:rPr>
                <w:lang w:val="en-PH" w:eastAsia="en-PH"/>
              </w:rPr>
            </w:pPr>
            <w:r>
              <w:rPr>
                <w:lang w:val="en-PH" w:eastAsia="en-PH"/>
              </w:rPr>
              <w:t>0.00</w:t>
            </w:r>
          </w:p>
        </w:tc>
        <w:tc>
          <w:tcPr>
            <w:tcW w:w="1476" w:type="dxa"/>
            <w:gridSpan w:val="2"/>
            <w:shd w:val="clear" w:color="auto" w:fill="auto"/>
            <w:noWrap/>
            <w:vAlign w:val="center"/>
            <w:hideMark/>
          </w:tcPr>
          <w:p>
            <w:pPr>
              <w:jc w:val="right"/>
              <w:rPr>
                <w:lang w:val="en-PH" w:eastAsia="en-PH"/>
              </w:rPr>
            </w:pPr>
            <w:r>
              <w:rPr>
                <w:lang w:val="en-PH" w:eastAsia="en-PH"/>
              </w:rPr>
              <w:t>(36,960.65)</w:t>
            </w:r>
          </w:p>
        </w:tc>
        <w:tc>
          <w:tcPr>
            <w:tcW w:w="1606" w:type="dxa"/>
            <w:gridSpan w:val="2"/>
            <w:shd w:val="clear" w:color="auto" w:fill="auto"/>
            <w:noWrap/>
            <w:vAlign w:val="center"/>
            <w:hideMark/>
          </w:tcPr>
          <w:p>
            <w:pPr>
              <w:jc w:val="right"/>
              <w:rPr>
                <w:lang w:val="en-PH" w:eastAsia="en-PH"/>
              </w:rPr>
            </w:pPr>
            <w:r>
              <w:rPr>
                <w:lang w:val="en-PH" w:eastAsia="en-PH"/>
              </w:rPr>
              <w:t>0.00</w:t>
            </w:r>
          </w:p>
        </w:tc>
        <w:tc>
          <w:tcPr>
            <w:tcW w:w="1312" w:type="dxa"/>
            <w:shd w:val="clear" w:color="auto" w:fill="auto"/>
            <w:noWrap/>
            <w:vAlign w:val="center"/>
            <w:hideMark/>
          </w:tcPr>
          <w:p>
            <w:pPr>
              <w:jc w:val="right"/>
              <w:rPr>
                <w:lang w:val="en-PH" w:eastAsia="en-PH"/>
              </w:rPr>
            </w:pPr>
            <w:r>
              <w:rPr>
                <w:lang w:val="en-PH" w:eastAsia="en-PH"/>
              </w:rPr>
              <w:t>(36,960.65)</w:t>
            </w:r>
          </w:p>
        </w:tc>
      </w:tr>
      <w:tr>
        <w:trPr>
          <w:trHeight w:val="283"/>
        </w:trPr>
        <w:tc>
          <w:tcPr>
            <w:tcW w:w="2410" w:type="dxa"/>
            <w:shd w:val="clear" w:color="auto" w:fill="auto"/>
            <w:vAlign w:val="center"/>
            <w:hideMark/>
          </w:tcPr>
          <w:p>
            <w:pPr>
              <w:jc w:val="center"/>
              <w:rPr>
                <w:b/>
                <w:bCs/>
                <w:lang w:val="en-PH" w:eastAsia="en-PH"/>
              </w:rPr>
            </w:pPr>
            <w:r>
              <w:rPr>
                <w:b/>
                <w:bCs/>
                <w:lang w:val="en-PH" w:eastAsia="en-PH"/>
              </w:rPr>
              <w:t>Total</w:t>
            </w:r>
          </w:p>
        </w:tc>
        <w:tc>
          <w:tcPr>
            <w:tcW w:w="1559" w:type="dxa"/>
            <w:shd w:val="clear" w:color="auto" w:fill="auto"/>
            <w:noWrap/>
            <w:vAlign w:val="center"/>
            <w:hideMark/>
          </w:tcPr>
          <w:p>
            <w:pPr>
              <w:jc w:val="right"/>
              <w:rPr>
                <w:b/>
                <w:bCs/>
                <w:lang w:val="en-PH" w:eastAsia="en-PH"/>
              </w:rPr>
            </w:pPr>
            <w:r>
              <w:rPr>
                <w:b/>
                <w:bCs/>
                <w:lang w:val="en-PH" w:eastAsia="en-PH"/>
              </w:rPr>
              <w:t>57,887.92</w:t>
            </w:r>
          </w:p>
        </w:tc>
        <w:tc>
          <w:tcPr>
            <w:tcW w:w="1476" w:type="dxa"/>
            <w:gridSpan w:val="2"/>
            <w:shd w:val="clear" w:color="auto" w:fill="auto"/>
            <w:noWrap/>
            <w:vAlign w:val="center"/>
            <w:hideMark/>
          </w:tcPr>
          <w:p>
            <w:pPr>
              <w:jc w:val="right"/>
              <w:rPr>
                <w:b/>
                <w:bCs/>
                <w:lang w:val="en-PH" w:eastAsia="en-PH"/>
              </w:rPr>
            </w:pPr>
            <w:r>
              <w:rPr>
                <w:b/>
                <w:bCs/>
                <w:lang w:val="en-PH" w:eastAsia="en-PH"/>
              </w:rPr>
              <w:t>242,821.52</w:t>
            </w:r>
          </w:p>
        </w:tc>
        <w:tc>
          <w:tcPr>
            <w:tcW w:w="1606" w:type="dxa"/>
            <w:gridSpan w:val="2"/>
            <w:shd w:val="clear" w:color="auto" w:fill="auto"/>
            <w:noWrap/>
            <w:vAlign w:val="center"/>
            <w:hideMark/>
          </w:tcPr>
          <w:p>
            <w:pPr>
              <w:jc w:val="right"/>
              <w:rPr>
                <w:b/>
                <w:bCs/>
                <w:lang w:val="en-PH" w:eastAsia="en-PH"/>
              </w:rPr>
            </w:pPr>
            <w:r>
              <w:rPr>
                <w:b/>
                <w:bCs/>
                <w:lang w:val="en-PH" w:eastAsia="en-PH"/>
              </w:rPr>
              <w:t>3,046.45</w:t>
            </w:r>
          </w:p>
        </w:tc>
        <w:tc>
          <w:tcPr>
            <w:tcW w:w="1312" w:type="dxa"/>
            <w:shd w:val="clear" w:color="auto" w:fill="auto"/>
            <w:noWrap/>
            <w:vAlign w:val="center"/>
            <w:hideMark/>
          </w:tcPr>
          <w:p>
            <w:pPr>
              <w:jc w:val="right"/>
              <w:rPr>
                <w:b/>
                <w:bCs/>
                <w:lang w:val="en-PH" w:eastAsia="en-PH"/>
              </w:rPr>
            </w:pPr>
            <w:r>
              <w:rPr>
                <w:b/>
                <w:bCs/>
                <w:lang w:val="en-PH" w:eastAsia="en-PH"/>
              </w:rPr>
              <w:t>303,755.89</w:t>
            </w:r>
          </w:p>
        </w:tc>
      </w:tr>
      <w:tr>
        <w:trPr>
          <w:trHeight w:val="283"/>
        </w:trPr>
        <w:tc>
          <w:tcPr>
            <w:tcW w:w="8363" w:type="dxa"/>
            <w:gridSpan w:val="7"/>
            <w:shd w:val="clear" w:color="auto" w:fill="auto"/>
            <w:noWrap/>
            <w:vAlign w:val="center"/>
            <w:hideMark/>
          </w:tcPr>
          <w:p>
            <w:pPr>
              <w:rPr>
                <w:lang w:val="en-PH" w:eastAsia="en-PH"/>
              </w:rPr>
            </w:pPr>
            <w:r>
              <w:rPr>
                <w:b/>
                <w:bCs/>
                <w:lang w:val="en-PH" w:eastAsia="en-PH"/>
              </w:rPr>
              <w:t>DUE FROM LOCAL ECON. ENT</w:t>
            </w:r>
          </w:p>
        </w:tc>
      </w:tr>
      <w:tr>
        <w:trPr>
          <w:trHeight w:val="283"/>
        </w:trPr>
        <w:tc>
          <w:tcPr>
            <w:tcW w:w="2410" w:type="dxa"/>
            <w:shd w:val="clear" w:color="auto" w:fill="auto"/>
            <w:noWrap/>
            <w:vAlign w:val="center"/>
            <w:hideMark/>
          </w:tcPr>
          <w:p>
            <w:pPr>
              <w:rPr>
                <w:lang w:val="en-PH" w:eastAsia="en-PH"/>
              </w:rPr>
            </w:pPr>
            <w:r>
              <w:rPr>
                <w:lang w:val="en-PH" w:eastAsia="en-PH"/>
              </w:rPr>
              <w:t>Market Operation</w:t>
            </w:r>
          </w:p>
        </w:tc>
        <w:tc>
          <w:tcPr>
            <w:tcW w:w="1559" w:type="dxa"/>
            <w:shd w:val="clear" w:color="auto" w:fill="auto"/>
            <w:noWrap/>
            <w:vAlign w:val="center"/>
            <w:hideMark/>
          </w:tcPr>
          <w:p>
            <w:pPr>
              <w:jc w:val="right"/>
              <w:rPr>
                <w:lang w:val="en-PH" w:eastAsia="en-PH"/>
              </w:rPr>
            </w:pPr>
            <w:r>
              <w:rPr>
                <w:lang w:val="en-PH" w:eastAsia="en-PH"/>
              </w:rPr>
              <w:t>0.00</w:t>
            </w:r>
          </w:p>
        </w:tc>
        <w:tc>
          <w:tcPr>
            <w:tcW w:w="1476" w:type="dxa"/>
            <w:gridSpan w:val="2"/>
            <w:shd w:val="clear" w:color="auto" w:fill="auto"/>
            <w:noWrap/>
            <w:vAlign w:val="center"/>
            <w:hideMark/>
          </w:tcPr>
          <w:p>
            <w:pPr>
              <w:jc w:val="right"/>
              <w:rPr>
                <w:lang w:val="en-PH" w:eastAsia="en-PH"/>
              </w:rPr>
            </w:pPr>
            <w:r>
              <w:rPr>
                <w:lang w:val="en-PH" w:eastAsia="en-PH"/>
              </w:rPr>
              <w:t>3,535,243.99</w:t>
            </w:r>
          </w:p>
        </w:tc>
        <w:tc>
          <w:tcPr>
            <w:tcW w:w="1606" w:type="dxa"/>
            <w:gridSpan w:val="2"/>
            <w:shd w:val="clear" w:color="auto" w:fill="auto"/>
            <w:noWrap/>
            <w:vAlign w:val="center"/>
            <w:hideMark/>
          </w:tcPr>
          <w:p>
            <w:pPr>
              <w:jc w:val="right"/>
              <w:rPr>
                <w:lang w:val="en-PH" w:eastAsia="en-PH"/>
              </w:rPr>
            </w:pPr>
            <w:r>
              <w:rPr>
                <w:lang w:val="en-PH" w:eastAsia="en-PH"/>
              </w:rPr>
              <w:t>0.00</w:t>
            </w:r>
          </w:p>
        </w:tc>
        <w:tc>
          <w:tcPr>
            <w:tcW w:w="1312" w:type="dxa"/>
            <w:shd w:val="clear" w:color="auto" w:fill="auto"/>
            <w:noWrap/>
            <w:vAlign w:val="center"/>
            <w:hideMark/>
          </w:tcPr>
          <w:p>
            <w:pPr>
              <w:jc w:val="right"/>
              <w:rPr>
                <w:lang w:val="en-PH" w:eastAsia="en-PH"/>
              </w:rPr>
            </w:pPr>
            <w:r>
              <w:rPr>
                <w:lang w:val="en-PH" w:eastAsia="en-PH"/>
              </w:rPr>
              <w:t>3,535,243.99</w:t>
            </w:r>
          </w:p>
        </w:tc>
      </w:tr>
      <w:tr>
        <w:trPr>
          <w:trHeight w:val="283"/>
        </w:trPr>
        <w:tc>
          <w:tcPr>
            <w:tcW w:w="2410" w:type="dxa"/>
            <w:shd w:val="clear" w:color="auto" w:fill="auto"/>
            <w:noWrap/>
            <w:vAlign w:val="center"/>
            <w:hideMark/>
          </w:tcPr>
          <w:p>
            <w:pPr>
              <w:rPr>
                <w:lang w:val="en-PH" w:eastAsia="en-PH"/>
              </w:rPr>
            </w:pPr>
            <w:r>
              <w:rPr>
                <w:lang w:val="en-PH" w:eastAsia="en-PH"/>
              </w:rPr>
              <w:t>Terminal Operation</w:t>
            </w:r>
          </w:p>
        </w:tc>
        <w:tc>
          <w:tcPr>
            <w:tcW w:w="1559" w:type="dxa"/>
            <w:shd w:val="clear" w:color="auto" w:fill="auto"/>
            <w:noWrap/>
            <w:vAlign w:val="center"/>
            <w:hideMark/>
          </w:tcPr>
          <w:p>
            <w:pPr>
              <w:jc w:val="right"/>
              <w:rPr>
                <w:lang w:val="en-PH" w:eastAsia="en-PH"/>
              </w:rPr>
            </w:pPr>
            <w:r>
              <w:rPr>
                <w:lang w:val="en-PH" w:eastAsia="en-PH"/>
              </w:rPr>
              <w:t>0.00</w:t>
            </w:r>
          </w:p>
        </w:tc>
        <w:tc>
          <w:tcPr>
            <w:tcW w:w="1476" w:type="dxa"/>
            <w:gridSpan w:val="2"/>
            <w:shd w:val="clear" w:color="auto" w:fill="auto"/>
            <w:noWrap/>
            <w:vAlign w:val="center"/>
            <w:hideMark/>
          </w:tcPr>
          <w:p>
            <w:pPr>
              <w:jc w:val="right"/>
              <w:rPr>
                <w:lang w:val="en-PH" w:eastAsia="en-PH"/>
              </w:rPr>
            </w:pPr>
            <w:r>
              <w:rPr>
                <w:lang w:val="en-PH" w:eastAsia="en-PH"/>
              </w:rPr>
              <w:t>0.00</w:t>
            </w:r>
          </w:p>
        </w:tc>
        <w:tc>
          <w:tcPr>
            <w:tcW w:w="1606" w:type="dxa"/>
            <w:gridSpan w:val="2"/>
            <w:shd w:val="clear" w:color="auto" w:fill="auto"/>
            <w:noWrap/>
            <w:vAlign w:val="center"/>
            <w:hideMark/>
          </w:tcPr>
          <w:p>
            <w:pPr>
              <w:jc w:val="right"/>
              <w:rPr>
                <w:lang w:val="en-PH" w:eastAsia="en-PH"/>
              </w:rPr>
            </w:pPr>
            <w:r>
              <w:rPr>
                <w:lang w:val="en-PH" w:eastAsia="en-PH"/>
              </w:rPr>
              <w:t>0.00</w:t>
            </w:r>
          </w:p>
        </w:tc>
        <w:tc>
          <w:tcPr>
            <w:tcW w:w="1312" w:type="dxa"/>
            <w:shd w:val="clear" w:color="auto" w:fill="auto"/>
            <w:noWrap/>
            <w:vAlign w:val="center"/>
            <w:hideMark/>
          </w:tcPr>
          <w:p>
            <w:pPr>
              <w:jc w:val="right"/>
              <w:rPr>
                <w:lang w:val="en-PH" w:eastAsia="en-PH"/>
              </w:rPr>
            </w:pPr>
            <w:r>
              <w:rPr>
                <w:lang w:val="en-PH" w:eastAsia="en-PH"/>
              </w:rPr>
              <w:t>0.00</w:t>
            </w:r>
          </w:p>
        </w:tc>
      </w:tr>
      <w:tr>
        <w:trPr>
          <w:trHeight w:val="283"/>
        </w:trPr>
        <w:tc>
          <w:tcPr>
            <w:tcW w:w="2410" w:type="dxa"/>
            <w:shd w:val="clear" w:color="auto" w:fill="auto"/>
            <w:noWrap/>
            <w:vAlign w:val="center"/>
            <w:hideMark/>
          </w:tcPr>
          <w:p>
            <w:pPr>
              <w:rPr>
                <w:lang w:val="en-PH" w:eastAsia="en-PH"/>
              </w:rPr>
            </w:pPr>
            <w:r>
              <w:rPr>
                <w:lang w:val="en-PH" w:eastAsia="en-PH"/>
              </w:rPr>
              <w:t>Cemetery Operation</w:t>
            </w:r>
          </w:p>
        </w:tc>
        <w:tc>
          <w:tcPr>
            <w:tcW w:w="1559" w:type="dxa"/>
            <w:shd w:val="clear" w:color="auto" w:fill="auto"/>
            <w:noWrap/>
            <w:vAlign w:val="center"/>
            <w:hideMark/>
          </w:tcPr>
          <w:p>
            <w:pPr>
              <w:jc w:val="right"/>
              <w:rPr>
                <w:lang w:val="en-PH" w:eastAsia="en-PH"/>
              </w:rPr>
            </w:pPr>
            <w:r>
              <w:rPr>
                <w:lang w:val="en-PH" w:eastAsia="en-PH"/>
              </w:rPr>
              <w:t>0.00</w:t>
            </w:r>
          </w:p>
        </w:tc>
        <w:tc>
          <w:tcPr>
            <w:tcW w:w="1476" w:type="dxa"/>
            <w:gridSpan w:val="2"/>
            <w:shd w:val="clear" w:color="auto" w:fill="auto"/>
            <w:noWrap/>
            <w:vAlign w:val="center"/>
            <w:hideMark/>
          </w:tcPr>
          <w:p>
            <w:pPr>
              <w:jc w:val="right"/>
              <w:rPr>
                <w:lang w:val="en-PH" w:eastAsia="en-PH"/>
              </w:rPr>
            </w:pPr>
            <w:r>
              <w:rPr>
                <w:lang w:val="en-PH" w:eastAsia="en-PH"/>
              </w:rPr>
              <w:t>14,630.00</w:t>
            </w:r>
          </w:p>
        </w:tc>
        <w:tc>
          <w:tcPr>
            <w:tcW w:w="1606" w:type="dxa"/>
            <w:gridSpan w:val="2"/>
            <w:shd w:val="clear" w:color="auto" w:fill="auto"/>
            <w:noWrap/>
            <w:vAlign w:val="center"/>
            <w:hideMark/>
          </w:tcPr>
          <w:p>
            <w:pPr>
              <w:jc w:val="right"/>
              <w:rPr>
                <w:lang w:val="en-PH" w:eastAsia="en-PH"/>
              </w:rPr>
            </w:pPr>
            <w:r>
              <w:rPr>
                <w:lang w:val="en-PH" w:eastAsia="en-PH"/>
              </w:rPr>
              <w:t>0.00</w:t>
            </w:r>
          </w:p>
        </w:tc>
        <w:tc>
          <w:tcPr>
            <w:tcW w:w="1312" w:type="dxa"/>
            <w:shd w:val="clear" w:color="auto" w:fill="auto"/>
            <w:noWrap/>
            <w:vAlign w:val="center"/>
            <w:hideMark/>
          </w:tcPr>
          <w:p>
            <w:pPr>
              <w:jc w:val="right"/>
              <w:rPr>
                <w:lang w:val="en-PH" w:eastAsia="en-PH"/>
              </w:rPr>
            </w:pPr>
            <w:r>
              <w:rPr>
                <w:lang w:val="en-PH" w:eastAsia="en-PH"/>
              </w:rPr>
              <w:t>14,630.00</w:t>
            </w:r>
          </w:p>
        </w:tc>
      </w:tr>
      <w:tr>
        <w:trPr>
          <w:trHeight w:val="283"/>
        </w:trPr>
        <w:tc>
          <w:tcPr>
            <w:tcW w:w="2410" w:type="dxa"/>
            <w:shd w:val="clear" w:color="auto" w:fill="auto"/>
            <w:noWrap/>
            <w:vAlign w:val="center"/>
            <w:hideMark/>
          </w:tcPr>
          <w:p>
            <w:pPr>
              <w:rPr>
                <w:lang w:val="en-PH" w:eastAsia="en-PH"/>
              </w:rPr>
            </w:pPr>
            <w:r>
              <w:rPr>
                <w:lang w:val="en-PH" w:eastAsia="en-PH"/>
              </w:rPr>
              <w:t>Slaughterhouse Operation</w:t>
            </w:r>
          </w:p>
        </w:tc>
        <w:tc>
          <w:tcPr>
            <w:tcW w:w="1559" w:type="dxa"/>
            <w:shd w:val="clear" w:color="auto" w:fill="auto"/>
            <w:noWrap/>
            <w:vAlign w:val="center"/>
            <w:hideMark/>
          </w:tcPr>
          <w:p>
            <w:pPr>
              <w:jc w:val="right"/>
              <w:rPr>
                <w:lang w:val="en-PH" w:eastAsia="en-PH"/>
              </w:rPr>
            </w:pPr>
            <w:r>
              <w:rPr>
                <w:lang w:val="en-PH" w:eastAsia="en-PH"/>
              </w:rPr>
              <w:t>0.00</w:t>
            </w:r>
          </w:p>
        </w:tc>
        <w:tc>
          <w:tcPr>
            <w:tcW w:w="1476" w:type="dxa"/>
            <w:gridSpan w:val="2"/>
            <w:shd w:val="clear" w:color="auto" w:fill="auto"/>
            <w:noWrap/>
            <w:vAlign w:val="center"/>
            <w:hideMark/>
          </w:tcPr>
          <w:p>
            <w:pPr>
              <w:jc w:val="right"/>
              <w:rPr>
                <w:lang w:val="en-PH" w:eastAsia="en-PH"/>
              </w:rPr>
            </w:pPr>
            <w:r>
              <w:rPr>
                <w:lang w:val="en-PH" w:eastAsia="en-PH"/>
              </w:rPr>
              <w:t>279.42</w:t>
            </w:r>
          </w:p>
        </w:tc>
        <w:tc>
          <w:tcPr>
            <w:tcW w:w="1606" w:type="dxa"/>
            <w:gridSpan w:val="2"/>
            <w:shd w:val="clear" w:color="auto" w:fill="auto"/>
            <w:noWrap/>
            <w:vAlign w:val="center"/>
            <w:hideMark/>
          </w:tcPr>
          <w:p>
            <w:pPr>
              <w:jc w:val="right"/>
              <w:rPr>
                <w:lang w:val="en-PH" w:eastAsia="en-PH"/>
              </w:rPr>
            </w:pPr>
            <w:r>
              <w:rPr>
                <w:lang w:val="en-PH" w:eastAsia="en-PH"/>
              </w:rPr>
              <w:t>1610169.33</w:t>
            </w:r>
          </w:p>
        </w:tc>
        <w:tc>
          <w:tcPr>
            <w:tcW w:w="1312" w:type="dxa"/>
            <w:shd w:val="clear" w:color="auto" w:fill="auto"/>
            <w:noWrap/>
            <w:vAlign w:val="center"/>
            <w:hideMark/>
          </w:tcPr>
          <w:p>
            <w:pPr>
              <w:jc w:val="right"/>
              <w:rPr>
                <w:lang w:val="en-PH" w:eastAsia="en-PH"/>
              </w:rPr>
            </w:pPr>
            <w:r>
              <w:rPr>
                <w:lang w:val="en-PH" w:eastAsia="en-PH"/>
              </w:rPr>
              <w:t>1,610,448.75</w:t>
            </w:r>
          </w:p>
        </w:tc>
      </w:tr>
      <w:tr>
        <w:trPr>
          <w:trHeight w:val="283"/>
        </w:trPr>
        <w:tc>
          <w:tcPr>
            <w:tcW w:w="2410" w:type="dxa"/>
            <w:shd w:val="clear" w:color="auto" w:fill="auto"/>
            <w:vAlign w:val="center"/>
            <w:hideMark/>
          </w:tcPr>
          <w:p>
            <w:pPr>
              <w:jc w:val="center"/>
              <w:rPr>
                <w:b/>
                <w:bCs/>
                <w:lang w:val="en-PH" w:eastAsia="en-PH"/>
              </w:rPr>
            </w:pPr>
            <w:r>
              <w:rPr>
                <w:b/>
                <w:bCs/>
                <w:lang w:val="en-PH" w:eastAsia="en-PH"/>
              </w:rPr>
              <w:t>Total</w:t>
            </w:r>
          </w:p>
        </w:tc>
        <w:tc>
          <w:tcPr>
            <w:tcW w:w="1559" w:type="dxa"/>
            <w:shd w:val="clear" w:color="auto" w:fill="auto"/>
            <w:noWrap/>
            <w:vAlign w:val="center"/>
            <w:hideMark/>
          </w:tcPr>
          <w:p>
            <w:pPr>
              <w:jc w:val="right"/>
              <w:rPr>
                <w:b/>
                <w:bCs/>
                <w:lang w:val="en-PH" w:eastAsia="en-PH"/>
              </w:rPr>
            </w:pPr>
          </w:p>
        </w:tc>
        <w:tc>
          <w:tcPr>
            <w:tcW w:w="1476" w:type="dxa"/>
            <w:gridSpan w:val="2"/>
            <w:shd w:val="clear" w:color="auto" w:fill="auto"/>
            <w:noWrap/>
            <w:vAlign w:val="center"/>
            <w:hideMark/>
          </w:tcPr>
          <w:p>
            <w:pPr>
              <w:jc w:val="right"/>
              <w:rPr>
                <w:b/>
                <w:bCs/>
                <w:lang w:val="en-PH" w:eastAsia="en-PH"/>
              </w:rPr>
            </w:pPr>
            <w:r>
              <w:rPr>
                <w:b/>
                <w:bCs/>
                <w:lang w:val="en-PH" w:eastAsia="en-PH"/>
              </w:rPr>
              <w:t>3,550,153.41</w:t>
            </w:r>
          </w:p>
        </w:tc>
        <w:tc>
          <w:tcPr>
            <w:tcW w:w="1606" w:type="dxa"/>
            <w:gridSpan w:val="2"/>
            <w:shd w:val="clear" w:color="auto" w:fill="auto"/>
            <w:noWrap/>
            <w:vAlign w:val="center"/>
            <w:hideMark/>
          </w:tcPr>
          <w:p>
            <w:pPr>
              <w:jc w:val="right"/>
              <w:rPr>
                <w:b/>
                <w:bCs/>
                <w:lang w:val="en-PH" w:eastAsia="en-PH"/>
              </w:rPr>
            </w:pPr>
            <w:r>
              <w:rPr>
                <w:b/>
                <w:bCs/>
                <w:lang w:val="en-PH" w:eastAsia="en-PH"/>
              </w:rPr>
              <w:t>1,610,169.33</w:t>
            </w:r>
          </w:p>
        </w:tc>
        <w:tc>
          <w:tcPr>
            <w:tcW w:w="1312" w:type="dxa"/>
            <w:shd w:val="clear" w:color="auto" w:fill="auto"/>
            <w:noWrap/>
            <w:vAlign w:val="center"/>
            <w:hideMark/>
          </w:tcPr>
          <w:p>
            <w:pPr>
              <w:jc w:val="right"/>
              <w:rPr>
                <w:b/>
                <w:bCs/>
                <w:lang w:val="en-PH" w:eastAsia="en-PH"/>
              </w:rPr>
            </w:pPr>
            <w:r>
              <w:rPr>
                <w:b/>
                <w:bCs/>
                <w:lang w:val="en-PH" w:eastAsia="en-PH"/>
              </w:rPr>
              <w:t>5,160,322.74</w:t>
            </w:r>
          </w:p>
        </w:tc>
      </w:tr>
      <w:tr>
        <w:trPr>
          <w:trHeight w:val="283"/>
          <w:tblHeader/>
        </w:trPr>
        <w:tc>
          <w:tcPr>
            <w:tcW w:w="2410" w:type="dxa"/>
            <w:vMerge w:val="restart"/>
            <w:shd w:val="clear" w:color="auto" w:fill="auto"/>
            <w:noWrap/>
            <w:vAlign w:val="center"/>
            <w:hideMark/>
          </w:tcPr>
          <w:p>
            <w:pPr>
              <w:jc w:val="center"/>
              <w:rPr>
                <w:lang w:val="en-PH" w:eastAsia="en-PH"/>
              </w:rPr>
            </w:pPr>
            <w:r>
              <w:rPr>
                <w:b/>
                <w:bCs/>
                <w:lang w:val="en-PH" w:eastAsia="en-PH"/>
              </w:rPr>
              <w:lastRenderedPageBreak/>
              <w:t>Particulars</w:t>
            </w:r>
          </w:p>
        </w:tc>
        <w:tc>
          <w:tcPr>
            <w:tcW w:w="5953" w:type="dxa"/>
            <w:gridSpan w:val="6"/>
            <w:shd w:val="clear" w:color="auto" w:fill="auto"/>
            <w:noWrap/>
            <w:vAlign w:val="center"/>
            <w:hideMark/>
          </w:tcPr>
          <w:p>
            <w:pPr>
              <w:jc w:val="center"/>
              <w:rPr>
                <w:b/>
                <w:bCs/>
                <w:lang w:val="en-PH" w:eastAsia="en-PH"/>
              </w:rPr>
            </w:pPr>
            <w:r>
              <w:rPr>
                <w:b/>
                <w:bCs/>
                <w:lang w:val="en-PH" w:eastAsia="en-PH"/>
              </w:rPr>
              <w:t>Due to Special Accounts</w:t>
            </w:r>
          </w:p>
        </w:tc>
      </w:tr>
      <w:tr>
        <w:trPr>
          <w:trHeight w:val="283"/>
          <w:tblHeader/>
        </w:trPr>
        <w:tc>
          <w:tcPr>
            <w:tcW w:w="2410" w:type="dxa"/>
            <w:vMerge/>
            <w:shd w:val="clear" w:color="auto" w:fill="auto"/>
            <w:vAlign w:val="center"/>
            <w:hideMark/>
          </w:tcPr>
          <w:p>
            <w:pPr>
              <w:jc w:val="center"/>
              <w:rPr>
                <w:b/>
                <w:bCs/>
                <w:lang w:val="en-PH" w:eastAsia="en-PH"/>
              </w:rPr>
            </w:pPr>
          </w:p>
        </w:tc>
        <w:tc>
          <w:tcPr>
            <w:tcW w:w="1984" w:type="dxa"/>
            <w:gridSpan w:val="2"/>
            <w:shd w:val="clear" w:color="auto" w:fill="auto"/>
            <w:vAlign w:val="center"/>
            <w:hideMark/>
          </w:tcPr>
          <w:p>
            <w:pPr>
              <w:jc w:val="center"/>
              <w:rPr>
                <w:b/>
                <w:bCs/>
                <w:lang w:val="en-PH" w:eastAsia="en-PH"/>
              </w:rPr>
            </w:pPr>
            <w:r>
              <w:rPr>
                <w:b/>
                <w:bCs/>
                <w:lang w:val="en-PH" w:eastAsia="en-PH"/>
              </w:rPr>
              <w:t>20% DF</w:t>
            </w:r>
          </w:p>
        </w:tc>
        <w:tc>
          <w:tcPr>
            <w:tcW w:w="1984" w:type="dxa"/>
            <w:gridSpan w:val="2"/>
            <w:shd w:val="clear" w:color="auto" w:fill="auto"/>
            <w:vAlign w:val="center"/>
            <w:hideMark/>
          </w:tcPr>
          <w:p>
            <w:pPr>
              <w:jc w:val="center"/>
              <w:rPr>
                <w:b/>
                <w:bCs/>
                <w:lang w:val="en-PH" w:eastAsia="en-PH"/>
              </w:rPr>
            </w:pPr>
            <w:r>
              <w:rPr>
                <w:b/>
                <w:bCs/>
                <w:lang w:val="en-PH" w:eastAsia="en-PH"/>
              </w:rPr>
              <w:t>Loans</w:t>
            </w:r>
          </w:p>
        </w:tc>
        <w:tc>
          <w:tcPr>
            <w:tcW w:w="1985" w:type="dxa"/>
            <w:gridSpan w:val="2"/>
            <w:shd w:val="clear" w:color="auto" w:fill="auto"/>
            <w:vAlign w:val="center"/>
            <w:hideMark/>
          </w:tcPr>
          <w:p>
            <w:pPr>
              <w:jc w:val="center"/>
              <w:rPr>
                <w:b/>
                <w:bCs/>
                <w:lang w:val="en-PH" w:eastAsia="en-PH"/>
              </w:rPr>
            </w:pPr>
            <w:r>
              <w:rPr>
                <w:b/>
                <w:bCs/>
                <w:lang w:val="en-PH" w:eastAsia="en-PH"/>
              </w:rPr>
              <w:t>TOTAL</w:t>
            </w:r>
          </w:p>
        </w:tc>
      </w:tr>
      <w:tr>
        <w:trPr>
          <w:trHeight w:val="283"/>
        </w:trPr>
        <w:tc>
          <w:tcPr>
            <w:tcW w:w="8363" w:type="dxa"/>
            <w:gridSpan w:val="7"/>
            <w:shd w:val="clear" w:color="auto" w:fill="auto"/>
            <w:noWrap/>
            <w:vAlign w:val="center"/>
            <w:hideMark/>
          </w:tcPr>
          <w:p>
            <w:pPr>
              <w:rPr>
                <w:lang w:val="en-PH" w:eastAsia="en-PH"/>
              </w:rPr>
            </w:pPr>
            <w:r>
              <w:rPr>
                <w:b/>
                <w:bCs/>
                <w:lang w:val="en-PH" w:eastAsia="en-PH"/>
              </w:rPr>
              <w:t>DUE FROM OTHER FUNDS</w:t>
            </w:r>
          </w:p>
        </w:tc>
      </w:tr>
      <w:tr>
        <w:trPr>
          <w:trHeight w:val="283"/>
        </w:trPr>
        <w:tc>
          <w:tcPr>
            <w:tcW w:w="2410" w:type="dxa"/>
            <w:shd w:val="clear" w:color="auto" w:fill="auto"/>
            <w:noWrap/>
            <w:vAlign w:val="center"/>
            <w:hideMark/>
          </w:tcPr>
          <w:p>
            <w:pPr>
              <w:rPr>
                <w:lang w:val="en-PH" w:eastAsia="en-PH"/>
              </w:rPr>
            </w:pPr>
            <w:r>
              <w:rPr>
                <w:lang w:val="en-PH" w:eastAsia="en-PH"/>
              </w:rPr>
              <w:t>GF-Proper</w:t>
            </w:r>
          </w:p>
        </w:tc>
        <w:tc>
          <w:tcPr>
            <w:tcW w:w="1984" w:type="dxa"/>
            <w:gridSpan w:val="2"/>
            <w:shd w:val="clear" w:color="auto" w:fill="auto"/>
            <w:noWrap/>
            <w:vAlign w:val="center"/>
            <w:hideMark/>
          </w:tcPr>
          <w:p>
            <w:pPr>
              <w:jc w:val="right"/>
              <w:rPr>
                <w:lang w:val="en-PH" w:eastAsia="en-PH"/>
              </w:rPr>
            </w:pPr>
            <w:r>
              <w:rPr>
                <w:lang w:val="en-PH" w:eastAsia="en-PH"/>
              </w:rPr>
              <w:t>6,775.50</w:t>
            </w:r>
          </w:p>
        </w:tc>
        <w:tc>
          <w:tcPr>
            <w:tcW w:w="1984" w:type="dxa"/>
            <w:gridSpan w:val="2"/>
            <w:shd w:val="clear" w:color="auto" w:fill="auto"/>
            <w:noWrap/>
            <w:vAlign w:val="center"/>
            <w:hideMark/>
          </w:tcPr>
          <w:p>
            <w:pPr>
              <w:jc w:val="right"/>
              <w:rPr>
                <w:lang w:val="en-PH" w:eastAsia="en-PH"/>
              </w:rPr>
            </w:pPr>
            <w:r>
              <w:rPr>
                <w:lang w:val="en-PH" w:eastAsia="en-PH"/>
              </w:rPr>
              <w:t>1,821.20</w:t>
            </w:r>
          </w:p>
        </w:tc>
        <w:tc>
          <w:tcPr>
            <w:tcW w:w="1985" w:type="dxa"/>
            <w:gridSpan w:val="2"/>
            <w:shd w:val="clear" w:color="auto" w:fill="auto"/>
            <w:noWrap/>
            <w:vAlign w:val="center"/>
            <w:hideMark/>
          </w:tcPr>
          <w:p>
            <w:pPr>
              <w:jc w:val="right"/>
              <w:rPr>
                <w:lang w:val="en-PH" w:eastAsia="en-PH"/>
              </w:rPr>
            </w:pPr>
            <w:r>
              <w:rPr>
                <w:lang w:val="en-PH" w:eastAsia="en-PH"/>
              </w:rPr>
              <w:t>8,596.70</w:t>
            </w:r>
          </w:p>
        </w:tc>
      </w:tr>
      <w:tr>
        <w:trPr>
          <w:trHeight w:val="283"/>
        </w:trPr>
        <w:tc>
          <w:tcPr>
            <w:tcW w:w="2410" w:type="dxa"/>
            <w:shd w:val="clear" w:color="auto" w:fill="auto"/>
            <w:noWrap/>
            <w:vAlign w:val="center"/>
            <w:hideMark/>
          </w:tcPr>
          <w:p>
            <w:pPr>
              <w:rPr>
                <w:lang w:val="en-PH" w:eastAsia="en-PH"/>
              </w:rPr>
            </w:pPr>
            <w:r>
              <w:rPr>
                <w:lang w:val="en-PH" w:eastAsia="en-PH"/>
              </w:rPr>
              <w:t>TF_Proper</w:t>
            </w:r>
          </w:p>
        </w:tc>
        <w:tc>
          <w:tcPr>
            <w:tcW w:w="1984" w:type="dxa"/>
            <w:gridSpan w:val="2"/>
            <w:shd w:val="clear" w:color="auto" w:fill="auto"/>
            <w:noWrap/>
            <w:vAlign w:val="center"/>
            <w:hideMark/>
          </w:tcPr>
          <w:p>
            <w:pPr>
              <w:jc w:val="right"/>
              <w:rPr>
                <w:lang w:val="en-PH" w:eastAsia="en-PH"/>
              </w:rPr>
            </w:pPr>
            <w:r>
              <w:rPr>
                <w:lang w:val="en-PH" w:eastAsia="en-PH"/>
              </w:rPr>
              <w:t>12,687,822.53</w:t>
            </w:r>
          </w:p>
        </w:tc>
        <w:tc>
          <w:tcPr>
            <w:tcW w:w="1984" w:type="dxa"/>
            <w:gridSpan w:val="2"/>
            <w:shd w:val="clear" w:color="auto" w:fill="auto"/>
            <w:noWrap/>
            <w:vAlign w:val="center"/>
            <w:hideMark/>
          </w:tcPr>
          <w:p>
            <w:pPr>
              <w:jc w:val="right"/>
              <w:rPr>
                <w:lang w:val="en-PH" w:eastAsia="en-PH"/>
              </w:rPr>
            </w:pPr>
            <w:r>
              <w:rPr>
                <w:lang w:val="en-PH" w:eastAsia="en-PH"/>
              </w:rPr>
              <w:t>1,617.61</w:t>
            </w:r>
          </w:p>
        </w:tc>
        <w:tc>
          <w:tcPr>
            <w:tcW w:w="1985" w:type="dxa"/>
            <w:gridSpan w:val="2"/>
            <w:shd w:val="clear" w:color="auto" w:fill="auto"/>
            <w:noWrap/>
            <w:vAlign w:val="center"/>
            <w:hideMark/>
          </w:tcPr>
          <w:p>
            <w:pPr>
              <w:jc w:val="right"/>
              <w:rPr>
                <w:lang w:val="en-PH" w:eastAsia="en-PH"/>
              </w:rPr>
            </w:pPr>
            <w:r>
              <w:rPr>
                <w:lang w:val="en-PH" w:eastAsia="en-PH"/>
              </w:rPr>
              <w:t>12,689,440.14</w:t>
            </w:r>
          </w:p>
        </w:tc>
      </w:tr>
      <w:tr>
        <w:trPr>
          <w:trHeight w:val="283"/>
        </w:trPr>
        <w:tc>
          <w:tcPr>
            <w:tcW w:w="2410" w:type="dxa"/>
            <w:shd w:val="clear" w:color="auto" w:fill="auto"/>
            <w:noWrap/>
            <w:vAlign w:val="center"/>
            <w:hideMark/>
          </w:tcPr>
          <w:p>
            <w:pPr>
              <w:rPr>
                <w:lang w:val="en-PH" w:eastAsia="en-PH"/>
              </w:rPr>
            </w:pPr>
            <w:r>
              <w:rPr>
                <w:lang w:val="en-PH" w:eastAsia="en-PH"/>
              </w:rPr>
              <w:t>20% DF</w:t>
            </w:r>
          </w:p>
        </w:tc>
        <w:tc>
          <w:tcPr>
            <w:tcW w:w="1984" w:type="dxa"/>
            <w:gridSpan w:val="2"/>
            <w:shd w:val="clear" w:color="auto" w:fill="auto"/>
            <w:noWrap/>
            <w:vAlign w:val="center"/>
            <w:hideMark/>
          </w:tcPr>
          <w:p>
            <w:pPr>
              <w:jc w:val="right"/>
              <w:rPr>
                <w:lang w:val="en-PH" w:eastAsia="en-PH"/>
              </w:rPr>
            </w:pPr>
            <w:r>
              <w:rPr>
                <w:lang w:val="en-PH" w:eastAsia="en-PH"/>
              </w:rPr>
              <w:t>1,200.00</w:t>
            </w:r>
          </w:p>
        </w:tc>
        <w:tc>
          <w:tcPr>
            <w:tcW w:w="1984" w:type="dxa"/>
            <w:gridSpan w:val="2"/>
            <w:shd w:val="clear" w:color="auto" w:fill="auto"/>
            <w:noWrap/>
            <w:vAlign w:val="center"/>
            <w:hideMark/>
          </w:tcPr>
          <w:p>
            <w:pPr>
              <w:jc w:val="right"/>
              <w:rPr>
                <w:lang w:val="en-PH" w:eastAsia="en-PH"/>
              </w:rPr>
            </w:pPr>
            <w:r>
              <w:rPr>
                <w:lang w:val="en-PH" w:eastAsia="en-PH"/>
              </w:rPr>
              <w:t>0.00</w:t>
            </w:r>
          </w:p>
        </w:tc>
        <w:tc>
          <w:tcPr>
            <w:tcW w:w="1985" w:type="dxa"/>
            <w:gridSpan w:val="2"/>
            <w:shd w:val="clear" w:color="auto" w:fill="auto"/>
            <w:noWrap/>
            <w:vAlign w:val="center"/>
            <w:hideMark/>
          </w:tcPr>
          <w:p>
            <w:pPr>
              <w:jc w:val="right"/>
              <w:rPr>
                <w:lang w:val="en-PH" w:eastAsia="en-PH"/>
              </w:rPr>
            </w:pPr>
            <w:r>
              <w:rPr>
                <w:lang w:val="en-PH" w:eastAsia="en-PH"/>
              </w:rPr>
              <w:t>1,200.00</w:t>
            </w:r>
          </w:p>
        </w:tc>
      </w:tr>
      <w:tr>
        <w:trPr>
          <w:trHeight w:val="283"/>
        </w:trPr>
        <w:tc>
          <w:tcPr>
            <w:tcW w:w="2410" w:type="dxa"/>
            <w:shd w:val="clear" w:color="auto" w:fill="auto"/>
            <w:vAlign w:val="center"/>
            <w:hideMark/>
          </w:tcPr>
          <w:p>
            <w:pPr>
              <w:rPr>
                <w:b/>
                <w:bCs/>
                <w:lang w:val="en-PH" w:eastAsia="en-PH"/>
              </w:rPr>
            </w:pPr>
            <w:r>
              <w:rPr>
                <w:b/>
                <w:bCs/>
                <w:lang w:val="en-PH" w:eastAsia="en-PH"/>
              </w:rPr>
              <w:t>Total</w:t>
            </w:r>
          </w:p>
        </w:tc>
        <w:tc>
          <w:tcPr>
            <w:tcW w:w="1984" w:type="dxa"/>
            <w:gridSpan w:val="2"/>
            <w:shd w:val="clear" w:color="auto" w:fill="auto"/>
            <w:noWrap/>
            <w:vAlign w:val="center"/>
            <w:hideMark/>
          </w:tcPr>
          <w:p>
            <w:pPr>
              <w:jc w:val="right"/>
              <w:rPr>
                <w:b/>
                <w:bCs/>
                <w:lang w:val="en-PH" w:eastAsia="en-PH"/>
              </w:rPr>
            </w:pPr>
            <w:r>
              <w:rPr>
                <w:b/>
                <w:bCs/>
                <w:lang w:val="en-PH" w:eastAsia="en-PH"/>
              </w:rPr>
              <w:t>12,695,798.03</w:t>
            </w:r>
          </w:p>
        </w:tc>
        <w:tc>
          <w:tcPr>
            <w:tcW w:w="1984" w:type="dxa"/>
            <w:gridSpan w:val="2"/>
            <w:shd w:val="clear" w:color="auto" w:fill="auto"/>
            <w:noWrap/>
            <w:vAlign w:val="center"/>
            <w:hideMark/>
          </w:tcPr>
          <w:p>
            <w:pPr>
              <w:jc w:val="right"/>
              <w:rPr>
                <w:b/>
                <w:bCs/>
                <w:lang w:val="en-PH" w:eastAsia="en-PH"/>
              </w:rPr>
            </w:pPr>
            <w:r>
              <w:rPr>
                <w:b/>
                <w:bCs/>
                <w:lang w:val="en-PH" w:eastAsia="en-PH"/>
              </w:rPr>
              <w:t>3,438.81</w:t>
            </w:r>
          </w:p>
        </w:tc>
        <w:tc>
          <w:tcPr>
            <w:tcW w:w="1985" w:type="dxa"/>
            <w:gridSpan w:val="2"/>
            <w:shd w:val="clear" w:color="auto" w:fill="auto"/>
            <w:noWrap/>
            <w:vAlign w:val="center"/>
            <w:hideMark/>
          </w:tcPr>
          <w:p>
            <w:pPr>
              <w:jc w:val="right"/>
              <w:rPr>
                <w:b/>
                <w:bCs/>
                <w:lang w:val="en-PH" w:eastAsia="en-PH"/>
              </w:rPr>
            </w:pPr>
            <w:r>
              <w:rPr>
                <w:b/>
                <w:bCs/>
                <w:lang w:val="en-PH" w:eastAsia="en-PH"/>
              </w:rPr>
              <w:t>12,699,236.84</w:t>
            </w:r>
          </w:p>
        </w:tc>
      </w:tr>
    </w:tbl>
    <w:p>
      <w:pPr>
        <w:ind w:left="720"/>
        <w:rPr>
          <w:sz w:val="24"/>
          <w:szCs w:val="24"/>
        </w:rPr>
      </w:pPr>
    </w:p>
    <w:p>
      <w:pPr>
        <w:pStyle w:val="ListParagraph"/>
        <w:numPr>
          <w:ilvl w:val="1"/>
          <w:numId w:val="11"/>
        </w:numPr>
        <w:ind w:left="1418" w:hanging="425"/>
        <w:rPr>
          <w:b/>
          <w:sz w:val="24"/>
          <w:szCs w:val="24"/>
        </w:rPr>
      </w:pPr>
      <w:r>
        <w:rPr>
          <w:b/>
          <w:sz w:val="24"/>
          <w:szCs w:val="24"/>
        </w:rPr>
        <w:t>Advances</w:t>
      </w:r>
    </w:p>
    <w:p>
      <w:pPr>
        <w:ind w:left="720"/>
        <w:rPr>
          <w:b/>
          <w:sz w:val="24"/>
          <w:szCs w:val="24"/>
        </w:rPr>
      </w:pPr>
    </w:p>
    <w:p>
      <w:pPr>
        <w:spacing w:line="276" w:lineRule="auto"/>
        <w:ind w:left="1418"/>
        <w:jc w:val="both"/>
        <w:rPr>
          <w:sz w:val="24"/>
          <w:szCs w:val="24"/>
        </w:rPr>
      </w:pPr>
      <w:r>
        <w:rPr>
          <w:sz w:val="24"/>
          <w:szCs w:val="24"/>
        </w:rPr>
        <w:t>This account group comprises the following major group account with their comparative figures for the year ended 2022 and 2021.</w:t>
      </w:r>
    </w:p>
    <w:p>
      <w:pPr>
        <w:ind w:left="720"/>
        <w:jc w:val="both"/>
        <w:rPr>
          <w:b/>
          <w:bCs/>
          <w:sz w:val="24"/>
          <w:szCs w:val="24"/>
        </w:rPr>
      </w:pPr>
    </w:p>
    <w:tbl>
      <w:tblPr>
        <w:tblW w:w="8363" w:type="dxa"/>
        <w:tblInd w:w="1526" w:type="dxa"/>
        <w:tblLook w:val="04A0" w:firstRow="1" w:lastRow="0" w:firstColumn="1" w:lastColumn="0" w:noHBand="0" w:noVBand="1"/>
      </w:tblPr>
      <w:tblGrid>
        <w:gridCol w:w="4252"/>
        <w:gridCol w:w="2055"/>
        <w:gridCol w:w="2056"/>
      </w:tblGrid>
      <w:tr>
        <w:trPr>
          <w:trHeight w:val="283"/>
          <w:tblHeader/>
        </w:trPr>
        <w:tc>
          <w:tcPr>
            <w:tcW w:w="42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Accounts</w:t>
            </w:r>
          </w:p>
        </w:tc>
        <w:tc>
          <w:tcPr>
            <w:tcW w:w="205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05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Advances for Operating Expenses</w:t>
            </w:r>
          </w:p>
        </w:tc>
        <w:tc>
          <w:tcPr>
            <w:tcW w:w="205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11,200,000.00 </w:t>
            </w:r>
          </w:p>
        </w:tc>
        <w:tc>
          <w:tcPr>
            <w:tcW w:w="2056"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bCs/>
                <w:sz w:val="24"/>
                <w:szCs w:val="24"/>
                <w:lang w:eastAsia="en-PH"/>
              </w:rPr>
              <w:t xml:space="preserve">7,113,194.70 </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Advances for Payroll</w:t>
            </w:r>
          </w:p>
        </w:tc>
        <w:tc>
          <w:tcPr>
            <w:tcW w:w="205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1,496,319.78 </w:t>
            </w:r>
          </w:p>
        </w:tc>
        <w:tc>
          <w:tcPr>
            <w:tcW w:w="2056" w:type="dxa"/>
            <w:tcBorders>
              <w:top w:val="nil"/>
              <w:left w:val="nil"/>
              <w:bottom w:val="nil"/>
              <w:right w:val="nil"/>
            </w:tcBorders>
            <w:shd w:val="clear" w:color="auto" w:fill="auto"/>
            <w:noWrap/>
            <w:vAlign w:val="center"/>
            <w:hideMark/>
          </w:tcPr>
          <w:p>
            <w:pPr>
              <w:ind w:firstLineChars="200" w:firstLine="480"/>
              <w:jc w:val="right"/>
              <w:rPr>
                <w:sz w:val="24"/>
                <w:szCs w:val="24"/>
                <w:lang w:val="en-PH" w:eastAsia="en-PH"/>
              </w:rPr>
            </w:pPr>
            <w:r>
              <w:rPr>
                <w:sz w:val="24"/>
                <w:szCs w:val="24"/>
                <w:lang w:eastAsia="en-PH"/>
              </w:rPr>
              <w:t xml:space="preserve">3,900,425.95 </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Advances to Special Disbursing Officer</w:t>
            </w:r>
          </w:p>
        </w:tc>
        <w:tc>
          <w:tcPr>
            <w:tcW w:w="205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1,622,000.00 </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Advances to Officers and Employees</w:t>
            </w:r>
          </w:p>
        </w:tc>
        <w:tc>
          <w:tcPr>
            <w:tcW w:w="205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540,153.72 </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24,484.04</w:t>
            </w:r>
          </w:p>
        </w:tc>
      </w:tr>
      <w:tr>
        <w:trPr>
          <w:trHeight w:val="283"/>
        </w:trPr>
        <w:tc>
          <w:tcPr>
            <w:tcW w:w="425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55"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14,858,473.50</w:t>
            </w:r>
          </w:p>
        </w:tc>
        <w:tc>
          <w:tcPr>
            <w:tcW w:w="2056"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11,038,104.69 </w:t>
            </w:r>
          </w:p>
        </w:tc>
      </w:tr>
    </w:tbl>
    <w:p>
      <w:pPr>
        <w:ind w:left="720"/>
        <w:jc w:val="both"/>
        <w:rPr>
          <w:b/>
          <w:bCs/>
          <w:sz w:val="24"/>
          <w:szCs w:val="24"/>
        </w:rPr>
      </w:pPr>
    </w:p>
    <w:p>
      <w:pPr>
        <w:pStyle w:val="ListParagraph"/>
        <w:numPr>
          <w:ilvl w:val="2"/>
          <w:numId w:val="11"/>
        </w:numPr>
        <w:rPr>
          <w:b/>
          <w:bCs/>
          <w:sz w:val="24"/>
          <w:szCs w:val="24"/>
        </w:rPr>
      </w:pPr>
      <w:r>
        <w:rPr>
          <w:b/>
          <w:bCs/>
          <w:sz w:val="24"/>
          <w:szCs w:val="24"/>
          <w:lang w:val="en-PH" w:eastAsia="en-PH"/>
        </w:rPr>
        <w:t>Advances for Operating Expenses</w:t>
      </w:r>
    </w:p>
    <w:p>
      <w:pPr>
        <w:pStyle w:val="ListParagraph"/>
        <w:ind w:left="1440"/>
        <w:rPr>
          <w:b/>
          <w:bCs/>
          <w:sz w:val="24"/>
          <w:szCs w:val="24"/>
          <w:lang w:val="en-PH" w:eastAsia="en-PH"/>
        </w:rPr>
      </w:pPr>
    </w:p>
    <w:p>
      <w:pPr>
        <w:spacing w:line="276" w:lineRule="auto"/>
        <w:ind w:left="1440"/>
        <w:jc w:val="both"/>
        <w:rPr>
          <w:sz w:val="24"/>
          <w:szCs w:val="24"/>
          <w:lang w:val="en-PH" w:eastAsia="en-PH"/>
        </w:rPr>
      </w:pPr>
      <w:r>
        <w:rPr>
          <w:sz w:val="24"/>
          <w:szCs w:val="24"/>
          <w:lang w:val="en-PH" w:eastAsia="en-PH"/>
        </w:rPr>
        <w:t>The outstanding balance of Advances for Operating Expenses is solely comprised of cash advances for Intelligence/Confidential Fund for the 4</w:t>
      </w:r>
      <w:r>
        <w:rPr>
          <w:sz w:val="24"/>
          <w:szCs w:val="24"/>
          <w:vertAlign w:val="superscript"/>
          <w:lang w:val="en-PH" w:eastAsia="en-PH"/>
        </w:rPr>
        <w:t>th</w:t>
      </w:r>
      <w:r>
        <w:rPr>
          <w:sz w:val="24"/>
          <w:szCs w:val="24"/>
          <w:lang w:val="en-PH" w:eastAsia="en-PH"/>
        </w:rPr>
        <w:t xml:space="preserve"> Quarter year 2022 granted to the Local Chief Executive of the City. The cash advance was granted last October 05, 2022.</w:t>
      </w:r>
    </w:p>
    <w:p>
      <w:pPr>
        <w:pStyle w:val="ListParagraph"/>
        <w:ind w:left="1440"/>
        <w:rPr>
          <w:b/>
          <w:bCs/>
          <w:sz w:val="24"/>
          <w:szCs w:val="24"/>
        </w:rPr>
      </w:pPr>
    </w:p>
    <w:p>
      <w:pPr>
        <w:pStyle w:val="ListParagraph"/>
        <w:numPr>
          <w:ilvl w:val="2"/>
          <w:numId w:val="11"/>
        </w:numPr>
        <w:rPr>
          <w:b/>
          <w:bCs/>
          <w:sz w:val="24"/>
          <w:szCs w:val="24"/>
        </w:rPr>
      </w:pPr>
      <w:r>
        <w:rPr>
          <w:b/>
          <w:bCs/>
          <w:sz w:val="24"/>
          <w:szCs w:val="24"/>
          <w:lang w:val="en-PH" w:eastAsia="en-PH"/>
        </w:rPr>
        <w:t>Advances for Payroll</w:t>
      </w:r>
    </w:p>
    <w:p>
      <w:pPr>
        <w:ind w:left="1440"/>
        <w:rPr>
          <w:sz w:val="24"/>
          <w:szCs w:val="24"/>
        </w:rPr>
      </w:pPr>
    </w:p>
    <w:p>
      <w:pPr>
        <w:spacing w:line="276" w:lineRule="auto"/>
        <w:ind w:left="1440"/>
        <w:rPr>
          <w:sz w:val="24"/>
          <w:szCs w:val="24"/>
        </w:rPr>
      </w:pPr>
      <w:r>
        <w:rPr>
          <w:sz w:val="24"/>
          <w:szCs w:val="24"/>
        </w:rPr>
        <w:t xml:space="preserve">The outstanding balance of Advances for Payroll was comprised of cash advances for wages and job orders granted to designated disbursing officers under the City Treasurer’s Office. </w:t>
      </w:r>
    </w:p>
    <w:p>
      <w:pPr>
        <w:ind w:left="1440"/>
        <w:rPr>
          <w:sz w:val="24"/>
          <w:szCs w:val="24"/>
        </w:rPr>
      </w:pPr>
    </w:p>
    <w:p>
      <w:pPr>
        <w:pStyle w:val="ListParagraph"/>
        <w:numPr>
          <w:ilvl w:val="2"/>
          <w:numId w:val="11"/>
        </w:numPr>
        <w:rPr>
          <w:b/>
          <w:bCs/>
          <w:sz w:val="24"/>
          <w:szCs w:val="24"/>
        </w:rPr>
      </w:pPr>
      <w:r>
        <w:rPr>
          <w:b/>
          <w:bCs/>
          <w:sz w:val="24"/>
          <w:szCs w:val="24"/>
          <w:lang w:val="en-PH" w:eastAsia="en-PH"/>
        </w:rPr>
        <w:t>Advances to Special Disbursing Officers</w:t>
      </w:r>
    </w:p>
    <w:p>
      <w:pPr>
        <w:ind w:left="1440"/>
        <w:rPr>
          <w:b/>
          <w:bCs/>
          <w:sz w:val="24"/>
          <w:szCs w:val="24"/>
        </w:rPr>
      </w:pPr>
    </w:p>
    <w:p>
      <w:pPr>
        <w:spacing w:line="276" w:lineRule="auto"/>
        <w:ind w:left="1440"/>
        <w:jc w:val="both"/>
        <w:rPr>
          <w:sz w:val="24"/>
          <w:szCs w:val="24"/>
        </w:rPr>
      </w:pPr>
      <w:r>
        <w:rPr>
          <w:sz w:val="24"/>
          <w:szCs w:val="24"/>
        </w:rPr>
        <w:t>The outstanding balance of Advances to Special Disbursing Officers was mainly cash advances for assistance to the local indigent clients granted to the special disbursing officers under the City Social Welfare and Development Office.</w:t>
      </w:r>
    </w:p>
    <w:p>
      <w:pPr>
        <w:ind w:left="1440"/>
        <w:rPr>
          <w:sz w:val="24"/>
          <w:szCs w:val="24"/>
        </w:rPr>
      </w:pPr>
    </w:p>
    <w:tbl>
      <w:tblPr>
        <w:tblW w:w="6371" w:type="dxa"/>
        <w:tblInd w:w="2518" w:type="dxa"/>
        <w:tblLook w:val="04A0" w:firstRow="1" w:lastRow="0" w:firstColumn="1" w:lastColumn="0" w:noHBand="0" w:noVBand="1"/>
      </w:tblPr>
      <w:tblGrid>
        <w:gridCol w:w="3945"/>
        <w:gridCol w:w="2426"/>
      </w:tblGrid>
      <w:tr>
        <w:trPr>
          <w:trHeight w:val="283"/>
        </w:trPr>
        <w:tc>
          <w:tcPr>
            <w:tcW w:w="394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24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394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Limited Financial Assistance</w:t>
            </w:r>
          </w:p>
        </w:tc>
        <w:tc>
          <w:tcPr>
            <w:tcW w:w="24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1,009,000.00 </w:t>
            </w:r>
          </w:p>
        </w:tc>
      </w:tr>
      <w:tr>
        <w:trPr>
          <w:trHeight w:val="283"/>
        </w:trPr>
        <w:tc>
          <w:tcPr>
            <w:tcW w:w="394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Pauper burial assistance</w:t>
            </w:r>
          </w:p>
        </w:tc>
        <w:tc>
          <w:tcPr>
            <w:tcW w:w="24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75,000.00 </w:t>
            </w:r>
          </w:p>
        </w:tc>
      </w:tr>
      <w:tr>
        <w:trPr>
          <w:trHeight w:val="283"/>
        </w:trPr>
        <w:tc>
          <w:tcPr>
            <w:tcW w:w="394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Sulong dunong for indigent clients</w:t>
            </w:r>
          </w:p>
        </w:tc>
        <w:tc>
          <w:tcPr>
            <w:tcW w:w="24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538,000.00 </w:t>
            </w:r>
          </w:p>
        </w:tc>
      </w:tr>
      <w:tr>
        <w:trPr>
          <w:trHeight w:val="283"/>
        </w:trPr>
        <w:tc>
          <w:tcPr>
            <w:tcW w:w="394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426" w:type="dxa"/>
            <w:tcBorders>
              <w:top w:val="single" w:sz="4" w:space="0" w:color="A6A6A6"/>
              <w:left w:val="nil"/>
              <w:bottom w:val="double" w:sz="6"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 xml:space="preserve">            1,622,000.00 </w:t>
            </w:r>
          </w:p>
        </w:tc>
      </w:tr>
    </w:tbl>
    <w:p>
      <w:pPr>
        <w:ind w:left="1440"/>
        <w:rPr>
          <w:sz w:val="24"/>
          <w:szCs w:val="24"/>
        </w:rPr>
      </w:pPr>
    </w:p>
    <w:p>
      <w:pPr>
        <w:pStyle w:val="ListParagraph"/>
        <w:numPr>
          <w:ilvl w:val="2"/>
          <w:numId w:val="11"/>
        </w:numPr>
        <w:rPr>
          <w:b/>
          <w:bCs/>
          <w:sz w:val="24"/>
          <w:szCs w:val="24"/>
        </w:rPr>
      </w:pPr>
      <w:r>
        <w:rPr>
          <w:b/>
          <w:bCs/>
          <w:sz w:val="24"/>
          <w:szCs w:val="24"/>
          <w:lang w:val="en-PH" w:eastAsia="en-PH"/>
        </w:rPr>
        <w:t>Advances to Officers and Employees</w:t>
      </w:r>
    </w:p>
    <w:p>
      <w:pPr>
        <w:ind w:left="1440"/>
        <w:rPr>
          <w:b/>
          <w:bCs/>
          <w:sz w:val="24"/>
          <w:szCs w:val="24"/>
        </w:rPr>
      </w:pPr>
    </w:p>
    <w:p>
      <w:pPr>
        <w:spacing w:line="276" w:lineRule="auto"/>
        <w:ind w:left="1440"/>
        <w:jc w:val="both"/>
        <w:rPr>
          <w:sz w:val="24"/>
          <w:szCs w:val="24"/>
        </w:rPr>
      </w:pPr>
      <w:r>
        <w:rPr>
          <w:sz w:val="24"/>
          <w:szCs w:val="24"/>
        </w:rPr>
        <w:t>The outstanding balance of Advances to Officers and Employees was solely comprised of the cash advances for travel and training of employees from various departments of the City Government.</w:t>
      </w:r>
    </w:p>
    <w:p>
      <w:pPr>
        <w:ind w:left="1440"/>
        <w:jc w:val="both"/>
        <w:rPr>
          <w:sz w:val="24"/>
          <w:szCs w:val="24"/>
        </w:rPr>
      </w:pPr>
    </w:p>
    <w:p>
      <w:pPr>
        <w:pStyle w:val="ListParagraph"/>
        <w:numPr>
          <w:ilvl w:val="1"/>
          <w:numId w:val="11"/>
        </w:numPr>
        <w:ind w:left="1418"/>
        <w:rPr>
          <w:b/>
          <w:sz w:val="24"/>
          <w:szCs w:val="24"/>
        </w:rPr>
      </w:pPr>
      <w:r>
        <w:rPr>
          <w:b/>
          <w:sz w:val="24"/>
          <w:szCs w:val="24"/>
        </w:rPr>
        <w:t>Other Receivables</w:t>
      </w:r>
    </w:p>
    <w:p>
      <w:pPr>
        <w:ind w:left="720"/>
        <w:rPr>
          <w:b/>
          <w:sz w:val="24"/>
          <w:szCs w:val="24"/>
        </w:rPr>
      </w:pPr>
    </w:p>
    <w:p>
      <w:pPr>
        <w:spacing w:line="276" w:lineRule="auto"/>
        <w:ind w:left="1418"/>
        <w:jc w:val="both"/>
        <w:rPr>
          <w:sz w:val="24"/>
          <w:szCs w:val="24"/>
        </w:rPr>
      </w:pPr>
      <w:r>
        <w:rPr>
          <w:sz w:val="24"/>
          <w:szCs w:val="24"/>
        </w:rPr>
        <w:t>This account group comprises the following major group account with their comparative figures for the year ended 2022 and 2021.</w:t>
      </w:r>
    </w:p>
    <w:p>
      <w:pPr>
        <w:ind w:left="720"/>
        <w:jc w:val="both"/>
        <w:rPr>
          <w:sz w:val="24"/>
          <w:szCs w:val="24"/>
        </w:rPr>
      </w:pPr>
    </w:p>
    <w:tbl>
      <w:tblPr>
        <w:tblW w:w="8363" w:type="dxa"/>
        <w:tblInd w:w="1526" w:type="dxa"/>
        <w:tblLayout w:type="fixed"/>
        <w:tblLook w:val="04A0" w:firstRow="1" w:lastRow="0" w:firstColumn="1" w:lastColumn="0" w:noHBand="0" w:noVBand="1"/>
      </w:tblPr>
      <w:tblGrid>
        <w:gridCol w:w="4012"/>
        <w:gridCol w:w="2175"/>
        <w:gridCol w:w="2176"/>
      </w:tblGrid>
      <w:tr>
        <w:trPr>
          <w:trHeight w:val="283"/>
          <w:tblHeader/>
        </w:trPr>
        <w:tc>
          <w:tcPr>
            <w:tcW w:w="4012"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175"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176"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 xml:space="preserve">    2021</w:t>
            </w:r>
          </w:p>
        </w:tc>
      </w:tr>
      <w:tr>
        <w:trPr>
          <w:trHeight w:val="283"/>
        </w:trPr>
        <w:tc>
          <w:tcPr>
            <w:tcW w:w="401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 xml:space="preserve">Receivables–Disallowances and Charges </w:t>
            </w:r>
          </w:p>
        </w:tc>
        <w:tc>
          <w:tcPr>
            <w:tcW w:w="2175"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rPr>
              <w:t>856,587.71</w:t>
            </w:r>
          </w:p>
        </w:tc>
        <w:tc>
          <w:tcPr>
            <w:tcW w:w="2176" w:type="dxa"/>
            <w:tcBorders>
              <w:top w:val="nil"/>
              <w:left w:val="nil"/>
              <w:bottom w:val="nil"/>
              <w:right w:val="nil"/>
            </w:tcBorders>
            <w:shd w:val="clear" w:color="auto" w:fill="auto"/>
            <w:noWrap/>
            <w:vAlign w:val="center"/>
            <w:hideMark/>
          </w:tcPr>
          <w:p>
            <w:pPr>
              <w:jc w:val="right"/>
              <w:rPr>
                <w:sz w:val="24"/>
                <w:szCs w:val="24"/>
                <w:lang w:val="en-PH" w:eastAsia="en-PH"/>
              </w:rPr>
            </w:pPr>
            <w:r>
              <w:rPr>
                <w:iCs/>
                <w:sz w:val="24"/>
                <w:szCs w:val="24"/>
                <w:lang w:eastAsia="en-PH"/>
              </w:rPr>
              <w:t xml:space="preserve">862,806.31 </w:t>
            </w:r>
          </w:p>
        </w:tc>
      </w:tr>
      <w:tr>
        <w:trPr>
          <w:trHeight w:val="283"/>
        </w:trPr>
        <w:tc>
          <w:tcPr>
            <w:tcW w:w="401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Due from Officers and Employees</w:t>
            </w:r>
          </w:p>
        </w:tc>
        <w:tc>
          <w:tcPr>
            <w:tcW w:w="2175"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rPr>
              <w:t>353,647.52</w:t>
            </w:r>
          </w:p>
        </w:tc>
        <w:tc>
          <w:tcPr>
            <w:tcW w:w="2176" w:type="dxa"/>
            <w:tcBorders>
              <w:top w:val="nil"/>
              <w:left w:val="nil"/>
              <w:bottom w:val="nil"/>
              <w:right w:val="nil"/>
            </w:tcBorders>
            <w:shd w:val="clear" w:color="auto" w:fill="auto"/>
            <w:noWrap/>
            <w:vAlign w:val="center"/>
            <w:hideMark/>
          </w:tcPr>
          <w:p>
            <w:pPr>
              <w:jc w:val="right"/>
              <w:rPr>
                <w:sz w:val="24"/>
                <w:szCs w:val="24"/>
                <w:lang w:val="en-PH" w:eastAsia="en-PH"/>
              </w:rPr>
            </w:pPr>
            <w:r>
              <w:rPr>
                <w:iCs/>
                <w:sz w:val="24"/>
                <w:szCs w:val="24"/>
                <w:lang w:eastAsia="en-PH"/>
              </w:rPr>
              <w:t xml:space="preserve">482,358.80 </w:t>
            </w:r>
          </w:p>
        </w:tc>
      </w:tr>
      <w:tr>
        <w:trPr>
          <w:trHeight w:val="283"/>
        </w:trPr>
        <w:tc>
          <w:tcPr>
            <w:tcW w:w="401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Due from NGOs/POs</w:t>
            </w:r>
          </w:p>
        </w:tc>
        <w:tc>
          <w:tcPr>
            <w:tcW w:w="2175"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rPr>
              <w:t>1,728,023.75</w:t>
            </w:r>
          </w:p>
        </w:tc>
        <w:tc>
          <w:tcPr>
            <w:tcW w:w="2176" w:type="dxa"/>
            <w:tcBorders>
              <w:top w:val="nil"/>
              <w:left w:val="nil"/>
              <w:bottom w:val="nil"/>
              <w:right w:val="nil"/>
            </w:tcBorders>
            <w:shd w:val="clear" w:color="auto" w:fill="auto"/>
            <w:noWrap/>
            <w:vAlign w:val="center"/>
            <w:hideMark/>
          </w:tcPr>
          <w:p>
            <w:pPr>
              <w:jc w:val="right"/>
              <w:rPr>
                <w:sz w:val="24"/>
                <w:szCs w:val="24"/>
                <w:lang w:val="en-PH" w:eastAsia="en-PH"/>
              </w:rPr>
            </w:pPr>
            <w:r>
              <w:rPr>
                <w:iCs/>
                <w:sz w:val="24"/>
                <w:szCs w:val="24"/>
                <w:lang w:eastAsia="en-PH"/>
              </w:rPr>
              <w:t xml:space="preserve">1,728,023.75 </w:t>
            </w:r>
          </w:p>
        </w:tc>
      </w:tr>
      <w:tr>
        <w:trPr>
          <w:trHeight w:val="283"/>
        </w:trPr>
        <w:tc>
          <w:tcPr>
            <w:tcW w:w="4012"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Other Receivables</w:t>
            </w:r>
          </w:p>
        </w:tc>
        <w:tc>
          <w:tcPr>
            <w:tcW w:w="2175" w:type="dxa"/>
            <w:tcBorders>
              <w:top w:val="nil"/>
              <w:left w:val="nil"/>
              <w:bottom w:val="nil"/>
              <w:right w:val="nil"/>
            </w:tcBorders>
            <w:shd w:val="clear" w:color="auto" w:fill="auto"/>
            <w:noWrap/>
            <w:vAlign w:val="center"/>
          </w:tcPr>
          <w:p>
            <w:pPr>
              <w:jc w:val="right"/>
              <w:rPr>
                <w:sz w:val="24"/>
                <w:szCs w:val="24"/>
                <w:lang w:val="en-PH" w:eastAsia="en-PH"/>
              </w:rPr>
            </w:pPr>
            <w:r>
              <w:rPr>
                <w:sz w:val="24"/>
                <w:szCs w:val="24"/>
              </w:rPr>
              <w:t>41,172,280.28</w:t>
            </w:r>
          </w:p>
        </w:tc>
        <w:tc>
          <w:tcPr>
            <w:tcW w:w="217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 xml:space="preserve">41,217,891.64 </w:t>
            </w:r>
          </w:p>
        </w:tc>
      </w:tr>
      <w:tr>
        <w:trPr>
          <w:trHeight w:val="283"/>
        </w:trPr>
        <w:tc>
          <w:tcPr>
            <w:tcW w:w="401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7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rPr>
              <w:t>44,110,539.26</w:t>
            </w:r>
          </w:p>
        </w:tc>
        <w:tc>
          <w:tcPr>
            <w:tcW w:w="217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44,291,080.50</w:t>
            </w:r>
          </w:p>
        </w:tc>
      </w:tr>
    </w:tbl>
    <w:p>
      <w:pPr>
        <w:ind w:left="720"/>
        <w:rPr>
          <w:b/>
          <w:sz w:val="24"/>
          <w:szCs w:val="24"/>
        </w:rPr>
      </w:pPr>
    </w:p>
    <w:p>
      <w:pPr>
        <w:pStyle w:val="ListParagraph"/>
        <w:numPr>
          <w:ilvl w:val="2"/>
          <w:numId w:val="11"/>
        </w:numPr>
        <w:rPr>
          <w:b/>
          <w:sz w:val="24"/>
          <w:szCs w:val="24"/>
        </w:rPr>
      </w:pPr>
      <w:r>
        <w:rPr>
          <w:b/>
          <w:sz w:val="24"/>
          <w:szCs w:val="24"/>
        </w:rPr>
        <w:t>Receivables - Disallowances/Charges</w:t>
      </w:r>
    </w:p>
    <w:p>
      <w:pPr>
        <w:ind w:left="1440"/>
        <w:rPr>
          <w:b/>
          <w:sz w:val="24"/>
          <w:szCs w:val="24"/>
        </w:rPr>
      </w:pPr>
    </w:p>
    <w:p>
      <w:pPr>
        <w:spacing w:line="276" w:lineRule="auto"/>
        <w:ind w:left="1440"/>
        <w:jc w:val="both"/>
        <w:rPr>
          <w:bCs/>
          <w:sz w:val="24"/>
          <w:szCs w:val="24"/>
        </w:rPr>
      </w:pPr>
      <w:r>
        <w:rPr>
          <w:bCs/>
          <w:sz w:val="24"/>
          <w:szCs w:val="24"/>
        </w:rPr>
        <w:t>The outstanding balance of Receivables – Disallowances/Charges was mainly the amount of Notice of Disallowances issued in prior years amounting to Php 857,879.11.</w:t>
      </w:r>
    </w:p>
    <w:p>
      <w:pPr>
        <w:rPr>
          <w:bCs/>
          <w:sz w:val="24"/>
          <w:szCs w:val="24"/>
        </w:rPr>
      </w:pPr>
    </w:p>
    <w:p>
      <w:pPr>
        <w:pStyle w:val="ListParagraph"/>
        <w:numPr>
          <w:ilvl w:val="2"/>
          <w:numId w:val="11"/>
        </w:numPr>
        <w:rPr>
          <w:b/>
          <w:sz w:val="24"/>
          <w:szCs w:val="24"/>
        </w:rPr>
      </w:pPr>
      <w:r>
        <w:rPr>
          <w:b/>
          <w:sz w:val="24"/>
          <w:szCs w:val="24"/>
        </w:rPr>
        <w:t>Due from Officers and Employees</w:t>
      </w:r>
    </w:p>
    <w:p>
      <w:pPr>
        <w:rPr>
          <w:b/>
          <w:sz w:val="24"/>
          <w:szCs w:val="24"/>
        </w:rPr>
      </w:pPr>
    </w:p>
    <w:p>
      <w:pPr>
        <w:spacing w:line="276" w:lineRule="auto"/>
        <w:ind w:left="1440"/>
        <w:rPr>
          <w:bCs/>
          <w:sz w:val="24"/>
          <w:szCs w:val="24"/>
        </w:rPr>
      </w:pPr>
      <w:r>
        <w:rPr>
          <w:bCs/>
          <w:sz w:val="24"/>
          <w:szCs w:val="24"/>
        </w:rPr>
        <w:t xml:space="preserve">The outstanding balance of Due from Officers and Employees was mainly comprised of the unexpended cash advances and liabilities owed by officers and employees to the City Government. </w:t>
      </w:r>
    </w:p>
    <w:p>
      <w:pPr>
        <w:ind w:left="1440"/>
        <w:rPr>
          <w:bCs/>
          <w:sz w:val="24"/>
          <w:szCs w:val="24"/>
        </w:rPr>
      </w:pPr>
    </w:p>
    <w:p>
      <w:pPr>
        <w:pStyle w:val="ListParagraph"/>
        <w:numPr>
          <w:ilvl w:val="2"/>
          <w:numId w:val="11"/>
        </w:numPr>
        <w:rPr>
          <w:b/>
          <w:sz w:val="24"/>
          <w:szCs w:val="24"/>
        </w:rPr>
      </w:pPr>
      <w:r>
        <w:rPr>
          <w:b/>
          <w:sz w:val="24"/>
          <w:szCs w:val="24"/>
        </w:rPr>
        <w:t>Due from Non-Government Organizations/People's Organizations</w:t>
      </w:r>
    </w:p>
    <w:p>
      <w:pPr>
        <w:ind w:left="1440"/>
        <w:rPr>
          <w:b/>
          <w:sz w:val="24"/>
          <w:szCs w:val="24"/>
        </w:rPr>
      </w:pPr>
    </w:p>
    <w:p>
      <w:pPr>
        <w:autoSpaceDE w:val="0"/>
        <w:autoSpaceDN w:val="0"/>
        <w:adjustRightInd w:val="0"/>
        <w:spacing w:line="276" w:lineRule="auto"/>
        <w:ind w:left="1440"/>
        <w:jc w:val="both"/>
        <w:rPr>
          <w:rFonts w:eastAsia="Calibri"/>
          <w:bCs/>
          <w:iCs/>
          <w:sz w:val="24"/>
          <w:szCs w:val="24"/>
          <w:lang w:val="en-PH"/>
        </w:rPr>
      </w:pPr>
      <w:r>
        <w:rPr>
          <w:rFonts w:eastAsia="Calibri"/>
          <w:bCs/>
          <w:iCs/>
          <w:sz w:val="24"/>
          <w:szCs w:val="24"/>
          <w:lang w:val="en-PH"/>
        </w:rPr>
        <w:t>Due from NGOs/POs balance was still mainly comprised of the funds released to people’s organizations as beneficiaries for the Community Fund for Agricultural Development (CFAD) program, a subproject of Mindanao Rural Development Program (MRDP) which was funded by the Department of Agriculture ROXI and LGU as counterparty amounting to Php 1,728,023.75</w:t>
      </w:r>
    </w:p>
    <w:p>
      <w:pPr>
        <w:ind w:left="1440"/>
        <w:rPr>
          <w:b/>
          <w:sz w:val="24"/>
          <w:szCs w:val="24"/>
        </w:rPr>
      </w:pPr>
    </w:p>
    <w:p>
      <w:pPr>
        <w:ind w:left="1440"/>
        <w:rPr>
          <w:b/>
          <w:sz w:val="24"/>
          <w:szCs w:val="24"/>
        </w:rPr>
      </w:pPr>
    </w:p>
    <w:p>
      <w:pPr>
        <w:ind w:left="1440"/>
        <w:rPr>
          <w:b/>
          <w:sz w:val="24"/>
          <w:szCs w:val="24"/>
        </w:rPr>
      </w:pPr>
    </w:p>
    <w:p>
      <w:pPr>
        <w:ind w:left="1440"/>
        <w:rPr>
          <w:b/>
          <w:sz w:val="24"/>
          <w:szCs w:val="24"/>
        </w:rPr>
      </w:pPr>
    </w:p>
    <w:p>
      <w:pPr>
        <w:ind w:left="1440"/>
        <w:rPr>
          <w:b/>
          <w:sz w:val="24"/>
          <w:szCs w:val="24"/>
        </w:rPr>
      </w:pPr>
    </w:p>
    <w:p>
      <w:pPr>
        <w:pStyle w:val="ListParagraph"/>
        <w:numPr>
          <w:ilvl w:val="2"/>
          <w:numId w:val="11"/>
        </w:numPr>
        <w:rPr>
          <w:b/>
          <w:sz w:val="24"/>
          <w:szCs w:val="24"/>
        </w:rPr>
      </w:pPr>
      <w:r>
        <w:rPr>
          <w:b/>
          <w:sz w:val="24"/>
          <w:szCs w:val="24"/>
        </w:rPr>
        <w:lastRenderedPageBreak/>
        <w:t>Other Receivables</w:t>
      </w:r>
    </w:p>
    <w:p>
      <w:pPr>
        <w:rPr>
          <w:b/>
          <w:sz w:val="24"/>
          <w:szCs w:val="24"/>
        </w:rPr>
      </w:pPr>
    </w:p>
    <w:p>
      <w:pPr>
        <w:autoSpaceDE w:val="0"/>
        <w:autoSpaceDN w:val="0"/>
        <w:adjustRightInd w:val="0"/>
        <w:spacing w:line="276" w:lineRule="auto"/>
        <w:ind w:left="1440"/>
        <w:jc w:val="both"/>
        <w:rPr>
          <w:rFonts w:eastAsia="Calibri"/>
          <w:bCs/>
          <w:sz w:val="24"/>
          <w:szCs w:val="24"/>
          <w:lang w:val="en-PH"/>
        </w:rPr>
      </w:pPr>
      <w:r>
        <w:rPr>
          <w:rFonts w:eastAsia="Calibri"/>
          <w:bCs/>
          <w:sz w:val="24"/>
          <w:szCs w:val="24"/>
          <w:lang w:val="en-PH"/>
        </w:rPr>
        <w:t>The balance of Other Receivables was mainly comprised of the unliquidated cash advance for intelligence/confidential fund of former and late Mayor Atty. Jose Silvosa Sr.</w:t>
      </w:r>
    </w:p>
    <w:p>
      <w:pPr>
        <w:autoSpaceDE w:val="0"/>
        <w:autoSpaceDN w:val="0"/>
        <w:adjustRightInd w:val="0"/>
        <w:spacing w:line="276" w:lineRule="auto"/>
        <w:ind w:left="1440"/>
        <w:jc w:val="both"/>
        <w:rPr>
          <w:rFonts w:eastAsia="Calibri"/>
          <w:bCs/>
          <w:sz w:val="24"/>
          <w:szCs w:val="24"/>
          <w:lang w:val="en-PH"/>
        </w:rPr>
      </w:pPr>
    </w:p>
    <w:tbl>
      <w:tblPr>
        <w:tblW w:w="8221" w:type="dxa"/>
        <w:tblInd w:w="1526" w:type="dxa"/>
        <w:tblLook w:val="04A0" w:firstRow="1" w:lastRow="0" w:firstColumn="1" w:lastColumn="0" w:noHBand="0" w:noVBand="1"/>
      </w:tblPr>
      <w:tblGrid>
        <w:gridCol w:w="4843"/>
        <w:gridCol w:w="3378"/>
      </w:tblGrid>
      <w:tr>
        <w:trPr>
          <w:trHeight w:val="283"/>
        </w:trPr>
        <w:tc>
          <w:tcPr>
            <w:tcW w:w="484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337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4843" w:type="dxa"/>
            <w:tcBorders>
              <w:top w:val="nil"/>
              <w:left w:val="nil"/>
              <w:bottom w:val="nil"/>
              <w:right w:val="nil"/>
            </w:tcBorders>
            <w:shd w:val="clear" w:color="auto" w:fill="auto"/>
            <w:vAlign w:val="bottom"/>
            <w:hideMark/>
          </w:tcPr>
          <w:p>
            <w:pPr>
              <w:rPr>
                <w:sz w:val="24"/>
                <w:szCs w:val="24"/>
                <w:lang w:val="en-PH" w:eastAsia="en-PH"/>
              </w:rPr>
            </w:pPr>
            <w:r>
              <w:rPr>
                <w:sz w:val="24"/>
                <w:szCs w:val="24"/>
                <w:lang w:val="en-PH" w:eastAsia="en-PH"/>
              </w:rPr>
              <w:t xml:space="preserve">Unliquidated Intelligence/Confidential Fund of former Mayor Atty. </w:t>
            </w:r>
          </w:p>
        </w:tc>
        <w:tc>
          <w:tcPr>
            <w:tcW w:w="337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38,159,052.40</w:t>
            </w:r>
          </w:p>
        </w:tc>
      </w:tr>
      <w:tr>
        <w:trPr>
          <w:trHeight w:val="283"/>
        </w:trPr>
        <w:tc>
          <w:tcPr>
            <w:tcW w:w="484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Davao Cooperative Bank</w:t>
            </w:r>
          </w:p>
        </w:tc>
        <w:tc>
          <w:tcPr>
            <w:tcW w:w="337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579,603.53</w:t>
            </w:r>
          </w:p>
        </w:tc>
      </w:tr>
      <w:tr>
        <w:trPr>
          <w:trHeight w:val="283"/>
        </w:trPr>
        <w:tc>
          <w:tcPr>
            <w:tcW w:w="484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Vice Mayor's League of the Phil. (VMLP)</w:t>
            </w:r>
          </w:p>
        </w:tc>
        <w:tc>
          <w:tcPr>
            <w:tcW w:w="337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600,000.00</w:t>
            </w:r>
          </w:p>
        </w:tc>
      </w:tr>
      <w:tr>
        <w:trPr>
          <w:trHeight w:val="283"/>
        </w:trPr>
        <w:tc>
          <w:tcPr>
            <w:tcW w:w="484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For reconciliation and other receivables</w:t>
            </w:r>
          </w:p>
        </w:tc>
        <w:tc>
          <w:tcPr>
            <w:tcW w:w="337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1,833,624.35 </w:t>
            </w:r>
          </w:p>
        </w:tc>
      </w:tr>
      <w:tr>
        <w:trPr>
          <w:trHeight w:val="283"/>
        </w:trPr>
        <w:tc>
          <w:tcPr>
            <w:tcW w:w="4843" w:type="dxa"/>
            <w:tcBorders>
              <w:top w:val="single" w:sz="4" w:space="0" w:color="A6A6A6"/>
              <w:left w:val="nil"/>
              <w:bottom w:val="double" w:sz="6"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 xml:space="preserve"> Total </w:t>
            </w:r>
          </w:p>
        </w:tc>
        <w:tc>
          <w:tcPr>
            <w:tcW w:w="337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41,172,280.28 </w:t>
            </w:r>
          </w:p>
        </w:tc>
      </w:tr>
    </w:tbl>
    <w:p>
      <w:pPr>
        <w:autoSpaceDE w:val="0"/>
        <w:autoSpaceDN w:val="0"/>
        <w:adjustRightInd w:val="0"/>
        <w:ind w:left="720"/>
        <w:jc w:val="both"/>
        <w:rPr>
          <w:rFonts w:eastAsia="Calibri"/>
          <w:bCs/>
          <w:sz w:val="24"/>
          <w:szCs w:val="24"/>
          <w:lang w:val="en-PH"/>
        </w:rPr>
      </w:pPr>
    </w:p>
    <w:p>
      <w:pPr>
        <w:spacing w:line="276" w:lineRule="auto"/>
        <w:ind w:left="1260"/>
        <w:jc w:val="both"/>
        <w:rPr>
          <w:bCs/>
          <w:sz w:val="24"/>
          <w:szCs w:val="24"/>
        </w:rPr>
      </w:pPr>
      <w:r>
        <w:rPr>
          <w:bCs/>
          <w:sz w:val="24"/>
          <w:szCs w:val="24"/>
        </w:rPr>
        <w:t>Details of unliquidated cash advances of intelligence/confidential fund of late former Mayor Atty. Jose Silvosa Sr. period covered 2011 to 2014 are as follows:</w:t>
      </w:r>
    </w:p>
    <w:p>
      <w:pPr>
        <w:ind w:left="720"/>
        <w:jc w:val="both"/>
        <w:rPr>
          <w:sz w:val="24"/>
          <w:szCs w:val="24"/>
        </w:rPr>
      </w:pPr>
    </w:p>
    <w:tbl>
      <w:tblPr>
        <w:tblW w:w="8363"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240"/>
        <w:gridCol w:w="1311"/>
        <w:gridCol w:w="1549"/>
        <w:gridCol w:w="1550"/>
        <w:gridCol w:w="1550"/>
      </w:tblGrid>
      <w:tr>
        <w:trPr>
          <w:trHeight w:val="283"/>
        </w:trPr>
        <w:tc>
          <w:tcPr>
            <w:tcW w:w="1163" w:type="dxa"/>
            <w:shd w:val="clear" w:color="auto" w:fill="auto"/>
            <w:vAlign w:val="center"/>
            <w:hideMark/>
          </w:tcPr>
          <w:p>
            <w:pPr>
              <w:jc w:val="center"/>
              <w:rPr>
                <w:b/>
                <w:bCs/>
                <w:lang w:val="en-PH" w:eastAsia="en-PH"/>
              </w:rPr>
            </w:pPr>
            <w:r>
              <w:rPr>
                <w:b/>
                <w:bCs/>
                <w:lang w:val="en-PH" w:eastAsia="en-PH"/>
              </w:rPr>
              <w:t>Period Covered</w:t>
            </w:r>
          </w:p>
        </w:tc>
        <w:tc>
          <w:tcPr>
            <w:tcW w:w="1240" w:type="dxa"/>
            <w:shd w:val="clear" w:color="auto" w:fill="auto"/>
            <w:vAlign w:val="center"/>
            <w:hideMark/>
          </w:tcPr>
          <w:p>
            <w:pPr>
              <w:jc w:val="center"/>
              <w:rPr>
                <w:b/>
                <w:bCs/>
                <w:lang w:val="en-PH" w:eastAsia="en-PH"/>
              </w:rPr>
            </w:pPr>
            <w:r>
              <w:rPr>
                <w:b/>
                <w:bCs/>
                <w:lang w:val="en-PH" w:eastAsia="en-PH"/>
              </w:rPr>
              <w:t xml:space="preserve"> Date Granted </w:t>
            </w:r>
          </w:p>
        </w:tc>
        <w:tc>
          <w:tcPr>
            <w:tcW w:w="1311" w:type="dxa"/>
            <w:shd w:val="clear" w:color="auto" w:fill="auto"/>
            <w:vAlign w:val="center"/>
            <w:hideMark/>
          </w:tcPr>
          <w:p>
            <w:pPr>
              <w:jc w:val="center"/>
              <w:rPr>
                <w:b/>
                <w:bCs/>
                <w:lang w:val="en-PH" w:eastAsia="en-PH"/>
              </w:rPr>
            </w:pPr>
            <w:r>
              <w:rPr>
                <w:b/>
                <w:bCs/>
                <w:lang w:val="en-PH" w:eastAsia="en-PH"/>
              </w:rPr>
              <w:t xml:space="preserve"> Reference No. </w:t>
            </w:r>
          </w:p>
        </w:tc>
        <w:tc>
          <w:tcPr>
            <w:tcW w:w="1549" w:type="dxa"/>
            <w:shd w:val="clear" w:color="auto" w:fill="auto"/>
            <w:vAlign w:val="center"/>
            <w:hideMark/>
          </w:tcPr>
          <w:p>
            <w:pPr>
              <w:jc w:val="center"/>
              <w:rPr>
                <w:b/>
                <w:bCs/>
                <w:lang w:val="en-PH" w:eastAsia="en-PH"/>
              </w:rPr>
            </w:pPr>
            <w:r>
              <w:rPr>
                <w:b/>
                <w:bCs/>
                <w:lang w:val="en-PH" w:eastAsia="en-PH"/>
              </w:rPr>
              <w:t xml:space="preserve"> Amount </w:t>
            </w:r>
          </w:p>
        </w:tc>
        <w:tc>
          <w:tcPr>
            <w:tcW w:w="1550" w:type="dxa"/>
            <w:shd w:val="clear" w:color="auto" w:fill="auto"/>
            <w:vAlign w:val="center"/>
            <w:hideMark/>
          </w:tcPr>
          <w:p>
            <w:pPr>
              <w:jc w:val="center"/>
              <w:rPr>
                <w:b/>
                <w:bCs/>
                <w:lang w:val="en-PH" w:eastAsia="en-PH"/>
              </w:rPr>
            </w:pPr>
            <w:r>
              <w:rPr>
                <w:b/>
                <w:bCs/>
                <w:lang w:val="en-PH" w:eastAsia="en-PH"/>
              </w:rPr>
              <w:t xml:space="preserve"> Liquidation </w:t>
            </w:r>
          </w:p>
        </w:tc>
        <w:tc>
          <w:tcPr>
            <w:tcW w:w="1550" w:type="dxa"/>
            <w:shd w:val="clear" w:color="auto" w:fill="auto"/>
            <w:vAlign w:val="center"/>
            <w:hideMark/>
          </w:tcPr>
          <w:p>
            <w:pPr>
              <w:jc w:val="center"/>
              <w:rPr>
                <w:b/>
                <w:bCs/>
                <w:lang w:val="en-PH" w:eastAsia="en-PH"/>
              </w:rPr>
            </w:pPr>
            <w:r>
              <w:rPr>
                <w:b/>
                <w:bCs/>
                <w:lang w:val="en-PH" w:eastAsia="en-PH"/>
              </w:rPr>
              <w:t xml:space="preserve"> Unliquidated Balance </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2011</w:t>
            </w:r>
          </w:p>
        </w:tc>
        <w:tc>
          <w:tcPr>
            <w:tcW w:w="1240" w:type="dxa"/>
            <w:shd w:val="clear" w:color="auto" w:fill="auto"/>
            <w:vAlign w:val="center"/>
            <w:hideMark/>
          </w:tcPr>
          <w:p>
            <w:pPr>
              <w:jc w:val="center"/>
              <w:rPr>
                <w:lang w:val="en-PH" w:eastAsia="en-PH"/>
              </w:rPr>
            </w:pPr>
            <w:r>
              <w:rPr>
                <w:lang w:val="en-PH" w:eastAsia="en-PH"/>
              </w:rPr>
              <w:t>01-Mar-11</w:t>
            </w:r>
          </w:p>
        </w:tc>
        <w:tc>
          <w:tcPr>
            <w:tcW w:w="1311" w:type="dxa"/>
            <w:shd w:val="clear" w:color="auto" w:fill="auto"/>
            <w:vAlign w:val="center"/>
            <w:hideMark/>
          </w:tcPr>
          <w:p>
            <w:pPr>
              <w:jc w:val="center"/>
              <w:rPr>
                <w:lang w:val="en-PH" w:eastAsia="en-PH"/>
              </w:rPr>
            </w:pPr>
            <w:r>
              <w:rPr>
                <w:rFonts w:eastAsia="Calibri"/>
                <w:bCs/>
                <w:lang w:val="en-PH" w:eastAsia="en-PH"/>
              </w:rPr>
              <w:t>862450</w:t>
            </w:r>
          </w:p>
        </w:tc>
        <w:tc>
          <w:tcPr>
            <w:tcW w:w="1549" w:type="dxa"/>
            <w:shd w:val="clear" w:color="auto" w:fill="auto"/>
            <w:vAlign w:val="center"/>
            <w:hideMark/>
          </w:tcPr>
          <w:p>
            <w:pPr>
              <w:jc w:val="right"/>
              <w:rPr>
                <w:lang w:val="en-PH" w:eastAsia="en-PH"/>
              </w:rPr>
            </w:pPr>
            <w:r>
              <w:rPr>
                <w:rFonts w:eastAsia="Calibri"/>
                <w:bCs/>
                <w:lang w:val="en-PH" w:eastAsia="en-PH"/>
              </w:rPr>
              <w:t>3,050,000.00</w:t>
            </w:r>
          </w:p>
        </w:tc>
        <w:tc>
          <w:tcPr>
            <w:tcW w:w="1550" w:type="dxa"/>
            <w:shd w:val="clear" w:color="auto" w:fill="auto"/>
            <w:vAlign w:val="center"/>
            <w:hideMark/>
          </w:tcPr>
          <w:p>
            <w:pPr>
              <w:ind w:firstLineChars="200" w:firstLine="400"/>
              <w:jc w:val="right"/>
              <w:rPr>
                <w:lang w:val="en-PH" w:eastAsia="en-PH"/>
              </w:rPr>
            </w:pPr>
            <w:r>
              <w:rPr>
                <w:bCs/>
                <w:lang w:eastAsia="en-PH"/>
              </w:rPr>
              <w:t xml:space="preserve">                 0.00   </w:t>
            </w:r>
          </w:p>
        </w:tc>
        <w:tc>
          <w:tcPr>
            <w:tcW w:w="1550" w:type="dxa"/>
            <w:shd w:val="clear" w:color="auto" w:fill="auto"/>
            <w:vAlign w:val="center"/>
            <w:hideMark/>
          </w:tcPr>
          <w:p>
            <w:pPr>
              <w:jc w:val="right"/>
              <w:rPr>
                <w:lang w:val="en-PH" w:eastAsia="en-PH"/>
              </w:rPr>
            </w:pPr>
            <w:r>
              <w:rPr>
                <w:rFonts w:eastAsia="Calibri"/>
                <w:bCs/>
                <w:lang w:val="en-PH" w:eastAsia="en-PH"/>
              </w:rPr>
              <w:t>3,050,000.00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2011</w:t>
            </w:r>
          </w:p>
        </w:tc>
        <w:tc>
          <w:tcPr>
            <w:tcW w:w="1240" w:type="dxa"/>
            <w:shd w:val="clear" w:color="auto" w:fill="auto"/>
            <w:vAlign w:val="center"/>
            <w:hideMark/>
          </w:tcPr>
          <w:p>
            <w:pPr>
              <w:jc w:val="center"/>
              <w:rPr>
                <w:lang w:val="en-PH" w:eastAsia="en-PH"/>
              </w:rPr>
            </w:pPr>
            <w:r>
              <w:rPr>
                <w:lang w:val="en-PH" w:eastAsia="en-PH"/>
              </w:rPr>
              <w:t>23-Mar-11</w:t>
            </w:r>
          </w:p>
        </w:tc>
        <w:tc>
          <w:tcPr>
            <w:tcW w:w="1311" w:type="dxa"/>
            <w:shd w:val="clear" w:color="auto" w:fill="auto"/>
            <w:vAlign w:val="center"/>
            <w:hideMark/>
          </w:tcPr>
          <w:p>
            <w:pPr>
              <w:jc w:val="center"/>
              <w:rPr>
                <w:lang w:val="en-PH" w:eastAsia="en-PH"/>
              </w:rPr>
            </w:pPr>
            <w:r>
              <w:rPr>
                <w:rFonts w:eastAsia="Calibri"/>
                <w:bCs/>
                <w:lang w:val="en-PH" w:eastAsia="en-PH"/>
              </w:rPr>
              <w:t>864283</w:t>
            </w:r>
          </w:p>
        </w:tc>
        <w:tc>
          <w:tcPr>
            <w:tcW w:w="1549" w:type="dxa"/>
            <w:shd w:val="clear" w:color="auto" w:fill="auto"/>
            <w:vAlign w:val="center"/>
            <w:hideMark/>
          </w:tcPr>
          <w:p>
            <w:pPr>
              <w:jc w:val="right"/>
              <w:rPr>
                <w:lang w:val="en-PH" w:eastAsia="en-PH"/>
              </w:rPr>
            </w:pPr>
            <w:r>
              <w:rPr>
                <w:rFonts w:eastAsia="Calibri"/>
                <w:bCs/>
                <w:lang w:val="en-PH" w:eastAsia="en-PH"/>
              </w:rPr>
              <w:t>3,050,000.00</w:t>
            </w:r>
          </w:p>
        </w:tc>
        <w:tc>
          <w:tcPr>
            <w:tcW w:w="1550" w:type="dxa"/>
            <w:shd w:val="clear" w:color="auto" w:fill="auto"/>
            <w:vAlign w:val="center"/>
            <w:hideMark/>
          </w:tcPr>
          <w:p>
            <w:pPr>
              <w:ind w:firstLineChars="200" w:firstLine="400"/>
              <w:jc w:val="right"/>
              <w:rPr>
                <w:lang w:val="en-PH" w:eastAsia="en-PH"/>
              </w:rPr>
            </w:pPr>
            <w:r>
              <w:rPr>
                <w:bCs/>
                <w:lang w:eastAsia="en-PH"/>
              </w:rPr>
              <w:t xml:space="preserve">0.00   </w:t>
            </w:r>
          </w:p>
        </w:tc>
        <w:tc>
          <w:tcPr>
            <w:tcW w:w="1550" w:type="dxa"/>
            <w:shd w:val="clear" w:color="auto" w:fill="auto"/>
            <w:vAlign w:val="center"/>
            <w:hideMark/>
          </w:tcPr>
          <w:p>
            <w:pPr>
              <w:jc w:val="right"/>
              <w:rPr>
                <w:lang w:val="en-PH" w:eastAsia="en-PH"/>
              </w:rPr>
            </w:pPr>
            <w:r>
              <w:rPr>
                <w:lang w:eastAsia="en-PH"/>
              </w:rPr>
              <w:t>6,100,000.00</w:t>
            </w:r>
          </w:p>
        </w:tc>
      </w:tr>
      <w:tr>
        <w:trPr>
          <w:trHeight w:val="283"/>
        </w:trPr>
        <w:tc>
          <w:tcPr>
            <w:tcW w:w="1163" w:type="dxa"/>
            <w:shd w:val="clear" w:color="auto" w:fill="auto"/>
            <w:vAlign w:val="center"/>
            <w:hideMark/>
          </w:tcPr>
          <w:p>
            <w:pPr>
              <w:jc w:val="center"/>
              <w:rPr>
                <w:lang w:val="en-PH" w:eastAsia="en-PH"/>
              </w:rPr>
            </w:pPr>
            <w:r>
              <w:rPr>
                <w:lang w:val="en-PH" w:eastAsia="en-PH"/>
              </w:rPr>
              <w:t>2011</w:t>
            </w:r>
          </w:p>
        </w:tc>
        <w:tc>
          <w:tcPr>
            <w:tcW w:w="1240" w:type="dxa"/>
            <w:shd w:val="clear" w:color="auto" w:fill="auto"/>
            <w:vAlign w:val="center"/>
            <w:hideMark/>
          </w:tcPr>
          <w:p>
            <w:pPr>
              <w:jc w:val="center"/>
              <w:rPr>
                <w:lang w:val="en-PH" w:eastAsia="en-PH"/>
              </w:rPr>
            </w:pPr>
            <w:r>
              <w:rPr>
                <w:lang w:val="en-PH" w:eastAsia="en-PH"/>
              </w:rPr>
              <w:t>07-Apr-11</w:t>
            </w:r>
          </w:p>
        </w:tc>
        <w:tc>
          <w:tcPr>
            <w:tcW w:w="1311" w:type="dxa"/>
            <w:shd w:val="clear" w:color="auto" w:fill="auto"/>
            <w:vAlign w:val="center"/>
            <w:hideMark/>
          </w:tcPr>
          <w:p>
            <w:pPr>
              <w:jc w:val="center"/>
              <w:rPr>
                <w:lang w:val="en-PH" w:eastAsia="en-PH"/>
              </w:rPr>
            </w:pPr>
            <w:r>
              <w:rPr>
                <w:rFonts w:eastAsia="Calibri"/>
                <w:bCs/>
                <w:lang w:val="en-PH" w:eastAsia="en-PH"/>
              </w:rPr>
              <w:t>885701</w:t>
            </w:r>
          </w:p>
        </w:tc>
        <w:tc>
          <w:tcPr>
            <w:tcW w:w="1549" w:type="dxa"/>
            <w:shd w:val="clear" w:color="auto" w:fill="auto"/>
            <w:vAlign w:val="center"/>
            <w:hideMark/>
          </w:tcPr>
          <w:p>
            <w:pPr>
              <w:jc w:val="right"/>
              <w:rPr>
                <w:lang w:val="en-PH" w:eastAsia="en-PH"/>
              </w:rPr>
            </w:pPr>
            <w:r>
              <w:rPr>
                <w:rFonts w:eastAsia="Calibri"/>
                <w:bCs/>
                <w:lang w:val="en-PH" w:eastAsia="en-PH"/>
              </w:rPr>
              <w:t>3,050,000.00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eastAsia="en-PH"/>
              </w:rPr>
              <w:t>9,150,000.00</w:t>
            </w:r>
          </w:p>
        </w:tc>
      </w:tr>
      <w:tr>
        <w:trPr>
          <w:trHeight w:val="283"/>
        </w:trPr>
        <w:tc>
          <w:tcPr>
            <w:tcW w:w="1163" w:type="dxa"/>
            <w:shd w:val="clear" w:color="auto" w:fill="auto"/>
            <w:vAlign w:val="center"/>
            <w:hideMark/>
          </w:tcPr>
          <w:p>
            <w:pPr>
              <w:jc w:val="center"/>
              <w:rPr>
                <w:lang w:val="en-PH" w:eastAsia="en-PH"/>
              </w:rPr>
            </w:pPr>
            <w:r>
              <w:rPr>
                <w:lang w:val="en-PH" w:eastAsia="en-PH"/>
              </w:rPr>
              <w:t>2011</w:t>
            </w:r>
          </w:p>
        </w:tc>
        <w:tc>
          <w:tcPr>
            <w:tcW w:w="1240" w:type="dxa"/>
            <w:shd w:val="clear" w:color="auto" w:fill="auto"/>
            <w:vAlign w:val="center"/>
            <w:hideMark/>
          </w:tcPr>
          <w:p>
            <w:pPr>
              <w:jc w:val="center"/>
              <w:rPr>
                <w:lang w:val="en-PH" w:eastAsia="en-PH"/>
              </w:rPr>
            </w:pPr>
            <w:r>
              <w:rPr>
                <w:lang w:val="en-PH" w:eastAsia="en-PH"/>
              </w:rPr>
              <w:t>22-Sep-11</w:t>
            </w:r>
          </w:p>
        </w:tc>
        <w:tc>
          <w:tcPr>
            <w:tcW w:w="1311" w:type="dxa"/>
            <w:shd w:val="clear" w:color="auto" w:fill="auto"/>
            <w:vAlign w:val="center"/>
            <w:hideMark/>
          </w:tcPr>
          <w:p>
            <w:pPr>
              <w:jc w:val="center"/>
              <w:rPr>
                <w:lang w:val="en-PH" w:eastAsia="en-PH"/>
              </w:rPr>
            </w:pPr>
            <w:r>
              <w:rPr>
                <w:rFonts w:eastAsia="Calibri"/>
                <w:bCs/>
                <w:lang w:val="en-PH" w:eastAsia="en-PH"/>
              </w:rPr>
              <w:t>905331</w:t>
            </w:r>
          </w:p>
        </w:tc>
        <w:tc>
          <w:tcPr>
            <w:tcW w:w="1549" w:type="dxa"/>
            <w:shd w:val="clear" w:color="auto" w:fill="auto"/>
            <w:vAlign w:val="center"/>
            <w:hideMark/>
          </w:tcPr>
          <w:p>
            <w:pPr>
              <w:jc w:val="right"/>
              <w:rPr>
                <w:lang w:val="en-PH" w:eastAsia="en-PH"/>
              </w:rPr>
            </w:pPr>
            <w:r>
              <w:rPr>
                <w:rFonts w:eastAsia="Calibri"/>
                <w:bCs/>
                <w:lang w:val="en-PH" w:eastAsia="en-PH"/>
              </w:rPr>
              <w:t>5,269,188.40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14,419,188.40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2012</w:t>
            </w:r>
          </w:p>
        </w:tc>
        <w:tc>
          <w:tcPr>
            <w:tcW w:w="1240" w:type="dxa"/>
            <w:shd w:val="clear" w:color="auto" w:fill="auto"/>
            <w:vAlign w:val="center"/>
            <w:hideMark/>
          </w:tcPr>
          <w:p>
            <w:pPr>
              <w:jc w:val="center"/>
              <w:rPr>
                <w:lang w:val="en-PH" w:eastAsia="en-PH"/>
              </w:rPr>
            </w:pPr>
            <w:r>
              <w:rPr>
                <w:lang w:val="en-PH" w:eastAsia="en-PH"/>
              </w:rPr>
              <w:t>02-Jan-12</w:t>
            </w:r>
          </w:p>
        </w:tc>
        <w:tc>
          <w:tcPr>
            <w:tcW w:w="1311" w:type="dxa"/>
            <w:shd w:val="clear" w:color="auto" w:fill="auto"/>
            <w:vAlign w:val="center"/>
            <w:hideMark/>
          </w:tcPr>
          <w:p>
            <w:pPr>
              <w:jc w:val="center"/>
              <w:rPr>
                <w:lang w:val="en-PH" w:eastAsia="en-PH"/>
              </w:rPr>
            </w:pPr>
            <w:r>
              <w:rPr>
                <w:rFonts w:eastAsia="Calibri"/>
                <w:bCs/>
                <w:lang w:val="en-PH" w:eastAsia="en-PH"/>
              </w:rPr>
              <w:t>933979</w:t>
            </w:r>
          </w:p>
        </w:tc>
        <w:tc>
          <w:tcPr>
            <w:tcW w:w="1549" w:type="dxa"/>
            <w:shd w:val="clear" w:color="auto" w:fill="auto"/>
            <w:vAlign w:val="center"/>
            <w:hideMark/>
          </w:tcPr>
          <w:p>
            <w:pPr>
              <w:jc w:val="right"/>
              <w:rPr>
                <w:lang w:val="en-PH" w:eastAsia="en-PH"/>
              </w:rPr>
            </w:pPr>
            <w:r>
              <w:rPr>
                <w:rFonts w:eastAsia="Calibri"/>
                <w:bCs/>
                <w:lang w:val="en-PH" w:eastAsia="en-PH"/>
              </w:rPr>
              <w:t>2,880,000.00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17,299,188.40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2012</w:t>
            </w:r>
          </w:p>
        </w:tc>
        <w:tc>
          <w:tcPr>
            <w:tcW w:w="1240" w:type="dxa"/>
            <w:shd w:val="clear" w:color="auto" w:fill="auto"/>
            <w:vAlign w:val="center"/>
            <w:hideMark/>
          </w:tcPr>
          <w:p>
            <w:pPr>
              <w:jc w:val="center"/>
              <w:rPr>
                <w:lang w:val="en-PH" w:eastAsia="en-PH"/>
              </w:rPr>
            </w:pPr>
            <w:r>
              <w:rPr>
                <w:lang w:val="en-PH" w:eastAsia="en-PH"/>
              </w:rPr>
              <w:t>11-Apr-12</w:t>
            </w:r>
          </w:p>
        </w:tc>
        <w:tc>
          <w:tcPr>
            <w:tcW w:w="1311" w:type="dxa"/>
            <w:shd w:val="clear" w:color="auto" w:fill="auto"/>
            <w:vAlign w:val="center"/>
            <w:hideMark/>
          </w:tcPr>
          <w:p>
            <w:pPr>
              <w:jc w:val="center"/>
              <w:rPr>
                <w:lang w:val="en-PH" w:eastAsia="en-PH"/>
              </w:rPr>
            </w:pPr>
            <w:r>
              <w:rPr>
                <w:rFonts w:eastAsia="Calibri"/>
                <w:bCs/>
                <w:lang w:val="en-PH" w:eastAsia="en-PH"/>
              </w:rPr>
              <w:t>936339</w:t>
            </w:r>
          </w:p>
        </w:tc>
        <w:tc>
          <w:tcPr>
            <w:tcW w:w="1549" w:type="dxa"/>
            <w:shd w:val="clear" w:color="auto" w:fill="auto"/>
            <w:vAlign w:val="center"/>
            <w:hideMark/>
          </w:tcPr>
          <w:p>
            <w:pPr>
              <w:jc w:val="right"/>
              <w:rPr>
                <w:lang w:val="en-PH" w:eastAsia="en-PH"/>
              </w:rPr>
            </w:pPr>
            <w:r>
              <w:rPr>
                <w:rFonts w:eastAsia="Calibri"/>
                <w:bCs/>
                <w:lang w:val="en-PH" w:eastAsia="en-PH"/>
              </w:rPr>
              <w:t>2,880,000.00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20,179,188.40</w:t>
            </w:r>
          </w:p>
        </w:tc>
      </w:tr>
      <w:tr>
        <w:trPr>
          <w:trHeight w:val="283"/>
        </w:trPr>
        <w:tc>
          <w:tcPr>
            <w:tcW w:w="1163" w:type="dxa"/>
            <w:shd w:val="clear" w:color="auto" w:fill="auto"/>
            <w:vAlign w:val="center"/>
            <w:hideMark/>
          </w:tcPr>
          <w:p>
            <w:pPr>
              <w:jc w:val="center"/>
              <w:rPr>
                <w:lang w:val="en-PH" w:eastAsia="en-PH"/>
              </w:rPr>
            </w:pPr>
            <w:r>
              <w:rPr>
                <w:lang w:val="en-PH" w:eastAsia="en-PH"/>
              </w:rPr>
              <w:t>2012</w:t>
            </w:r>
          </w:p>
        </w:tc>
        <w:tc>
          <w:tcPr>
            <w:tcW w:w="1240" w:type="dxa"/>
            <w:shd w:val="clear" w:color="auto" w:fill="auto"/>
            <w:vAlign w:val="center"/>
            <w:hideMark/>
          </w:tcPr>
          <w:p>
            <w:pPr>
              <w:jc w:val="center"/>
              <w:rPr>
                <w:lang w:val="en-PH" w:eastAsia="en-PH"/>
              </w:rPr>
            </w:pPr>
            <w:r>
              <w:rPr>
                <w:lang w:val="en-PH" w:eastAsia="en-PH"/>
              </w:rPr>
              <w:t>09-Jul-12</w:t>
            </w:r>
          </w:p>
        </w:tc>
        <w:tc>
          <w:tcPr>
            <w:tcW w:w="1311" w:type="dxa"/>
            <w:shd w:val="clear" w:color="auto" w:fill="auto"/>
            <w:vAlign w:val="center"/>
            <w:hideMark/>
          </w:tcPr>
          <w:p>
            <w:pPr>
              <w:jc w:val="center"/>
              <w:rPr>
                <w:lang w:val="en-PH" w:eastAsia="en-PH"/>
              </w:rPr>
            </w:pPr>
            <w:r>
              <w:rPr>
                <w:rFonts w:eastAsia="Calibri"/>
                <w:bCs/>
                <w:lang w:val="en-PH" w:eastAsia="en-PH"/>
              </w:rPr>
              <w:t>943538</w:t>
            </w:r>
          </w:p>
        </w:tc>
        <w:tc>
          <w:tcPr>
            <w:tcW w:w="1549" w:type="dxa"/>
            <w:shd w:val="clear" w:color="auto" w:fill="auto"/>
            <w:vAlign w:val="center"/>
            <w:hideMark/>
          </w:tcPr>
          <w:p>
            <w:pPr>
              <w:jc w:val="right"/>
              <w:rPr>
                <w:lang w:val="en-PH" w:eastAsia="en-PH"/>
              </w:rPr>
            </w:pPr>
            <w:r>
              <w:rPr>
                <w:rFonts w:eastAsia="Calibri"/>
                <w:bCs/>
                <w:lang w:val="en-PH" w:eastAsia="en-PH"/>
              </w:rPr>
              <w:t>2,880,000.00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23,059,188.40</w:t>
            </w:r>
          </w:p>
        </w:tc>
      </w:tr>
      <w:tr>
        <w:trPr>
          <w:trHeight w:val="283"/>
        </w:trPr>
        <w:tc>
          <w:tcPr>
            <w:tcW w:w="1163" w:type="dxa"/>
            <w:shd w:val="clear" w:color="auto" w:fill="auto"/>
            <w:vAlign w:val="center"/>
            <w:hideMark/>
          </w:tcPr>
          <w:p>
            <w:pPr>
              <w:jc w:val="center"/>
              <w:rPr>
                <w:lang w:val="en-PH" w:eastAsia="en-PH"/>
              </w:rPr>
            </w:pPr>
            <w:r>
              <w:rPr>
                <w:lang w:val="en-PH" w:eastAsia="en-PH"/>
              </w:rPr>
              <w:t>2012</w:t>
            </w:r>
          </w:p>
        </w:tc>
        <w:tc>
          <w:tcPr>
            <w:tcW w:w="1240" w:type="dxa"/>
            <w:shd w:val="clear" w:color="auto" w:fill="auto"/>
            <w:vAlign w:val="center"/>
            <w:hideMark/>
          </w:tcPr>
          <w:p>
            <w:pPr>
              <w:jc w:val="center"/>
              <w:rPr>
                <w:lang w:val="en-PH" w:eastAsia="en-PH"/>
              </w:rPr>
            </w:pPr>
            <w:r>
              <w:rPr>
                <w:lang w:val="en-PH" w:eastAsia="en-PH"/>
              </w:rPr>
              <w:t>03-Oct-12</w:t>
            </w:r>
          </w:p>
        </w:tc>
        <w:tc>
          <w:tcPr>
            <w:tcW w:w="1311" w:type="dxa"/>
            <w:shd w:val="clear" w:color="auto" w:fill="auto"/>
            <w:vAlign w:val="center"/>
            <w:hideMark/>
          </w:tcPr>
          <w:p>
            <w:pPr>
              <w:jc w:val="center"/>
              <w:rPr>
                <w:lang w:val="en-PH" w:eastAsia="en-PH"/>
              </w:rPr>
            </w:pPr>
            <w:r>
              <w:rPr>
                <w:rFonts w:eastAsia="Calibri"/>
                <w:bCs/>
                <w:lang w:val="en-PH" w:eastAsia="en-PH"/>
              </w:rPr>
              <w:t>959113</w:t>
            </w:r>
          </w:p>
        </w:tc>
        <w:tc>
          <w:tcPr>
            <w:tcW w:w="1549" w:type="dxa"/>
            <w:shd w:val="clear" w:color="auto" w:fill="auto"/>
            <w:vAlign w:val="center"/>
            <w:hideMark/>
          </w:tcPr>
          <w:p>
            <w:pPr>
              <w:jc w:val="right"/>
              <w:rPr>
                <w:lang w:val="en-PH" w:eastAsia="en-PH"/>
              </w:rPr>
            </w:pPr>
            <w:r>
              <w:rPr>
                <w:rFonts w:eastAsia="Calibri"/>
                <w:bCs/>
                <w:lang w:val="en-PH" w:eastAsia="en-PH"/>
              </w:rPr>
              <w:t>3,245,300.00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26,304,488.40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2013</w:t>
            </w:r>
          </w:p>
        </w:tc>
        <w:tc>
          <w:tcPr>
            <w:tcW w:w="1240" w:type="dxa"/>
            <w:shd w:val="clear" w:color="auto" w:fill="auto"/>
            <w:vAlign w:val="center"/>
            <w:hideMark/>
          </w:tcPr>
          <w:p>
            <w:pPr>
              <w:jc w:val="center"/>
              <w:rPr>
                <w:lang w:val="en-PH" w:eastAsia="en-PH"/>
              </w:rPr>
            </w:pPr>
            <w:r>
              <w:rPr>
                <w:lang w:val="en-PH" w:eastAsia="en-PH"/>
              </w:rPr>
              <w:t>11-Jan-13</w:t>
            </w:r>
          </w:p>
        </w:tc>
        <w:tc>
          <w:tcPr>
            <w:tcW w:w="1311" w:type="dxa"/>
            <w:shd w:val="clear" w:color="auto" w:fill="auto"/>
            <w:vAlign w:val="center"/>
            <w:hideMark/>
          </w:tcPr>
          <w:p>
            <w:pPr>
              <w:jc w:val="center"/>
              <w:rPr>
                <w:lang w:val="en-PH" w:eastAsia="en-PH"/>
              </w:rPr>
            </w:pPr>
            <w:r>
              <w:rPr>
                <w:rFonts w:eastAsia="Calibri"/>
                <w:bCs/>
                <w:lang w:val="en-PH" w:eastAsia="en-PH"/>
              </w:rPr>
              <w:t>978920</w:t>
            </w:r>
          </w:p>
        </w:tc>
        <w:tc>
          <w:tcPr>
            <w:tcW w:w="1549" w:type="dxa"/>
            <w:shd w:val="clear" w:color="auto" w:fill="auto"/>
            <w:vAlign w:val="center"/>
            <w:hideMark/>
          </w:tcPr>
          <w:p>
            <w:pPr>
              <w:jc w:val="right"/>
              <w:rPr>
                <w:lang w:val="en-PH" w:eastAsia="en-PH"/>
              </w:rPr>
            </w:pPr>
            <w:r>
              <w:rPr>
                <w:rFonts w:eastAsia="Calibri"/>
                <w:bCs/>
                <w:lang w:val="en-PH" w:eastAsia="en-PH"/>
              </w:rPr>
              <w:t>2,894,000.00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29,198,488.40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2013</w:t>
            </w:r>
          </w:p>
        </w:tc>
        <w:tc>
          <w:tcPr>
            <w:tcW w:w="1240" w:type="dxa"/>
            <w:shd w:val="clear" w:color="auto" w:fill="auto"/>
            <w:vAlign w:val="center"/>
            <w:hideMark/>
          </w:tcPr>
          <w:p>
            <w:pPr>
              <w:jc w:val="center"/>
              <w:rPr>
                <w:lang w:val="en-PH" w:eastAsia="en-PH"/>
              </w:rPr>
            </w:pPr>
            <w:r>
              <w:rPr>
                <w:lang w:val="en-PH" w:eastAsia="en-PH"/>
              </w:rPr>
              <w:t>04-Apr-13</w:t>
            </w:r>
          </w:p>
        </w:tc>
        <w:tc>
          <w:tcPr>
            <w:tcW w:w="1311" w:type="dxa"/>
            <w:shd w:val="clear" w:color="auto" w:fill="auto"/>
            <w:vAlign w:val="center"/>
            <w:hideMark/>
          </w:tcPr>
          <w:p>
            <w:pPr>
              <w:jc w:val="center"/>
              <w:rPr>
                <w:lang w:val="en-PH" w:eastAsia="en-PH"/>
              </w:rPr>
            </w:pPr>
            <w:r>
              <w:rPr>
                <w:rFonts w:eastAsia="Calibri"/>
                <w:bCs/>
                <w:lang w:val="en-PH" w:eastAsia="en-PH"/>
              </w:rPr>
              <w:t>981993</w:t>
            </w:r>
          </w:p>
        </w:tc>
        <w:tc>
          <w:tcPr>
            <w:tcW w:w="1549" w:type="dxa"/>
            <w:shd w:val="clear" w:color="auto" w:fill="auto"/>
            <w:vAlign w:val="center"/>
            <w:hideMark/>
          </w:tcPr>
          <w:p>
            <w:pPr>
              <w:jc w:val="right"/>
              <w:rPr>
                <w:lang w:val="en-PH" w:eastAsia="en-PH"/>
              </w:rPr>
            </w:pPr>
            <w:r>
              <w:rPr>
                <w:rFonts w:eastAsia="Calibri"/>
                <w:bCs/>
                <w:lang w:val="en-PH" w:eastAsia="en-PH"/>
              </w:rPr>
              <w:t>2,894,000.00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32,092,488.40</w:t>
            </w:r>
          </w:p>
        </w:tc>
      </w:tr>
      <w:tr>
        <w:trPr>
          <w:trHeight w:val="283"/>
        </w:trPr>
        <w:tc>
          <w:tcPr>
            <w:tcW w:w="1163" w:type="dxa"/>
            <w:shd w:val="clear" w:color="auto" w:fill="auto"/>
            <w:vAlign w:val="center"/>
            <w:hideMark/>
          </w:tcPr>
          <w:p>
            <w:pPr>
              <w:jc w:val="center"/>
              <w:rPr>
                <w:lang w:val="en-PH" w:eastAsia="en-PH"/>
              </w:rPr>
            </w:pPr>
            <w:r>
              <w:rPr>
                <w:lang w:val="en-PH" w:eastAsia="en-PH"/>
              </w:rPr>
              <w:t>2013</w:t>
            </w:r>
          </w:p>
        </w:tc>
        <w:tc>
          <w:tcPr>
            <w:tcW w:w="1240" w:type="dxa"/>
            <w:shd w:val="clear" w:color="auto" w:fill="auto"/>
            <w:vAlign w:val="center"/>
            <w:hideMark/>
          </w:tcPr>
          <w:p>
            <w:pPr>
              <w:jc w:val="center"/>
              <w:rPr>
                <w:lang w:val="en-PH" w:eastAsia="en-PH"/>
              </w:rPr>
            </w:pPr>
            <w:r>
              <w:rPr>
                <w:lang w:val="en-PH" w:eastAsia="en-PH"/>
              </w:rPr>
              <w:t>17-Jun-13</w:t>
            </w:r>
          </w:p>
        </w:tc>
        <w:tc>
          <w:tcPr>
            <w:tcW w:w="1311" w:type="dxa"/>
            <w:shd w:val="clear" w:color="auto" w:fill="auto"/>
            <w:vAlign w:val="center"/>
            <w:hideMark/>
          </w:tcPr>
          <w:p>
            <w:pPr>
              <w:jc w:val="center"/>
              <w:rPr>
                <w:lang w:val="en-PH" w:eastAsia="en-PH"/>
              </w:rPr>
            </w:pPr>
            <w:r>
              <w:rPr>
                <w:rFonts w:eastAsia="Calibri"/>
                <w:bCs/>
                <w:lang w:val="en-PH" w:eastAsia="en-PH"/>
              </w:rPr>
              <w:t>998691</w:t>
            </w:r>
          </w:p>
        </w:tc>
        <w:tc>
          <w:tcPr>
            <w:tcW w:w="1549" w:type="dxa"/>
            <w:shd w:val="clear" w:color="auto" w:fill="auto"/>
            <w:vAlign w:val="center"/>
            <w:hideMark/>
          </w:tcPr>
          <w:p>
            <w:pPr>
              <w:jc w:val="right"/>
              <w:rPr>
                <w:lang w:val="en-PH" w:eastAsia="en-PH"/>
              </w:rPr>
            </w:pPr>
            <w:r>
              <w:rPr>
                <w:rFonts w:eastAsia="Calibri"/>
                <w:bCs/>
                <w:lang w:val="en-PH" w:eastAsia="en-PH"/>
              </w:rPr>
              <w:t>3,594,000.00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35,686,488.40</w:t>
            </w:r>
          </w:p>
        </w:tc>
      </w:tr>
      <w:tr>
        <w:trPr>
          <w:trHeight w:val="283"/>
        </w:trPr>
        <w:tc>
          <w:tcPr>
            <w:tcW w:w="1163" w:type="dxa"/>
            <w:shd w:val="clear" w:color="auto" w:fill="auto"/>
            <w:vAlign w:val="center"/>
            <w:hideMark/>
          </w:tcPr>
          <w:p>
            <w:pPr>
              <w:jc w:val="center"/>
              <w:rPr>
                <w:lang w:val="en-PH" w:eastAsia="en-PH"/>
              </w:rPr>
            </w:pPr>
            <w:r>
              <w:rPr>
                <w:lang w:val="en-PH" w:eastAsia="en-PH"/>
              </w:rPr>
              <w:t>2013</w:t>
            </w:r>
          </w:p>
        </w:tc>
        <w:tc>
          <w:tcPr>
            <w:tcW w:w="1240" w:type="dxa"/>
            <w:shd w:val="clear" w:color="auto" w:fill="auto"/>
            <w:vAlign w:val="center"/>
            <w:hideMark/>
          </w:tcPr>
          <w:p>
            <w:pPr>
              <w:jc w:val="center"/>
              <w:rPr>
                <w:lang w:val="en-PH" w:eastAsia="en-PH"/>
              </w:rPr>
            </w:pPr>
            <w:r>
              <w:rPr>
                <w:lang w:val="en-PH" w:eastAsia="en-PH"/>
              </w:rPr>
              <w:t>07-Oct-13</w:t>
            </w:r>
          </w:p>
        </w:tc>
        <w:tc>
          <w:tcPr>
            <w:tcW w:w="1311" w:type="dxa"/>
            <w:shd w:val="clear" w:color="auto" w:fill="auto"/>
            <w:vAlign w:val="center"/>
            <w:hideMark/>
          </w:tcPr>
          <w:p>
            <w:pPr>
              <w:jc w:val="center"/>
              <w:rPr>
                <w:lang w:val="en-PH" w:eastAsia="en-PH"/>
              </w:rPr>
            </w:pPr>
            <w:r>
              <w:rPr>
                <w:rFonts w:eastAsia="Calibri"/>
                <w:bCs/>
                <w:lang w:val="en-PH" w:eastAsia="en-PH"/>
              </w:rPr>
              <w:t>1020228</w:t>
            </w:r>
          </w:p>
        </w:tc>
        <w:tc>
          <w:tcPr>
            <w:tcW w:w="1549" w:type="dxa"/>
            <w:shd w:val="clear" w:color="auto" w:fill="auto"/>
            <w:vAlign w:val="center"/>
            <w:hideMark/>
          </w:tcPr>
          <w:p>
            <w:pPr>
              <w:jc w:val="right"/>
              <w:rPr>
                <w:lang w:val="en-PH" w:eastAsia="en-PH"/>
              </w:rPr>
            </w:pPr>
            <w:r>
              <w:rPr>
                <w:rFonts w:eastAsia="Calibri"/>
                <w:bCs/>
                <w:lang w:val="en-PH" w:eastAsia="en-PH"/>
              </w:rPr>
              <w:t>2,572,764.00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38,259,252.40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2014</w:t>
            </w:r>
          </w:p>
        </w:tc>
        <w:tc>
          <w:tcPr>
            <w:tcW w:w="1240" w:type="dxa"/>
            <w:shd w:val="clear" w:color="auto" w:fill="auto"/>
            <w:vAlign w:val="center"/>
            <w:hideMark/>
          </w:tcPr>
          <w:p>
            <w:pPr>
              <w:jc w:val="center"/>
              <w:rPr>
                <w:lang w:val="en-PH" w:eastAsia="en-PH"/>
              </w:rPr>
            </w:pPr>
            <w:r>
              <w:rPr>
                <w:lang w:val="en-PH" w:eastAsia="en-PH"/>
              </w:rPr>
              <w:t>10-Jan-14</w:t>
            </w:r>
          </w:p>
        </w:tc>
        <w:tc>
          <w:tcPr>
            <w:tcW w:w="1311" w:type="dxa"/>
            <w:shd w:val="clear" w:color="auto" w:fill="auto"/>
            <w:vAlign w:val="center"/>
            <w:hideMark/>
          </w:tcPr>
          <w:p>
            <w:pPr>
              <w:jc w:val="center"/>
              <w:rPr>
                <w:lang w:val="en-PH" w:eastAsia="en-PH"/>
              </w:rPr>
            </w:pPr>
            <w:r>
              <w:rPr>
                <w:rFonts w:eastAsia="Calibri"/>
                <w:bCs/>
                <w:lang w:val="en-PH" w:eastAsia="en-PH"/>
              </w:rPr>
              <w:t>1035941</w:t>
            </w:r>
          </w:p>
        </w:tc>
        <w:tc>
          <w:tcPr>
            <w:tcW w:w="1549" w:type="dxa"/>
            <w:shd w:val="clear" w:color="auto" w:fill="auto"/>
            <w:vAlign w:val="center"/>
            <w:hideMark/>
          </w:tcPr>
          <w:p>
            <w:pPr>
              <w:jc w:val="right"/>
              <w:rPr>
                <w:lang w:val="en-PH" w:eastAsia="en-PH"/>
              </w:rPr>
            </w:pPr>
            <w:r>
              <w:rPr>
                <w:rFonts w:eastAsia="Calibri"/>
                <w:bCs/>
                <w:lang w:val="en-PH" w:eastAsia="en-PH"/>
              </w:rPr>
              <w:t>3,334,415.00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41,593,667.40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2014</w:t>
            </w:r>
          </w:p>
        </w:tc>
        <w:tc>
          <w:tcPr>
            <w:tcW w:w="1240" w:type="dxa"/>
            <w:shd w:val="clear" w:color="auto" w:fill="auto"/>
            <w:vAlign w:val="center"/>
            <w:hideMark/>
          </w:tcPr>
          <w:p>
            <w:pPr>
              <w:jc w:val="center"/>
              <w:rPr>
                <w:lang w:val="en-PH" w:eastAsia="en-PH"/>
              </w:rPr>
            </w:pPr>
            <w:r>
              <w:rPr>
                <w:lang w:val="en-PH" w:eastAsia="en-PH"/>
              </w:rPr>
              <w:t>10-Apr-14</w:t>
            </w:r>
          </w:p>
        </w:tc>
        <w:tc>
          <w:tcPr>
            <w:tcW w:w="1311" w:type="dxa"/>
            <w:shd w:val="clear" w:color="auto" w:fill="auto"/>
            <w:vAlign w:val="center"/>
            <w:hideMark/>
          </w:tcPr>
          <w:p>
            <w:pPr>
              <w:jc w:val="center"/>
              <w:rPr>
                <w:lang w:val="en-PH" w:eastAsia="en-PH"/>
              </w:rPr>
            </w:pPr>
            <w:r>
              <w:rPr>
                <w:rFonts w:eastAsia="Calibri"/>
                <w:bCs/>
                <w:lang w:val="en-PH" w:eastAsia="en-PH"/>
              </w:rPr>
              <w:t>1038510</w:t>
            </w:r>
          </w:p>
        </w:tc>
        <w:tc>
          <w:tcPr>
            <w:tcW w:w="1549" w:type="dxa"/>
            <w:shd w:val="clear" w:color="auto" w:fill="auto"/>
            <w:vAlign w:val="center"/>
            <w:hideMark/>
          </w:tcPr>
          <w:p>
            <w:pPr>
              <w:jc w:val="right"/>
              <w:rPr>
                <w:lang w:val="en-PH" w:eastAsia="en-PH"/>
              </w:rPr>
            </w:pPr>
            <w:r>
              <w:rPr>
                <w:rFonts w:eastAsia="Calibri"/>
                <w:bCs/>
                <w:lang w:val="en-PH" w:eastAsia="en-PH"/>
              </w:rPr>
              <w:t>3,334,415.00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44,928,082.40</w:t>
            </w:r>
          </w:p>
        </w:tc>
      </w:tr>
      <w:tr>
        <w:trPr>
          <w:trHeight w:val="283"/>
        </w:trPr>
        <w:tc>
          <w:tcPr>
            <w:tcW w:w="1163" w:type="dxa"/>
            <w:shd w:val="clear" w:color="auto" w:fill="auto"/>
            <w:vAlign w:val="center"/>
            <w:hideMark/>
          </w:tcPr>
          <w:p>
            <w:pPr>
              <w:jc w:val="center"/>
              <w:rPr>
                <w:lang w:val="en-PH" w:eastAsia="en-PH"/>
              </w:rPr>
            </w:pPr>
            <w:r>
              <w:rPr>
                <w:lang w:val="en-PH" w:eastAsia="en-PH"/>
              </w:rPr>
              <w:t>2014</w:t>
            </w:r>
          </w:p>
        </w:tc>
        <w:tc>
          <w:tcPr>
            <w:tcW w:w="1240" w:type="dxa"/>
            <w:shd w:val="clear" w:color="auto" w:fill="auto"/>
            <w:vAlign w:val="center"/>
            <w:hideMark/>
          </w:tcPr>
          <w:p>
            <w:pPr>
              <w:jc w:val="center"/>
              <w:rPr>
                <w:lang w:val="en-PH" w:eastAsia="en-PH"/>
              </w:rPr>
            </w:pPr>
            <w:r>
              <w:rPr>
                <w:lang w:val="en-PH" w:eastAsia="en-PH"/>
              </w:rPr>
              <w:t>07-Jul-14</w:t>
            </w:r>
          </w:p>
        </w:tc>
        <w:tc>
          <w:tcPr>
            <w:tcW w:w="1311" w:type="dxa"/>
            <w:shd w:val="clear" w:color="auto" w:fill="auto"/>
            <w:vAlign w:val="center"/>
            <w:hideMark/>
          </w:tcPr>
          <w:p>
            <w:pPr>
              <w:jc w:val="center"/>
              <w:rPr>
                <w:lang w:val="en-PH" w:eastAsia="en-PH"/>
              </w:rPr>
            </w:pPr>
            <w:r>
              <w:rPr>
                <w:rFonts w:eastAsia="Calibri"/>
                <w:bCs/>
                <w:lang w:val="en-PH" w:eastAsia="en-PH"/>
              </w:rPr>
              <w:t>1059297</w:t>
            </w:r>
          </w:p>
        </w:tc>
        <w:tc>
          <w:tcPr>
            <w:tcW w:w="1549" w:type="dxa"/>
            <w:shd w:val="clear" w:color="auto" w:fill="auto"/>
            <w:vAlign w:val="center"/>
            <w:hideMark/>
          </w:tcPr>
          <w:p>
            <w:pPr>
              <w:jc w:val="right"/>
              <w:rPr>
                <w:lang w:val="en-PH" w:eastAsia="en-PH"/>
              </w:rPr>
            </w:pPr>
            <w:r>
              <w:rPr>
                <w:rFonts w:eastAsia="Calibri"/>
                <w:bCs/>
                <w:lang w:val="en-PH" w:eastAsia="en-PH"/>
              </w:rPr>
              <w:t>3,334,415.00</w:t>
            </w:r>
          </w:p>
        </w:tc>
        <w:tc>
          <w:tcPr>
            <w:tcW w:w="1550" w:type="dxa"/>
            <w:shd w:val="clear" w:color="auto" w:fill="auto"/>
            <w:vAlign w:val="center"/>
            <w:hideMark/>
          </w:tcPr>
          <w:p>
            <w:pPr>
              <w:ind w:firstLineChars="200" w:firstLine="400"/>
              <w:jc w:val="right"/>
              <w:rPr>
                <w:lang w:val="en-PH" w:eastAsia="en-PH"/>
              </w:rPr>
            </w:pPr>
            <w:r>
              <w:rPr>
                <w:bCs/>
                <w:lang w:eastAsia="en-PH"/>
              </w:rPr>
              <w:t>0.00</w:t>
            </w:r>
            <w:r>
              <w:rPr>
                <w:lang w:val="en-PH" w:eastAsia="en-PH"/>
              </w:rPr>
              <w:t xml:space="preserve">   </w:t>
            </w:r>
          </w:p>
        </w:tc>
        <w:tc>
          <w:tcPr>
            <w:tcW w:w="1550" w:type="dxa"/>
            <w:shd w:val="clear" w:color="auto" w:fill="auto"/>
            <w:vAlign w:val="center"/>
            <w:hideMark/>
          </w:tcPr>
          <w:p>
            <w:pPr>
              <w:jc w:val="right"/>
              <w:rPr>
                <w:lang w:val="en-PH" w:eastAsia="en-PH"/>
              </w:rPr>
            </w:pPr>
            <w:r>
              <w:rPr>
                <w:lang w:val="en-PH" w:eastAsia="en-PH"/>
              </w:rPr>
              <w:t>48,262,497.40</w:t>
            </w:r>
          </w:p>
        </w:tc>
      </w:tr>
      <w:tr>
        <w:trPr>
          <w:trHeight w:val="283"/>
        </w:trPr>
        <w:tc>
          <w:tcPr>
            <w:tcW w:w="1163" w:type="dxa"/>
            <w:shd w:val="clear" w:color="auto" w:fill="auto"/>
            <w:vAlign w:val="center"/>
          </w:tcPr>
          <w:p>
            <w:pPr>
              <w:jc w:val="center"/>
              <w:rPr>
                <w:lang w:val="en-PH" w:eastAsia="en-PH"/>
              </w:rPr>
            </w:pPr>
            <w:r>
              <w:rPr>
                <w:lang w:val="en-PH" w:eastAsia="en-PH"/>
              </w:rPr>
              <w:t>2014</w:t>
            </w:r>
          </w:p>
        </w:tc>
        <w:tc>
          <w:tcPr>
            <w:tcW w:w="1240" w:type="dxa"/>
            <w:shd w:val="clear" w:color="auto" w:fill="auto"/>
            <w:vAlign w:val="center"/>
          </w:tcPr>
          <w:p>
            <w:pPr>
              <w:jc w:val="center"/>
              <w:rPr>
                <w:lang w:val="en-PH" w:eastAsia="en-PH"/>
              </w:rPr>
            </w:pPr>
            <w:r>
              <w:rPr>
                <w:lang w:val="en-PH" w:eastAsia="en-PH"/>
              </w:rPr>
              <w:t>02-Oct-14</w:t>
            </w:r>
          </w:p>
        </w:tc>
        <w:tc>
          <w:tcPr>
            <w:tcW w:w="1311" w:type="dxa"/>
            <w:shd w:val="clear" w:color="auto" w:fill="auto"/>
            <w:vAlign w:val="center"/>
          </w:tcPr>
          <w:p>
            <w:pPr>
              <w:jc w:val="center"/>
              <w:rPr>
                <w:rFonts w:eastAsia="Calibri"/>
                <w:bCs/>
                <w:lang w:val="en-PH" w:eastAsia="en-PH"/>
              </w:rPr>
            </w:pPr>
            <w:r>
              <w:rPr>
                <w:rFonts w:eastAsia="Calibri"/>
                <w:bCs/>
                <w:lang w:val="en-PH" w:eastAsia="en-PH"/>
              </w:rPr>
              <w:t>1075199</w:t>
            </w:r>
          </w:p>
        </w:tc>
        <w:tc>
          <w:tcPr>
            <w:tcW w:w="1549" w:type="dxa"/>
            <w:shd w:val="clear" w:color="auto" w:fill="auto"/>
            <w:vAlign w:val="center"/>
          </w:tcPr>
          <w:p>
            <w:pPr>
              <w:jc w:val="right"/>
              <w:rPr>
                <w:rFonts w:eastAsia="Calibri"/>
                <w:bCs/>
                <w:lang w:val="en-PH" w:eastAsia="en-PH"/>
              </w:rPr>
            </w:pPr>
            <w:r>
              <w:rPr>
                <w:rFonts w:eastAsia="Calibri"/>
                <w:bCs/>
                <w:lang w:val="en-PH" w:eastAsia="en-PH"/>
              </w:rPr>
              <w:t>3,334,215.00</w:t>
            </w:r>
          </w:p>
        </w:tc>
        <w:tc>
          <w:tcPr>
            <w:tcW w:w="1550" w:type="dxa"/>
            <w:shd w:val="clear" w:color="auto" w:fill="auto"/>
            <w:vAlign w:val="center"/>
          </w:tcPr>
          <w:p>
            <w:pPr>
              <w:ind w:firstLineChars="200" w:firstLine="400"/>
              <w:jc w:val="right"/>
              <w:rPr>
                <w:lang w:val="en-PH" w:eastAsia="en-PH"/>
              </w:rPr>
            </w:pPr>
            <w:r>
              <w:rPr>
                <w:bCs/>
                <w:lang w:eastAsia="en-PH"/>
              </w:rPr>
              <w:t>0.00</w:t>
            </w:r>
          </w:p>
        </w:tc>
        <w:tc>
          <w:tcPr>
            <w:tcW w:w="1550" w:type="dxa"/>
            <w:shd w:val="clear" w:color="auto" w:fill="auto"/>
            <w:vAlign w:val="center"/>
          </w:tcPr>
          <w:p>
            <w:pPr>
              <w:jc w:val="right"/>
              <w:rPr>
                <w:lang w:val="en-PH" w:eastAsia="en-PH"/>
              </w:rPr>
            </w:pPr>
            <w:r>
              <w:rPr>
                <w:lang w:val="en-PH" w:eastAsia="en-PH"/>
              </w:rPr>
              <w:t>51,596,712.40</w:t>
            </w:r>
          </w:p>
        </w:tc>
      </w:tr>
      <w:tr>
        <w:trPr>
          <w:trHeight w:val="283"/>
        </w:trPr>
        <w:tc>
          <w:tcPr>
            <w:tcW w:w="1163" w:type="dxa"/>
            <w:shd w:val="clear" w:color="auto" w:fill="auto"/>
            <w:vAlign w:val="center"/>
          </w:tcPr>
          <w:p>
            <w:pPr>
              <w:jc w:val="center"/>
              <w:rPr>
                <w:lang w:val="en-PH" w:eastAsia="en-PH"/>
              </w:rPr>
            </w:pPr>
            <w:r>
              <w:rPr>
                <w:lang w:val="en-PH" w:eastAsia="en-PH"/>
              </w:rPr>
              <w:t>2014</w:t>
            </w:r>
          </w:p>
        </w:tc>
        <w:tc>
          <w:tcPr>
            <w:tcW w:w="1240" w:type="dxa"/>
            <w:shd w:val="clear" w:color="auto" w:fill="auto"/>
            <w:vAlign w:val="center"/>
          </w:tcPr>
          <w:p>
            <w:pPr>
              <w:jc w:val="center"/>
              <w:rPr>
                <w:lang w:val="en-PH" w:eastAsia="en-PH"/>
              </w:rPr>
            </w:pPr>
            <w:r>
              <w:rPr>
                <w:lang w:val="en-PH" w:eastAsia="en-PH"/>
              </w:rPr>
              <w:t>15-Dec-14</w:t>
            </w:r>
          </w:p>
        </w:tc>
        <w:tc>
          <w:tcPr>
            <w:tcW w:w="1311" w:type="dxa"/>
            <w:shd w:val="clear" w:color="auto" w:fill="auto"/>
            <w:vAlign w:val="center"/>
          </w:tcPr>
          <w:p>
            <w:pPr>
              <w:jc w:val="center"/>
              <w:rPr>
                <w:rFonts w:eastAsia="Calibri"/>
                <w:bCs/>
                <w:lang w:val="en-PH" w:eastAsia="en-PH"/>
              </w:rPr>
            </w:pPr>
            <w:r>
              <w:rPr>
                <w:rFonts w:eastAsia="Calibri"/>
                <w:bCs/>
                <w:lang w:val="en-PH" w:eastAsia="en-PH"/>
              </w:rPr>
              <w:t>OR#6294526</w:t>
            </w:r>
          </w:p>
        </w:tc>
        <w:tc>
          <w:tcPr>
            <w:tcW w:w="1549" w:type="dxa"/>
            <w:shd w:val="clear" w:color="auto" w:fill="auto"/>
            <w:vAlign w:val="center"/>
          </w:tcPr>
          <w:p>
            <w:pPr>
              <w:jc w:val="right"/>
              <w:rPr>
                <w:rFonts w:eastAsia="Calibri"/>
                <w:bCs/>
                <w:lang w:val="en-PH" w:eastAsia="en-PH"/>
              </w:rPr>
            </w:pPr>
          </w:p>
        </w:tc>
        <w:tc>
          <w:tcPr>
            <w:tcW w:w="1550" w:type="dxa"/>
            <w:shd w:val="clear" w:color="auto" w:fill="auto"/>
            <w:vAlign w:val="center"/>
          </w:tcPr>
          <w:p>
            <w:pPr>
              <w:ind w:firstLineChars="2" w:firstLine="4"/>
              <w:jc w:val="right"/>
              <w:rPr>
                <w:lang w:val="en-PH" w:eastAsia="en-PH"/>
              </w:rPr>
            </w:pPr>
            <w:r>
              <w:rPr>
                <w:rFonts w:eastAsia="Calibri"/>
                <w:bCs/>
                <w:lang w:val="en-PH" w:eastAsia="en-PH"/>
              </w:rPr>
              <w:t>(100,00</w:t>
            </w:r>
            <w:r>
              <w:rPr>
                <w:bCs/>
                <w:lang w:eastAsia="en-PH"/>
              </w:rPr>
              <w:t>0.00)</w:t>
            </w:r>
            <w:r>
              <w:rPr>
                <w:lang w:val="en-PH" w:eastAsia="en-PH"/>
              </w:rPr>
              <w:t xml:space="preserve">   </w:t>
            </w:r>
          </w:p>
        </w:tc>
        <w:tc>
          <w:tcPr>
            <w:tcW w:w="1550" w:type="dxa"/>
            <w:shd w:val="clear" w:color="auto" w:fill="auto"/>
            <w:vAlign w:val="center"/>
          </w:tcPr>
          <w:p>
            <w:pPr>
              <w:jc w:val="right"/>
              <w:rPr>
                <w:lang w:val="en-PH" w:eastAsia="en-PH"/>
              </w:rPr>
            </w:pPr>
            <w:r>
              <w:rPr>
                <w:lang w:val="en-PH" w:eastAsia="en-PH"/>
              </w:rPr>
              <w:t>51,496,712.40</w:t>
            </w:r>
          </w:p>
        </w:tc>
      </w:tr>
      <w:tr>
        <w:trPr>
          <w:trHeight w:val="283"/>
        </w:trPr>
        <w:tc>
          <w:tcPr>
            <w:tcW w:w="1163" w:type="dxa"/>
            <w:shd w:val="clear" w:color="auto" w:fill="auto"/>
            <w:vAlign w:val="center"/>
            <w:hideMark/>
          </w:tcPr>
          <w:p>
            <w:pPr>
              <w:jc w:val="center"/>
              <w:rPr>
                <w:lang w:val="en-PH" w:eastAsia="en-PH"/>
              </w:rPr>
            </w:pPr>
            <w:r>
              <w:rPr>
                <w:rFonts w:eastAsia="Calibri"/>
                <w:bCs/>
                <w:lang w:val="en-PH" w:eastAsia="en-PH"/>
              </w:rPr>
              <w:t>2018</w:t>
            </w:r>
          </w:p>
        </w:tc>
        <w:tc>
          <w:tcPr>
            <w:tcW w:w="1240" w:type="dxa"/>
            <w:shd w:val="clear" w:color="auto" w:fill="auto"/>
            <w:vAlign w:val="center"/>
            <w:hideMark/>
          </w:tcPr>
          <w:p>
            <w:pPr>
              <w:jc w:val="center"/>
              <w:rPr>
                <w:lang w:val="en-PH" w:eastAsia="en-PH"/>
              </w:rPr>
            </w:pPr>
            <w:r>
              <w:rPr>
                <w:lang w:val="en-PH" w:eastAsia="en-PH"/>
              </w:rPr>
              <w:t>31-Jul-18</w:t>
            </w:r>
          </w:p>
        </w:tc>
        <w:tc>
          <w:tcPr>
            <w:tcW w:w="1311" w:type="dxa"/>
            <w:shd w:val="clear" w:color="auto" w:fill="auto"/>
            <w:vAlign w:val="center"/>
            <w:hideMark/>
          </w:tcPr>
          <w:p>
            <w:pPr>
              <w:jc w:val="center"/>
              <w:rPr>
                <w:lang w:val="en-PH" w:eastAsia="en-PH"/>
              </w:rPr>
            </w:pPr>
            <w:r>
              <w:rPr>
                <w:rFonts w:eastAsia="Calibri"/>
                <w:bCs/>
                <w:lang w:val="en-PH" w:eastAsia="en-PH"/>
              </w:rPr>
              <w:t>CA 2018-296</w:t>
            </w:r>
          </w:p>
        </w:tc>
        <w:tc>
          <w:tcPr>
            <w:tcW w:w="1549" w:type="dxa"/>
            <w:shd w:val="clear" w:color="auto" w:fill="auto"/>
            <w:vAlign w:val="center"/>
            <w:hideMark/>
          </w:tcPr>
          <w:p>
            <w:pPr>
              <w:jc w:val="right"/>
              <w:rPr>
                <w:lang w:val="en-PH" w:eastAsia="en-PH"/>
              </w:rPr>
            </w:pPr>
          </w:p>
        </w:tc>
        <w:tc>
          <w:tcPr>
            <w:tcW w:w="1550" w:type="dxa"/>
            <w:shd w:val="clear" w:color="auto" w:fill="auto"/>
            <w:vAlign w:val="center"/>
            <w:hideMark/>
          </w:tcPr>
          <w:p>
            <w:pPr>
              <w:jc w:val="right"/>
              <w:rPr>
                <w:lang w:val="en-PH" w:eastAsia="en-PH"/>
              </w:rPr>
            </w:pPr>
            <w:r>
              <w:rPr>
                <w:rFonts w:eastAsia="Calibri"/>
                <w:bCs/>
                <w:lang w:val="en-PH" w:eastAsia="en-PH"/>
              </w:rPr>
              <w:t>(13,337,660.00)</w:t>
            </w:r>
          </w:p>
        </w:tc>
        <w:tc>
          <w:tcPr>
            <w:tcW w:w="1550" w:type="dxa"/>
            <w:shd w:val="clear" w:color="auto" w:fill="auto"/>
            <w:vAlign w:val="center"/>
            <w:hideMark/>
          </w:tcPr>
          <w:p>
            <w:pPr>
              <w:jc w:val="right"/>
              <w:rPr>
                <w:lang w:val="en-PH" w:eastAsia="en-PH"/>
              </w:rPr>
            </w:pPr>
            <w:r>
              <w:rPr>
                <w:lang w:val="en-PH" w:eastAsia="en-PH"/>
              </w:rPr>
              <w:t>38,159,052.40</w:t>
            </w:r>
          </w:p>
        </w:tc>
      </w:tr>
      <w:tr>
        <w:trPr>
          <w:trHeight w:val="283"/>
        </w:trPr>
        <w:tc>
          <w:tcPr>
            <w:tcW w:w="1163" w:type="dxa"/>
            <w:shd w:val="clear" w:color="auto" w:fill="auto"/>
            <w:noWrap/>
            <w:vAlign w:val="center"/>
            <w:hideMark/>
          </w:tcPr>
          <w:p>
            <w:pPr>
              <w:jc w:val="center"/>
              <w:rPr>
                <w:b/>
                <w:bCs/>
                <w:lang w:val="en-PH" w:eastAsia="en-PH"/>
              </w:rPr>
            </w:pPr>
            <w:r>
              <w:rPr>
                <w:rFonts w:eastAsia="Calibri"/>
                <w:b/>
                <w:bCs/>
                <w:lang w:val="en-PH" w:eastAsia="en-PH"/>
              </w:rPr>
              <w:t>Total</w:t>
            </w:r>
          </w:p>
        </w:tc>
        <w:tc>
          <w:tcPr>
            <w:tcW w:w="1240" w:type="dxa"/>
            <w:shd w:val="clear" w:color="auto" w:fill="auto"/>
            <w:noWrap/>
            <w:vAlign w:val="center"/>
            <w:hideMark/>
          </w:tcPr>
          <w:p>
            <w:pPr>
              <w:ind w:firstLineChars="200" w:firstLine="402"/>
              <w:jc w:val="right"/>
              <w:rPr>
                <w:b/>
                <w:bCs/>
                <w:lang w:val="en-PH" w:eastAsia="en-PH"/>
              </w:rPr>
            </w:pPr>
          </w:p>
        </w:tc>
        <w:tc>
          <w:tcPr>
            <w:tcW w:w="1311" w:type="dxa"/>
            <w:shd w:val="clear" w:color="auto" w:fill="auto"/>
            <w:noWrap/>
            <w:vAlign w:val="center"/>
            <w:hideMark/>
          </w:tcPr>
          <w:p>
            <w:pPr>
              <w:ind w:firstLineChars="200" w:firstLine="402"/>
              <w:jc w:val="right"/>
              <w:rPr>
                <w:b/>
                <w:bCs/>
                <w:lang w:val="en-PH" w:eastAsia="en-PH"/>
              </w:rPr>
            </w:pPr>
          </w:p>
        </w:tc>
        <w:tc>
          <w:tcPr>
            <w:tcW w:w="1549" w:type="dxa"/>
            <w:shd w:val="clear" w:color="auto" w:fill="auto"/>
            <w:noWrap/>
            <w:vAlign w:val="center"/>
            <w:hideMark/>
          </w:tcPr>
          <w:p>
            <w:pPr>
              <w:jc w:val="right"/>
              <w:rPr>
                <w:b/>
                <w:bCs/>
                <w:lang w:val="en-PH" w:eastAsia="en-PH"/>
              </w:rPr>
            </w:pPr>
            <w:r>
              <w:rPr>
                <w:rFonts w:eastAsia="Calibri"/>
                <w:b/>
                <w:bCs/>
                <w:lang w:val="en-PH" w:eastAsia="en-PH"/>
              </w:rPr>
              <w:t>51,496,712.40</w:t>
            </w:r>
          </w:p>
        </w:tc>
        <w:tc>
          <w:tcPr>
            <w:tcW w:w="1550" w:type="dxa"/>
            <w:shd w:val="clear" w:color="auto" w:fill="auto"/>
            <w:vAlign w:val="center"/>
            <w:hideMark/>
          </w:tcPr>
          <w:p>
            <w:pPr>
              <w:jc w:val="right"/>
              <w:rPr>
                <w:b/>
                <w:bCs/>
                <w:lang w:val="en-PH" w:eastAsia="en-PH"/>
              </w:rPr>
            </w:pPr>
            <w:r>
              <w:rPr>
                <w:rFonts w:eastAsia="Calibri"/>
                <w:b/>
                <w:bCs/>
                <w:lang w:val="en-PH" w:eastAsia="en-PH"/>
              </w:rPr>
              <w:t>(13,437,660.00)</w:t>
            </w:r>
          </w:p>
        </w:tc>
        <w:tc>
          <w:tcPr>
            <w:tcW w:w="1550" w:type="dxa"/>
            <w:shd w:val="clear" w:color="auto" w:fill="auto"/>
            <w:noWrap/>
            <w:vAlign w:val="center"/>
            <w:hideMark/>
          </w:tcPr>
          <w:p>
            <w:pPr>
              <w:jc w:val="right"/>
              <w:rPr>
                <w:b/>
                <w:bCs/>
                <w:lang w:val="en-PH" w:eastAsia="en-PH"/>
              </w:rPr>
            </w:pPr>
            <w:r>
              <w:rPr>
                <w:b/>
                <w:bCs/>
                <w:lang w:val="en-PH" w:eastAsia="en-PH"/>
              </w:rPr>
              <w:t>38,159,052.40</w:t>
            </w:r>
          </w:p>
        </w:tc>
      </w:tr>
    </w:tbl>
    <w:p>
      <w:pPr>
        <w:rPr>
          <w:b/>
          <w:sz w:val="24"/>
          <w:szCs w:val="24"/>
        </w:rPr>
      </w:pPr>
    </w:p>
    <w:p>
      <w:pPr>
        <w:jc w:val="both"/>
        <w:rPr>
          <w:b/>
          <w:bCs/>
          <w:sz w:val="24"/>
          <w:szCs w:val="24"/>
        </w:rPr>
      </w:pPr>
      <w:r>
        <w:rPr>
          <w:b/>
          <w:bCs/>
          <w:sz w:val="24"/>
          <w:szCs w:val="24"/>
        </w:rPr>
        <w:t>Note 7 – Inventories</w:t>
      </w:r>
    </w:p>
    <w:p>
      <w:pPr>
        <w:ind w:left="720"/>
        <w:jc w:val="both"/>
        <w:rPr>
          <w:sz w:val="24"/>
          <w:szCs w:val="24"/>
        </w:rPr>
      </w:pPr>
    </w:p>
    <w:p>
      <w:pPr>
        <w:spacing w:line="276" w:lineRule="auto"/>
        <w:ind w:left="993"/>
        <w:jc w:val="both"/>
        <w:rPr>
          <w:sz w:val="24"/>
          <w:szCs w:val="24"/>
        </w:rPr>
      </w:pPr>
      <w:r>
        <w:rPr>
          <w:sz w:val="24"/>
          <w:szCs w:val="24"/>
        </w:rPr>
        <w:t>This account group comprises the following major group account with their comparative figures for the year ended 2022 and 2021.</w:t>
      </w:r>
    </w:p>
    <w:p>
      <w:pPr>
        <w:ind w:left="720"/>
        <w:jc w:val="both"/>
        <w:rPr>
          <w:sz w:val="24"/>
          <w:szCs w:val="24"/>
        </w:rPr>
      </w:pPr>
    </w:p>
    <w:tbl>
      <w:tblPr>
        <w:tblW w:w="8785" w:type="dxa"/>
        <w:tblInd w:w="1101" w:type="dxa"/>
        <w:tblLook w:val="04A0" w:firstRow="1" w:lastRow="0" w:firstColumn="1" w:lastColumn="0" w:noHBand="0" w:noVBand="1"/>
      </w:tblPr>
      <w:tblGrid>
        <w:gridCol w:w="4677"/>
        <w:gridCol w:w="2024"/>
        <w:gridCol w:w="2084"/>
      </w:tblGrid>
      <w:tr>
        <w:trPr>
          <w:trHeight w:val="340"/>
        </w:trPr>
        <w:tc>
          <w:tcPr>
            <w:tcW w:w="4677"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lastRenderedPageBreak/>
              <w:t>Account</w:t>
            </w:r>
          </w:p>
        </w:tc>
        <w:tc>
          <w:tcPr>
            <w:tcW w:w="202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08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6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Inventories Held for Sale</w:t>
            </w:r>
          </w:p>
        </w:tc>
        <w:tc>
          <w:tcPr>
            <w:tcW w:w="202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31,631,297.17</w:t>
            </w:r>
          </w:p>
        </w:tc>
        <w:tc>
          <w:tcPr>
            <w:tcW w:w="20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34,512,724.99</w:t>
            </w:r>
          </w:p>
        </w:tc>
      </w:tr>
      <w:tr>
        <w:trPr>
          <w:trHeight w:val="340"/>
        </w:trPr>
        <w:tc>
          <w:tcPr>
            <w:tcW w:w="46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Inventories Held for Distribution</w:t>
            </w:r>
          </w:p>
        </w:tc>
        <w:tc>
          <w:tcPr>
            <w:tcW w:w="202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17,460,071.43</w:t>
            </w:r>
          </w:p>
        </w:tc>
        <w:tc>
          <w:tcPr>
            <w:tcW w:w="2084" w:type="dxa"/>
            <w:tcBorders>
              <w:top w:val="nil"/>
              <w:left w:val="nil"/>
              <w:bottom w:val="nil"/>
              <w:right w:val="nil"/>
            </w:tcBorders>
            <w:shd w:val="clear" w:color="auto" w:fill="auto"/>
            <w:noWrap/>
            <w:vAlign w:val="center"/>
            <w:hideMark/>
          </w:tcPr>
          <w:p>
            <w:pPr>
              <w:jc w:val="right"/>
              <w:rPr>
                <w:sz w:val="24"/>
                <w:szCs w:val="24"/>
                <w:lang w:val="en-PH" w:eastAsia="en-PH"/>
              </w:rPr>
            </w:pPr>
            <w:r>
              <w:rPr>
                <w:noProof/>
                <w:sz w:val="24"/>
                <w:szCs w:val="24"/>
                <w:lang w:val="en-PH" w:eastAsia="en-PH"/>
              </w:rPr>
              <w:t>9,024,951.40</w:t>
            </w:r>
          </w:p>
        </w:tc>
      </w:tr>
      <w:tr>
        <w:trPr>
          <w:trHeight w:val="340"/>
        </w:trPr>
        <w:tc>
          <w:tcPr>
            <w:tcW w:w="467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Inventories Held for Consumption</w:t>
            </w:r>
          </w:p>
        </w:tc>
        <w:tc>
          <w:tcPr>
            <w:tcW w:w="202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113,496,177.76</w:t>
            </w:r>
          </w:p>
        </w:tc>
        <w:tc>
          <w:tcPr>
            <w:tcW w:w="2084" w:type="dxa"/>
            <w:tcBorders>
              <w:top w:val="nil"/>
              <w:left w:val="nil"/>
              <w:bottom w:val="nil"/>
              <w:right w:val="nil"/>
            </w:tcBorders>
            <w:shd w:val="clear" w:color="auto" w:fill="auto"/>
            <w:noWrap/>
            <w:vAlign w:val="center"/>
            <w:hideMark/>
          </w:tcPr>
          <w:p>
            <w:pPr>
              <w:jc w:val="right"/>
              <w:rPr>
                <w:sz w:val="24"/>
                <w:szCs w:val="24"/>
                <w:lang w:val="en-PH" w:eastAsia="en-PH"/>
              </w:rPr>
            </w:pPr>
            <w:r>
              <w:rPr>
                <w:noProof/>
                <w:sz w:val="24"/>
                <w:szCs w:val="24"/>
                <w:lang w:val="en-PH" w:eastAsia="en-PH"/>
              </w:rPr>
              <w:t>102,119,803.78</w:t>
            </w:r>
          </w:p>
        </w:tc>
      </w:tr>
      <w:tr>
        <w:trPr>
          <w:trHeight w:val="340"/>
        </w:trPr>
        <w:tc>
          <w:tcPr>
            <w:tcW w:w="467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24"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162,587,546.36</w:t>
            </w:r>
          </w:p>
        </w:tc>
        <w:tc>
          <w:tcPr>
            <w:tcW w:w="2084"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145,657,480.17</w:t>
            </w:r>
          </w:p>
        </w:tc>
      </w:tr>
    </w:tbl>
    <w:p>
      <w:pPr>
        <w:rPr>
          <w:sz w:val="24"/>
          <w:szCs w:val="24"/>
        </w:rPr>
      </w:pPr>
    </w:p>
    <w:p>
      <w:pPr>
        <w:ind w:left="1418" w:hanging="425"/>
        <w:rPr>
          <w:b/>
          <w:sz w:val="24"/>
          <w:szCs w:val="24"/>
        </w:rPr>
      </w:pPr>
      <w:r>
        <w:rPr>
          <w:b/>
          <w:sz w:val="24"/>
          <w:szCs w:val="24"/>
        </w:rPr>
        <w:t xml:space="preserve">7.1 </w:t>
      </w:r>
      <w:r>
        <w:rPr>
          <w:b/>
          <w:sz w:val="24"/>
          <w:szCs w:val="24"/>
        </w:rPr>
        <w:tab/>
        <w:t>Inventories Held for Sale</w:t>
      </w:r>
    </w:p>
    <w:p>
      <w:pPr>
        <w:rPr>
          <w:b/>
          <w:sz w:val="24"/>
          <w:szCs w:val="24"/>
        </w:rPr>
      </w:pPr>
    </w:p>
    <w:p>
      <w:pPr>
        <w:spacing w:line="276" w:lineRule="auto"/>
        <w:ind w:left="1418"/>
        <w:rPr>
          <w:bCs/>
          <w:sz w:val="24"/>
          <w:szCs w:val="24"/>
        </w:rPr>
      </w:pPr>
      <w:r>
        <w:rPr>
          <w:bCs/>
          <w:sz w:val="24"/>
          <w:szCs w:val="24"/>
        </w:rPr>
        <w:t>This comprised of Merchandise Inventory account with comparative figure of year ended 2022 and 2021.</w:t>
      </w:r>
    </w:p>
    <w:p>
      <w:pPr>
        <w:ind w:left="720"/>
        <w:rPr>
          <w:b/>
          <w:sz w:val="24"/>
          <w:szCs w:val="24"/>
        </w:rPr>
      </w:pPr>
    </w:p>
    <w:tbl>
      <w:tblPr>
        <w:tblW w:w="8363" w:type="dxa"/>
        <w:tblInd w:w="1526" w:type="dxa"/>
        <w:tblLayout w:type="fixed"/>
        <w:tblLook w:val="04A0" w:firstRow="1" w:lastRow="0" w:firstColumn="1" w:lastColumn="0" w:noHBand="0" w:noVBand="1"/>
      </w:tblPr>
      <w:tblGrid>
        <w:gridCol w:w="4394"/>
        <w:gridCol w:w="1984"/>
        <w:gridCol w:w="195"/>
        <w:gridCol w:w="1790"/>
      </w:tblGrid>
      <w:tr>
        <w:trPr>
          <w:trHeight w:val="283"/>
        </w:trPr>
        <w:tc>
          <w:tcPr>
            <w:tcW w:w="439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198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1985" w:type="dxa"/>
            <w:gridSpan w:val="2"/>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394"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eastAsia="en-PH"/>
              </w:rPr>
              <w:t>Total Inventory, beginning</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34,512,724.99</w:t>
            </w:r>
          </w:p>
        </w:tc>
        <w:tc>
          <w:tcPr>
            <w:tcW w:w="1985" w:type="dxa"/>
            <w:gridSpan w:val="2"/>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44,065,368.78 </w:t>
            </w:r>
          </w:p>
        </w:tc>
      </w:tr>
      <w:tr>
        <w:trPr>
          <w:trHeight w:val="283"/>
        </w:trPr>
        <w:tc>
          <w:tcPr>
            <w:tcW w:w="4394"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Inventory Sold</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(2,881,427.82)</w:t>
            </w:r>
          </w:p>
        </w:tc>
        <w:tc>
          <w:tcPr>
            <w:tcW w:w="1985" w:type="dxa"/>
            <w:gridSpan w:val="2"/>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(9,552,643.79)</w:t>
            </w:r>
          </w:p>
        </w:tc>
      </w:tr>
      <w:tr>
        <w:trPr>
          <w:trHeight w:val="283"/>
        </w:trPr>
        <w:tc>
          <w:tcPr>
            <w:tcW w:w="439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eastAsia="en-PH"/>
              </w:rPr>
              <w:t>Total Inventory, end</w:t>
            </w:r>
          </w:p>
        </w:tc>
        <w:tc>
          <w:tcPr>
            <w:tcW w:w="1984"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31,631,297.17                   </w:t>
            </w:r>
          </w:p>
        </w:tc>
        <w:tc>
          <w:tcPr>
            <w:tcW w:w="1985" w:type="dxa"/>
            <w:gridSpan w:val="2"/>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 xml:space="preserve">34,512,724.99 </w:t>
            </w:r>
          </w:p>
        </w:tc>
      </w:tr>
      <w:tr>
        <w:trPr>
          <w:trHeight w:val="283"/>
        </w:trPr>
        <w:tc>
          <w:tcPr>
            <w:tcW w:w="4394" w:type="dxa"/>
            <w:tcBorders>
              <w:top w:val="nil"/>
              <w:left w:val="nil"/>
              <w:bottom w:val="nil"/>
              <w:right w:val="nil"/>
            </w:tcBorders>
            <w:shd w:val="clear" w:color="auto" w:fill="auto"/>
            <w:noWrap/>
            <w:vAlign w:val="center"/>
            <w:hideMark/>
          </w:tcPr>
          <w:p>
            <w:pPr>
              <w:ind w:firstLineChars="200" w:firstLine="482"/>
              <w:rPr>
                <w:b/>
                <w:bCs/>
                <w:sz w:val="24"/>
                <w:szCs w:val="24"/>
                <w:lang w:val="en-PH" w:eastAsia="en-PH"/>
              </w:rPr>
            </w:pPr>
          </w:p>
        </w:tc>
        <w:tc>
          <w:tcPr>
            <w:tcW w:w="2179" w:type="dxa"/>
            <w:gridSpan w:val="2"/>
            <w:tcBorders>
              <w:top w:val="nil"/>
              <w:left w:val="nil"/>
              <w:bottom w:val="nil"/>
              <w:right w:val="nil"/>
            </w:tcBorders>
            <w:shd w:val="clear" w:color="auto" w:fill="auto"/>
            <w:noWrap/>
            <w:vAlign w:val="center"/>
            <w:hideMark/>
          </w:tcPr>
          <w:p>
            <w:pPr>
              <w:ind w:firstLineChars="500" w:firstLine="1200"/>
              <w:rPr>
                <w:sz w:val="24"/>
                <w:szCs w:val="24"/>
                <w:lang w:val="en-PH" w:eastAsia="en-PH"/>
              </w:rPr>
            </w:pPr>
          </w:p>
        </w:tc>
        <w:tc>
          <w:tcPr>
            <w:tcW w:w="1790" w:type="dxa"/>
            <w:tcBorders>
              <w:top w:val="nil"/>
              <w:left w:val="nil"/>
              <w:bottom w:val="nil"/>
              <w:right w:val="nil"/>
            </w:tcBorders>
            <w:shd w:val="clear" w:color="auto" w:fill="auto"/>
            <w:noWrap/>
            <w:vAlign w:val="center"/>
            <w:hideMark/>
          </w:tcPr>
          <w:p>
            <w:pPr>
              <w:jc w:val="center"/>
              <w:rPr>
                <w:sz w:val="24"/>
                <w:szCs w:val="24"/>
                <w:lang w:val="en-PH" w:eastAsia="en-PH"/>
              </w:rPr>
            </w:pPr>
          </w:p>
        </w:tc>
      </w:tr>
    </w:tbl>
    <w:p>
      <w:pPr>
        <w:rPr>
          <w:rFonts w:eastAsia="Calibri"/>
          <w:bCs/>
          <w:sz w:val="24"/>
          <w:szCs w:val="24"/>
          <w:lang w:val="en-PH"/>
        </w:rPr>
      </w:pPr>
    </w:p>
    <w:p>
      <w:pPr>
        <w:spacing w:line="276" w:lineRule="auto"/>
        <w:ind w:left="1418"/>
        <w:jc w:val="both"/>
        <w:rPr>
          <w:rFonts w:eastAsia="Calibri"/>
          <w:bCs/>
          <w:sz w:val="24"/>
          <w:szCs w:val="24"/>
          <w:lang w:val="en-PH"/>
        </w:rPr>
      </w:pPr>
      <w:r>
        <w:rPr>
          <w:rFonts w:eastAsia="Calibri"/>
          <w:bCs/>
          <w:sz w:val="24"/>
          <w:szCs w:val="24"/>
          <w:lang w:val="en-PH"/>
        </w:rPr>
        <w:t>The Inventory held for sale represents the cost of land and development cost of Eternal Garden cemetery lots recognized as inventory for lawn and family estate lots covering an area of 21,762.18 square meters with details of computation based on the cost of acquired land and completed projects as follows:</w:t>
      </w:r>
    </w:p>
    <w:p>
      <w:pPr>
        <w:rPr>
          <w:rFonts w:eastAsia="Calibri"/>
          <w:bCs/>
          <w:sz w:val="24"/>
          <w:szCs w:val="24"/>
          <w:lang w:val="en-PH"/>
        </w:rPr>
      </w:pPr>
    </w:p>
    <w:tbl>
      <w:tblPr>
        <w:tblW w:w="8363" w:type="dxa"/>
        <w:tblInd w:w="1526" w:type="dxa"/>
        <w:tblLook w:val="04A0" w:firstRow="1" w:lastRow="0" w:firstColumn="1" w:lastColumn="0" w:noHBand="0" w:noVBand="1"/>
      </w:tblPr>
      <w:tblGrid>
        <w:gridCol w:w="1994"/>
        <w:gridCol w:w="1424"/>
        <w:gridCol w:w="1494"/>
        <w:gridCol w:w="1575"/>
        <w:gridCol w:w="1876"/>
      </w:tblGrid>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b/>
                <w:bCs/>
                <w:sz w:val="22"/>
                <w:szCs w:val="22"/>
                <w:lang w:val="en-PH" w:eastAsia="en-PH"/>
              </w:rPr>
            </w:pPr>
            <w:r>
              <w:rPr>
                <w:b/>
                <w:bCs/>
                <w:sz w:val="22"/>
                <w:szCs w:val="22"/>
                <w:lang w:val="en-PH" w:eastAsia="en-PH"/>
              </w:rPr>
              <w:t>Particulars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b/>
                <w:bCs/>
                <w:sz w:val="22"/>
                <w:szCs w:val="22"/>
                <w:lang w:val="en-PH" w:eastAsia="en-PH"/>
              </w:rPr>
            </w:pPr>
            <w:r>
              <w:rPr>
                <w:b/>
                <w:bCs/>
                <w:sz w:val="22"/>
                <w:szCs w:val="22"/>
                <w:lang w:val="en-PH" w:eastAsia="en-PH"/>
              </w:rPr>
              <w:t>Period of Sale</w:t>
            </w:r>
          </w:p>
        </w:tc>
        <w:tc>
          <w:tcPr>
            <w:tcW w:w="14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b/>
                <w:bCs/>
                <w:sz w:val="22"/>
                <w:szCs w:val="22"/>
                <w:lang w:val="en-PH" w:eastAsia="en-PH"/>
              </w:rPr>
            </w:pPr>
            <w:r>
              <w:rPr>
                <w:b/>
                <w:bCs/>
                <w:sz w:val="22"/>
                <w:szCs w:val="22"/>
                <w:lang w:val="en-PH" w:eastAsia="en-PH"/>
              </w:rPr>
              <w:t>No. of Lot</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b/>
                <w:bCs/>
                <w:sz w:val="22"/>
                <w:szCs w:val="22"/>
                <w:lang w:val="en-PH" w:eastAsia="en-PH"/>
              </w:rPr>
            </w:pPr>
            <w:r>
              <w:rPr>
                <w:b/>
                <w:bCs/>
                <w:sz w:val="22"/>
                <w:szCs w:val="22"/>
                <w:lang w:val="en-PH" w:eastAsia="en-PH"/>
              </w:rPr>
              <w:t>Cost per lot</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center"/>
              <w:rPr>
                <w:b/>
                <w:bCs/>
                <w:sz w:val="22"/>
                <w:szCs w:val="22"/>
                <w:lang w:val="en-PH" w:eastAsia="en-PH"/>
              </w:rPr>
            </w:pPr>
            <w:r>
              <w:rPr>
                <w:b/>
                <w:bCs/>
                <w:sz w:val="22"/>
                <w:szCs w:val="22"/>
                <w:lang w:val="en-PH" w:eastAsia="en-PH"/>
              </w:rPr>
              <w:t>Amount</w:t>
            </w:r>
          </w:p>
        </w:tc>
      </w:tr>
      <w:tr>
        <w:trPr>
          <w:trHeight w:val="283"/>
        </w:trPr>
        <w:tc>
          <w:tcPr>
            <w:tcW w:w="1994" w:type="dxa"/>
            <w:vMerge w:val="restart"/>
            <w:tcBorders>
              <w:top w:val="single" w:sz="4" w:space="0" w:color="auto"/>
              <w:left w:val="single" w:sz="4" w:space="0" w:color="auto"/>
              <w:right w:val="single" w:sz="4" w:space="0" w:color="auto"/>
            </w:tcBorders>
            <w:shd w:val="clear" w:color="auto" w:fill="auto"/>
            <w:vAlign w:val="center"/>
            <w:hideMark/>
          </w:tcPr>
          <w:p>
            <w:pPr>
              <w:rPr>
                <w:sz w:val="22"/>
                <w:szCs w:val="22"/>
                <w:lang w:val="en-PH" w:eastAsia="en-PH"/>
              </w:rPr>
            </w:pPr>
            <w:r>
              <w:rPr>
                <w:sz w:val="22"/>
                <w:szCs w:val="22"/>
                <w:lang w:val="en-PH" w:eastAsia="en-PH"/>
              </w:rPr>
              <w:t xml:space="preserve">Beginning Inventory, Balance </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 </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8778</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right"/>
              <w:rPr>
                <w:sz w:val="22"/>
                <w:szCs w:val="22"/>
                <w:lang w:val="en-PH" w:eastAsia="en-PH"/>
              </w:rPr>
            </w:pPr>
            <w:r>
              <w:rPr>
                <w:sz w:val="22"/>
                <w:szCs w:val="22"/>
                <w:lang w:val="en-PH" w:eastAsia="en-PH"/>
              </w:rPr>
              <w:t xml:space="preserve">4,677.43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14" w:firstLine="31"/>
              <w:jc w:val="right"/>
              <w:rPr>
                <w:sz w:val="22"/>
                <w:szCs w:val="22"/>
                <w:lang w:val="en-PH" w:eastAsia="en-PH"/>
              </w:rPr>
            </w:pPr>
            <w:r>
              <w:rPr>
                <w:sz w:val="22"/>
                <w:szCs w:val="22"/>
                <w:lang w:val="en-PH" w:eastAsia="en-PH"/>
              </w:rPr>
              <w:t xml:space="preserve">41,058,480.54 </w:t>
            </w:r>
          </w:p>
        </w:tc>
      </w:tr>
      <w:tr>
        <w:trPr>
          <w:trHeight w:val="283"/>
        </w:trPr>
        <w:tc>
          <w:tcPr>
            <w:tcW w:w="1994" w:type="dxa"/>
            <w:vMerge/>
            <w:tcBorders>
              <w:left w:val="single" w:sz="4" w:space="0" w:color="auto"/>
              <w:bottom w:val="single" w:sz="4" w:space="0" w:color="auto"/>
              <w:right w:val="single" w:sz="4" w:space="0" w:color="auto"/>
            </w:tcBorders>
            <w:shd w:val="clear" w:color="auto" w:fill="auto"/>
            <w:vAlign w:val="center"/>
            <w:hideMark/>
          </w:tcPr>
          <w:p>
            <w:pPr>
              <w:rPr>
                <w:sz w:val="22"/>
                <w:szCs w:val="22"/>
                <w:lang w:val="en-PH" w:eastAsia="en-PH"/>
              </w:rPr>
            </w:pP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 </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45</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right"/>
              <w:rPr>
                <w:sz w:val="22"/>
                <w:szCs w:val="22"/>
                <w:lang w:val="en-PH" w:eastAsia="en-PH"/>
              </w:rPr>
            </w:pPr>
            <w:r>
              <w:rPr>
                <w:sz w:val="22"/>
                <w:szCs w:val="22"/>
                <w:lang w:val="en-PH" w:eastAsia="en-PH"/>
              </w:rPr>
              <w:t xml:space="preserve">66,820.38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3,006,917.10 </w:t>
            </w:r>
          </w:p>
        </w:tc>
      </w:tr>
      <w:tr>
        <w:trPr>
          <w:trHeight w:val="283"/>
        </w:trPr>
        <w:tc>
          <w:tcPr>
            <w:tcW w:w="648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pPr>
              <w:rPr>
                <w:b/>
                <w:bCs/>
                <w:sz w:val="22"/>
                <w:szCs w:val="22"/>
                <w:lang w:val="en-PH" w:eastAsia="en-PH"/>
              </w:rPr>
            </w:pPr>
            <w:r>
              <w:rPr>
                <w:b/>
                <w:bCs/>
                <w:sz w:val="22"/>
                <w:szCs w:val="22"/>
                <w:lang w:val="en-PH" w:eastAsia="en-PH"/>
              </w:rPr>
              <w:t>Total Beginning Inventory</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right"/>
              <w:rPr>
                <w:b/>
                <w:bCs/>
                <w:sz w:val="22"/>
                <w:szCs w:val="22"/>
                <w:lang w:val="en-PH" w:eastAsia="en-PH"/>
              </w:rPr>
            </w:pPr>
            <w:r>
              <w:rPr>
                <w:b/>
                <w:bCs/>
                <w:sz w:val="22"/>
                <w:szCs w:val="22"/>
                <w:lang w:val="en-PH" w:eastAsia="en-PH"/>
              </w:rPr>
              <w:t>44,065,397.64</w:t>
            </w:r>
          </w:p>
        </w:tc>
      </w:tr>
      <w:tr>
        <w:trPr>
          <w:trHeight w:val="283"/>
        </w:trPr>
        <w:tc>
          <w:tcPr>
            <w:tcW w:w="836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pPr>
              <w:rPr>
                <w:sz w:val="22"/>
                <w:szCs w:val="22"/>
                <w:lang w:val="en-PH" w:eastAsia="en-PH"/>
              </w:rPr>
            </w:pPr>
            <w:r>
              <w:rPr>
                <w:sz w:val="22"/>
                <w:szCs w:val="22"/>
                <w:lang w:val="en-PH" w:eastAsia="en-PH"/>
              </w:rPr>
              <w:t>Less: Cost of Sales Prior Years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Lawn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2015-2020</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1,281</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4,677.43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5,991,787.83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Estate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2015-2020</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21</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right"/>
              <w:rPr>
                <w:sz w:val="22"/>
                <w:szCs w:val="22"/>
                <w:lang w:val="en-PH" w:eastAsia="en-PH"/>
              </w:rPr>
            </w:pPr>
            <w:r>
              <w:rPr>
                <w:sz w:val="22"/>
                <w:szCs w:val="22"/>
                <w:lang w:val="en-PH" w:eastAsia="en-PH"/>
              </w:rPr>
              <w:t xml:space="preserve">66,820.38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1,403,227.98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Lawn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2021</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447</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4,677.43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2,090,811.21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Estate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2021</w:t>
            </w:r>
          </w:p>
        </w:tc>
        <w:tc>
          <w:tcPr>
            <w:tcW w:w="14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1</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right"/>
              <w:rPr>
                <w:sz w:val="22"/>
                <w:szCs w:val="22"/>
                <w:lang w:val="en-PH" w:eastAsia="en-PH"/>
              </w:rPr>
            </w:pPr>
            <w:r>
              <w:rPr>
                <w:sz w:val="22"/>
                <w:szCs w:val="22"/>
                <w:lang w:val="en-PH" w:eastAsia="en-PH"/>
              </w:rPr>
              <w:t xml:space="preserve">66,820.38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66,820.38 </w:t>
            </w:r>
          </w:p>
        </w:tc>
      </w:tr>
      <w:tr>
        <w:trPr>
          <w:trHeight w:val="283"/>
        </w:trPr>
        <w:tc>
          <w:tcPr>
            <w:tcW w:w="648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pPr>
              <w:rPr>
                <w:b/>
                <w:bCs/>
                <w:sz w:val="22"/>
                <w:szCs w:val="22"/>
                <w:lang w:val="en-PH" w:eastAsia="en-PH"/>
              </w:rPr>
            </w:pPr>
            <w:r>
              <w:rPr>
                <w:b/>
                <w:bCs/>
                <w:sz w:val="22"/>
                <w:szCs w:val="22"/>
                <w:lang w:val="en-PH" w:eastAsia="en-PH"/>
              </w:rPr>
              <w:t>Total Sales prior year</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9,552,647.40 </w:t>
            </w:r>
          </w:p>
        </w:tc>
      </w:tr>
      <w:tr>
        <w:trPr>
          <w:trHeight w:val="283"/>
        </w:trPr>
        <w:tc>
          <w:tcPr>
            <w:tcW w:w="648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pPr>
              <w:rPr>
                <w:b/>
                <w:bCs/>
                <w:sz w:val="22"/>
                <w:szCs w:val="22"/>
                <w:lang w:val="en-PH" w:eastAsia="en-PH"/>
              </w:rPr>
            </w:pPr>
            <w:r>
              <w:rPr>
                <w:b/>
                <w:bCs/>
                <w:sz w:val="22"/>
                <w:szCs w:val="22"/>
                <w:lang w:val="en-PH" w:eastAsia="en-PH"/>
              </w:rPr>
              <w:t>Ending Inventory, Balance-12-31-21</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right"/>
              <w:rPr>
                <w:b/>
                <w:bCs/>
                <w:sz w:val="22"/>
                <w:szCs w:val="22"/>
                <w:lang w:val="en-PH" w:eastAsia="en-PH"/>
              </w:rPr>
            </w:pPr>
            <w:r>
              <w:rPr>
                <w:b/>
                <w:bCs/>
                <w:sz w:val="22"/>
                <w:szCs w:val="22"/>
                <w:lang w:val="en-PH" w:eastAsia="en-PH"/>
              </w:rPr>
              <w:t xml:space="preserve">34,512,750.24 </w:t>
            </w:r>
          </w:p>
        </w:tc>
      </w:tr>
      <w:tr>
        <w:trPr>
          <w:trHeight w:val="283"/>
        </w:trPr>
        <w:tc>
          <w:tcPr>
            <w:tcW w:w="836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pPr>
              <w:rPr>
                <w:sz w:val="22"/>
                <w:szCs w:val="22"/>
                <w:lang w:val="en-PH" w:eastAsia="en-PH"/>
              </w:rPr>
            </w:pPr>
            <w:r>
              <w:rPr>
                <w:sz w:val="22"/>
                <w:szCs w:val="22"/>
                <w:lang w:val="en-PH" w:eastAsia="en-PH"/>
              </w:rPr>
              <w:t>Less: Cost of Sales year 2022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Lawn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2022</w:t>
            </w:r>
          </w:p>
        </w:tc>
        <w:tc>
          <w:tcPr>
            <w:tcW w:w="14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pPr>
              <w:jc w:val="center"/>
              <w:rPr>
                <w:sz w:val="22"/>
                <w:szCs w:val="22"/>
                <w:lang w:val="en-PH" w:eastAsia="en-PH"/>
              </w:rPr>
            </w:pPr>
            <w:r>
              <w:rPr>
                <w:sz w:val="22"/>
                <w:szCs w:val="22"/>
                <w:lang w:val="en-PH" w:eastAsia="en-PH"/>
              </w:rPr>
              <w:t>386</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4,677.43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1,805,487.98 </w:t>
            </w:r>
          </w:p>
        </w:tc>
      </w:tr>
      <w:tr>
        <w:trPr>
          <w:trHeight w:val="283"/>
        </w:trPr>
        <w:tc>
          <w:tcPr>
            <w:tcW w:w="199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both"/>
              <w:rPr>
                <w:sz w:val="22"/>
                <w:szCs w:val="22"/>
                <w:lang w:val="en-PH" w:eastAsia="en-PH"/>
              </w:rPr>
            </w:pPr>
            <w:r>
              <w:rPr>
                <w:sz w:val="22"/>
                <w:szCs w:val="22"/>
                <w:lang w:val="en-PH" w:eastAsia="en-PH"/>
              </w:rPr>
              <w:t>Lawn Lots</w:t>
            </w:r>
          </w:p>
        </w:tc>
        <w:tc>
          <w:tcPr>
            <w:tcW w:w="142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2"/>
                <w:szCs w:val="22"/>
                <w:lang w:val="en-PH" w:eastAsia="en-PH"/>
              </w:rPr>
            </w:pPr>
            <w:r>
              <w:rPr>
                <w:sz w:val="22"/>
                <w:szCs w:val="22"/>
                <w:lang w:val="en-PH" w:eastAsia="en-PH"/>
              </w:rPr>
              <w:t> </w:t>
            </w:r>
          </w:p>
        </w:tc>
        <w:tc>
          <w:tcPr>
            <w:tcW w:w="14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pPr>
              <w:jc w:val="center"/>
              <w:rPr>
                <w:sz w:val="22"/>
                <w:szCs w:val="22"/>
                <w:lang w:val="en-PH" w:eastAsia="en-PH"/>
              </w:rPr>
            </w:pPr>
            <w:r>
              <w:rPr>
                <w:sz w:val="22"/>
                <w:szCs w:val="22"/>
                <w:lang w:val="en-PH" w:eastAsia="en-PH"/>
              </w:rPr>
              <w:t>303</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3,550.97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ind w:firstLineChars="200" w:firstLine="440"/>
              <w:jc w:val="right"/>
              <w:rPr>
                <w:sz w:val="22"/>
                <w:szCs w:val="22"/>
                <w:lang w:val="en-PH" w:eastAsia="en-PH"/>
              </w:rPr>
            </w:pPr>
            <w:r>
              <w:rPr>
                <w:sz w:val="22"/>
                <w:szCs w:val="22"/>
                <w:lang w:val="en-PH" w:eastAsia="en-PH"/>
              </w:rPr>
              <w:t xml:space="preserve">1,075,943.91 </w:t>
            </w:r>
          </w:p>
        </w:tc>
      </w:tr>
      <w:tr>
        <w:trPr>
          <w:trHeight w:val="283"/>
        </w:trPr>
        <w:tc>
          <w:tcPr>
            <w:tcW w:w="648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pPr>
              <w:rPr>
                <w:b/>
                <w:bCs/>
                <w:sz w:val="22"/>
                <w:szCs w:val="22"/>
                <w:lang w:val="en-PH" w:eastAsia="en-PH"/>
              </w:rPr>
            </w:pPr>
            <w:r>
              <w:rPr>
                <w:b/>
                <w:bCs/>
                <w:sz w:val="22"/>
                <w:szCs w:val="22"/>
                <w:lang w:val="en-PH" w:eastAsia="en-PH"/>
              </w:rPr>
              <w:t>Ending Inventory, Balance-12-31-22</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jc w:val="right"/>
              <w:rPr>
                <w:b/>
                <w:bCs/>
                <w:sz w:val="22"/>
                <w:szCs w:val="22"/>
                <w:lang w:val="en-PH" w:eastAsia="en-PH"/>
              </w:rPr>
            </w:pPr>
            <w:r>
              <w:rPr>
                <w:b/>
                <w:bCs/>
                <w:sz w:val="22"/>
                <w:szCs w:val="22"/>
                <w:lang w:val="en-PH" w:eastAsia="en-PH"/>
              </w:rPr>
              <w:t>31,631,318.35</w:t>
            </w:r>
          </w:p>
        </w:tc>
      </w:tr>
    </w:tbl>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pStyle w:val="ListParagraph"/>
        <w:numPr>
          <w:ilvl w:val="1"/>
          <w:numId w:val="17"/>
        </w:numPr>
        <w:ind w:left="1418"/>
        <w:rPr>
          <w:b/>
          <w:sz w:val="24"/>
          <w:szCs w:val="24"/>
          <w:lang w:eastAsia="en-PH"/>
        </w:rPr>
      </w:pPr>
      <w:r>
        <w:rPr>
          <w:b/>
          <w:sz w:val="24"/>
          <w:szCs w:val="24"/>
          <w:lang w:eastAsia="en-PH"/>
        </w:rPr>
        <w:lastRenderedPageBreak/>
        <w:t>Inventories Held for Distribution</w:t>
      </w:r>
    </w:p>
    <w:p>
      <w:pPr>
        <w:pStyle w:val="ListParagraph"/>
        <w:ind w:left="1080"/>
        <w:rPr>
          <w:b/>
          <w:sz w:val="24"/>
          <w:szCs w:val="24"/>
          <w:lang w:eastAsia="en-PH"/>
        </w:rPr>
      </w:pPr>
    </w:p>
    <w:p>
      <w:pPr>
        <w:spacing w:line="276" w:lineRule="auto"/>
        <w:ind w:left="1418"/>
        <w:jc w:val="both"/>
        <w:rPr>
          <w:sz w:val="24"/>
          <w:szCs w:val="24"/>
          <w:lang w:eastAsia="en-PH"/>
        </w:rPr>
      </w:pPr>
      <w:r>
        <w:rPr>
          <w:sz w:val="24"/>
          <w:szCs w:val="24"/>
          <w:lang w:eastAsia="en-PH"/>
        </w:rPr>
        <w:t>The Inventories Held for Distribution are the inventories intended for issuance to other parties. Below are the details of accounts under Inventories held for distribution with comparative figures of year ended 2022 and 2021.</w:t>
      </w:r>
    </w:p>
    <w:p>
      <w:pPr>
        <w:rPr>
          <w:sz w:val="24"/>
          <w:szCs w:val="24"/>
          <w:lang w:eastAsia="en-PH"/>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1947"/>
        <w:gridCol w:w="1880"/>
      </w:tblGrid>
      <w:tr>
        <w:trPr>
          <w:trHeight w:val="283"/>
        </w:trPr>
        <w:tc>
          <w:tcPr>
            <w:tcW w:w="4536" w:type="dxa"/>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1947" w:type="dxa"/>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1880" w:type="dxa"/>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Food Supplies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2,601,970.50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2,460,873.00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Drugs and Medicines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3,036,050.48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1,989,376.50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Medical, Dental and Lab Supplies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1,237,783.00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1,261,247.00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Agricultural and Marine Supplies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1,192,715.00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847,855.40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Agricultural Produce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681,830.00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483,290.00</w:t>
            </w:r>
          </w:p>
        </w:tc>
      </w:tr>
      <w:tr>
        <w:trPr>
          <w:trHeight w:val="283"/>
        </w:trPr>
        <w:tc>
          <w:tcPr>
            <w:tcW w:w="4536" w:type="dxa"/>
            <w:shd w:val="clear" w:color="auto" w:fill="auto"/>
            <w:noWrap/>
            <w:vAlign w:val="center"/>
          </w:tcPr>
          <w:p>
            <w:pPr>
              <w:rPr>
                <w:sz w:val="24"/>
                <w:szCs w:val="24"/>
                <w:lang w:val="en-PH" w:eastAsia="en-PH"/>
              </w:rPr>
            </w:pPr>
            <w:r>
              <w:rPr>
                <w:sz w:val="24"/>
                <w:szCs w:val="24"/>
                <w:lang w:val="en-PH" w:eastAsia="en-PH"/>
              </w:rPr>
              <w:t>Construction Materials for Distribution</w:t>
            </w:r>
          </w:p>
        </w:tc>
        <w:tc>
          <w:tcPr>
            <w:tcW w:w="1947" w:type="dxa"/>
            <w:shd w:val="clear" w:color="auto" w:fill="auto"/>
            <w:noWrap/>
            <w:vAlign w:val="center"/>
          </w:tcPr>
          <w:p>
            <w:pPr>
              <w:jc w:val="right"/>
              <w:rPr>
                <w:sz w:val="24"/>
                <w:szCs w:val="24"/>
                <w:lang w:val="en-PH" w:eastAsia="en-PH"/>
              </w:rPr>
            </w:pPr>
            <w:r>
              <w:rPr>
                <w:sz w:val="24"/>
                <w:szCs w:val="24"/>
              </w:rPr>
              <w:t xml:space="preserve">2,916,903.00 </w:t>
            </w:r>
          </w:p>
        </w:tc>
        <w:tc>
          <w:tcPr>
            <w:tcW w:w="1880" w:type="dxa"/>
            <w:shd w:val="clear" w:color="auto" w:fill="auto"/>
            <w:noWrap/>
            <w:vAlign w:val="center"/>
          </w:tcPr>
          <w:p>
            <w:pPr>
              <w:jc w:val="right"/>
              <w:rPr>
                <w:sz w:val="24"/>
                <w:szCs w:val="24"/>
                <w:lang w:val="en-PH" w:eastAsia="en-PH"/>
              </w:rPr>
            </w:pPr>
            <w:r>
              <w:rPr>
                <w:sz w:val="24"/>
                <w:szCs w:val="24"/>
                <w:lang w:val="en-PH" w:eastAsia="en-PH"/>
              </w:rPr>
              <w:t>0.00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Property and Equipment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179,550.00 </w:t>
            </w:r>
          </w:p>
        </w:tc>
        <w:tc>
          <w:tcPr>
            <w:tcW w:w="1880" w:type="dxa"/>
            <w:shd w:val="clear" w:color="auto" w:fill="auto"/>
            <w:noWrap/>
            <w:vAlign w:val="center"/>
            <w:hideMark/>
          </w:tcPr>
          <w:p>
            <w:pPr>
              <w:jc w:val="right"/>
              <w:rPr>
                <w:sz w:val="24"/>
                <w:szCs w:val="24"/>
                <w:lang w:val="en-PH" w:eastAsia="en-PH"/>
              </w:rPr>
            </w:pPr>
            <w:r>
              <w:rPr>
                <w:sz w:val="24"/>
                <w:szCs w:val="24"/>
                <w:lang w:val="en-PH" w:eastAsia="en-PH"/>
              </w:rPr>
              <w:t>634,025.00</w:t>
            </w:r>
          </w:p>
        </w:tc>
      </w:tr>
      <w:tr>
        <w:trPr>
          <w:trHeight w:val="283"/>
        </w:trPr>
        <w:tc>
          <w:tcPr>
            <w:tcW w:w="4536" w:type="dxa"/>
            <w:shd w:val="clear" w:color="auto" w:fill="auto"/>
            <w:noWrap/>
            <w:vAlign w:val="center"/>
            <w:hideMark/>
          </w:tcPr>
          <w:p>
            <w:pPr>
              <w:rPr>
                <w:sz w:val="24"/>
                <w:szCs w:val="24"/>
                <w:lang w:val="en-PH" w:eastAsia="en-PH"/>
              </w:rPr>
            </w:pPr>
            <w:r>
              <w:rPr>
                <w:sz w:val="24"/>
                <w:szCs w:val="24"/>
                <w:lang w:val="en-PH" w:eastAsia="en-PH"/>
              </w:rPr>
              <w:t>Other Supplies &amp; Materials for Distribution</w:t>
            </w:r>
          </w:p>
        </w:tc>
        <w:tc>
          <w:tcPr>
            <w:tcW w:w="1947" w:type="dxa"/>
            <w:shd w:val="clear" w:color="auto" w:fill="auto"/>
            <w:noWrap/>
            <w:vAlign w:val="center"/>
            <w:hideMark/>
          </w:tcPr>
          <w:p>
            <w:pPr>
              <w:jc w:val="right"/>
              <w:rPr>
                <w:sz w:val="24"/>
                <w:szCs w:val="24"/>
                <w:lang w:val="en-PH" w:eastAsia="en-PH"/>
              </w:rPr>
            </w:pPr>
            <w:r>
              <w:rPr>
                <w:sz w:val="24"/>
                <w:szCs w:val="24"/>
              </w:rPr>
              <w:t xml:space="preserve">5,613,269.45 </w:t>
            </w:r>
          </w:p>
        </w:tc>
        <w:tc>
          <w:tcPr>
            <w:tcW w:w="1880" w:type="dxa"/>
            <w:shd w:val="clear" w:color="auto" w:fill="auto"/>
            <w:noWrap/>
            <w:vAlign w:val="center"/>
            <w:hideMark/>
          </w:tcPr>
          <w:p>
            <w:pPr>
              <w:jc w:val="right"/>
              <w:rPr>
                <w:sz w:val="24"/>
                <w:szCs w:val="24"/>
                <w:lang w:val="en-PH" w:eastAsia="en-PH"/>
              </w:rPr>
            </w:pPr>
            <w:r>
              <w:rPr>
                <w:sz w:val="24"/>
                <w:szCs w:val="24"/>
                <w:lang w:eastAsia="en-PH"/>
              </w:rPr>
              <w:t>1,348,284.50</w:t>
            </w:r>
          </w:p>
        </w:tc>
      </w:tr>
      <w:tr>
        <w:trPr>
          <w:trHeight w:val="283"/>
        </w:trPr>
        <w:tc>
          <w:tcPr>
            <w:tcW w:w="4536" w:type="dxa"/>
            <w:shd w:val="clear" w:color="auto" w:fill="auto"/>
            <w:vAlign w:val="center"/>
            <w:hideMark/>
          </w:tcPr>
          <w:p>
            <w:pPr>
              <w:rPr>
                <w:b/>
                <w:bCs/>
                <w:sz w:val="24"/>
                <w:szCs w:val="24"/>
                <w:lang w:val="en-PH" w:eastAsia="en-PH"/>
              </w:rPr>
            </w:pPr>
            <w:r>
              <w:rPr>
                <w:b/>
                <w:bCs/>
                <w:sz w:val="24"/>
                <w:szCs w:val="24"/>
                <w:lang w:val="en-PH" w:eastAsia="en-PH"/>
              </w:rPr>
              <w:t>Total</w:t>
            </w:r>
          </w:p>
        </w:tc>
        <w:tc>
          <w:tcPr>
            <w:tcW w:w="1947" w:type="dxa"/>
            <w:shd w:val="clear" w:color="auto" w:fill="auto"/>
            <w:noWrap/>
            <w:vAlign w:val="center"/>
            <w:hideMark/>
          </w:tcPr>
          <w:p>
            <w:pPr>
              <w:jc w:val="right"/>
              <w:rPr>
                <w:b/>
                <w:bCs/>
                <w:sz w:val="22"/>
                <w:szCs w:val="22"/>
                <w:lang w:val="en-PH" w:eastAsia="en-PH"/>
              </w:rPr>
            </w:pPr>
            <w:r>
              <w:rPr>
                <w:b/>
                <w:bCs/>
                <w:sz w:val="22"/>
                <w:szCs w:val="22"/>
                <w:lang w:val="en-PH" w:eastAsia="en-PH"/>
              </w:rPr>
              <w:t xml:space="preserve">        17,460,071.43</w:t>
            </w:r>
          </w:p>
        </w:tc>
        <w:tc>
          <w:tcPr>
            <w:tcW w:w="1880" w:type="dxa"/>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9,024,951.40</w:t>
            </w:r>
          </w:p>
        </w:tc>
      </w:tr>
    </w:tbl>
    <w:p>
      <w:pPr>
        <w:ind w:left="720"/>
        <w:rPr>
          <w:b/>
          <w:sz w:val="24"/>
          <w:szCs w:val="24"/>
          <w:lang w:eastAsia="en-PH"/>
        </w:rPr>
      </w:pPr>
    </w:p>
    <w:p>
      <w:pPr>
        <w:ind w:left="1418"/>
        <w:rPr>
          <w:sz w:val="24"/>
          <w:szCs w:val="24"/>
          <w:lang w:eastAsia="en-PH"/>
        </w:rPr>
      </w:pPr>
      <w:r>
        <w:rPr>
          <w:sz w:val="24"/>
          <w:szCs w:val="24"/>
          <w:lang w:eastAsia="en-PH"/>
        </w:rPr>
        <w:t>The movement of each account during the year is as follows:</w:t>
      </w:r>
    </w:p>
    <w:p>
      <w:pPr>
        <w:ind w:left="720"/>
        <w:rPr>
          <w:b/>
          <w:sz w:val="24"/>
          <w:szCs w:val="24"/>
          <w:lang w:eastAsia="en-PH"/>
        </w:rPr>
      </w:pPr>
    </w:p>
    <w:tbl>
      <w:tblPr>
        <w:tblW w:w="836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4"/>
        <w:gridCol w:w="1266"/>
        <w:gridCol w:w="1396"/>
        <w:gridCol w:w="1500"/>
        <w:gridCol w:w="1477"/>
      </w:tblGrid>
      <w:tr>
        <w:trPr>
          <w:trHeight w:val="283"/>
          <w:tblHeader/>
        </w:trPr>
        <w:tc>
          <w:tcPr>
            <w:tcW w:w="2724" w:type="dxa"/>
            <w:shd w:val="clear" w:color="auto" w:fill="auto"/>
            <w:noWrap/>
            <w:vAlign w:val="center"/>
            <w:hideMark/>
          </w:tcPr>
          <w:p>
            <w:pPr>
              <w:jc w:val="center"/>
              <w:rPr>
                <w:b/>
                <w:bCs/>
                <w:lang w:val="en-PH" w:eastAsia="en-PH"/>
              </w:rPr>
            </w:pPr>
            <w:r>
              <w:rPr>
                <w:b/>
                <w:bCs/>
                <w:lang w:val="en-PH" w:eastAsia="en-PH"/>
              </w:rPr>
              <w:t>Account</w:t>
            </w:r>
          </w:p>
        </w:tc>
        <w:tc>
          <w:tcPr>
            <w:tcW w:w="1266" w:type="dxa"/>
            <w:shd w:val="clear" w:color="auto" w:fill="auto"/>
            <w:vAlign w:val="center"/>
            <w:hideMark/>
          </w:tcPr>
          <w:p>
            <w:pPr>
              <w:jc w:val="center"/>
              <w:rPr>
                <w:b/>
                <w:bCs/>
                <w:lang w:val="en-PH" w:eastAsia="en-PH"/>
              </w:rPr>
            </w:pPr>
            <w:r>
              <w:rPr>
                <w:b/>
                <w:bCs/>
                <w:lang w:val="en-PH" w:eastAsia="en-PH"/>
              </w:rPr>
              <w:t>Beginning Balance</w:t>
            </w:r>
          </w:p>
        </w:tc>
        <w:tc>
          <w:tcPr>
            <w:tcW w:w="1396" w:type="dxa"/>
            <w:shd w:val="clear" w:color="auto" w:fill="auto"/>
            <w:noWrap/>
            <w:vAlign w:val="center"/>
            <w:hideMark/>
          </w:tcPr>
          <w:p>
            <w:pPr>
              <w:jc w:val="center"/>
              <w:rPr>
                <w:b/>
                <w:bCs/>
                <w:lang w:val="en-PH" w:eastAsia="en-PH"/>
              </w:rPr>
            </w:pPr>
            <w:r>
              <w:rPr>
                <w:b/>
                <w:bCs/>
                <w:lang w:val="en-PH" w:eastAsia="en-PH"/>
              </w:rPr>
              <w:t>Purchases</w:t>
            </w:r>
          </w:p>
        </w:tc>
        <w:tc>
          <w:tcPr>
            <w:tcW w:w="1500" w:type="dxa"/>
            <w:shd w:val="clear" w:color="auto" w:fill="auto"/>
            <w:noWrap/>
            <w:vAlign w:val="center"/>
            <w:hideMark/>
          </w:tcPr>
          <w:p>
            <w:pPr>
              <w:jc w:val="center"/>
              <w:rPr>
                <w:b/>
                <w:bCs/>
                <w:lang w:val="en-PH" w:eastAsia="en-PH"/>
              </w:rPr>
            </w:pPr>
            <w:r>
              <w:rPr>
                <w:b/>
                <w:bCs/>
                <w:lang w:val="en-PH" w:eastAsia="en-PH"/>
              </w:rPr>
              <w:t>Issuances</w:t>
            </w:r>
          </w:p>
        </w:tc>
        <w:tc>
          <w:tcPr>
            <w:tcW w:w="1477" w:type="dxa"/>
            <w:shd w:val="clear" w:color="auto" w:fill="auto"/>
            <w:noWrap/>
            <w:vAlign w:val="center"/>
            <w:hideMark/>
          </w:tcPr>
          <w:p>
            <w:pPr>
              <w:jc w:val="center"/>
              <w:rPr>
                <w:b/>
                <w:bCs/>
                <w:lang w:val="en-PH" w:eastAsia="en-PH"/>
              </w:rPr>
            </w:pPr>
            <w:r>
              <w:rPr>
                <w:b/>
                <w:bCs/>
                <w:lang w:val="en-PH" w:eastAsia="en-PH"/>
              </w:rPr>
              <w:t>Ending Balance</w:t>
            </w:r>
          </w:p>
        </w:tc>
      </w:tr>
      <w:tr>
        <w:trPr>
          <w:trHeight w:val="283"/>
        </w:trPr>
        <w:tc>
          <w:tcPr>
            <w:tcW w:w="2724" w:type="dxa"/>
            <w:shd w:val="clear" w:color="auto" w:fill="auto"/>
            <w:noWrap/>
            <w:vAlign w:val="center"/>
            <w:hideMark/>
          </w:tcPr>
          <w:p>
            <w:pPr>
              <w:rPr>
                <w:lang w:val="en-PH" w:eastAsia="en-PH"/>
              </w:rPr>
            </w:pPr>
            <w:r>
              <w:rPr>
                <w:lang w:val="en-PH" w:eastAsia="en-PH"/>
              </w:rPr>
              <w:t>Food Supplies for Distribution</w:t>
            </w:r>
          </w:p>
        </w:tc>
        <w:tc>
          <w:tcPr>
            <w:tcW w:w="1266" w:type="dxa"/>
            <w:shd w:val="clear" w:color="auto" w:fill="auto"/>
            <w:noWrap/>
            <w:vAlign w:val="center"/>
            <w:hideMark/>
          </w:tcPr>
          <w:p>
            <w:pPr>
              <w:jc w:val="right"/>
              <w:rPr>
                <w:lang w:val="en-PH" w:eastAsia="en-PH"/>
              </w:rPr>
            </w:pPr>
            <w:r>
              <w:rPr>
                <w:lang w:val="en-PH" w:eastAsia="en-PH"/>
              </w:rPr>
              <w:t>2,460,873.00</w:t>
            </w:r>
          </w:p>
        </w:tc>
        <w:tc>
          <w:tcPr>
            <w:tcW w:w="1396" w:type="dxa"/>
            <w:shd w:val="clear" w:color="auto" w:fill="auto"/>
            <w:vAlign w:val="center"/>
            <w:hideMark/>
          </w:tcPr>
          <w:p>
            <w:pPr>
              <w:jc w:val="right"/>
              <w:rPr>
                <w:lang w:val="en-PH" w:eastAsia="en-PH"/>
              </w:rPr>
            </w:pPr>
            <w:r>
              <w:rPr>
                <w:lang w:val="en-PH" w:eastAsia="en-PH"/>
              </w:rPr>
              <w:t>6,548,433.25</w:t>
            </w:r>
          </w:p>
        </w:tc>
        <w:tc>
          <w:tcPr>
            <w:tcW w:w="1500" w:type="dxa"/>
            <w:shd w:val="clear" w:color="auto" w:fill="auto"/>
            <w:noWrap/>
            <w:vAlign w:val="center"/>
            <w:hideMark/>
          </w:tcPr>
          <w:p>
            <w:pPr>
              <w:jc w:val="right"/>
              <w:rPr>
                <w:lang w:val="en-PH" w:eastAsia="en-PH"/>
              </w:rPr>
            </w:pPr>
            <w:r>
              <w:rPr>
                <w:lang w:val="en-PH" w:eastAsia="en-PH"/>
              </w:rPr>
              <w:t>(6,407,335.75)</w:t>
            </w:r>
          </w:p>
        </w:tc>
        <w:tc>
          <w:tcPr>
            <w:tcW w:w="1477" w:type="dxa"/>
            <w:shd w:val="clear" w:color="auto" w:fill="auto"/>
            <w:noWrap/>
            <w:vAlign w:val="center"/>
            <w:hideMark/>
          </w:tcPr>
          <w:p>
            <w:pPr>
              <w:jc w:val="right"/>
              <w:rPr>
                <w:lang w:val="en-PH" w:eastAsia="en-PH"/>
              </w:rPr>
            </w:pPr>
            <w:r>
              <w:rPr>
                <w:lang w:val="en-PH" w:eastAsia="en-PH"/>
              </w:rPr>
              <w:t>2,601,970.50</w:t>
            </w:r>
          </w:p>
        </w:tc>
      </w:tr>
      <w:tr>
        <w:trPr>
          <w:trHeight w:val="283"/>
        </w:trPr>
        <w:tc>
          <w:tcPr>
            <w:tcW w:w="2724" w:type="dxa"/>
            <w:shd w:val="clear" w:color="auto" w:fill="auto"/>
            <w:noWrap/>
            <w:vAlign w:val="center"/>
            <w:hideMark/>
          </w:tcPr>
          <w:p>
            <w:pPr>
              <w:rPr>
                <w:lang w:val="en-PH" w:eastAsia="en-PH"/>
              </w:rPr>
            </w:pPr>
            <w:r>
              <w:rPr>
                <w:lang w:val="en-PH" w:eastAsia="en-PH"/>
              </w:rPr>
              <w:t>Drugs and Medicines for Distribution</w:t>
            </w:r>
          </w:p>
        </w:tc>
        <w:tc>
          <w:tcPr>
            <w:tcW w:w="1266" w:type="dxa"/>
            <w:shd w:val="clear" w:color="auto" w:fill="auto"/>
            <w:noWrap/>
            <w:vAlign w:val="center"/>
            <w:hideMark/>
          </w:tcPr>
          <w:p>
            <w:pPr>
              <w:jc w:val="right"/>
              <w:rPr>
                <w:lang w:val="en-PH" w:eastAsia="en-PH"/>
              </w:rPr>
            </w:pPr>
            <w:r>
              <w:rPr>
                <w:lang w:val="en-PH" w:eastAsia="en-PH"/>
              </w:rPr>
              <w:t>1,989,376.50</w:t>
            </w:r>
          </w:p>
        </w:tc>
        <w:tc>
          <w:tcPr>
            <w:tcW w:w="1396" w:type="dxa"/>
            <w:shd w:val="clear" w:color="auto" w:fill="auto"/>
            <w:vAlign w:val="center"/>
            <w:hideMark/>
          </w:tcPr>
          <w:p>
            <w:pPr>
              <w:jc w:val="right"/>
              <w:rPr>
                <w:lang w:val="en-PH" w:eastAsia="en-PH"/>
              </w:rPr>
            </w:pPr>
            <w:r>
              <w:rPr>
                <w:lang w:val="en-PH" w:eastAsia="en-PH"/>
              </w:rPr>
              <w:t>6,659,620.18</w:t>
            </w:r>
          </w:p>
        </w:tc>
        <w:tc>
          <w:tcPr>
            <w:tcW w:w="1500" w:type="dxa"/>
            <w:shd w:val="clear" w:color="auto" w:fill="auto"/>
            <w:noWrap/>
            <w:vAlign w:val="center"/>
            <w:hideMark/>
          </w:tcPr>
          <w:p>
            <w:pPr>
              <w:jc w:val="right"/>
              <w:rPr>
                <w:lang w:val="en-PH" w:eastAsia="en-PH"/>
              </w:rPr>
            </w:pPr>
            <w:r>
              <w:rPr>
                <w:lang w:val="en-PH" w:eastAsia="en-PH"/>
              </w:rPr>
              <w:t>(5,612,946.20)</w:t>
            </w:r>
          </w:p>
        </w:tc>
        <w:tc>
          <w:tcPr>
            <w:tcW w:w="1477" w:type="dxa"/>
            <w:shd w:val="clear" w:color="auto" w:fill="auto"/>
            <w:noWrap/>
            <w:vAlign w:val="center"/>
            <w:hideMark/>
          </w:tcPr>
          <w:p>
            <w:pPr>
              <w:jc w:val="right"/>
              <w:rPr>
                <w:lang w:val="en-PH" w:eastAsia="en-PH"/>
              </w:rPr>
            </w:pPr>
            <w:r>
              <w:rPr>
                <w:lang w:val="en-PH" w:eastAsia="en-PH"/>
              </w:rPr>
              <w:t>3,036,050.48</w:t>
            </w:r>
          </w:p>
        </w:tc>
      </w:tr>
      <w:tr>
        <w:trPr>
          <w:trHeight w:val="283"/>
        </w:trPr>
        <w:tc>
          <w:tcPr>
            <w:tcW w:w="2724" w:type="dxa"/>
            <w:shd w:val="clear" w:color="auto" w:fill="auto"/>
            <w:noWrap/>
            <w:vAlign w:val="center"/>
            <w:hideMark/>
          </w:tcPr>
          <w:p>
            <w:pPr>
              <w:rPr>
                <w:lang w:val="en-PH" w:eastAsia="en-PH"/>
              </w:rPr>
            </w:pPr>
            <w:r>
              <w:rPr>
                <w:lang w:val="en-PH" w:eastAsia="en-PH"/>
              </w:rPr>
              <w:t>Medical, Dental and Lab Supplies for Distribution</w:t>
            </w:r>
          </w:p>
        </w:tc>
        <w:tc>
          <w:tcPr>
            <w:tcW w:w="1266" w:type="dxa"/>
            <w:shd w:val="clear" w:color="auto" w:fill="auto"/>
            <w:noWrap/>
            <w:vAlign w:val="center"/>
            <w:hideMark/>
          </w:tcPr>
          <w:p>
            <w:pPr>
              <w:jc w:val="right"/>
              <w:rPr>
                <w:lang w:val="en-PH" w:eastAsia="en-PH"/>
              </w:rPr>
            </w:pPr>
            <w:r>
              <w:rPr>
                <w:lang w:val="en-PH" w:eastAsia="en-PH"/>
              </w:rPr>
              <w:t>1,261,247.00</w:t>
            </w:r>
          </w:p>
        </w:tc>
        <w:tc>
          <w:tcPr>
            <w:tcW w:w="1396" w:type="dxa"/>
            <w:shd w:val="clear" w:color="auto" w:fill="auto"/>
            <w:vAlign w:val="center"/>
            <w:hideMark/>
          </w:tcPr>
          <w:p>
            <w:pPr>
              <w:jc w:val="right"/>
              <w:rPr>
                <w:lang w:val="en-PH" w:eastAsia="en-PH"/>
              </w:rPr>
            </w:pPr>
            <w:r>
              <w:rPr>
                <w:lang w:val="en-PH" w:eastAsia="en-PH"/>
              </w:rPr>
              <w:t>1,780,693.80</w:t>
            </w:r>
          </w:p>
        </w:tc>
        <w:tc>
          <w:tcPr>
            <w:tcW w:w="1500" w:type="dxa"/>
            <w:shd w:val="clear" w:color="auto" w:fill="auto"/>
            <w:noWrap/>
            <w:vAlign w:val="center"/>
            <w:hideMark/>
          </w:tcPr>
          <w:p>
            <w:pPr>
              <w:jc w:val="right"/>
              <w:rPr>
                <w:lang w:val="en-PH" w:eastAsia="en-PH"/>
              </w:rPr>
            </w:pPr>
            <w:r>
              <w:rPr>
                <w:lang w:val="en-PH" w:eastAsia="en-PH"/>
              </w:rPr>
              <w:t>(1,804,157.80)</w:t>
            </w:r>
          </w:p>
        </w:tc>
        <w:tc>
          <w:tcPr>
            <w:tcW w:w="1477" w:type="dxa"/>
            <w:shd w:val="clear" w:color="auto" w:fill="auto"/>
            <w:noWrap/>
            <w:vAlign w:val="center"/>
            <w:hideMark/>
          </w:tcPr>
          <w:p>
            <w:pPr>
              <w:jc w:val="right"/>
              <w:rPr>
                <w:lang w:val="en-PH" w:eastAsia="en-PH"/>
              </w:rPr>
            </w:pPr>
            <w:r>
              <w:rPr>
                <w:lang w:val="en-PH" w:eastAsia="en-PH"/>
              </w:rPr>
              <w:t>1,237,783.00</w:t>
            </w:r>
          </w:p>
        </w:tc>
      </w:tr>
      <w:tr>
        <w:trPr>
          <w:trHeight w:val="283"/>
        </w:trPr>
        <w:tc>
          <w:tcPr>
            <w:tcW w:w="2724" w:type="dxa"/>
            <w:shd w:val="clear" w:color="auto" w:fill="auto"/>
            <w:noWrap/>
            <w:vAlign w:val="center"/>
            <w:hideMark/>
          </w:tcPr>
          <w:p>
            <w:pPr>
              <w:rPr>
                <w:lang w:val="en-PH" w:eastAsia="en-PH"/>
              </w:rPr>
            </w:pPr>
            <w:r>
              <w:rPr>
                <w:lang w:val="en-PH" w:eastAsia="en-PH"/>
              </w:rPr>
              <w:t>Agricultural and Marine Supplies for Distribution</w:t>
            </w:r>
          </w:p>
        </w:tc>
        <w:tc>
          <w:tcPr>
            <w:tcW w:w="1266" w:type="dxa"/>
            <w:shd w:val="clear" w:color="auto" w:fill="auto"/>
            <w:noWrap/>
            <w:vAlign w:val="center"/>
            <w:hideMark/>
          </w:tcPr>
          <w:p>
            <w:pPr>
              <w:jc w:val="right"/>
              <w:rPr>
                <w:lang w:val="en-PH" w:eastAsia="en-PH"/>
              </w:rPr>
            </w:pPr>
            <w:r>
              <w:rPr>
                <w:lang w:val="en-PH" w:eastAsia="en-PH"/>
              </w:rPr>
              <w:t>847,855.40</w:t>
            </w:r>
          </w:p>
        </w:tc>
        <w:tc>
          <w:tcPr>
            <w:tcW w:w="1396" w:type="dxa"/>
            <w:shd w:val="clear" w:color="auto" w:fill="auto"/>
            <w:vAlign w:val="center"/>
            <w:hideMark/>
          </w:tcPr>
          <w:p>
            <w:pPr>
              <w:jc w:val="right"/>
              <w:rPr>
                <w:lang w:val="en-PH" w:eastAsia="en-PH"/>
              </w:rPr>
            </w:pPr>
            <w:r>
              <w:rPr>
                <w:lang w:val="en-PH" w:eastAsia="en-PH"/>
              </w:rPr>
              <w:t>3,896,496.00</w:t>
            </w:r>
          </w:p>
        </w:tc>
        <w:tc>
          <w:tcPr>
            <w:tcW w:w="1500" w:type="dxa"/>
            <w:shd w:val="clear" w:color="auto" w:fill="auto"/>
            <w:noWrap/>
            <w:vAlign w:val="center"/>
            <w:hideMark/>
          </w:tcPr>
          <w:p>
            <w:pPr>
              <w:jc w:val="right"/>
              <w:rPr>
                <w:lang w:val="en-PH" w:eastAsia="en-PH"/>
              </w:rPr>
            </w:pPr>
            <w:r>
              <w:rPr>
                <w:lang w:val="en-PH" w:eastAsia="en-PH"/>
              </w:rPr>
              <w:t>(3,551,636.40)</w:t>
            </w:r>
          </w:p>
        </w:tc>
        <w:tc>
          <w:tcPr>
            <w:tcW w:w="1477" w:type="dxa"/>
            <w:shd w:val="clear" w:color="auto" w:fill="auto"/>
            <w:noWrap/>
            <w:vAlign w:val="center"/>
            <w:hideMark/>
          </w:tcPr>
          <w:p>
            <w:pPr>
              <w:jc w:val="right"/>
              <w:rPr>
                <w:lang w:val="en-PH" w:eastAsia="en-PH"/>
              </w:rPr>
            </w:pPr>
            <w:r>
              <w:rPr>
                <w:lang w:val="en-PH" w:eastAsia="en-PH"/>
              </w:rPr>
              <w:t>1,192,715.00</w:t>
            </w:r>
          </w:p>
        </w:tc>
      </w:tr>
      <w:tr>
        <w:trPr>
          <w:trHeight w:val="283"/>
        </w:trPr>
        <w:tc>
          <w:tcPr>
            <w:tcW w:w="2724" w:type="dxa"/>
            <w:shd w:val="clear" w:color="auto" w:fill="auto"/>
            <w:noWrap/>
            <w:vAlign w:val="center"/>
            <w:hideMark/>
          </w:tcPr>
          <w:p>
            <w:pPr>
              <w:rPr>
                <w:lang w:val="en-PH" w:eastAsia="en-PH"/>
              </w:rPr>
            </w:pPr>
            <w:r>
              <w:rPr>
                <w:lang w:val="en-PH" w:eastAsia="en-PH"/>
              </w:rPr>
              <w:t>Agricultural Produce for Distribution</w:t>
            </w:r>
          </w:p>
        </w:tc>
        <w:tc>
          <w:tcPr>
            <w:tcW w:w="1266" w:type="dxa"/>
            <w:shd w:val="clear" w:color="auto" w:fill="auto"/>
            <w:noWrap/>
            <w:vAlign w:val="center"/>
            <w:hideMark/>
          </w:tcPr>
          <w:p>
            <w:pPr>
              <w:jc w:val="right"/>
              <w:rPr>
                <w:lang w:val="en-PH" w:eastAsia="en-PH"/>
              </w:rPr>
            </w:pPr>
            <w:r>
              <w:rPr>
                <w:lang w:val="en-PH" w:eastAsia="en-PH"/>
              </w:rPr>
              <w:t>483,290.00</w:t>
            </w:r>
          </w:p>
        </w:tc>
        <w:tc>
          <w:tcPr>
            <w:tcW w:w="1396" w:type="dxa"/>
            <w:shd w:val="clear" w:color="auto" w:fill="auto"/>
            <w:vAlign w:val="center"/>
            <w:hideMark/>
          </w:tcPr>
          <w:p>
            <w:pPr>
              <w:jc w:val="right"/>
              <w:rPr>
                <w:lang w:val="en-PH" w:eastAsia="en-PH"/>
              </w:rPr>
            </w:pPr>
            <w:r>
              <w:rPr>
                <w:lang w:val="en-PH" w:eastAsia="en-PH"/>
              </w:rPr>
              <w:t>1,480,599.00</w:t>
            </w:r>
          </w:p>
        </w:tc>
        <w:tc>
          <w:tcPr>
            <w:tcW w:w="1500" w:type="dxa"/>
            <w:shd w:val="clear" w:color="auto" w:fill="auto"/>
            <w:noWrap/>
            <w:vAlign w:val="center"/>
            <w:hideMark/>
          </w:tcPr>
          <w:p>
            <w:pPr>
              <w:jc w:val="right"/>
              <w:rPr>
                <w:lang w:val="en-PH" w:eastAsia="en-PH"/>
              </w:rPr>
            </w:pPr>
            <w:r>
              <w:rPr>
                <w:lang w:val="en-PH" w:eastAsia="en-PH"/>
              </w:rPr>
              <w:t>(1,282,059.00)</w:t>
            </w:r>
          </w:p>
        </w:tc>
        <w:tc>
          <w:tcPr>
            <w:tcW w:w="1477" w:type="dxa"/>
            <w:shd w:val="clear" w:color="auto" w:fill="auto"/>
            <w:noWrap/>
            <w:vAlign w:val="center"/>
            <w:hideMark/>
          </w:tcPr>
          <w:p>
            <w:pPr>
              <w:jc w:val="right"/>
              <w:rPr>
                <w:lang w:val="en-PH" w:eastAsia="en-PH"/>
              </w:rPr>
            </w:pPr>
            <w:r>
              <w:rPr>
                <w:lang w:val="en-PH" w:eastAsia="en-PH"/>
              </w:rPr>
              <w:t>681,830.00</w:t>
            </w:r>
          </w:p>
        </w:tc>
      </w:tr>
      <w:tr>
        <w:trPr>
          <w:trHeight w:val="283"/>
        </w:trPr>
        <w:tc>
          <w:tcPr>
            <w:tcW w:w="2724" w:type="dxa"/>
            <w:shd w:val="clear" w:color="auto" w:fill="auto"/>
            <w:noWrap/>
            <w:vAlign w:val="center"/>
            <w:hideMark/>
          </w:tcPr>
          <w:p>
            <w:pPr>
              <w:rPr>
                <w:lang w:val="en-PH" w:eastAsia="en-PH"/>
              </w:rPr>
            </w:pPr>
            <w:r>
              <w:rPr>
                <w:lang w:val="en-PH" w:eastAsia="en-PH"/>
              </w:rPr>
              <w:t>Construction Materials for Distribution</w:t>
            </w:r>
          </w:p>
        </w:tc>
        <w:tc>
          <w:tcPr>
            <w:tcW w:w="1266" w:type="dxa"/>
            <w:shd w:val="clear" w:color="auto" w:fill="auto"/>
            <w:noWrap/>
            <w:vAlign w:val="center"/>
            <w:hideMark/>
          </w:tcPr>
          <w:p>
            <w:pPr>
              <w:jc w:val="right"/>
              <w:rPr>
                <w:lang w:val="en-PH" w:eastAsia="en-PH"/>
              </w:rPr>
            </w:pPr>
            <w:r>
              <w:rPr>
                <w:lang w:val="en-PH" w:eastAsia="en-PH"/>
              </w:rPr>
              <w:t>0.00</w:t>
            </w:r>
          </w:p>
        </w:tc>
        <w:tc>
          <w:tcPr>
            <w:tcW w:w="1396" w:type="dxa"/>
            <w:shd w:val="clear" w:color="auto" w:fill="auto"/>
            <w:vAlign w:val="center"/>
            <w:hideMark/>
          </w:tcPr>
          <w:p>
            <w:pPr>
              <w:jc w:val="right"/>
              <w:rPr>
                <w:lang w:val="en-PH" w:eastAsia="en-PH"/>
              </w:rPr>
            </w:pPr>
            <w:r>
              <w:rPr>
                <w:lang w:val="en-PH" w:eastAsia="en-PH"/>
              </w:rPr>
              <w:t>2,916,903.00</w:t>
            </w:r>
          </w:p>
        </w:tc>
        <w:tc>
          <w:tcPr>
            <w:tcW w:w="1500" w:type="dxa"/>
            <w:shd w:val="clear" w:color="auto" w:fill="auto"/>
            <w:noWrap/>
            <w:vAlign w:val="center"/>
            <w:hideMark/>
          </w:tcPr>
          <w:p>
            <w:pPr>
              <w:jc w:val="right"/>
              <w:rPr>
                <w:lang w:val="en-PH" w:eastAsia="en-PH"/>
              </w:rPr>
            </w:pPr>
            <w:r>
              <w:rPr>
                <w:lang w:val="en-PH" w:eastAsia="en-PH"/>
              </w:rPr>
              <w:t>0.00</w:t>
            </w:r>
          </w:p>
        </w:tc>
        <w:tc>
          <w:tcPr>
            <w:tcW w:w="1477" w:type="dxa"/>
            <w:shd w:val="clear" w:color="auto" w:fill="auto"/>
            <w:noWrap/>
            <w:vAlign w:val="center"/>
            <w:hideMark/>
          </w:tcPr>
          <w:p>
            <w:pPr>
              <w:jc w:val="right"/>
              <w:rPr>
                <w:lang w:val="en-PH" w:eastAsia="en-PH"/>
              </w:rPr>
            </w:pPr>
            <w:r>
              <w:rPr>
                <w:lang w:val="en-PH" w:eastAsia="en-PH"/>
              </w:rPr>
              <w:t>2,916,903.00</w:t>
            </w:r>
          </w:p>
        </w:tc>
      </w:tr>
      <w:tr>
        <w:trPr>
          <w:trHeight w:val="283"/>
        </w:trPr>
        <w:tc>
          <w:tcPr>
            <w:tcW w:w="2724" w:type="dxa"/>
            <w:shd w:val="clear" w:color="auto" w:fill="auto"/>
            <w:noWrap/>
            <w:vAlign w:val="center"/>
            <w:hideMark/>
          </w:tcPr>
          <w:p>
            <w:pPr>
              <w:rPr>
                <w:lang w:val="en-PH" w:eastAsia="en-PH"/>
              </w:rPr>
            </w:pPr>
            <w:r>
              <w:rPr>
                <w:lang w:val="en-PH" w:eastAsia="en-PH"/>
              </w:rPr>
              <w:t>Property and Equipment for Distribution</w:t>
            </w:r>
          </w:p>
        </w:tc>
        <w:tc>
          <w:tcPr>
            <w:tcW w:w="1266" w:type="dxa"/>
            <w:shd w:val="clear" w:color="auto" w:fill="auto"/>
            <w:noWrap/>
            <w:vAlign w:val="center"/>
            <w:hideMark/>
          </w:tcPr>
          <w:p>
            <w:pPr>
              <w:jc w:val="right"/>
              <w:rPr>
                <w:lang w:val="en-PH" w:eastAsia="en-PH"/>
              </w:rPr>
            </w:pPr>
            <w:r>
              <w:rPr>
                <w:lang w:val="en-PH" w:eastAsia="en-PH"/>
              </w:rPr>
              <w:t>634,025.00</w:t>
            </w:r>
          </w:p>
        </w:tc>
        <w:tc>
          <w:tcPr>
            <w:tcW w:w="1396" w:type="dxa"/>
            <w:shd w:val="clear" w:color="auto" w:fill="auto"/>
            <w:vAlign w:val="center"/>
            <w:hideMark/>
          </w:tcPr>
          <w:p>
            <w:pPr>
              <w:jc w:val="right"/>
              <w:rPr>
                <w:lang w:val="en-PH" w:eastAsia="en-PH"/>
              </w:rPr>
            </w:pPr>
            <w:r>
              <w:rPr>
                <w:lang w:val="en-PH" w:eastAsia="en-PH"/>
              </w:rPr>
              <w:t>179,550.00</w:t>
            </w:r>
          </w:p>
        </w:tc>
        <w:tc>
          <w:tcPr>
            <w:tcW w:w="1500" w:type="dxa"/>
            <w:shd w:val="clear" w:color="auto" w:fill="auto"/>
            <w:noWrap/>
            <w:vAlign w:val="center"/>
            <w:hideMark/>
          </w:tcPr>
          <w:p>
            <w:pPr>
              <w:jc w:val="right"/>
              <w:rPr>
                <w:lang w:val="en-PH" w:eastAsia="en-PH"/>
              </w:rPr>
            </w:pPr>
            <w:r>
              <w:rPr>
                <w:lang w:val="en-PH" w:eastAsia="en-PH"/>
              </w:rPr>
              <w:t>(634,025.00)</w:t>
            </w:r>
          </w:p>
        </w:tc>
        <w:tc>
          <w:tcPr>
            <w:tcW w:w="1477" w:type="dxa"/>
            <w:shd w:val="clear" w:color="auto" w:fill="auto"/>
            <w:noWrap/>
            <w:vAlign w:val="center"/>
            <w:hideMark/>
          </w:tcPr>
          <w:p>
            <w:pPr>
              <w:jc w:val="right"/>
              <w:rPr>
                <w:lang w:val="en-PH" w:eastAsia="en-PH"/>
              </w:rPr>
            </w:pPr>
            <w:r>
              <w:rPr>
                <w:lang w:val="en-PH" w:eastAsia="en-PH"/>
              </w:rPr>
              <w:t>179,550.00</w:t>
            </w:r>
          </w:p>
        </w:tc>
      </w:tr>
      <w:tr>
        <w:trPr>
          <w:trHeight w:val="283"/>
        </w:trPr>
        <w:tc>
          <w:tcPr>
            <w:tcW w:w="2724" w:type="dxa"/>
            <w:shd w:val="clear" w:color="auto" w:fill="auto"/>
            <w:noWrap/>
            <w:vAlign w:val="center"/>
            <w:hideMark/>
          </w:tcPr>
          <w:p>
            <w:pPr>
              <w:rPr>
                <w:lang w:val="en-PH" w:eastAsia="en-PH"/>
              </w:rPr>
            </w:pPr>
            <w:r>
              <w:rPr>
                <w:lang w:val="en-PH" w:eastAsia="en-PH"/>
              </w:rPr>
              <w:t>Other Supplies &amp; Materials for Distribution</w:t>
            </w:r>
          </w:p>
        </w:tc>
        <w:tc>
          <w:tcPr>
            <w:tcW w:w="1266" w:type="dxa"/>
            <w:shd w:val="clear" w:color="auto" w:fill="auto"/>
            <w:noWrap/>
            <w:vAlign w:val="center"/>
            <w:hideMark/>
          </w:tcPr>
          <w:p>
            <w:pPr>
              <w:jc w:val="right"/>
              <w:rPr>
                <w:lang w:val="en-PH" w:eastAsia="en-PH"/>
              </w:rPr>
            </w:pPr>
            <w:r>
              <w:rPr>
                <w:lang w:val="en-PH" w:eastAsia="en-PH"/>
              </w:rPr>
              <w:t>1,348,284.50</w:t>
            </w:r>
          </w:p>
        </w:tc>
        <w:tc>
          <w:tcPr>
            <w:tcW w:w="1396" w:type="dxa"/>
            <w:shd w:val="clear" w:color="auto" w:fill="auto"/>
            <w:vAlign w:val="center"/>
            <w:hideMark/>
          </w:tcPr>
          <w:p>
            <w:pPr>
              <w:jc w:val="right"/>
              <w:rPr>
                <w:lang w:val="en-PH" w:eastAsia="en-PH"/>
              </w:rPr>
            </w:pPr>
            <w:r>
              <w:rPr>
                <w:lang w:val="en-PH" w:eastAsia="en-PH"/>
              </w:rPr>
              <w:t>10,028,030.45</w:t>
            </w:r>
          </w:p>
        </w:tc>
        <w:tc>
          <w:tcPr>
            <w:tcW w:w="1500" w:type="dxa"/>
            <w:shd w:val="clear" w:color="auto" w:fill="auto"/>
            <w:noWrap/>
            <w:vAlign w:val="center"/>
            <w:hideMark/>
          </w:tcPr>
          <w:p>
            <w:pPr>
              <w:jc w:val="right"/>
              <w:rPr>
                <w:lang w:val="en-PH" w:eastAsia="en-PH"/>
              </w:rPr>
            </w:pPr>
            <w:r>
              <w:rPr>
                <w:lang w:val="en-PH" w:eastAsia="en-PH"/>
              </w:rPr>
              <w:t>(5,763,045.50)</w:t>
            </w:r>
          </w:p>
        </w:tc>
        <w:tc>
          <w:tcPr>
            <w:tcW w:w="1477" w:type="dxa"/>
            <w:shd w:val="clear" w:color="auto" w:fill="auto"/>
            <w:noWrap/>
            <w:vAlign w:val="center"/>
            <w:hideMark/>
          </w:tcPr>
          <w:p>
            <w:pPr>
              <w:jc w:val="right"/>
              <w:rPr>
                <w:lang w:val="en-PH" w:eastAsia="en-PH"/>
              </w:rPr>
            </w:pPr>
            <w:r>
              <w:rPr>
                <w:lang w:val="en-PH" w:eastAsia="en-PH"/>
              </w:rPr>
              <w:t>5,613,269.45</w:t>
            </w:r>
          </w:p>
        </w:tc>
      </w:tr>
      <w:tr>
        <w:trPr>
          <w:trHeight w:val="283"/>
        </w:trPr>
        <w:tc>
          <w:tcPr>
            <w:tcW w:w="2724" w:type="dxa"/>
            <w:shd w:val="clear" w:color="auto" w:fill="auto"/>
            <w:vAlign w:val="center"/>
            <w:hideMark/>
          </w:tcPr>
          <w:p>
            <w:pPr>
              <w:rPr>
                <w:b/>
                <w:bCs/>
                <w:lang w:val="en-PH" w:eastAsia="en-PH"/>
              </w:rPr>
            </w:pPr>
            <w:r>
              <w:rPr>
                <w:b/>
                <w:bCs/>
                <w:lang w:val="en-PH" w:eastAsia="en-PH"/>
              </w:rPr>
              <w:t>Total</w:t>
            </w:r>
          </w:p>
        </w:tc>
        <w:tc>
          <w:tcPr>
            <w:tcW w:w="1266" w:type="dxa"/>
            <w:shd w:val="clear" w:color="auto" w:fill="auto"/>
            <w:noWrap/>
            <w:vAlign w:val="center"/>
            <w:hideMark/>
          </w:tcPr>
          <w:p>
            <w:pPr>
              <w:jc w:val="right"/>
              <w:rPr>
                <w:b/>
                <w:bCs/>
                <w:lang w:val="en-PH" w:eastAsia="en-PH"/>
              </w:rPr>
            </w:pPr>
            <w:r>
              <w:rPr>
                <w:b/>
                <w:bCs/>
                <w:lang w:val="en-PH" w:eastAsia="en-PH"/>
              </w:rPr>
              <w:t>9,024,951.40</w:t>
            </w:r>
          </w:p>
        </w:tc>
        <w:tc>
          <w:tcPr>
            <w:tcW w:w="1396" w:type="dxa"/>
            <w:shd w:val="clear" w:color="auto" w:fill="auto"/>
            <w:noWrap/>
            <w:vAlign w:val="center"/>
            <w:hideMark/>
          </w:tcPr>
          <w:p>
            <w:pPr>
              <w:jc w:val="right"/>
              <w:rPr>
                <w:b/>
                <w:bCs/>
                <w:lang w:val="en-PH" w:eastAsia="en-PH"/>
              </w:rPr>
            </w:pPr>
            <w:r>
              <w:rPr>
                <w:b/>
                <w:bCs/>
                <w:lang w:val="en-PH" w:eastAsia="en-PH"/>
              </w:rPr>
              <w:t>33,490,325.68</w:t>
            </w:r>
          </w:p>
        </w:tc>
        <w:tc>
          <w:tcPr>
            <w:tcW w:w="1500" w:type="dxa"/>
            <w:shd w:val="clear" w:color="auto" w:fill="auto"/>
            <w:noWrap/>
            <w:vAlign w:val="center"/>
            <w:hideMark/>
          </w:tcPr>
          <w:p>
            <w:pPr>
              <w:jc w:val="right"/>
              <w:rPr>
                <w:b/>
                <w:bCs/>
                <w:lang w:val="en-PH" w:eastAsia="en-PH"/>
              </w:rPr>
            </w:pPr>
            <w:r>
              <w:rPr>
                <w:b/>
                <w:bCs/>
                <w:lang w:val="en-PH" w:eastAsia="en-PH"/>
              </w:rPr>
              <w:t>(25,055,205.65)</w:t>
            </w:r>
          </w:p>
        </w:tc>
        <w:tc>
          <w:tcPr>
            <w:tcW w:w="1477" w:type="dxa"/>
            <w:shd w:val="clear" w:color="auto" w:fill="auto"/>
            <w:noWrap/>
            <w:vAlign w:val="center"/>
            <w:hideMark/>
          </w:tcPr>
          <w:p>
            <w:pPr>
              <w:jc w:val="right"/>
              <w:rPr>
                <w:b/>
                <w:bCs/>
                <w:lang w:val="en-PH" w:eastAsia="en-PH"/>
              </w:rPr>
            </w:pPr>
            <w:r>
              <w:rPr>
                <w:b/>
                <w:bCs/>
                <w:lang w:val="en-PH" w:eastAsia="en-PH"/>
              </w:rPr>
              <w:t>17,460,071.43</w:t>
            </w:r>
          </w:p>
        </w:tc>
      </w:tr>
    </w:tbl>
    <w:p>
      <w:pPr>
        <w:ind w:left="720"/>
        <w:rPr>
          <w:b/>
          <w:sz w:val="24"/>
          <w:szCs w:val="24"/>
          <w:lang w:eastAsia="en-PH"/>
        </w:rPr>
      </w:pPr>
    </w:p>
    <w:p>
      <w:pPr>
        <w:pStyle w:val="ListParagraph"/>
        <w:numPr>
          <w:ilvl w:val="2"/>
          <w:numId w:val="17"/>
        </w:numPr>
        <w:rPr>
          <w:b/>
          <w:sz w:val="24"/>
          <w:szCs w:val="24"/>
          <w:lang w:eastAsia="en-PH"/>
        </w:rPr>
      </w:pPr>
      <w:r>
        <w:rPr>
          <w:b/>
          <w:sz w:val="24"/>
          <w:szCs w:val="24"/>
          <w:lang w:eastAsia="en-PH"/>
        </w:rPr>
        <w:t>Food Supplies for Distribution</w:t>
      </w:r>
    </w:p>
    <w:p>
      <w:pPr>
        <w:pStyle w:val="ListParagraph"/>
        <w:ind w:left="2160"/>
        <w:rPr>
          <w:b/>
          <w:sz w:val="24"/>
          <w:szCs w:val="24"/>
          <w:lang w:eastAsia="en-PH"/>
        </w:rPr>
      </w:pPr>
    </w:p>
    <w:p>
      <w:pPr>
        <w:spacing w:line="276" w:lineRule="auto"/>
        <w:ind w:left="1440"/>
        <w:jc w:val="both"/>
        <w:rPr>
          <w:bCs/>
          <w:sz w:val="24"/>
          <w:szCs w:val="24"/>
          <w:lang w:eastAsia="en-PH"/>
        </w:rPr>
      </w:pPr>
      <w:r>
        <w:rPr>
          <w:bCs/>
          <w:sz w:val="24"/>
          <w:szCs w:val="24"/>
          <w:lang w:eastAsia="en-PH"/>
        </w:rPr>
        <w:t>The balance of Food Supplies for Distribution mainly comprised of items intended for distribution to BFP Personnel, CDRRMC Basic Emergency Supplies/Relief Goods and Tanod Support.</w:t>
      </w:r>
    </w:p>
    <w:p>
      <w:pPr>
        <w:ind w:left="1440"/>
        <w:jc w:val="both"/>
        <w:rPr>
          <w:b/>
          <w:sz w:val="24"/>
          <w:szCs w:val="24"/>
          <w:lang w:eastAsia="en-PH"/>
        </w:rPr>
      </w:pPr>
    </w:p>
    <w:p>
      <w:pPr>
        <w:ind w:left="1440"/>
        <w:jc w:val="both"/>
        <w:rPr>
          <w:b/>
          <w:sz w:val="24"/>
          <w:szCs w:val="24"/>
          <w:lang w:eastAsia="en-PH"/>
        </w:rPr>
      </w:pPr>
    </w:p>
    <w:p>
      <w:pPr>
        <w:ind w:left="1440"/>
        <w:jc w:val="both"/>
        <w:rPr>
          <w:b/>
          <w:sz w:val="24"/>
          <w:szCs w:val="24"/>
          <w:lang w:eastAsia="en-PH"/>
        </w:rPr>
      </w:pPr>
    </w:p>
    <w:p>
      <w:pPr>
        <w:pStyle w:val="ListParagraph"/>
        <w:numPr>
          <w:ilvl w:val="2"/>
          <w:numId w:val="17"/>
        </w:numPr>
        <w:jc w:val="both"/>
        <w:rPr>
          <w:b/>
          <w:sz w:val="24"/>
          <w:szCs w:val="24"/>
          <w:lang w:eastAsia="en-PH"/>
        </w:rPr>
      </w:pPr>
      <w:r>
        <w:rPr>
          <w:b/>
          <w:sz w:val="24"/>
          <w:szCs w:val="24"/>
          <w:lang w:eastAsia="en-PH"/>
        </w:rPr>
        <w:lastRenderedPageBreak/>
        <w:t>Drugs and Medicines for Distribution</w:t>
      </w:r>
    </w:p>
    <w:p>
      <w:pPr>
        <w:pStyle w:val="ListParagraph"/>
        <w:ind w:left="2160"/>
        <w:jc w:val="both"/>
        <w:rPr>
          <w:b/>
          <w:sz w:val="24"/>
          <w:szCs w:val="24"/>
          <w:lang w:eastAsia="en-PH"/>
        </w:rPr>
      </w:pPr>
    </w:p>
    <w:p>
      <w:pPr>
        <w:spacing w:line="276" w:lineRule="auto"/>
        <w:ind w:left="1320"/>
        <w:jc w:val="both"/>
        <w:rPr>
          <w:bCs/>
          <w:sz w:val="24"/>
          <w:szCs w:val="24"/>
          <w:lang w:eastAsia="en-PH"/>
        </w:rPr>
      </w:pPr>
      <w:r>
        <w:rPr>
          <w:bCs/>
          <w:sz w:val="24"/>
          <w:szCs w:val="24"/>
          <w:lang w:eastAsia="en-PH"/>
        </w:rPr>
        <w:t>The drugs and medicine for distribution balance are mainly for distribution to indigent clients and for medical reach out to barangays thru serbisyong barangay oplan kalinaw.</w:t>
      </w:r>
    </w:p>
    <w:p>
      <w:pPr>
        <w:jc w:val="both"/>
        <w:rPr>
          <w:b/>
          <w:sz w:val="24"/>
          <w:szCs w:val="24"/>
          <w:lang w:eastAsia="en-PH"/>
        </w:rPr>
      </w:pPr>
    </w:p>
    <w:p>
      <w:pPr>
        <w:pStyle w:val="ListParagraph"/>
        <w:numPr>
          <w:ilvl w:val="2"/>
          <w:numId w:val="17"/>
        </w:numPr>
        <w:jc w:val="both"/>
        <w:rPr>
          <w:b/>
          <w:sz w:val="24"/>
          <w:szCs w:val="24"/>
          <w:lang w:eastAsia="en-PH"/>
        </w:rPr>
      </w:pPr>
      <w:r>
        <w:rPr>
          <w:b/>
          <w:sz w:val="24"/>
          <w:szCs w:val="24"/>
          <w:lang w:eastAsia="en-PH"/>
        </w:rPr>
        <w:t>Construction Materials for Distribution</w:t>
      </w:r>
    </w:p>
    <w:p>
      <w:pPr>
        <w:pStyle w:val="ListParagraph"/>
        <w:ind w:left="2160"/>
        <w:jc w:val="both"/>
        <w:rPr>
          <w:b/>
          <w:sz w:val="24"/>
          <w:szCs w:val="24"/>
          <w:lang w:eastAsia="en-PH"/>
        </w:rPr>
      </w:pPr>
    </w:p>
    <w:p>
      <w:pPr>
        <w:spacing w:line="276" w:lineRule="auto"/>
        <w:ind w:left="1440"/>
        <w:jc w:val="both"/>
        <w:rPr>
          <w:bCs/>
          <w:sz w:val="24"/>
          <w:szCs w:val="24"/>
          <w:lang w:eastAsia="en-PH"/>
        </w:rPr>
      </w:pPr>
      <w:r>
        <w:rPr>
          <w:bCs/>
          <w:sz w:val="24"/>
          <w:szCs w:val="24"/>
          <w:lang w:eastAsia="en-PH"/>
        </w:rPr>
        <w:t xml:space="preserve">The items accounted for in this account are intended for distribution for repairs and maintenance of various existing structures within the barangays with no related assets in the city books of account. </w:t>
      </w:r>
    </w:p>
    <w:p>
      <w:pPr>
        <w:ind w:left="1440"/>
        <w:jc w:val="both"/>
        <w:rPr>
          <w:bCs/>
          <w:sz w:val="24"/>
          <w:szCs w:val="24"/>
          <w:lang w:eastAsia="en-PH"/>
        </w:rPr>
      </w:pPr>
    </w:p>
    <w:p>
      <w:pPr>
        <w:pStyle w:val="ListParagraph"/>
        <w:numPr>
          <w:ilvl w:val="2"/>
          <w:numId w:val="17"/>
        </w:numPr>
        <w:jc w:val="both"/>
        <w:rPr>
          <w:b/>
          <w:sz w:val="24"/>
          <w:szCs w:val="24"/>
          <w:lang w:eastAsia="en-PH"/>
        </w:rPr>
      </w:pPr>
      <w:r>
        <w:rPr>
          <w:b/>
          <w:sz w:val="24"/>
          <w:szCs w:val="24"/>
          <w:lang w:eastAsia="en-PH"/>
        </w:rPr>
        <w:t>Property and Equipment for Distribution</w:t>
      </w:r>
    </w:p>
    <w:p>
      <w:pPr>
        <w:pStyle w:val="ListParagraph"/>
        <w:ind w:left="2160"/>
        <w:jc w:val="both"/>
        <w:rPr>
          <w:b/>
          <w:sz w:val="24"/>
          <w:szCs w:val="24"/>
          <w:lang w:eastAsia="en-PH"/>
        </w:rPr>
      </w:pPr>
    </w:p>
    <w:p>
      <w:pPr>
        <w:spacing w:line="276" w:lineRule="auto"/>
        <w:ind w:left="1485"/>
        <w:jc w:val="both"/>
        <w:rPr>
          <w:b/>
          <w:sz w:val="24"/>
          <w:szCs w:val="24"/>
          <w:lang w:eastAsia="en-PH"/>
        </w:rPr>
      </w:pPr>
      <w:r>
        <w:rPr>
          <w:bCs/>
          <w:sz w:val="24"/>
          <w:szCs w:val="24"/>
          <w:lang w:eastAsia="en-PH"/>
        </w:rPr>
        <w:t>The balance of this account is solely the total amount of 19 printers intended for distribution to various schools within the city.</w:t>
      </w:r>
    </w:p>
    <w:p>
      <w:pPr>
        <w:ind w:left="1440"/>
        <w:rPr>
          <w:b/>
          <w:sz w:val="24"/>
          <w:szCs w:val="24"/>
          <w:lang w:eastAsia="en-PH"/>
        </w:rPr>
      </w:pPr>
    </w:p>
    <w:p>
      <w:pPr>
        <w:pStyle w:val="ListParagraph"/>
        <w:numPr>
          <w:ilvl w:val="2"/>
          <w:numId w:val="17"/>
        </w:numPr>
        <w:jc w:val="both"/>
        <w:rPr>
          <w:b/>
          <w:sz w:val="24"/>
          <w:szCs w:val="24"/>
          <w:lang w:eastAsia="en-PH"/>
        </w:rPr>
      </w:pPr>
      <w:r>
        <w:rPr>
          <w:b/>
          <w:sz w:val="24"/>
          <w:szCs w:val="24"/>
          <w:lang w:eastAsia="en-PH"/>
        </w:rPr>
        <w:t>Other Supplies and Materials for Distribution</w:t>
      </w:r>
    </w:p>
    <w:p>
      <w:pPr>
        <w:pStyle w:val="ListParagraph"/>
        <w:ind w:left="2160"/>
        <w:jc w:val="both"/>
        <w:rPr>
          <w:b/>
          <w:sz w:val="24"/>
          <w:szCs w:val="24"/>
          <w:lang w:eastAsia="en-PH"/>
        </w:rPr>
      </w:pPr>
    </w:p>
    <w:p>
      <w:pPr>
        <w:spacing w:line="276" w:lineRule="auto"/>
        <w:ind w:left="1440"/>
        <w:jc w:val="both"/>
        <w:rPr>
          <w:sz w:val="24"/>
          <w:szCs w:val="24"/>
        </w:rPr>
      </w:pPr>
      <w:r>
        <w:rPr>
          <w:sz w:val="24"/>
          <w:szCs w:val="24"/>
        </w:rPr>
        <w:t>The balance of this account is comprised of other supplies intended for distribution to CBMS enumerators, support to tanod, senior citizens and various barangays.</w:t>
      </w:r>
    </w:p>
    <w:p>
      <w:pPr>
        <w:jc w:val="both"/>
        <w:rPr>
          <w:sz w:val="24"/>
          <w:szCs w:val="24"/>
        </w:rPr>
      </w:pPr>
      <w:r>
        <w:rPr>
          <w:sz w:val="24"/>
          <w:szCs w:val="24"/>
        </w:rPr>
        <w:t xml:space="preserve"> </w:t>
      </w:r>
    </w:p>
    <w:p>
      <w:pPr>
        <w:pStyle w:val="ListParagraph"/>
        <w:numPr>
          <w:ilvl w:val="1"/>
          <w:numId w:val="17"/>
        </w:numPr>
        <w:ind w:left="1418"/>
        <w:jc w:val="both"/>
        <w:rPr>
          <w:b/>
          <w:sz w:val="24"/>
          <w:szCs w:val="24"/>
          <w:lang w:eastAsia="en-PH"/>
        </w:rPr>
      </w:pPr>
      <w:r>
        <w:rPr>
          <w:b/>
          <w:sz w:val="24"/>
          <w:szCs w:val="24"/>
          <w:lang w:eastAsia="en-PH"/>
        </w:rPr>
        <w:t>Inventories Held for Consumption</w:t>
      </w:r>
    </w:p>
    <w:p>
      <w:pPr>
        <w:pStyle w:val="ListParagraph"/>
        <w:ind w:left="360"/>
        <w:jc w:val="both"/>
        <w:rPr>
          <w:b/>
          <w:sz w:val="24"/>
          <w:szCs w:val="24"/>
          <w:lang w:eastAsia="en-PH"/>
        </w:rPr>
      </w:pPr>
    </w:p>
    <w:p>
      <w:pPr>
        <w:spacing w:line="276" w:lineRule="auto"/>
        <w:ind w:left="1418"/>
        <w:jc w:val="both"/>
        <w:rPr>
          <w:sz w:val="24"/>
          <w:szCs w:val="24"/>
        </w:rPr>
      </w:pPr>
      <w:r>
        <w:rPr>
          <w:sz w:val="24"/>
          <w:szCs w:val="24"/>
        </w:rPr>
        <w:t xml:space="preserve">The inventories held for consumptions are usable inventories of each department/office used for its operations. </w:t>
      </w:r>
      <w:r>
        <w:rPr>
          <w:sz w:val="24"/>
          <w:szCs w:val="24"/>
          <w:lang w:eastAsia="en-PH"/>
        </w:rPr>
        <w:t>Below are the details of held for consumption with comparative figures year ended 2022 and 2021.</w:t>
      </w:r>
    </w:p>
    <w:p>
      <w:pPr>
        <w:rPr>
          <w:sz w:val="24"/>
          <w:szCs w:val="24"/>
        </w:rPr>
      </w:pPr>
    </w:p>
    <w:tbl>
      <w:tblPr>
        <w:tblW w:w="8080"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4"/>
        <w:gridCol w:w="1873"/>
        <w:gridCol w:w="1873"/>
      </w:tblGrid>
      <w:tr>
        <w:trPr>
          <w:trHeight w:val="304"/>
        </w:trPr>
        <w:tc>
          <w:tcPr>
            <w:tcW w:w="4334" w:type="dxa"/>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1873" w:type="dxa"/>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1873" w:type="dxa"/>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Office Supplies Inventory</w:t>
            </w:r>
          </w:p>
        </w:tc>
        <w:tc>
          <w:tcPr>
            <w:tcW w:w="1873" w:type="dxa"/>
            <w:shd w:val="clear" w:color="auto" w:fill="auto"/>
            <w:noWrap/>
            <w:vAlign w:val="center"/>
            <w:hideMark/>
          </w:tcPr>
          <w:p>
            <w:pPr>
              <w:jc w:val="right"/>
              <w:rPr>
                <w:sz w:val="24"/>
                <w:szCs w:val="24"/>
                <w:lang w:val="en-PH" w:eastAsia="en-PH"/>
              </w:rPr>
            </w:pPr>
            <w:r>
              <w:rPr>
                <w:sz w:val="24"/>
                <w:szCs w:val="24"/>
              </w:rPr>
              <w:t>3,507,835.66</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3,787,189.26</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Accountable Forms, Plates &amp; Stickers</w:t>
            </w:r>
          </w:p>
        </w:tc>
        <w:tc>
          <w:tcPr>
            <w:tcW w:w="1873" w:type="dxa"/>
            <w:shd w:val="clear" w:color="auto" w:fill="auto"/>
            <w:noWrap/>
            <w:vAlign w:val="center"/>
            <w:hideMark/>
          </w:tcPr>
          <w:p>
            <w:pPr>
              <w:jc w:val="right"/>
              <w:rPr>
                <w:sz w:val="24"/>
                <w:szCs w:val="24"/>
                <w:lang w:val="en-PH" w:eastAsia="en-PH"/>
              </w:rPr>
            </w:pPr>
            <w:r>
              <w:rPr>
                <w:sz w:val="24"/>
                <w:szCs w:val="24"/>
              </w:rPr>
              <w:t>5,515,878.78</w:t>
            </w:r>
          </w:p>
        </w:tc>
        <w:tc>
          <w:tcPr>
            <w:tcW w:w="1873" w:type="dxa"/>
            <w:shd w:val="clear" w:color="auto" w:fill="auto"/>
            <w:noWrap/>
            <w:vAlign w:val="center"/>
            <w:hideMark/>
          </w:tcPr>
          <w:p>
            <w:pPr>
              <w:jc w:val="right"/>
              <w:rPr>
                <w:sz w:val="24"/>
                <w:szCs w:val="24"/>
                <w:lang w:val="en-PH" w:eastAsia="en-PH"/>
              </w:rPr>
            </w:pPr>
            <w:r>
              <w:rPr>
                <w:sz w:val="24"/>
                <w:szCs w:val="24"/>
                <w:lang w:eastAsia="en-PH"/>
              </w:rPr>
              <w:t>2,059,565.30</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Non-Accountable Forms Inventory</w:t>
            </w:r>
          </w:p>
        </w:tc>
        <w:tc>
          <w:tcPr>
            <w:tcW w:w="1873" w:type="dxa"/>
            <w:shd w:val="clear" w:color="auto" w:fill="auto"/>
            <w:noWrap/>
            <w:vAlign w:val="center"/>
            <w:hideMark/>
          </w:tcPr>
          <w:p>
            <w:pPr>
              <w:jc w:val="right"/>
              <w:rPr>
                <w:sz w:val="24"/>
                <w:szCs w:val="24"/>
                <w:lang w:val="en-PH" w:eastAsia="en-PH"/>
              </w:rPr>
            </w:pPr>
            <w:r>
              <w:rPr>
                <w:sz w:val="24"/>
                <w:szCs w:val="24"/>
              </w:rPr>
              <w:t>1,165,315.50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255,490.00</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Animal/Zoological Supplies Inventory</w:t>
            </w:r>
          </w:p>
        </w:tc>
        <w:tc>
          <w:tcPr>
            <w:tcW w:w="1873" w:type="dxa"/>
            <w:shd w:val="clear" w:color="auto" w:fill="auto"/>
            <w:noWrap/>
            <w:vAlign w:val="center"/>
            <w:hideMark/>
          </w:tcPr>
          <w:p>
            <w:pPr>
              <w:jc w:val="right"/>
              <w:rPr>
                <w:sz w:val="24"/>
                <w:szCs w:val="24"/>
                <w:lang w:val="en-PH" w:eastAsia="en-PH"/>
              </w:rPr>
            </w:pPr>
            <w:r>
              <w:rPr>
                <w:sz w:val="24"/>
                <w:szCs w:val="24"/>
              </w:rPr>
              <w:t>428,135.00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585,446.50</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Food Supplies Inventory</w:t>
            </w:r>
          </w:p>
        </w:tc>
        <w:tc>
          <w:tcPr>
            <w:tcW w:w="1873" w:type="dxa"/>
            <w:shd w:val="clear" w:color="auto" w:fill="auto"/>
            <w:noWrap/>
            <w:vAlign w:val="center"/>
            <w:hideMark/>
          </w:tcPr>
          <w:p>
            <w:pPr>
              <w:jc w:val="right"/>
              <w:rPr>
                <w:sz w:val="24"/>
                <w:szCs w:val="24"/>
                <w:lang w:val="en-PH" w:eastAsia="en-PH"/>
              </w:rPr>
            </w:pPr>
            <w:r>
              <w:rPr>
                <w:sz w:val="24"/>
                <w:szCs w:val="24"/>
              </w:rPr>
              <w:t>395,247.00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344,009.93</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Drugs and Medicines Inventory</w:t>
            </w:r>
          </w:p>
        </w:tc>
        <w:tc>
          <w:tcPr>
            <w:tcW w:w="1873" w:type="dxa"/>
            <w:shd w:val="clear" w:color="auto" w:fill="auto"/>
            <w:noWrap/>
            <w:vAlign w:val="center"/>
            <w:hideMark/>
          </w:tcPr>
          <w:p>
            <w:pPr>
              <w:jc w:val="right"/>
              <w:rPr>
                <w:sz w:val="24"/>
                <w:szCs w:val="24"/>
                <w:lang w:val="en-PH" w:eastAsia="en-PH"/>
              </w:rPr>
            </w:pPr>
            <w:r>
              <w:rPr>
                <w:sz w:val="24"/>
                <w:szCs w:val="24"/>
              </w:rPr>
              <w:t>13,488,023.31</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2,505,898.32</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Medical, Dental and Laboratory Supplies Inventory</w:t>
            </w:r>
          </w:p>
        </w:tc>
        <w:tc>
          <w:tcPr>
            <w:tcW w:w="1873" w:type="dxa"/>
            <w:shd w:val="clear" w:color="auto" w:fill="auto"/>
            <w:noWrap/>
            <w:vAlign w:val="center"/>
            <w:hideMark/>
          </w:tcPr>
          <w:p>
            <w:pPr>
              <w:jc w:val="right"/>
              <w:rPr>
                <w:sz w:val="24"/>
                <w:szCs w:val="24"/>
                <w:lang w:val="en-PH" w:eastAsia="en-PH"/>
              </w:rPr>
            </w:pPr>
            <w:r>
              <w:rPr>
                <w:sz w:val="24"/>
                <w:szCs w:val="24"/>
              </w:rPr>
              <w:t>12,781,003.89</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6,024,664.11</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Fuel, Oil and Lubricants Inventory</w:t>
            </w:r>
          </w:p>
        </w:tc>
        <w:tc>
          <w:tcPr>
            <w:tcW w:w="1873" w:type="dxa"/>
            <w:shd w:val="clear" w:color="auto" w:fill="auto"/>
            <w:noWrap/>
            <w:vAlign w:val="center"/>
            <w:hideMark/>
          </w:tcPr>
          <w:p>
            <w:pPr>
              <w:jc w:val="right"/>
              <w:rPr>
                <w:sz w:val="24"/>
                <w:szCs w:val="24"/>
                <w:lang w:val="en-PH" w:eastAsia="en-PH"/>
              </w:rPr>
            </w:pPr>
            <w:r>
              <w:rPr>
                <w:sz w:val="24"/>
                <w:szCs w:val="24"/>
              </w:rPr>
              <w:t>409,485.00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599,545.00</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Agricultural &amp; Marine Supplies Inventory</w:t>
            </w:r>
          </w:p>
        </w:tc>
        <w:tc>
          <w:tcPr>
            <w:tcW w:w="1873" w:type="dxa"/>
            <w:shd w:val="clear" w:color="auto" w:fill="auto"/>
            <w:noWrap/>
            <w:vAlign w:val="center"/>
            <w:hideMark/>
          </w:tcPr>
          <w:p>
            <w:pPr>
              <w:jc w:val="right"/>
              <w:rPr>
                <w:sz w:val="24"/>
                <w:szCs w:val="24"/>
                <w:lang w:val="en-PH" w:eastAsia="en-PH"/>
              </w:rPr>
            </w:pPr>
            <w:r>
              <w:rPr>
                <w:sz w:val="24"/>
                <w:szCs w:val="24"/>
              </w:rPr>
              <w:t>1,278,855.00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975,512.35</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Textbooks and Instructional Materials Inventory</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0.00</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9,995.00</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Construction Materials Inventory</w:t>
            </w:r>
          </w:p>
        </w:tc>
        <w:tc>
          <w:tcPr>
            <w:tcW w:w="1873" w:type="dxa"/>
            <w:shd w:val="clear" w:color="auto" w:fill="auto"/>
            <w:noWrap/>
            <w:vAlign w:val="center"/>
            <w:hideMark/>
          </w:tcPr>
          <w:p>
            <w:pPr>
              <w:jc w:val="right"/>
              <w:rPr>
                <w:sz w:val="24"/>
                <w:szCs w:val="24"/>
                <w:lang w:val="en-PH" w:eastAsia="en-PH"/>
              </w:rPr>
            </w:pPr>
            <w:r>
              <w:rPr>
                <w:sz w:val="24"/>
                <w:szCs w:val="24"/>
              </w:rPr>
              <w:t>46,210,678.44</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57,738,067.29</w:t>
            </w:r>
          </w:p>
        </w:tc>
      </w:tr>
      <w:tr>
        <w:trPr>
          <w:trHeight w:val="304"/>
        </w:trPr>
        <w:tc>
          <w:tcPr>
            <w:tcW w:w="4334" w:type="dxa"/>
            <w:shd w:val="clear" w:color="auto" w:fill="auto"/>
            <w:noWrap/>
            <w:vAlign w:val="center"/>
            <w:hideMark/>
          </w:tcPr>
          <w:p>
            <w:pPr>
              <w:rPr>
                <w:sz w:val="24"/>
                <w:szCs w:val="24"/>
                <w:lang w:val="en-PH" w:eastAsia="en-PH"/>
              </w:rPr>
            </w:pPr>
            <w:r>
              <w:rPr>
                <w:sz w:val="24"/>
                <w:szCs w:val="24"/>
                <w:lang w:val="en-PH" w:eastAsia="en-PH"/>
              </w:rPr>
              <w:t>Other Supplies and Materials Inventory</w:t>
            </w:r>
          </w:p>
        </w:tc>
        <w:tc>
          <w:tcPr>
            <w:tcW w:w="1873" w:type="dxa"/>
            <w:shd w:val="clear" w:color="auto" w:fill="auto"/>
            <w:noWrap/>
            <w:vAlign w:val="center"/>
            <w:hideMark/>
          </w:tcPr>
          <w:p>
            <w:pPr>
              <w:jc w:val="right"/>
              <w:rPr>
                <w:sz w:val="24"/>
                <w:szCs w:val="24"/>
                <w:lang w:val="en-PH" w:eastAsia="en-PH"/>
              </w:rPr>
            </w:pPr>
            <w:r>
              <w:rPr>
                <w:sz w:val="24"/>
                <w:szCs w:val="24"/>
              </w:rPr>
              <w:t>28,315,720.18</w:t>
            </w:r>
          </w:p>
        </w:tc>
        <w:tc>
          <w:tcPr>
            <w:tcW w:w="1873" w:type="dxa"/>
            <w:shd w:val="clear" w:color="auto" w:fill="auto"/>
            <w:noWrap/>
            <w:vAlign w:val="center"/>
            <w:hideMark/>
          </w:tcPr>
          <w:p>
            <w:pPr>
              <w:jc w:val="right"/>
              <w:rPr>
                <w:sz w:val="24"/>
                <w:szCs w:val="24"/>
                <w:lang w:val="en-PH" w:eastAsia="en-PH"/>
              </w:rPr>
            </w:pPr>
            <w:r>
              <w:rPr>
                <w:sz w:val="24"/>
                <w:szCs w:val="24"/>
                <w:lang w:val="en-PH" w:eastAsia="en-PH"/>
              </w:rPr>
              <w:t>27,234,420.72</w:t>
            </w:r>
          </w:p>
        </w:tc>
      </w:tr>
      <w:tr>
        <w:trPr>
          <w:trHeight w:val="179"/>
        </w:trPr>
        <w:tc>
          <w:tcPr>
            <w:tcW w:w="4334" w:type="dxa"/>
            <w:shd w:val="clear" w:color="auto" w:fill="auto"/>
            <w:vAlign w:val="center"/>
            <w:hideMark/>
          </w:tcPr>
          <w:p>
            <w:pPr>
              <w:rPr>
                <w:b/>
                <w:bCs/>
                <w:sz w:val="24"/>
                <w:szCs w:val="24"/>
                <w:lang w:val="en-PH" w:eastAsia="en-PH"/>
              </w:rPr>
            </w:pPr>
            <w:r>
              <w:rPr>
                <w:b/>
                <w:bCs/>
                <w:sz w:val="24"/>
                <w:szCs w:val="24"/>
                <w:lang w:val="en-PH" w:eastAsia="en-PH"/>
              </w:rPr>
              <w:t>Total</w:t>
            </w:r>
          </w:p>
        </w:tc>
        <w:tc>
          <w:tcPr>
            <w:tcW w:w="1873" w:type="dxa"/>
            <w:shd w:val="clear" w:color="auto" w:fill="auto"/>
            <w:noWrap/>
            <w:vAlign w:val="center"/>
            <w:hideMark/>
          </w:tcPr>
          <w:p>
            <w:pPr>
              <w:jc w:val="right"/>
              <w:rPr>
                <w:b/>
                <w:bCs/>
                <w:sz w:val="22"/>
                <w:szCs w:val="22"/>
                <w:lang w:val="en-PH" w:eastAsia="en-PH"/>
              </w:rPr>
            </w:pPr>
            <w:r>
              <w:rPr>
                <w:b/>
                <w:bCs/>
                <w:sz w:val="22"/>
                <w:szCs w:val="22"/>
              </w:rPr>
              <w:t>113,496,177.76</w:t>
            </w:r>
          </w:p>
        </w:tc>
        <w:tc>
          <w:tcPr>
            <w:tcW w:w="1873" w:type="dxa"/>
            <w:shd w:val="clear" w:color="auto" w:fill="auto"/>
            <w:noWrap/>
            <w:vAlign w:val="center"/>
            <w:hideMark/>
          </w:tcPr>
          <w:p>
            <w:pPr>
              <w:jc w:val="right"/>
              <w:rPr>
                <w:b/>
                <w:bCs/>
                <w:sz w:val="22"/>
                <w:szCs w:val="22"/>
                <w:lang w:val="en-PH" w:eastAsia="en-PH"/>
              </w:rPr>
            </w:pPr>
            <w:r>
              <w:rPr>
                <w:b/>
                <w:bCs/>
                <w:sz w:val="22"/>
                <w:szCs w:val="22"/>
                <w:lang w:val="en-PH" w:eastAsia="en-PH"/>
              </w:rPr>
              <w:t>102,119,803.78</w:t>
            </w:r>
          </w:p>
        </w:tc>
      </w:tr>
    </w:tbl>
    <w:p>
      <w:pPr>
        <w:ind w:left="720"/>
        <w:rPr>
          <w:b/>
          <w:sz w:val="24"/>
          <w:szCs w:val="24"/>
          <w:lang w:eastAsia="en-PH"/>
        </w:rPr>
      </w:pPr>
    </w:p>
    <w:p>
      <w:pPr>
        <w:ind w:left="1418"/>
        <w:rPr>
          <w:bCs/>
          <w:sz w:val="24"/>
          <w:szCs w:val="24"/>
          <w:lang w:eastAsia="en-PH"/>
        </w:rPr>
      </w:pPr>
      <w:r>
        <w:rPr>
          <w:bCs/>
          <w:sz w:val="24"/>
          <w:szCs w:val="24"/>
          <w:lang w:eastAsia="en-PH"/>
        </w:rPr>
        <w:lastRenderedPageBreak/>
        <w:t>The movement of each account during the year is as follows:</w:t>
      </w:r>
    </w:p>
    <w:p>
      <w:pPr>
        <w:ind w:left="720"/>
        <w:rPr>
          <w:bCs/>
          <w:sz w:val="24"/>
          <w:szCs w:val="24"/>
          <w:lang w:eastAsia="en-PH"/>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1504"/>
        <w:gridCol w:w="1466"/>
        <w:gridCol w:w="1675"/>
        <w:gridCol w:w="1305"/>
        <w:gridCol w:w="1523"/>
      </w:tblGrid>
      <w:tr>
        <w:trPr>
          <w:trHeight w:val="20"/>
          <w:tblHeader/>
        </w:trPr>
        <w:tc>
          <w:tcPr>
            <w:tcW w:w="1882" w:type="dxa"/>
            <w:shd w:val="clear" w:color="auto" w:fill="auto"/>
            <w:noWrap/>
            <w:vAlign w:val="center"/>
            <w:hideMark/>
          </w:tcPr>
          <w:p>
            <w:pPr>
              <w:jc w:val="center"/>
              <w:rPr>
                <w:b/>
                <w:bCs/>
                <w:lang w:val="en-PH" w:eastAsia="en-PH"/>
              </w:rPr>
            </w:pPr>
            <w:r>
              <w:rPr>
                <w:b/>
                <w:bCs/>
                <w:lang w:val="en-PH" w:eastAsia="en-PH"/>
              </w:rPr>
              <w:t>Accounts</w:t>
            </w:r>
          </w:p>
        </w:tc>
        <w:tc>
          <w:tcPr>
            <w:tcW w:w="1504" w:type="dxa"/>
            <w:shd w:val="clear" w:color="auto" w:fill="auto"/>
            <w:noWrap/>
            <w:vAlign w:val="center"/>
            <w:hideMark/>
          </w:tcPr>
          <w:p>
            <w:pPr>
              <w:jc w:val="center"/>
              <w:rPr>
                <w:b/>
                <w:bCs/>
                <w:lang w:val="en-PH" w:eastAsia="en-PH"/>
              </w:rPr>
            </w:pPr>
            <w:r>
              <w:rPr>
                <w:b/>
                <w:bCs/>
                <w:lang w:val="en-PH" w:eastAsia="en-PH"/>
              </w:rPr>
              <w:t>Beginning Balance</w:t>
            </w:r>
          </w:p>
        </w:tc>
        <w:tc>
          <w:tcPr>
            <w:tcW w:w="1466" w:type="dxa"/>
            <w:shd w:val="clear" w:color="auto" w:fill="auto"/>
            <w:vAlign w:val="center"/>
            <w:hideMark/>
          </w:tcPr>
          <w:p>
            <w:pPr>
              <w:jc w:val="center"/>
              <w:rPr>
                <w:b/>
                <w:bCs/>
                <w:lang w:val="en-PH" w:eastAsia="en-PH"/>
              </w:rPr>
            </w:pPr>
            <w:r>
              <w:rPr>
                <w:b/>
                <w:bCs/>
                <w:lang w:val="en-PH" w:eastAsia="en-PH"/>
              </w:rPr>
              <w:t>Purchases/</w:t>
            </w:r>
            <w:r>
              <w:rPr>
                <w:b/>
                <w:bCs/>
                <w:lang w:val="en-PH" w:eastAsia="en-PH"/>
              </w:rPr>
              <w:br/>
              <w:t>Receipt of Donation</w:t>
            </w:r>
          </w:p>
        </w:tc>
        <w:tc>
          <w:tcPr>
            <w:tcW w:w="1675" w:type="dxa"/>
            <w:shd w:val="clear" w:color="auto" w:fill="auto"/>
            <w:noWrap/>
            <w:vAlign w:val="center"/>
            <w:hideMark/>
          </w:tcPr>
          <w:p>
            <w:pPr>
              <w:jc w:val="center"/>
              <w:rPr>
                <w:b/>
                <w:bCs/>
                <w:lang w:val="en-PH" w:eastAsia="en-PH"/>
              </w:rPr>
            </w:pPr>
            <w:r>
              <w:rPr>
                <w:b/>
                <w:bCs/>
                <w:lang w:val="en-PH" w:eastAsia="en-PH"/>
              </w:rPr>
              <w:t>Issuances</w:t>
            </w:r>
          </w:p>
        </w:tc>
        <w:tc>
          <w:tcPr>
            <w:tcW w:w="1305" w:type="dxa"/>
            <w:shd w:val="clear" w:color="auto" w:fill="auto"/>
            <w:noWrap/>
            <w:vAlign w:val="center"/>
            <w:hideMark/>
          </w:tcPr>
          <w:p>
            <w:pPr>
              <w:jc w:val="center"/>
              <w:rPr>
                <w:b/>
                <w:bCs/>
                <w:lang w:val="en-PH" w:eastAsia="en-PH"/>
              </w:rPr>
            </w:pPr>
            <w:r>
              <w:rPr>
                <w:b/>
                <w:bCs/>
                <w:lang w:val="en-PH" w:eastAsia="en-PH"/>
              </w:rPr>
              <w:t>Adjustments</w:t>
            </w:r>
          </w:p>
        </w:tc>
        <w:tc>
          <w:tcPr>
            <w:tcW w:w="1523" w:type="dxa"/>
            <w:shd w:val="clear" w:color="auto" w:fill="auto"/>
            <w:noWrap/>
            <w:vAlign w:val="center"/>
            <w:hideMark/>
          </w:tcPr>
          <w:p>
            <w:pPr>
              <w:jc w:val="center"/>
              <w:rPr>
                <w:b/>
                <w:bCs/>
                <w:lang w:val="en-PH" w:eastAsia="en-PH"/>
              </w:rPr>
            </w:pPr>
            <w:r>
              <w:rPr>
                <w:b/>
                <w:bCs/>
                <w:lang w:val="en-PH" w:eastAsia="en-PH"/>
              </w:rPr>
              <w:t>Ending Balance</w:t>
            </w:r>
          </w:p>
        </w:tc>
      </w:tr>
      <w:tr>
        <w:trPr>
          <w:trHeight w:val="20"/>
        </w:trPr>
        <w:tc>
          <w:tcPr>
            <w:tcW w:w="1882" w:type="dxa"/>
            <w:shd w:val="clear" w:color="auto" w:fill="auto"/>
            <w:noWrap/>
            <w:vAlign w:val="center"/>
            <w:hideMark/>
          </w:tcPr>
          <w:p>
            <w:pPr>
              <w:rPr>
                <w:lang w:val="en-PH" w:eastAsia="en-PH"/>
              </w:rPr>
            </w:pPr>
            <w:r>
              <w:rPr>
                <w:lang w:val="en-PH" w:eastAsia="en-PH"/>
              </w:rPr>
              <w:t>Office Supplies Inventory</w:t>
            </w:r>
          </w:p>
        </w:tc>
        <w:tc>
          <w:tcPr>
            <w:tcW w:w="1504" w:type="dxa"/>
            <w:shd w:val="clear" w:color="auto" w:fill="auto"/>
            <w:noWrap/>
            <w:vAlign w:val="center"/>
            <w:hideMark/>
          </w:tcPr>
          <w:p>
            <w:pPr>
              <w:jc w:val="right"/>
              <w:rPr>
                <w:lang w:val="en-PH" w:eastAsia="en-PH"/>
              </w:rPr>
            </w:pPr>
            <w:r>
              <w:rPr>
                <w:lang w:val="en-PH" w:eastAsia="en-PH"/>
              </w:rPr>
              <w:t>3,787,189.26</w:t>
            </w:r>
          </w:p>
        </w:tc>
        <w:tc>
          <w:tcPr>
            <w:tcW w:w="1466" w:type="dxa"/>
            <w:shd w:val="clear" w:color="auto" w:fill="auto"/>
            <w:noWrap/>
            <w:vAlign w:val="center"/>
            <w:hideMark/>
          </w:tcPr>
          <w:p>
            <w:pPr>
              <w:jc w:val="right"/>
              <w:rPr>
                <w:lang w:val="en-PH" w:eastAsia="en-PH"/>
              </w:rPr>
            </w:pPr>
            <w:r>
              <w:rPr>
                <w:lang w:val="en-PH" w:eastAsia="en-PH"/>
              </w:rPr>
              <w:t>9,485,357.61</w:t>
            </w:r>
          </w:p>
        </w:tc>
        <w:tc>
          <w:tcPr>
            <w:tcW w:w="1675" w:type="dxa"/>
            <w:shd w:val="clear" w:color="auto" w:fill="auto"/>
            <w:noWrap/>
            <w:vAlign w:val="center"/>
            <w:hideMark/>
          </w:tcPr>
          <w:p>
            <w:pPr>
              <w:jc w:val="right"/>
              <w:rPr>
                <w:lang w:val="en-PH" w:eastAsia="en-PH"/>
              </w:rPr>
            </w:pPr>
            <w:r>
              <w:rPr>
                <w:lang w:val="en-PH" w:eastAsia="en-PH"/>
              </w:rPr>
              <w:t>(9,820,948.21)</w:t>
            </w:r>
          </w:p>
        </w:tc>
        <w:tc>
          <w:tcPr>
            <w:tcW w:w="1305" w:type="dxa"/>
            <w:shd w:val="clear" w:color="auto" w:fill="auto"/>
            <w:noWrap/>
            <w:vAlign w:val="center"/>
            <w:hideMark/>
          </w:tcPr>
          <w:p>
            <w:pPr>
              <w:jc w:val="right"/>
              <w:rPr>
                <w:lang w:val="en-PH" w:eastAsia="en-PH"/>
              </w:rPr>
            </w:pPr>
            <w:r>
              <w:rPr>
                <w:lang w:val="en-PH" w:eastAsia="en-PH"/>
              </w:rPr>
              <w:t>56,237.00</w:t>
            </w:r>
          </w:p>
        </w:tc>
        <w:tc>
          <w:tcPr>
            <w:tcW w:w="1523" w:type="dxa"/>
            <w:shd w:val="clear" w:color="auto" w:fill="auto"/>
            <w:noWrap/>
            <w:vAlign w:val="center"/>
            <w:hideMark/>
          </w:tcPr>
          <w:p>
            <w:pPr>
              <w:jc w:val="right"/>
              <w:rPr>
                <w:lang w:val="en-PH" w:eastAsia="en-PH"/>
              </w:rPr>
            </w:pPr>
            <w:r>
              <w:rPr>
                <w:lang w:val="en-PH" w:eastAsia="en-PH"/>
              </w:rPr>
              <w:t>3,507,835.66</w:t>
            </w:r>
          </w:p>
        </w:tc>
      </w:tr>
      <w:tr>
        <w:trPr>
          <w:trHeight w:val="20"/>
        </w:trPr>
        <w:tc>
          <w:tcPr>
            <w:tcW w:w="1882" w:type="dxa"/>
            <w:shd w:val="clear" w:color="auto" w:fill="auto"/>
            <w:noWrap/>
            <w:vAlign w:val="center"/>
            <w:hideMark/>
          </w:tcPr>
          <w:p>
            <w:pPr>
              <w:rPr>
                <w:lang w:val="en-PH" w:eastAsia="en-PH"/>
              </w:rPr>
            </w:pPr>
            <w:r>
              <w:rPr>
                <w:lang w:val="en-PH" w:eastAsia="en-PH"/>
              </w:rPr>
              <w:t xml:space="preserve">Accountable Forms, Plates &amp; Stickers </w:t>
            </w:r>
          </w:p>
        </w:tc>
        <w:tc>
          <w:tcPr>
            <w:tcW w:w="1504" w:type="dxa"/>
            <w:shd w:val="clear" w:color="auto" w:fill="auto"/>
            <w:noWrap/>
            <w:vAlign w:val="center"/>
            <w:hideMark/>
          </w:tcPr>
          <w:p>
            <w:pPr>
              <w:jc w:val="right"/>
              <w:rPr>
                <w:lang w:val="en-PH" w:eastAsia="en-PH"/>
              </w:rPr>
            </w:pPr>
            <w:r>
              <w:rPr>
                <w:lang w:val="en-PH" w:eastAsia="en-PH"/>
              </w:rPr>
              <w:t>2,059,565.30</w:t>
            </w:r>
          </w:p>
        </w:tc>
        <w:tc>
          <w:tcPr>
            <w:tcW w:w="1466" w:type="dxa"/>
            <w:shd w:val="clear" w:color="auto" w:fill="auto"/>
            <w:noWrap/>
            <w:vAlign w:val="center"/>
            <w:hideMark/>
          </w:tcPr>
          <w:p>
            <w:pPr>
              <w:jc w:val="right"/>
              <w:rPr>
                <w:lang w:val="en-PH" w:eastAsia="en-PH"/>
              </w:rPr>
            </w:pPr>
            <w:r>
              <w:rPr>
                <w:lang w:val="en-PH" w:eastAsia="en-PH"/>
              </w:rPr>
              <w:t>1,962,287.30</w:t>
            </w:r>
          </w:p>
        </w:tc>
        <w:tc>
          <w:tcPr>
            <w:tcW w:w="1675" w:type="dxa"/>
            <w:shd w:val="clear" w:color="auto" w:fill="auto"/>
            <w:noWrap/>
            <w:vAlign w:val="center"/>
            <w:hideMark/>
          </w:tcPr>
          <w:p>
            <w:pPr>
              <w:jc w:val="right"/>
              <w:rPr>
                <w:lang w:val="en-PH" w:eastAsia="en-PH"/>
              </w:rPr>
            </w:pPr>
            <w:r>
              <w:rPr>
                <w:lang w:val="en-PH" w:eastAsia="en-PH"/>
              </w:rPr>
              <w:t>(1,335,544.16)</w:t>
            </w:r>
          </w:p>
        </w:tc>
        <w:tc>
          <w:tcPr>
            <w:tcW w:w="1305" w:type="dxa"/>
            <w:shd w:val="clear" w:color="auto" w:fill="auto"/>
            <w:noWrap/>
            <w:vAlign w:val="center"/>
            <w:hideMark/>
          </w:tcPr>
          <w:p>
            <w:pPr>
              <w:jc w:val="right"/>
              <w:rPr>
                <w:lang w:val="en-PH" w:eastAsia="en-PH"/>
              </w:rPr>
            </w:pPr>
            <w:r>
              <w:rPr>
                <w:lang w:val="en-PH" w:eastAsia="en-PH"/>
              </w:rPr>
              <w:t>2,829,570.34</w:t>
            </w:r>
          </w:p>
        </w:tc>
        <w:tc>
          <w:tcPr>
            <w:tcW w:w="1523" w:type="dxa"/>
            <w:shd w:val="clear" w:color="auto" w:fill="auto"/>
            <w:noWrap/>
            <w:vAlign w:val="center"/>
            <w:hideMark/>
          </w:tcPr>
          <w:p>
            <w:pPr>
              <w:jc w:val="right"/>
              <w:rPr>
                <w:lang w:val="en-PH" w:eastAsia="en-PH"/>
              </w:rPr>
            </w:pPr>
            <w:r>
              <w:rPr>
                <w:lang w:val="en-PH" w:eastAsia="en-PH"/>
              </w:rPr>
              <w:t>5,515,878.78</w:t>
            </w:r>
          </w:p>
        </w:tc>
      </w:tr>
      <w:tr>
        <w:trPr>
          <w:trHeight w:val="20"/>
        </w:trPr>
        <w:tc>
          <w:tcPr>
            <w:tcW w:w="1882" w:type="dxa"/>
            <w:shd w:val="clear" w:color="auto" w:fill="auto"/>
            <w:noWrap/>
            <w:vAlign w:val="center"/>
            <w:hideMark/>
          </w:tcPr>
          <w:p>
            <w:pPr>
              <w:rPr>
                <w:lang w:val="en-PH" w:eastAsia="en-PH"/>
              </w:rPr>
            </w:pPr>
            <w:r>
              <w:rPr>
                <w:lang w:val="en-PH" w:eastAsia="en-PH"/>
              </w:rPr>
              <w:t>Non-Accountable Forms Inventory</w:t>
            </w:r>
          </w:p>
        </w:tc>
        <w:tc>
          <w:tcPr>
            <w:tcW w:w="1504" w:type="dxa"/>
            <w:shd w:val="clear" w:color="auto" w:fill="auto"/>
            <w:noWrap/>
            <w:vAlign w:val="center"/>
            <w:hideMark/>
          </w:tcPr>
          <w:p>
            <w:pPr>
              <w:jc w:val="right"/>
              <w:rPr>
                <w:lang w:val="en-PH" w:eastAsia="en-PH"/>
              </w:rPr>
            </w:pPr>
            <w:r>
              <w:rPr>
                <w:lang w:val="en-PH" w:eastAsia="en-PH"/>
              </w:rPr>
              <w:t>255,490.00</w:t>
            </w:r>
          </w:p>
        </w:tc>
        <w:tc>
          <w:tcPr>
            <w:tcW w:w="1466" w:type="dxa"/>
            <w:shd w:val="clear" w:color="auto" w:fill="auto"/>
            <w:noWrap/>
            <w:vAlign w:val="center"/>
            <w:hideMark/>
          </w:tcPr>
          <w:p>
            <w:pPr>
              <w:jc w:val="right"/>
              <w:rPr>
                <w:lang w:val="en-PH" w:eastAsia="en-PH"/>
              </w:rPr>
            </w:pPr>
            <w:r>
              <w:rPr>
                <w:lang w:val="en-PH" w:eastAsia="en-PH"/>
              </w:rPr>
              <w:t>1,398,373.50</w:t>
            </w:r>
          </w:p>
        </w:tc>
        <w:tc>
          <w:tcPr>
            <w:tcW w:w="1675" w:type="dxa"/>
            <w:shd w:val="clear" w:color="auto" w:fill="auto"/>
            <w:noWrap/>
            <w:vAlign w:val="center"/>
            <w:hideMark/>
          </w:tcPr>
          <w:p>
            <w:pPr>
              <w:jc w:val="right"/>
              <w:rPr>
                <w:lang w:val="en-PH" w:eastAsia="en-PH"/>
              </w:rPr>
            </w:pPr>
            <w:r>
              <w:rPr>
                <w:lang w:val="en-PH" w:eastAsia="en-PH"/>
              </w:rPr>
              <w:t>(488,548.00)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1,165,315.50</w:t>
            </w:r>
          </w:p>
        </w:tc>
      </w:tr>
      <w:tr>
        <w:trPr>
          <w:trHeight w:val="20"/>
        </w:trPr>
        <w:tc>
          <w:tcPr>
            <w:tcW w:w="1882" w:type="dxa"/>
            <w:shd w:val="clear" w:color="auto" w:fill="auto"/>
            <w:noWrap/>
            <w:vAlign w:val="center"/>
            <w:hideMark/>
          </w:tcPr>
          <w:p>
            <w:pPr>
              <w:rPr>
                <w:lang w:val="en-PH" w:eastAsia="en-PH"/>
              </w:rPr>
            </w:pPr>
            <w:r>
              <w:rPr>
                <w:lang w:val="en-PH" w:eastAsia="en-PH"/>
              </w:rPr>
              <w:t>Animal/Zoological Supplies Inventory</w:t>
            </w:r>
          </w:p>
        </w:tc>
        <w:tc>
          <w:tcPr>
            <w:tcW w:w="1504" w:type="dxa"/>
            <w:shd w:val="clear" w:color="auto" w:fill="auto"/>
            <w:noWrap/>
            <w:vAlign w:val="center"/>
            <w:hideMark/>
          </w:tcPr>
          <w:p>
            <w:pPr>
              <w:jc w:val="right"/>
              <w:rPr>
                <w:lang w:val="en-PH" w:eastAsia="en-PH"/>
              </w:rPr>
            </w:pPr>
            <w:r>
              <w:rPr>
                <w:lang w:val="en-PH" w:eastAsia="en-PH"/>
              </w:rPr>
              <w:t>585,446.50</w:t>
            </w:r>
          </w:p>
        </w:tc>
        <w:tc>
          <w:tcPr>
            <w:tcW w:w="1466" w:type="dxa"/>
            <w:shd w:val="clear" w:color="auto" w:fill="auto"/>
            <w:noWrap/>
            <w:vAlign w:val="center"/>
            <w:hideMark/>
          </w:tcPr>
          <w:p>
            <w:pPr>
              <w:jc w:val="right"/>
              <w:rPr>
                <w:lang w:val="en-PH" w:eastAsia="en-PH"/>
              </w:rPr>
            </w:pPr>
            <w:r>
              <w:rPr>
                <w:lang w:val="en-PH" w:eastAsia="en-PH"/>
              </w:rPr>
              <w:t>736,375.00</w:t>
            </w:r>
          </w:p>
        </w:tc>
        <w:tc>
          <w:tcPr>
            <w:tcW w:w="1675" w:type="dxa"/>
            <w:shd w:val="clear" w:color="auto" w:fill="auto"/>
            <w:noWrap/>
            <w:vAlign w:val="center"/>
            <w:hideMark/>
          </w:tcPr>
          <w:p>
            <w:pPr>
              <w:jc w:val="right"/>
              <w:rPr>
                <w:lang w:val="en-PH" w:eastAsia="en-PH"/>
              </w:rPr>
            </w:pPr>
            <w:r>
              <w:rPr>
                <w:lang w:val="en-PH" w:eastAsia="en-PH"/>
              </w:rPr>
              <w:t>(893,686.50)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428,135.00</w:t>
            </w:r>
          </w:p>
        </w:tc>
      </w:tr>
      <w:tr>
        <w:trPr>
          <w:trHeight w:val="20"/>
        </w:trPr>
        <w:tc>
          <w:tcPr>
            <w:tcW w:w="1882" w:type="dxa"/>
            <w:shd w:val="clear" w:color="auto" w:fill="auto"/>
            <w:noWrap/>
            <w:vAlign w:val="center"/>
            <w:hideMark/>
          </w:tcPr>
          <w:p>
            <w:pPr>
              <w:rPr>
                <w:lang w:val="en-PH" w:eastAsia="en-PH"/>
              </w:rPr>
            </w:pPr>
            <w:r>
              <w:rPr>
                <w:lang w:val="en-PH" w:eastAsia="en-PH"/>
              </w:rPr>
              <w:t>Food Supplies Inventory</w:t>
            </w:r>
          </w:p>
        </w:tc>
        <w:tc>
          <w:tcPr>
            <w:tcW w:w="1504" w:type="dxa"/>
            <w:shd w:val="clear" w:color="auto" w:fill="auto"/>
            <w:noWrap/>
            <w:vAlign w:val="center"/>
            <w:hideMark/>
          </w:tcPr>
          <w:p>
            <w:pPr>
              <w:jc w:val="right"/>
              <w:rPr>
                <w:lang w:val="en-PH" w:eastAsia="en-PH"/>
              </w:rPr>
            </w:pPr>
            <w:r>
              <w:rPr>
                <w:lang w:val="en-PH" w:eastAsia="en-PH"/>
              </w:rPr>
              <w:t>344,009.93</w:t>
            </w:r>
          </w:p>
        </w:tc>
        <w:tc>
          <w:tcPr>
            <w:tcW w:w="1466" w:type="dxa"/>
            <w:shd w:val="clear" w:color="auto" w:fill="auto"/>
            <w:noWrap/>
            <w:vAlign w:val="center"/>
            <w:hideMark/>
          </w:tcPr>
          <w:p>
            <w:pPr>
              <w:jc w:val="right"/>
              <w:rPr>
                <w:lang w:val="en-PH" w:eastAsia="en-PH"/>
              </w:rPr>
            </w:pPr>
            <w:r>
              <w:rPr>
                <w:lang w:val="en-PH" w:eastAsia="en-PH"/>
              </w:rPr>
              <w:t>1,113,278.25</w:t>
            </w:r>
          </w:p>
        </w:tc>
        <w:tc>
          <w:tcPr>
            <w:tcW w:w="1675" w:type="dxa"/>
            <w:shd w:val="clear" w:color="auto" w:fill="auto"/>
            <w:noWrap/>
            <w:vAlign w:val="center"/>
            <w:hideMark/>
          </w:tcPr>
          <w:p>
            <w:pPr>
              <w:jc w:val="right"/>
              <w:rPr>
                <w:lang w:val="en-PH" w:eastAsia="en-PH"/>
              </w:rPr>
            </w:pPr>
            <w:r>
              <w:rPr>
                <w:lang w:val="en-PH" w:eastAsia="en-PH"/>
              </w:rPr>
              <w:t>(1,062,041.18)</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395,247.00</w:t>
            </w:r>
          </w:p>
        </w:tc>
      </w:tr>
      <w:tr>
        <w:trPr>
          <w:trHeight w:val="20"/>
        </w:trPr>
        <w:tc>
          <w:tcPr>
            <w:tcW w:w="1882" w:type="dxa"/>
            <w:shd w:val="clear" w:color="auto" w:fill="auto"/>
            <w:noWrap/>
            <w:vAlign w:val="center"/>
            <w:hideMark/>
          </w:tcPr>
          <w:p>
            <w:pPr>
              <w:rPr>
                <w:lang w:val="en-PH" w:eastAsia="en-PH"/>
              </w:rPr>
            </w:pPr>
            <w:r>
              <w:rPr>
                <w:lang w:val="en-PH" w:eastAsia="en-PH"/>
              </w:rPr>
              <w:t>Drugs and Medicines Inventory</w:t>
            </w:r>
          </w:p>
        </w:tc>
        <w:tc>
          <w:tcPr>
            <w:tcW w:w="1504" w:type="dxa"/>
            <w:shd w:val="clear" w:color="auto" w:fill="auto"/>
            <w:noWrap/>
            <w:vAlign w:val="center"/>
            <w:hideMark/>
          </w:tcPr>
          <w:p>
            <w:pPr>
              <w:jc w:val="right"/>
              <w:rPr>
                <w:lang w:val="en-PH" w:eastAsia="en-PH"/>
              </w:rPr>
            </w:pPr>
            <w:r>
              <w:rPr>
                <w:lang w:val="en-PH" w:eastAsia="en-PH"/>
              </w:rPr>
              <w:t>2,505,898.32</w:t>
            </w:r>
          </w:p>
        </w:tc>
        <w:tc>
          <w:tcPr>
            <w:tcW w:w="1466" w:type="dxa"/>
            <w:shd w:val="clear" w:color="auto" w:fill="auto"/>
            <w:noWrap/>
            <w:vAlign w:val="center"/>
            <w:hideMark/>
          </w:tcPr>
          <w:p>
            <w:pPr>
              <w:jc w:val="right"/>
              <w:rPr>
                <w:lang w:val="en-PH" w:eastAsia="en-PH"/>
              </w:rPr>
            </w:pPr>
            <w:r>
              <w:rPr>
                <w:lang w:val="en-PH" w:eastAsia="en-PH"/>
              </w:rPr>
              <w:t>16,319,717.48</w:t>
            </w:r>
          </w:p>
        </w:tc>
        <w:tc>
          <w:tcPr>
            <w:tcW w:w="1675" w:type="dxa"/>
            <w:shd w:val="clear" w:color="auto" w:fill="auto"/>
            <w:noWrap/>
            <w:vAlign w:val="center"/>
            <w:hideMark/>
          </w:tcPr>
          <w:p>
            <w:pPr>
              <w:jc w:val="right"/>
              <w:rPr>
                <w:lang w:val="en-PH" w:eastAsia="en-PH"/>
              </w:rPr>
            </w:pPr>
            <w:r>
              <w:rPr>
                <w:lang w:val="en-PH" w:eastAsia="en-PH"/>
              </w:rPr>
              <w:t>(5,337,591.49)</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13,488,023.31</w:t>
            </w:r>
          </w:p>
        </w:tc>
      </w:tr>
      <w:tr>
        <w:trPr>
          <w:trHeight w:val="20"/>
        </w:trPr>
        <w:tc>
          <w:tcPr>
            <w:tcW w:w="1882" w:type="dxa"/>
            <w:shd w:val="clear" w:color="auto" w:fill="auto"/>
            <w:noWrap/>
            <w:vAlign w:val="center"/>
            <w:hideMark/>
          </w:tcPr>
          <w:p>
            <w:pPr>
              <w:rPr>
                <w:lang w:val="en-PH" w:eastAsia="en-PH"/>
              </w:rPr>
            </w:pPr>
            <w:r>
              <w:rPr>
                <w:lang w:val="en-PH" w:eastAsia="en-PH"/>
              </w:rPr>
              <w:t>Medical, Dental and Lab Supplies Inventory</w:t>
            </w:r>
          </w:p>
        </w:tc>
        <w:tc>
          <w:tcPr>
            <w:tcW w:w="1504" w:type="dxa"/>
            <w:shd w:val="clear" w:color="auto" w:fill="auto"/>
            <w:noWrap/>
            <w:vAlign w:val="center"/>
            <w:hideMark/>
          </w:tcPr>
          <w:p>
            <w:pPr>
              <w:jc w:val="right"/>
              <w:rPr>
                <w:lang w:val="en-PH" w:eastAsia="en-PH"/>
              </w:rPr>
            </w:pPr>
            <w:r>
              <w:rPr>
                <w:lang w:val="en-PH" w:eastAsia="en-PH"/>
              </w:rPr>
              <w:t>6,024,664.11</w:t>
            </w:r>
          </w:p>
        </w:tc>
        <w:tc>
          <w:tcPr>
            <w:tcW w:w="1466" w:type="dxa"/>
            <w:shd w:val="clear" w:color="auto" w:fill="auto"/>
            <w:noWrap/>
            <w:vAlign w:val="center"/>
            <w:hideMark/>
          </w:tcPr>
          <w:p>
            <w:pPr>
              <w:jc w:val="right"/>
              <w:rPr>
                <w:lang w:val="en-PH" w:eastAsia="en-PH"/>
              </w:rPr>
            </w:pPr>
            <w:r>
              <w:rPr>
                <w:lang w:val="en-PH" w:eastAsia="en-PH"/>
              </w:rPr>
              <w:t>8,113,553.05</w:t>
            </w:r>
          </w:p>
        </w:tc>
        <w:tc>
          <w:tcPr>
            <w:tcW w:w="1675" w:type="dxa"/>
            <w:shd w:val="clear" w:color="auto" w:fill="auto"/>
            <w:noWrap/>
            <w:vAlign w:val="center"/>
            <w:hideMark/>
          </w:tcPr>
          <w:p>
            <w:pPr>
              <w:jc w:val="right"/>
              <w:rPr>
                <w:lang w:val="en-PH" w:eastAsia="en-PH"/>
              </w:rPr>
            </w:pPr>
            <w:r>
              <w:rPr>
                <w:lang w:val="en-PH" w:eastAsia="en-PH"/>
              </w:rPr>
              <w:t>(5,984,469.80)</w:t>
            </w:r>
          </w:p>
        </w:tc>
        <w:tc>
          <w:tcPr>
            <w:tcW w:w="1305" w:type="dxa"/>
            <w:shd w:val="clear" w:color="auto" w:fill="auto"/>
            <w:noWrap/>
            <w:vAlign w:val="center"/>
            <w:hideMark/>
          </w:tcPr>
          <w:p>
            <w:pPr>
              <w:jc w:val="right"/>
              <w:rPr>
                <w:lang w:val="en-PH" w:eastAsia="en-PH"/>
              </w:rPr>
            </w:pPr>
            <w:r>
              <w:rPr>
                <w:lang w:val="en-PH" w:eastAsia="en-PH"/>
              </w:rPr>
              <w:t>30,540.40</w:t>
            </w:r>
          </w:p>
        </w:tc>
        <w:tc>
          <w:tcPr>
            <w:tcW w:w="1523" w:type="dxa"/>
            <w:shd w:val="clear" w:color="auto" w:fill="auto"/>
            <w:noWrap/>
            <w:vAlign w:val="center"/>
            <w:hideMark/>
          </w:tcPr>
          <w:p>
            <w:pPr>
              <w:jc w:val="right"/>
              <w:rPr>
                <w:lang w:val="en-PH" w:eastAsia="en-PH"/>
              </w:rPr>
            </w:pPr>
            <w:r>
              <w:rPr>
                <w:lang w:val="en-PH" w:eastAsia="en-PH"/>
              </w:rPr>
              <w:t>8,184,288.76</w:t>
            </w:r>
          </w:p>
        </w:tc>
      </w:tr>
      <w:tr>
        <w:trPr>
          <w:trHeight w:val="20"/>
        </w:trPr>
        <w:tc>
          <w:tcPr>
            <w:tcW w:w="1882" w:type="dxa"/>
            <w:shd w:val="clear" w:color="auto" w:fill="auto"/>
            <w:noWrap/>
            <w:vAlign w:val="center"/>
            <w:hideMark/>
          </w:tcPr>
          <w:p>
            <w:pPr>
              <w:rPr>
                <w:lang w:val="en-PH" w:eastAsia="en-PH"/>
              </w:rPr>
            </w:pPr>
            <w:r>
              <w:rPr>
                <w:lang w:val="en-PH" w:eastAsia="en-PH"/>
              </w:rPr>
              <w:t>Fuel, Oil and Lubricants Inventory</w:t>
            </w:r>
          </w:p>
        </w:tc>
        <w:tc>
          <w:tcPr>
            <w:tcW w:w="1504" w:type="dxa"/>
            <w:shd w:val="clear" w:color="auto" w:fill="auto"/>
            <w:noWrap/>
            <w:vAlign w:val="center"/>
            <w:hideMark/>
          </w:tcPr>
          <w:p>
            <w:pPr>
              <w:jc w:val="right"/>
              <w:rPr>
                <w:lang w:val="en-PH" w:eastAsia="en-PH"/>
              </w:rPr>
            </w:pPr>
            <w:r>
              <w:rPr>
                <w:lang w:val="en-PH" w:eastAsia="en-PH"/>
              </w:rPr>
              <w:t>599,545.00</w:t>
            </w:r>
          </w:p>
        </w:tc>
        <w:tc>
          <w:tcPr>
            <w:tcW w:w="1466" w:type="dxa"/>
            <w:shd w:val="clear" w:color="auto" w:fill="auto"/>
            <w:noWrap/>
            <w:vAlign w:val="center"/>
            <w:hideMark/>
          </w:tcPr>
          <w:p>
            <w:pPr>
              <w:jc w:val="right"/>
              <w:rPr>
                <w:lang w:val="en-PH" w:eastAsia="en-PH"/>
              </w:rPr>
            </w:pPr>
            <w:r>
              <w:rPr>
                <w:lang w:val="en-PH" w:eastAsia="en-PH"/>
              </w:rPr>
              <w:t>780,955.00</w:t>
            </w:r>
          </w:p>
        </w:tc>
        <w:tc>
          <w:tcPr>
            <w:tcW w:w="1675" w:type="dxa"/>
            <w:shd w:val="clear" w:color="auto" w:fill="auto"/>
            <w:noWrap/>
            <w:vAlign w:val="center"/>
            <w:hideMark/>
          </w:tcPr>
          <w:p>
            <w:pPr>
              <w:jc w:val="right"/>
              <w:rPr>
                <w:lang w:val="en-PH" w:eastAsia="en-PH"/>
              </w:rPr>
            </w:pPr>
            <w:r>
              <w:rPr>
                <w:lang w:val="en-PH" w:eastAsia="en-PH"/>
              </w:rPr>
              <w:t>(971,015.00)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409,485.00</w:t>
            </w:r>
          </w:p>
        </w:tc>
      </w:tr>
      <w:tr>
        <w:trPr>
          <w:trHeight w:val="20"/>
        </w:trPr>
        <w:tc>
          <w:tcPr>
            <w:tcW w:w="1882" w:type="dxa"/>
            <w:shd w:val="clear" w:color="auto" w:fill="auto"/>
            <w:noWrap/>
            <w:vAlign w:val="center"/>
            <w:hideMark/>
          </w:tcPr>
          <w:p>
            <w:pPr>
              <w:rPr>
                <w:lang w:val="en-PH" w:eastAsia="en-PH"/>
              </w:rPr>
            </w:pPr>
            <w:r>
              <w:rPr>
                <w:lang w:val="en-PH" w:eastAsia="en-PH"/>
              </w:rPr>
              <w:t>Agricultural &amp; Marine Supplies Inventory</w:t>
            </w:r>
          </w:p>
        </w:tc>
        <w:tc>
          <w:tcPr>
            <w:tcW w:w="1504" w:type="dxa"/>
            <w:shd w:val="clear" w:color="auto" w:fill="auto"/>
            <w:noWrap/>
            <w:vAlign w:val="center"/>
            <w:hideMark/>
          </w:tcPr>
          <w:p>
            <w:pPr>
              <w:jc w:val="right"/>
              <w:rPr>
                <w:lang w:val="en-PH" w:eastAsia="en-PH"/>
              </w:rPr>
            </w:pPr>
            <w:r>
              <w:rPr>
                <w:lang w:val="en-PH" w:eastAsia="en-PH"/>
              </w:rPr>
              <w:t>975,512.35</w:t>
            </w:r>
          </w:p>
        </w:tc>
        <w:tc>
          <w:tcPr>
            <w:tcW w:w="1466" w:type="dxa"/>
            <w:shd w:val="clear" w:color="auto" w:fill="auto"/>
            <w:noWrap/>
            <w:vAlign w:val="center"/>
            <w:hideMark/>
          </w:tcPr>
          <w:p>
            <w:pPr>
              <w:jc w:val="right"/>
              <w:rPr>
                <w:lang w:val="en-PH" w:eastAsia="en-PH"/>
              </w:rPr>
            </w:pPr>
            <w:r>
              <w:rPr>
                <w:lang w:val="en-PH" w:eastAsia="en-PH"/>
              </w:rPr>
              <w:t>7,664,687.25</w:t>
            </w:r>
          </w:p>
        </w:tc>
        <w:tc>
          <w:tcPr>
            <w:tcW w:w="1675" w:type="dxa"/>
            <w:shd w:val="clear" w:color="auto" w:fill="auto"/>
            <w:noWrap/>
            <w:vAlign w:val="center"/>
            <w:hideMark/>
          </w:tcPr>
          <w:p>
            <w:pPr>
              <w:jc w:val="right"/>
              <w:rPr>
                <w:lang w:val="en-PH" w:eastAsia="en-PH"/>
              </w:rPr>
            </w:pPr>
            <w:r>
              <w:rPr>
                <w:lang w:val="en-PH" w:eastAsia="en-PH"/>
              </w:rPr>
              <w:t>(7,361,344.60)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1,278,855.00</w:t>
            </w:r>
          </w:p>
        </w:tc>
      </w:tr>
      <w:tr>
        <w:trPr>
          <w:trHeight w:val="20"/>
        </w:trPr>
        <w:tc>
          <w:tcPr>
            <w:tcW w:w="1882" w:type="dxa"/>
            <w:shd w:val="clear" w:color="auto" w:fill="auto"/>
            <w:noWrap/>
            <w:vAlign w:val="center"/>
            <w:hideMark/>
          </w:tcPr>
          <w:p>
            <w:pPr>
              <w:rPr>
                <w:lang w:val="en-PH" w:eastAsia="en-PH"/>
              </w:rPr>
            </w:pPr>
            <w:r>
              <w:rPr>
                <w:lang w:val="en-PH" w:eastAsia="en-PH"/>
              </w:rPr>
              <w:t>Textbooks and Instructional Mat Inv</w:t>
            </w:r>
          </w:p>
        </w:tc>
        <w:tc>
          <w:tcPr>
            <w:tcW w:w="1504" w:type="dxa"/>
            <w:shd w:val="clear" w:color="auto" w:fill="auto"/>
            <w:noWrap/>
            <w:vAlign w:val="center"/>
            <w:hideMark/>
          </w:tcPr>
          <w:p>
            <w:pPr>
              <w:jc w:val="right"/>
              <w:rPr>
                <w:lang w:val="en-PH" w:eastAsia="en-PH"/>
              </w:rPr>
            </w:pPr>
            <w:r>
              <w:rPr>
                <w:lang w:val="en-PH" w:eastAsia="en-PH"/>
              </w:rPr>
              <w:t>9,995.00</w:t>
            </w:r>
          </w:p>
        </w:tc>
        <w:tc>
          <w:tcPr>
            <w:tcW w:w="1466" w:type="dxa"/>
            <w:shd w:val="clear" w:color="auto" w:fill="auto"/>
            <w:noWrap/>
            <w:vAlign w:val="center"/>
            <w:hideMark/>
          </w:tcPr>
          <w:p>
            <w:pPr>
              <w:jc w:val="right"/>
              <w:rPr>
                <w:lang w:val="en-PH" w:eastAsia="en-PH"/>
              </w:rPr>
            </w:pPr>
          </w:p>
        </w:tc>
        <w:tc>
          <w:tcPr>
            <w:tcW w:w="1675" w:type="dxa"/>
            <w:shd w:val="clear" w:color="auto" w:fill="auto"/>
            <w:noWrap/>
            <w:vAlign w:val="center"/>
            <w:hideMark/>
          </w:tcPr>
          <w:p>
            <w:pPr>
              <w:jc w:val="right"/>
              <w:rPr>
                <w:lang w:val="en-PH" w:eastAsia="en-PH"/>
              </w:rPr>
            </w:pPr>
            <w:r>
              <w:rPr>
                <w:lang w:val="en-PH" w:eastAsia="en-PH"/>
              </w:rPr>
              <w:t>(9,995.00)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0.00</w:t>
            </w:r>
          </w:p>
        </w:tc>
      </w:tr>
      <w:tr>
        <w:trPr>
          <w:trHeight w:val="20"/>
        </w:trPr>
        <w:tc>
          <w:tcPr>
            <w:tcW w:w="1882" w:type="dxa"/>
            <w:shd w:val="clear" w:color="auto" w:fill="auto"/>
            <w:noWrap/>
            <w:vAlign w:val="center"/>
            <w:hideMark/>
          </w:tcPr>
          <w:p>
            <w:pPr>
              <w:rPr>
                <w:lang w:val="en-PH" w:eastAsia="en-PH"/>
              </w:rPr>
            </w:pPr>
            <w:r>
              <w:rPr>
                <w:lang w:val="en-PH" w:eastAsia="en-PH"/>
              </w:rPr>
              <w:t>Construction Materials Inventory</w:t>
            </w:r>
          </w:p>
        </w:tc>
        <w:tc>
          <w:tcPr>
            <w:tcW w:w="1504" w:type="dxa"/>
            <w:shd w:val="clear" w:color="auto" w:fill="auto"/>
            <w:noWrap/>
            <w:vAlign w:val="center"/>
            <w:hideMark/>
          </w:tcPr>
          <w:p>
            <w:pPr>
              <w:jc w:val="right"/>
              <w:rPr>
                <w:lang w:val="en-PH" w:eastAsia="en-PH"/>
              </w:rPr>
            </w:pPr>
            <w:r>
              <w:rPr>
                <w:lang w:val="en-PH" w:eastAsia="en-PH"/>
              </w:rPr>
              <w:t>57,738,067.29</w:t>
            </w:r>
          </w:p>
        </w:tc>
        <w:tc>
          <w:tcPr>
            <w:tcW w:w="1466" w:type="dxa"/>
            <w:shd w:val="clear" w:color="auto" w:fill="auto"/>
            <w:noWrap/>
            <w:vAlign w:val="center"/>
            <w:hideMark/>
          </w:tcPr>
          <w:p>
            <w:pPr>
              <w:jc w:val="right"/>
              <w:rPr>
                <w:lang w:val="en-PH" w:eastAsia="en-PH"/>
              </w:rPr>
            </w:pPr>
            <w:r>
              <w:rPr>
                <w:lang w:val="en-PH" w:eastAsia="en-PH"/>
              </w:rPr>
              <w:t>46,733,749.15</w:t>
            </w:r>
          </w:p>
        </w:tc>
        <w:tc>
          <w:tcPr>
            <w:tcW w:w="1675" w:type="dxa"/>
            <w:shd w:val="clear" w:color="auto" w:fill="auto"/>
            <w:noWrap/>
            <w:vAlign w:val="center"/>
            <w:hideMark/>
          </w:tcPr>
          <w:p>
            <w:pPr>
              <w:jc w:val="right"/>
              <w:rPr>
                <w:lang w:val="en-PH" w:eastAsia="en-PH"/>
              </w:rPr>
            </w:pPr>
            <w:r>
              <w:rPr>
                <w:lang w:val="en-PH" w:eastAsia="en-PH"/>
              </w:rPr>
              <w:t>(60,687,868.00)</w:t>
            </w:r>
          </w:p>
        </w:tc>
        <w:tc>
          <w:tcPr>
            <w:tcW w:w="1305" w:type="dxa"/>
            <w:shd w:val="clear" w:color="auto" w:fill="auto"/>
            <w:noWrap/>
            <w:vAlign w:val="center"/>
            <w:hideMark/>
          </w:tcPr>
          <w:p>
            <w:pPr>
              <w:jc w:val="right"/>
              <w:rPr>
                <w:lang w:val="en-PH" w:eastAsia="en-PH"/>
              </w:rPr>
            </w:pPr>
          </w:p>
        </w:tc>
        <w:tc>
          <w:tcPr>
            <w:tcW w:w="1523" w:type="dxa"/>
            <w:shd w:val="clear" w:color="auto" w:fill="auto"/>
            <w:noWrap/>
            <w:vAlign w:val="center"/>
            <w:hideMark/>
          </w:tcPr>
          <w:p>
            <w:pPr>
              <w:jc w:val="right"/>
              <w:rPr>
                <w:lang w:val="en-PH" w:eastAsia="en-PH"/>
              </w:rPr>
            </w:pPr>
            <w:r>
              <w:rPr>
                <w:lang w:val="en-PH" w:eastAsia="en-PH"/>
              </w:rPr>
              <w:t>43,783,948.44</w:t>
            </w:r>
          </w:p>
        </w:tc>
      </w:tr>
      <w:tr>
        <w:trPr>
          <w:trHeight w:val="20"/>
        </w:trPr>
        <w:tc>
          <w:tcPr>
            <w:tcW w:w="1882" w:type="dxa"/>
            <w:shd w:val="clear" w:color="auto" w:fill="auto"/>
            <w:noWrap/>
            <w:vAlign w:val="center"/>
            <w:hideMark/>
          </w:tcPr>
          <w:p>
            <w:pPr>
              <w:rPr>
                <w:lang w:val="en-PH" w:eastAsia="en-PH"/>
              </w:rPr>
            </w:pPr>
            <w:r>
              <w:rPr>
                <w:lang w:val="en-PH" w:eastAsia="en-PH"/>
              </w:rPr>
              <w:t>Other Supplies and Materials Inventory</w:t>
            </w:r>
          </w:p>
        </w:tc>
        <w:tc>
          <w:tcPr>
            <w:tcW w:w="1504" w:type="dxa"/>
            <w:shd w:val="clear" w:color="auto" w:fill="auto"/>
            <w:noWrap/>
            <w:vAlign w:val="center"/>
            <w:hideMark/>
          </w:tcPr>
          <w:p>
            <w:pPr>
              <w:jc w:val="right"/>
              <w:rPr>
                <w:lang w:val="en-PH" w:eastAsia="en-PH"/>
              </w:rPr>
            </w:pPr>
            <w:r>
              <w:rPr>
                <w:lang w:val="en-PH" w:eastAsia="en-PH"/>
              </w:rPr>
              <w:t>27,234,420.72</w:t>
            </w:r>
          </w:p>
        </w:tc>
        <w:tc>
          <w:tcPr>
            <w:tcW w:w="1466" w:type="dxa"/>
            <w:shd w:val="clear" w:color="auto" w:fill="auto"/>
            <w:noWrap/>
            <w:vAlign w:val="center"/>
            <w:hideMark/>
          </w:tcPr>
          <w:p>
            <w:pPr>
              <w:jc w:val="right"/>
              <w:rPr>
                <w:lang w:val="en-PH" w:eastAsia="en-PH"/>
              </w:rPr>
            </w:pPr>
            <w:r>
              <w:rPr>
                <w:lang w:val="en-PH" w:eastAsia="en-PH"/>
              </w:rPr>
              <w:t>28,916,180.71</w:t>
            </w:r>
          </w:p>
        </w:tc>
        <w:tc>
          <w:tcPr>
            <w:tcW w:w="1675" w:type="dxa"/>
            <w:shd w:val="clear" w:color="auto" w:fill="auto"/>
            <w:noWrap/>
            <w:vAlign w:val="center"/>
            <w:hideMark/>
          </w:tcPr>
          <w:p>
            <w:pPr>
              <w:jc w:val="right"/>
              <w:rPr>
                <w:lang w:val="en-PH" w:eastAsia="en-PH"/>
              </w:rPr>
            </w:pPr>
            <w:r>
              <w:rPr>
                <w:lang w:val="en-PH" w:eastAsia="en-PH"/>
              </w:rPr>
              <w:t>(32,994,601.01)</w:t>
            </w:r>
          </w:p>
        </w:tc>
        <w:tc>
          <w:tcPr>
            <w:tcW w:w="1305" w:type="dxa"/>
            <w:shd w:val="clear" w:color="auto" w:fill="auto"/>
            <w:noWrap/>
            <w:vAlign w:val="center"/>
            <w:hideMark/>
          </w:tcPr>
          <w:p>
            <w:pPr>
              <w:jc w:val="right"/>
              <w:rPr>
                <w:lang w:val="en-PH" w:eastAsia="en-PH"/>
              </w:rPr>
            </w:pPr>
            <w:r>
              <w:rPr>
                <w:lang w:val="en-PH" w:eastAsia="en-PH"/>
              </w:rPr>
              <w:t>5,159,719.76</w:t>
            </w:r>
          </w:p>
        </w:tc>
        <w:tc>
          <w:tcPr>
            <w:tcW w:w="1523" w:type="dxa"/>
            <w:shd w:val="clear" w:color="auto" w:fill="auto"/>
            <w:noWrap/>
            <w:vAlign w:val="center"/>
            <w:hideMark/>
          </w:tcPr>
          <w:p>
            <w:pPr>
              <w:jc w:val="right"/>
              <w:rPr>
                <w:lang w:val="en-PH" w:eastAsia="en-PH"/>
              </w:rPr>
            </w:pPr>
            <w:r>
              <w:rPr>
                <w:lang w:val="en-PH" w:eastAsia="en-PH"/>
              </w:rPr>
              <w:t>28,315,720.18</w:t>
            </w:r>
          </w:p>
        </w:tc>
      </w:tr>
      <w:tr>
        <w:trPr>
          <w:trHeight w:val="20"/>
        </w:trPr>
        <w:tc>
          <w:tcPr>
            <w:tcW w:w="1882" w:type="dxa"/>
            <w:shd w:val="clear" w:color="auto" w:fill="auto"/>
            <w:vAlign w:val="center"/>
            <w:hideMark/>
          </w:tcPr>
          <w:p>
            <w:pPr>
              <w:rPr>
                <w:b/>
                <w:bCs/>
                <w:lang w:val="en-PH" w:eastAsia="en-PH"/>
              </w:rPr>
            </w:pPr>
            <w:r>
              <w:rPr>
                <w:b/>
                <w:bCs/>
                <w:lang w:val="en-PH" w:eastAsia="en-PH"/>
              </w:rPr>
              <w:t>Total</w:t>
            </w:r>
          </w:p>
        </w:tc>
        <w:tc>
          <w:tcPr>
            <w:tcW w:w="1504" w:type="dxa"/>
            <w:shd w:val="clear" w:color="auto" w:fill="auto"/>
            <w:noWrap/>
            <w:vAlign w:val="center"/>
            <w:hideMark/>
          </w:tcPr>
          <w:p>
            <w:pPr>
              <w:jc w:val="right"/>
              <w:rPr>
                <w:b/>
                <w:bCs/>
                <w:lang w:val="en-PH" w:eastAsia="en-PH"/>
              </w:rPr>
            </w:pPr>
            <w:r>
              <w:rPr>
                <w:b/>
                <w:bCs/>
                <w:lang w:val="en-PH" w:eastAsia="en-PH"/>
              </w:rPr>
              <w:t>102,119,803.78</w:t>
            </w:r>
          </w:p>
        </w:tc>
        <w:tc>
          <w:tcPr>
            <w:tcW w:w="1466" w:type="dxa"/>
            <w:shd w:val="clear" w:color="auto" w:fill="auto"/>
            <w:noWrap/>
            <w:vAlign w:val="center"/>
            <w:hideMark/>
          </w:tcPr>
          <w:p>
            <w:pPr>
              <w:jc w:val="right"/>
              <w:rPr>
                <w:b/>
                <w:bCs/>
                <w:lang w:val="en-PH" w:eastAsia="en-PH"/>
              </w:rPr>
            </w:pPr>
            <w:r>
              <w:rPr>
                <w:b/>
                <w:bCs/>
                <w:lang w:val="en-PH" w:eastAsia="en-PH"/>
              </w:rPr>
              <w:t>123,224,515.30</w:t>
            </w:r>
          </w:p>
        </w:tc>
        <w:tc>
          <w:tcPr>
            <w:tcW w:w="1675" w:type="dxa"/>
            <w:shd w:val="clear" w:color="auto" w:fill="auto"/>
            <w:noWrap/>
            <w:vAlign w:val="center"/>
            <w:hideMark/>
          </w:tcPr>
          <w:p>
            <w:pPr>
              <w:jc w:val="right"/>
              <w:rPr>
                <w:b/>
                <w:bCs/>
                <w:lang w:val="en-PH" w:eastAsia="en-PH"/>
              </w:rPr>
            </w:pPr>
            <w:r>
              <w:rPr>
                <w:b/>
                <w:bCs/>
                <w:lang w:val="en-PH" w:eastAsia="en-PH"/>
              </w:rPr>
              <w:t>(126,947,652.95)</w:t>
            </w:r>
          </w:p>
        </w:tc>
        <w:tc>
          <w:tcPr>
            <w:tcW w:w="1305" w:type="dxa"/>
            <w:shd w:val="clear" w:color="auto" w:fill="auto"/>
            <w:noWrap/>
            <w:vAlign w:val="center"/>
            <w:hideMark/>
          </w:tcPr>
          <w:p>
            <w:pPr>
              <w:jc w:val="right"/>
              <w:rPr>
                <w:b/>
                <w:bCs/>
                <w:lang w:val="en-PH" w:eastAsia="en-PH"/>
              </w:rPr>
            </w:pPr>
            <w:r>
              <w:rPr>
                <w:b/>
                <w:bCs/>
                <w:lang w:val="en-PH" w:eastAsia="en-PH"/>
              </w:rPr>
              <w:t>8,076,067.50</w:t>
            </w:r>
          </w:p>
        </w:tc>
        <w:tc>
          <w:tcPr>
            <w:tcW w:w="1523" w:type="dxa"/>
            <w:shd w:val="clear" w:color="auto" w:fill="auto"/>
            <w:noWrap/>
            <w:vAlign w:val="center"/>
            <w:hideMark/>
          </w:tcPr>
          <w:p>
            <w:pPr>
              <w:jc w:val="right"/>
              <w:rPr>
                <w:b/>
                <w:bCs/>
                <w:lang w:val="en-PH" w:eastAsia="en-PH"/>
              </w:rPr>
            </w:pPr>
            <w:r>
              <w:rPr>
                <w:b/>
                <w:bCs/>
                <w:lang w:val="en-PH" w:eastAsia="en-PH"/>
              </w:rPr>
              <w:t>106,472,732.63</w:t>
            </w:r>
          </w:p>
        </w:tc>
      </w:tr>
    </w:tbl>
    <w:p>
      <w:pPr>
        <w:pStyle w:val="ListParagraph"/>
        <w:ind w:left="2160"/>
        <w:rPr>
          <w:b/>
          <w:sz w:val="24"/>
          <w:szCs w:val="24"/>
          <w:lang w:eastAsia="en-PH"/>
        </w:rPr>
      </w:pPr>
    </w:p>
    <w:p>
      <w:pPr>
        <w:spacing w:line="276" w:lineRule="auto"/>
        <w:ind w:left="1418"/>
        <w:jc w:val="both"/>
        <w:rPr>
          <w:sz w:val="24"/>
          <w:szCs w:val="24"/>
        </w:rPr>
      </w:pPr>
      <w:r>
        <w:rPr>
          <w:sz w:val="24"/>
          <w:szCs w:val="24"/>
        </w:rPr>
        <w:t>There are additions that have been made in the other supplies and materials inventory account which is reclassification of assets from PPE accounts to Other Supplies with subsidiary ledger as semi-expandable assets amounting to Php 11,444,872.55. This is in compliance of COA Circular 2022-004 dated May 31, 2022, relative to the increase of capitalization threshold from 15,000.00 to 50,000.00 pesos for each item. The ending inventory of donated vaccines are also included in the drugs and medicine inventory amounting to Php 4,596,716.13.</w:t>
      </w:r>
    </w:p>
    <w:p>
      <w:pPr>
        <w:ind w:left="720"/>
        <w:rPr>
          <w:sz w:val="24"/>
          <w:szCs w:val="24"/>
        </w:rPr>
      </w:pPr>
    </w:p>
    <w:p>
      <w:pPr>
        <w:jc w:val="both"/>
        <w:rPr>
          <w:b/>
          <w:bCs/>
          <w:sz w:val="24"/>
          <w:szCs w:val="24"/>
        </w:rPr>
      </w:pPr>
      <w:r>
        <w:rPr>
          <w:b/>
          <w:bCs/>
          <w:sz w:val="24"/>
          <w:szCs w:val="24"/>
        </w:rPr>
        <w:t xml:space="preserve">Note 8 – Prepayments </w:t>
      </w:r>
    </w:p>
    <w:p>
      <w:pPr>
        <w:rPr>
          <w:b/>
          <w:bCs/>
          <w:sz w:val="24"/>
          <w:szCs w:val="24"/>
        </w:rPr>
      </w:pPr>
    </w:p>
    <w:p>
      <w:pPr>
        <w:spacing w:line="276" w:lineRule="auto"/>
        <w:ind w:left="851"/>
        <w:jc w:val="both"/>
        <w:rPr>
          <w:sz w:val="24"/>
          <w:szCs w:val="24"/>
        </w:rPr>
      </w:pPr>
      <w:r>
        <w:rPr>
          <w:sz w:val="24"/>
          <w:szCs w:val="24"/>
        </w:rPr>
        <w:t>This account group comprises the following major group account with their comparative figures for the year ended 2022 and 2021.</w:t>
      </w:r>
    </w:p>
    <w:p>
      <w:pPr>
        <w:rPr>
          <w:b/>
          <w:bCs/>
          <w:sz w:val="24"/>
          <w:szCs w:val="24"/>
        </w:rPr>
      </w:pPr>
    </w:p>
    <w:p>
      <w:pPr>
        <w:rPr>
          <w:b/>
          <w:bCs/>
          <w:sz w:val="24"/>
          <w:szCs w:val="24"/>
        </w:rPr>
      </w:pPr>
    </w:p>
    <w:p>
      <w:pPr>
        <w:rPr>
          <w:b/>
          <w:bCs/>
          <w:sz w:val="24"/>
          <w:szCs w:val="24"/>
        </w:rPr>
      </w:pPr>
    </w:p>
    <w:tbl>
      <w:tblPr>
        <w:tblW w:w="8806" w:type="dxa"/>
        <w:tblInd w:w="959" w:type="dxa"/>
        <w:tblLook w:val="04A0" w:firstRow="1" w:lastRow="0" w:firstColumn="1" w:lastColumn="0" w:noHBand="0" w:noVBand="1"/>
      </w:tblPr>
      <w:tblGrid>
        <w:gridCol w:w="4275"/>
        <w:gridCol w:w="2233"/>
        <w:gridCol w:w="2298"/>
      </w:tblGrid>
      <w:tr>
        <w:trPr>
          <w:trHeight w:val="340"/>
          <w:tblHeader/>
        </w:trPr>
        <w:tc>
          <w:tcPr>
            <w:tcW w:w="4275"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lastRenderedPageBreak/>
              <w:t>Account</w:t>
            </w:r>
          </w:p>
        </w:tc>
        <w:tc>
          <w:tcPr>
            <w:tcW w:w="2233"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c>
          <w:tcPr>
            <w:tcW w:w="229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2021</w:t>
            </w:r>
          </w:p>
        </w:tc>
      </w:tr>
      <w:tr>
        <w:trPr>
          <w:trHeight w:val="340"/>
          <w:tblHeader/>
        </w:trPr>
        <w:tc>
          <w:tcPr>
            <w:tcW w:w="427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Advances to Contractors</w:t>
            </w:r>
          </w:p>
        </w:tc>
        <w:tc>
          <w:tcPr>
            <w:tcW w:w="223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74,424,979.08</w:t>
            </w:r>
          </w:p>
        </w:tc>
        <w:tc>
          <w:tcPr>
            <w:tcW w:w="229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12,458,576.31</w:t>
            </w:r>
          </w:p>
        </w:tc>
      </w:tr>
      <w:tr>
        <w:trPr>
          <w:trHeight w:val="340"/>
        </w:trPr>
        <w:tc>
          <w:tcPr>
            <w:tcW w:w="427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Rent</w:t>
            </w:r>
          </w:p>
        </w:tc>
        <w:tc>
          <w:tcPr>
            <w:tcW w:w="223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435,735.00</w:t>
            </w:r>
          </w:p>
        </w:tc>
        <w:tc>
          <w:tcPr>
            <w:tcW w:w="229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3,506,254.31</w:t>
            </w:r>
          </w:p>
        </w:tc>
      </w:tr>
      <w:tr>
        <w:trPr>
          <w:trHeight w:val="340"/>
        </w:trPr>
        <w:tc>
          <w:tcPr>
            <w:tcW w:w="427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Other Prepayment</w:t>
            </w:r>
          </w:p>
        </w:tc>
        <w:tc>
          <w:tcPr>
            <w:tcW w:w="2233" w:type="dxa"/>
            <w:tcBorders>
              <w:top w:val="nil"/>
              <w:left w:val="nil"/>
              <w:bottom w:val="nil"/>
              <w:right w:val="nil"/>
            </w:tcBorders>
            <w:shd w:val="clear" w:color="auto" w:fill="auto"/>
            <w:noWrap/>
            <w:vAlign w:val="bottom"/>
            <w:hideMark/>
          </w:tcPr>
          <w:p>
            <w:pPr>
              <w:jc w:val="right"/>
              <w:rPr>
                <w:sz w:val="24"/>
                <w:szCs w:val="24"/>
                <w:lang w:val="en-PH" w:eastAsia="en-PH"/>
              </w:rPr>
            </w:pPr>
            <w:r>
              <w:rPr>
                <w:sz w:val="24"/>
                <w:szCs w:val="24"/>
                <w:lang w:val="en-PH" w:eastAsia="en-PH"/>
              </w:rPr>
              <w:t>0.00</w:t>
            </w:r>
          </w:p>
        </w:tc>
        <w:tc>
          <w:tcPr>
            <w:tcW w:w="229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6,000.00</w:t>
            </w:r>
          </w:p>
        </w:tc>
      </w:tr>
      <w:tr>
        <w:trPr>
          <w:trHeight w:val="340"/>
        </w:trPr>
        <w:tc>
          <w:tcPr>
            <w:tcW w:w="427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Registration</w:t>
            </w:r>
          </w:p>
        </w:tc>
        <w:tc>
          <w:tcPr>
            <w:tcW w:w="223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150,034.53</w:t>
            </w:r>
          </w:p>
        </w:tc>
        <w:tc>
          <w:tcPr>
            <w:tcW w:w="229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0.00                                        </w:t>
            </w:r>
          </w:p>
        </w:tc>
      </w:tr>
      <w:tr>
        <w:trPr>
          <w:trHeight w:val="340"/>
        </w:trPr>
        <w:tc>
          <w:tcPr>
            <w:tcW w:w="4275"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Insurance</w:t>
            </w:r>
          </w:p>
        </w:tc>
        <w:tc>
          <w:tcPr>
            <w:tcW w:w="223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7,227,440.32</w:t>
            </w:r>
          </w:p>
        </w:tc>
        <w:tc>
          <w:tcPr>
            <w:tcW w:w="229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340"/>
        </w:trPr>
        <w:tc>
          <w:tcPr>
            <w:tcW w:w="4275" w:type="dxa"/>
            <w:tcBorders>
              <w:top w:val="single" w:sz="8"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33" w:type="dxa"/>
            <w:tcBorders>
              <w:top w:val="single" w:sz="8"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82,238,188.93</w:t>
            </w:r>
          </w:p>
        </w:tc>
        <w:tc>
          <w:tcPr>
            <w:tcW w:w="2298" w:type="dxa"/>
            <w:tcBorders>
              <w:top w:val="single" w:sz="8"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15,970,830.62</w:t>
            </w:r>
          </w:p>
        </w:tc>
      </w:tr>
    </w:tbl>
    <w:p>
      <w:pPr>
        <w:rPr>
          <w:b/>
          <w:bCs/>
          <w:sz w:val="24"/>
          <w:szCs w:val="24"/>
        </w:rPr>
      </w:pPr>
      <w:r>
        <w:rPr>
          <w:b/>
          <w:bCs/>
          <w:sz w:val="24"/>
          <w:szCs w:val="24"/>
        </w:rPr>
        <w:t xml:space="preserve">        </w:t>
      </w:r>
    </w:p>
    <w:p>
      <w:pPr>
        <w:ind w:left="1418" w:hanging="284"/>
        <w:rPr>
          <w:b/>
          <w:bCs/>
          <w:sz w:val="24"/>
          <w:szCs w:val="24"/>
        </w:rPr>
      </w:pPr>
      <w:r>
        <w:rPr>
          <w:b/>
          <w:bCs/>
          <w:sz w:val="24"/>
          <w:szCs w:val="24"/>
        </w:rPr>
        <w:t xml:space="preserve">   8.1 Advances to Contractors</w:t>
      </w:r>
    </w:p>
    <w:p>
      <w:pPr>
        <w:rPr>
          <w:b/>
          <w:bCs/>
          <w:sz w:val="24"/>
          <w:szCs w:val="24"/>
        </w:rPr>
      </w:pPr>
      <w:r>
        <w:rPr>
          <w:b/>
          <w:bCs/>
          <w:sz w:val="24"/>
          <w:szCs w:val="24"/>
        </w:rPr>
        <w:t xml:space="preserve">          </w:t>
      </w:r>
    </w:p>
    <w:p>
      <w:pPr>
        <w:spacing w:line="276" w:lineRule="auto"/>
        <w:ind w:left="1276"/>
        <w:jc w:val="both"/>
        <w:rPr>
          <w:sz w:val="24"/>
          <w:szCs w:val="24"/>
        </w:rPr>
      </w:pPr>
      <w:r>
        <w:rPr>
          <w:sz w:val="24"/>
          <w:szCs w:val="24"/>
        </w:rPr>
        <w:t>Advances to Contractors are equivalent to 15% of the contract price of each project. It will be recouped equivalent to the percentage of each progress billing of the project until it is completed. For the year 2022, the balance had gone up due to the advances for the Construction of the Panabo City Market Complex and various projects funded under the Support to Barangay Development Program of the National Task Force to End Local Communist Armed Conflict (ELCAC). Below is the summary of transactions during the year.</w:t>
      </w:r>
    </w:p>
    <w:p>
      <w:pPr>
        <w:rPr>
          <w:b/>
          <w:bCs/>
          <w:sz w:val="24"/>
          <w:szCs w:val="24"/>
        </w:rPr>
      </w:pPr>
    </w:p>
    <w:tbl>
      <w:tblPr>
        <w:tblW w:w="9728" w:type="dxa"/>
        <w:tblInd w:w="421" w:type="dxa"/>
        <w:tblLayout w:type="fixed"/>
        <w:tblLook w:val="04A0" w:firstRow="1" w:lastRow="0" w:firstColumn="1" w:lastColumn="0" w:noHBand="0" w:noVBand="1"/>
      </w:tblPr>
      <w:tblGrid>
        <w:gridCol w:w="1672"/>
        <w:gridCol w:w="3544"/>
        <w:gridCol w:w="1559"/>
        <w:gridCol w:w="1559"/>
        <w:gridCol w:w="1394"/>
      </w:tblGrid>
      <w:tr>
        <w:trPr>
          <w:trHeight w:val="248"/>
          <w:tblHeader/>
        </w:trPr>
        <w:tc>
          <w:tcPr>
            <w:tcW w:w="1672" w:type="dxa"/>
            <w:tcBorders>
              <w:top w:val="single" w:sz="4" w:space="0" w:color="A6A6A6"/>
              <w:left w:val="single" w:sz="4" w:space="0" w:color="A6A6A6"/>
              <w:bottom w:val="single" w:sz="4" w:space="0" w:color="A6A6A6"/>
              <w:right w:val="nil"/>
            </w:tcBorders>
            <w:shd w:val="clear" w:color="auto" w:fill="auto"/>
            <w:vAlign w:val="center"/>
            <w:hideMark/>
          </w:tcPr>
          <w:p>
            <w:pPr>
              <w:jc w:val="center"/>
              <w:rPr>
                <w:b/>
                <w:bCs/>
                <w:lang w:val="en-PH" w:eastAsia="en-PH"/>
              </w:rPr>
            </w:pPr>
            <w:r>
              <w:rPr>
                <w:b/>
                <w:bCs/>
                <w:lang w:val="en-PH" w:eastAsia="en-PH"/>
              </w:rPr>
              <w:t>Contractor</w:t>
            </w:r>
          </w:p>
        </w:tc>
        <w:tc>
          <w:tcPr>
            <w:tcW w:w="3544" w:type="dxa"/>
            <w:tcBorders>
              <w:top w:val="single" w:sz="4" w:space="0" w:color="A6A6A6"/>
              <w:left w:val="nil"/>
              <w:bottom w:val="single" w:sz="4" w:space="0" w:color="A6A6A6"/>
              <w:right w:val="nil"/>
            </w:tcBorders>
            <w:shd w:val="clear" w:color="auto" w:fill="auto"/>
            <w:vAlign w:val="center"/>
            <w:hideMark/>
          </w:tcPr>
          <w:p>
            <w:pPr>
              <w:jc w:val="center"/>
              <w:rPr>
                <w:b/>
                <w:bCs/>
                <w:lang w:val="en-PH" w:eastAsia="en-PH"/>
              </w:rPr>
            </w:pPr>
            <w:r>
              <w:rPr>
                <w:b/>
                <w:bCs/>
                <w:lang w:val="en-PH" w:eastAsia="en-PH"/>
              </w:rPr>
              <w:t>Project Name</w:t>
            </w:r>
          </w:p>
        </w:tc>
        <w:tc>
          <w:tcPr>
            <w:tcW w:w="1559" w:type="dxa"/>
            <w:tcBorders>
              <w:top w:val="single" w:sz="4" w:space="0" w:color="A6A6A6"/>
              <w:left w:val="nil"/>
              <w:bottom w:val="single" w:sz="4" w:space="0" w:color="A6A6A6"/>
              <w:right w:val="nil"/>
            </w:tcBorders>
            <w:shd w:val="clear" w:color="auto" w:fill="auto"/>
            <w:noWrap/>
            <w:vAlign w:val="center"/>
            <w:hideMark/>
          </w:tcPr>
          <w:p>
            <w:pPr>
              <w:jc w:val="center"/>
              <w:rPr>
                <w:b/>
                <w:bCs/>
                <w:lang w:val="en-PH" w:eastAsia="en-PH"/>
              </w:rPr>
            </w:pPr>
            <w:r>
              <w:rPr>
                <w:b/>
                <w:bCs/>
                <w:lang w:val="en-PH" w:eastAsia="en-PH"/>
              </w:rPr>
              <w:t>15% Mobilization</w:t>
            </w:r>
          </w:p>
        </w:tc>
        <w:tc>
          <w:tcPr>
            <w:tcW w:w="1559" w:type="dxa"/>
            <w:tcBorders>
              <w:top w:val="single" w:sz="4" w:space="0" w:color="A6A6A6"/>
              <w:left w:val="nil"/>
              <w:bottom w:val="single" w:sz="4" w:space="0" w:color="A6A6A6"/>
              <w:right w:val="nil"/>
            </w:tcBorders>
            <w:shd w:val="clear" w:color="auto" w:fill="auto"/>
            <w:noWrap/>
            <w:vAlign w:val="center"/>
            <w:hideMark/>
          </w:tcPr>
          <w:p>
            <w:pPr>
              <w:jc w:val="center"/>
              <w:rPr>
                <w:b/>
                <w:bCs/>
                <w:lang w:val="en-PH" w:eastAsia="en-PH"/>
              </w:rPr>
            </w:pPr>
            <w:r>
              <w:rPr>
                <w:b/>
                <w:bCs/>
                <w:lang w:val="en-PH" w:eastAsia="en-PH"/>
              </w:rPr>
              <w:t>Recoupment</w:t>
            </w:r>
          </w:p>
        </w:tc>
        <w:tc>
          <w:tcPr>
            <w:tcW w:w="1394" w:type="dxa"/>
            <w:tcBorders>
              <w:top w:val="single" w:sz="4" w:space="0" w:color="A6A6A6"/>
              <w:left w:val="nil"/>
              <w:bottom w:val="single" w:sz="4" w:space="0" w:color="A6A6A6"/>
              <w:right w:val="single" w:sz="4" w:space="0" w:color="A6A6A6"/>
            </w:tcBorders>
            <w:shd w:val="clear" w:color="auto" w:fill="auto"/>
            <w:noWrap/>
            <w:vAlign w:val="center"/>
            <w:hideMark/>
          </w:tcPr>
          <w:p>
            <w:pPr>
              <w:jc w:val="center"/>
              <w:rPr>
                <w:b/>
                <w:bCs/>
                <w:lang w:val="en-PH" w:eastAsia="en-PH"/>
              </w:rPr>
            </w:pPr>
            <w:r>
              <w:rPr>
                <w:b/>
                <w:bCs/>
                <w:lang w:val="en-PH" w:eastAsia="en-PH"/>
              </w:rPr>
              <w:t>Balance</w:t>
            </w:r>
          </w:p>
        </w:tc>
      </w:tr>
      <w:tr>
        <w:trPr>
          <w:trHeight w:val="536"/>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Northern Construction and Allied Services</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POW-2021-09-349 Concreting of Farm to Market Road from Mabunao to San Roque</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3,686,343.44</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(3,360,750.77)</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325,592.67</w:t>
            </w:r>
          </w:p>
        </w:tc>
      </w:tr>
      <w:tr>
        <w:trPr>
          <w:trHeight w:val="47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St. Timothy Construction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Construction of Panabo City Market Complex (Phase 2)</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67,086,581.43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(33,472,883.03)</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33,613,698.40</w:t>
            </w:r>
          </w:p>
        </w:tc>
      </w:tr>
      <w:tr>
        <w:trPr>
          <w:trHeight w:val="49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White Torch Builders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POW-2021-12-455-Construction of fence at Panabo Park New Pandan</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417,833.87</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(324,944.93)</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92,888.94</w:t>
            </w:r>
          </w:p>
        </w:tc>
      </w:tr>
      <w:tr>
        <w:trPr>
          <w:trHeight w:val="74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White Torch Builders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POW-2022-02-027-Construction of Maritime/Coastguard Building, San Pedro</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524,680.05</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524,680.05</w:t>
            </w:r>
          </w:p>
        </w:tc>
      </w:tr>
      <w:tr>
        <w:trPr>
          <w:trHeight w:val="558"/>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Nen Builders &amp; Development Services Corporation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POW-2021-12-454-Upgrading of Local Access Road Kiotoy to Sta Cruz 0.3m thickx6.7mx718.09m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2,397,491.75</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(1,100,983.71)</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1,296,508.04</w:t>
            </w:r>
          </w:p>
        </w:tc>
      </w:tr>
      <w:tr>
        <w:trPr>
          <w:trHeight w:val="722"/>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O.G Santos Construction/Mitz Construction and Supply-Joint Venture</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POW-2022-06-233-Upgrading of Local Access Road, Brgy. Upper Licanan to Waterfall 0.23m thickx6.1mx3400m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9,748,216.46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9,748,216.46</w:t>
            </w:r>
          </w:p>
        </w:tc>
      </w:tr>
      <w:tr>
        <w:trPr>
          <w:trHeight w:val="552"/>
        </w:trPr>
        <w:tc>
          <w:tcPr>
            <w:tcW w:w="1672" w:type="dxa"/>
            <w:tcBorders>
              <w:top w:val="nil"/>
              <w:left w:val="single" w:sz="4" w:space="0" w:color="A6A6A6"/>
              <w:bottom w:val="single" w:sz="4" w:space="0" w:color="A6A6A6"/>
              <w:right w:val="nil"/>
            </w:tcBorders>
            <w:shd w:val="clear" w:color="auto" w:fill="auto"/>
            <w:noWrap/>
            <w:vAlign w:val="center"/>
            <w:hideMark/>
          </w:tcPr>
          <w:p>
            <w:pPr>
              <w:rPr>
                <w:lang w:val="en-PH" w:eastAsia="en-PH"/>
              </w:rPr>
            </w:pPr>
            <w:r>
              <w:rPr>
                <w:lang w:val="en-PH" w:eastAsia="en-PH"/>
              </w:rPr>
              <w:t>Northern Construction and Allied Services</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2022-05-202 Construction of School MIni gym, Rodrigo D. Mabitad Sr. ES</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224,750.16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224,750.16</w:t>
            </w:r>
          </w:p>
        </w:tc>
      </w:tr>
      <w:tr>
        <w:trPr>
          <w:trHeight w:val="41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F. Fabale Construction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2022-04-178-Upgrading of Local Access Road 410.Lmx6.1m PCCP w/415L.M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2,249,498.09</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2,249,498.09</w:t>
            </w:r>
          </w:p>
        </w:tc>
      </w:tr>
      <w:tr>
        <w:trPr>
          <w:trHeight w:val="408"/>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F. Fabale Construction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2022-04-181-Expansion of level III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1,499,774.92</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(452,252.15)</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1,047,522.77</w:t>
            </w:r>
          </w:p>
        </w:tc>
      </w:tr>
      <w:tr>
        <w:trPr>
          <w:trHeight w:val="428"/>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lastRenderedPageBreak/>
              <w:t>F. Fabale Construction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2022-04-182-Improvement/Rehabilitation of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2,999,587.60</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(990,632.99)</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2,008,954.61</w:t>
            </w:r>
          </w:p>
        </w:tc>
      </w:tr>
      <w:tr>
        <w:trPr>
          <w:trHeight w:val="49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F. Fabale Construction Corp.</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2022-06-221-Upgrading of Local Access Road 0.23mm thickx5.0mx664m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1,499,126.86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(1,271,156.48)</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227,970.38</w:t>
            </w:r>
          </w:p>
        </w:tc>
      </w:tr>
      <w:tr>
        <w:trPr>
          <w:trHeight w:val="224"/>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Micah Construction and Supply</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POW-2021-09-337_Panabo Mangrove Forest Park (234.78 sq.m Viewing Deck &amp; Watch Tower and 58.5 sq.m Fishing Area (3units) including 119 board walk) at Brgy. JP Laurel_LGSF</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2,204,991.50</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2,204,991.50</w:t>
            </w:r>
          </w:p>
        </w:tc>
      </w:tr>
      <w:tr>
        <w:trPr>
          <w:trHeight w:val="553"/>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A.B Aponesto Construction PArts and Supply,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2021-09-336(15M) Upgrading of Local Access Road Purok 5</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2,241,040.25</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(1,831,631.80)</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409,408.45</w:t>
            </w:r>
          </w:p>
        </w:tc>
      </w:tr>
      <w:tr>
        <w:trPr>
          <w:trHeight w:val="71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A.B Aponesto Construction PArts and Supply,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2022-02-063-Upgrading of local access Road, Kiotoy023mthickx6.1mx856m.0.23mx6.1x227m/0.23x6.1x258m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2,996,954.37</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2,996,954.37</w:t>
            </w:r>
          </w:p>
        </w:tc>
      </w:tr>
      <w:tr>
        <w:trPr>
          <w:trHeight w:val="55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Nen Builders &amp; Development Services Corporation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POW-2021-11-419-Upgrading of local access road 0.23m thickx6.10mx890.0 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2,098,499.94</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(1,903,671.33)</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194,828.61</w:t>
            </w:r>
          </w:p>
        </w:tc>
      </w:tr>
      <w:tr>
        <w:trPr>
          <w:trHeight w:val="679"/>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Nen Builders &amp; Development Services Corporation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2022-02-062- Upgrading of Local Access Road-concreting of road 0.23m thickx6.1mx50/85L.m road opening/12.6L.m slope</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1,498,499.93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(1,204,362.86)</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294,137.07</w:t>
            </w:r>
          </w:p>
        </w:tc>
      </w:tr>
      <w:tr>
        <w:trPr>
          <w:trHeight w:val="419"/>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Joan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POW-2021-08-315_Expansion of Level III Water System at Brgy. Waterfall_LGSF-ELCAC</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869,864.01</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(624,678.60)</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245,185.41</w:t>
            </w:r>
          </w:p>
        </w:tc>
      </w:tr>
      <w:tr>
        <w:trPr>
          <w:trHeight w:val="49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Joan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POW-2021-08-316-Construction of level III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181,729.24</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(155,106.23)</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26,623.01</w:t>
            </w:r>
          </w:p>
        </w:tc>
      </w:tr>
      <w:tr>
        <w:trPr>
          <w:trHeight w:val="346"/>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Joan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2022-04-180-Rehabilitation/ improvement of Level III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2,991,468.53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2,991,468.53</w:t>
            </w:r>
          </w:p>
        </w:tc>
      </w:tr>
      <w:tr>
        <w:trPr>
          <w:trHeight w:val="53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Joan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POW-2022-04-186 Rehabilitation/Upgrading level II water system including drilling of potable water source</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2,249,529.20</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(708,426.55)</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1,541,102.65</w:t>
            </w:r>
          </w:p>
        </w:tc>
      </w:tr>
      <w:tr>
        <w:trPr>
          <w:trHeight w:val="403"/>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Joan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POW-2022-05-220 Improvement/expansion of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2,699,499.13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(593,301.54)</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2,106,197.59</w:t>
            </w:r>
          </w:p>
        </w:tc>
      </w:tr>
      <w:tr>
        <w:trPr>
          <w:trHeight w:val="566"/>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Marcus Construction and Supply</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POW-2021-11-413-Upgrading of Local Access Road, Purok 4 &amp; 6 cacao-locate at Brgy. Cacao, P.C</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2,548,108.56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(1,424,303.23)</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1,123,805.33</w:t>
            </w:r>
          </w:p>
        </w:tc>
      </w:tr>
      <w:tr>
        <w:trPr>
          <w:trHeight w:val="41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ATR Construction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POW-2021-08-311-Upgrading of Local Access Road (Concreting of 913.5ln.m road @ Brgy. Consolacion) - ELCAC</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1,301,309.18</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1,301,309.18</w:t>
            </w:r>
          </w:p>
        </w:tc>
      </w:tr>
      <w:tr>
        <w:trPr>
          <w:trHeight w:val="83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JLACE Builders Corporation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POW-2022-03-155-Upgrading of Local Access Road, Purok B  (segment 1 0.23m thickx5mx510/segment 20.23mthickx5m216m/segment 3 0.23mthickx5mx121/sgment 4 0.23mthickx5mx36m/segment5 0.23tx5mx27/segment 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2,443,918.86</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(1,417,878.05)</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1,026,040.81</w:t>
            </w:r>
          </w:p>
        </w:tc>
      </w:tr>
      <w:tr>
        <w:trPr>
          <w:trHeight w:val="423"/>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lastRenderedPageBreak/>
              <w:t>NJG Construction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2022-04-185 WATER SYSTEM-Sta. Cruz</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746,624.73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746,624.73</w:t>
            </w:r>
          </w:p>
        </w:tc>
      </w:tr>
      <w:tr>
        <w:trPr>
          <w:trHeight w:val="415"/>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NJG Construction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2022-04-187 Expansion of LEvel III water system (construction of water system)San Nicolas</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747,449.78</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747,449.78</w:t>
            </w:r>
          </w:p>
        </w:tc>
      </w:tr>
      <w:tr>
        <w:trPr>
          <w:trHeight w:val="407"/>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NJG Construction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2022-05-193 Upgrading of level III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749,647.32</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749,647.32</w:t>
            </w:r>
          </w:p>
        </w:tc>
      </w:tr>
      <w:tr>
        <w:trPr>
          <w:trHeight w:val="284"/>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NJG Construction Inc</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2022-05-218 Improvement /expansion of water system</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899,700.00</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899,700.00</w:t>
            </w:r>
          </w:p>
        </w:tc>
      </w:tr>
      <w:tr>
        <w:trPr>
          <w:trHeight w:val="545"/>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ROSBILL CONSTRUCTION AND SUPPLY</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POW 2022-04-184 Improvement of water system from Level II to Level III</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2,249,525.78</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2,249,525.78</w:t>
            </w:r>
          </w:p>
        </w:tc>
      </w:tr>
      <w:tr>
        <w:trPr>
          <w:trHeight w:val="248"/>
        </w:trPr>
        <w:tc>
          <w:tcPr>
            <w:tcW w:w="1672" w:type="dxa"/>
            <w:tcBorders>
              <w:top w:val="nil"/>
              <w:left w:val="single" w:sz="4" w:space="0" w:color="A6A6A6"/>
              <w:bottom w:val="single" w:sz="4" w:space="0" w:color="A6A6A6"/>
              <w:right w:val="nil"/>
            </w:tcBorders>
            <w:shd w:val="clear" w:color="auto" w:fill="auto"/>
            <w:vAlign w:val="center"/>
            <w:hideMark/>
          </w:tcPr>
          <w:p>
            <w:pPr>
              <w:rPr>
                <w:lang w:val="en-PH" w:eastAsia="en-PH"/>
              </w:rPr>
            </w:pPr>
            <w:r>
              <w:rPr>
                <w:lang w:val="en-PH" w:eastAsia="en-PH"/>
              </w:rPr>
              <w:t>For Reconciliation</w:t>
            </w:r>
          </w:p>
        </w:tc>
        <w:tc>
          <w:tcPr>
            <w:tcW w:w="3544"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For reconciliation/reclass</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1,131,500.52</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78,197.87</w:t>
            </w:r>
          </w:p>
        </w:tc>
        <w:tc>
          <w:tcPr>
            <w:tcW w:w="1394" w:type="dxa"/>
            <w:tcBorders>
              <w:top w:val="nil"/>
              <w:left w:val="nil"/>
              <w:bottom w:val="single" w:sz="4" w:space="0" w:color="A6A6A6"/>
              <w:right w:val="single" w:sz="4" w:space="0" w:color="A6A6A6"/>
            </w:tcBorders>
            <w:shd w:val="clear" w:color="auto" w:fill="auto"/>
            <w:noWrap/>
            <w:vAlign w:val="center"/>
            <w:hideMark/>
          </w:tcPr>
          <w:p>
            <w:pPr>
              <w:jc w:val="right"/>
              <w:rPr>
                <w:lang w:val="en-PH" w:eastAsia="en-PH"/>
              </w:rPr>
            </w:pPr>
            <w:r>
              <w:rPr>
                <w:lang w:val="en-PH" w:eastAsia="en-PH"/>
              </w:rPr>
              <w:t>1,209,698.39</w:t>
            </w:r>
          </w:p>
        </w:tc>
      </w:tr>
      <w:tr>
        <w:trPr>
          <w:trHeight w:val="263"/>
        </w:trPr>
        <w:tc>
          <w:tcPr>
            <w:tcW w:w="1672" w:type="dxa"/>
            <w:tcBorders>
              <w:top w:val="nil"/>
              <w:left w:val="nil"/>
              <w:bottom w:val="double" w:sz="6" w:space="0" w:color="A6A6A6"/>
              <w:right w:val="nil"/>
            </w:tcBorders>
            <w:shd w:val="clear" w:color="auto" w:fill="auto"/>
            <w:vAlign w:val="center"/>
            <w:hideMark/>
          </w:tcPr>
          <w:p>
            <w:pPr>
              <w:jc w:val="right"/>
              <w:rPr>
                <w:b/>
                <w:bCs/>
                <w:lang w:val="en-PH" w:eastAsia="en-PH"/>
              </w:rPr>
            </w:pPr>
          </w:p>
        </w:tc>
        <w:tc>
          <w:tcPr>
            <w:tcW w:w="3544" w:type="dxa"/>
            <w:tcBorders>
              <w:top w:val="nil"/>
              <w:left w:val="nil"/>
              <w:bottom w:val="double" w:sz="6" w:space="0" w:color="A6A6A6"/>
              <w:right w:val="nil"/>
            </w:tcBorders>
            <w:shd w:val="clear" w:color="auto" w:fill="auto"/>
            <w:vAlign w:val="center"/>
            <w:hideMark/>
          </w:tcPr>
          <w:p>
            <w:pPr>
              <w:rPr>
                <w:b/>
                <w:bCs/>
                <w:lang w:val="en-PH" w:eastAsia="en-PH"/>
              </w:rPr>
            </w:pPr>
            <w:r>
              <w:rPr>
                <w:b/>
                <w:bCs/>
                <w:lang w:val="en-PH" w:eastAsia="en-PH"/>
              </w:rPr>
              <w:t>Total</w:t>
            </w:r>
          </w:p>
        </w:tc>
        <w:tc>
          <w:tcPr>
            <w:tcW w:w="1559" w:type="dxa"/>
            <w:tcBorders>
              <w:top w:val="nil"/>
              <w:left w:val="nil"/>
              <w:bottom w:val="double" w:sz="6" w:space="0" w:color="A6A6A6"/>
              <w:right w:val="nil"/>
            </w:tcBorders>
            <w:shd w:val="clear" w:color="auto" w:fill="auto"/>
            <w:vAlign w:val="center"/>
            <w:hideMark/>
          </w:tcPr>
          <w:p>
            <w:pPr>
              <w:jc w:val="right"/>
              <w:rPr>
                <w:b/>
                <w:bCs/>
                <w:lang w:val="en-PH" w:eastAsia="en-PH"/>
              </w:rPr>
            </w:pPr>
            <w:r>
              <w:rPr>
                <w:b/>
                <w:bCs/>
                <w:lang w:val="en-PH" w:eastAsia="en-PH"/>
              </w:rPr>
              <w:t>125,183,745.46</w:t>
            </w:r>
          </w:p>
        </w:tc>
        <w:tc>
          <w:tcPr>
            <w:tcW w:w="1559" w:type="dxa"/>
            <w:tcBorders>
              <w:top w:val="nil"/>
              <w:left w:val="nil"/>
              <w:bottom w:val="double" w:sz="6" w:space="0" w:color="A6A6A6"/>
              <w:right w:val="nil"/>
            </w:tcBorders>
            <w:shd w:val="clear" w:color="auto" w:fill="auto"/>
            <w:vAlign w:val="center"/>
            <w:hideMark/>
          </w:tcPr>
          <w:p>
            <w:pPr>
              <w:jc w:val="right"/>
              <w:rPr>
                <w:b/>
                <w:bCs/>
                <w:lang w:val="en-PH" w:eastAsia="en-PH"/>
              </w:rPr>
            </w:pPr>
            <w:r>
              <w:rPr>
                <w:b/>
                <w:bCs/>
                <w:lang w:val="en-PH" w:eastAsia="en-PH"/>
              </w:rPr>
              <w:t>(50,758,766.38)</w:t>
            </w:r>
          </w:p>
        </w:tc>
        <w:tc>
          <w:tcPr>
            <w:tcW w:w="1394" w:type="dxa"/>
            <w:tcBorders>
              <w:top w:val="nil"/>
              <w:left w:val="nil"/>
              <w:bottom w:val="double" w:sz="6" w:space="0" w:color="A6A6A6"/>
              <w:right w:val="nil"/>
            </w:tcBorders>
            <w:shd w:val="clear" w:color="auto" w:fill="auto"/>
            <w:vAlign w:val="center"/>
            <w:hideMark/>
          </w:tcPr>
          <w:p>
            <w:pPr>
              <w:jc w:val="right"/>
              <w:rPr>
                <w:b/>
                <w:bCs/>
                <w:lang w:val="en-PH" w:eastAsia="en-PH"/>
              </w:rPr>
            </w:pPr>
            <w:r>
              <w:rPr>
                <w:b/>
                <w:bCs/>
                <w:lang w:val="en-PH" w:eastAsia="en-PH"/>
              </w:rPr>
              <w:t>74,424,979.08</w:t>
            </w:r>
          </w:p>
        </w:tc>
      </w:tr>
    </w:tbl>
    <w:p>
      <w:pPr>
        <w:rPr>
          <w:b/>
          <w:bCs/>
          <w:sz w:val="24"/>
          <w:szCs w:val="24"/>
        </w:rPr>
      </w:pPr>
    </w:p>
    <w:p>
      <w:pPr>
        <w:ind w:left="1418" w:hanging="284"/>
        <w:rPr>
          <w:b/>
          <w:bCs/>
          <w:sz w:val="24"/>
          <w:szCs w:val="24"/>
        </w:rPr>
      </w:pPr>
      <w:r>
        <w:rPr>
          <w:b/>
          <w:bCs/>
          <w:sz w:val="24"/>
          <w:szCs w:val="24"/>
        </w:rPr>
        <w:t>8.2 Prepaid Insurance</w:t>
      </w:r>
    </w:p>
    <w:p>
      <w:pPr>
        <w:rPr>
          <w:b/>
          <w:bCs/>
          <w:sz w:val="24"/>
          <w:szCs w:val="24"/>
        </w:rPr>
      </w:pPr>
    </w:p>
    <w:p>
      <w:pPr>
        <w:spacing w:line="276" w:lineRule="auto"/>
        <w:ind w:left="1418"/>
        <w:jc w:val="both"/>
        <w:rPr>
          <w:sz w:val="24"/>
          <w:szCs w:val="24"/>
        </w:rPr>
      </w:pPr>
      <w:r>
        <w:rPr>
          <w:sz w:val="24"/>
          <w:szCs w:val="24"/>
        </w:rPr>
        <w:t>The items accounted for are insurance for motor vehicles, heavy equipment, buildings, other structures, and others. Below is the summary of the amount for each category.</w:t>
      </w:r>
    </w:p>
    <w:p>
      <w:pPr>
        <w:rPr>
          <w:sz w:val="24"/>
          <w:szCs w:val="24"/>
        </w:rPr>
      </w:pPr>
    </w:p>
    <w:tbl>
      <w:tblPr>
        <w:tblW w:w="8264" w:type="dxa"/>
        <w:tblInd w:w="1526" w:type="dxa"/>
        <w:tblLook w:val="04A0" w:firstRow="1" w:lastRow="0" w:firstColumn="1" w:lastColumn="0" w:noHBand="0" w:noVBand="1"/>
      </w:tblPr>
      <w:tblGrid>
        <w:gridCol w:w="5953"/>
        <w:gridCol w:w="2311"/>
      </w:tblGrid>
      <w:tr>
        <w:trPr>
          <w:trHeight w:val="283"/>
        </w:trPr>
        <w:tc>
          <w:tcPr>
            <w:tcW w:w="5953"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Account</w:t>
            </w:r>
          </w:p>
        </w:tc>
        <w:tc>
          <w:tcPr>
            <w:tcW w:w="2311"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2022</w:t>
            </w:r>
          </w:p>
        </w:tc>
      </w:tr>
      <w:tr>
        <w:trPr>
          <w:trHeight w:val="283"/>
        </w:trPr>
        <w:tc>
          <w:tcPr>
            <w:tcW w:w="5953"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Insurance - Buildings &amp; Other Structures</w:t>
            </w:r>
          </w:p>
        </w:tc>
        <w:tc>
          <w:tcPr>
            <w:tcW w:w="231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4,360,120.58</w:t>
            </w:r>
          </w:p>
        </w:tc>
      </w:tr>
      <w:tr>
        <w:trPr>
          <w:trHeight w:val="283"/>
        </w:trPr>
        <w:tc>
          <w:tcPr>
            <w:tcW w:w="5953"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Insurance - Motor Vehicles</w:t>
            </w:r>
          </w:p>
        </w:tc>
        <w:tc>
          <w:tcPr>
            <w:tcW w:w="231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2,614,919.74</w:t>
            </w:r>
          </w:p>
        </w:tc>
      </w:tr>
      <w:tr>
        <w:trPr>
          <w:trHeight w:val="283"/>
        </w:trPr>
        <w:tc>
          <w:tcPr>
            <w:tcW w:w="5953"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Prepaid Insurance - Others</w:t>
            </w:r>
          </w:p>
        </w:tc>
        <w:tc>
          <w:tcPr>
            <w:tcW w:w="231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252,400.00</w:t>
            </w:r>
          </w:p>
        </w:tc>
      </w:tr>
      <w:tr>
        <w:trPr>
          <w:trHeight w:val="283"/>
        </w:trPr>
        <w:tc>
          <w:tcPr>
            <w:tcW w:w="595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311"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7,227,440.32</w:t>
            </w:r>
          </w:p>
        </w:tc>
      </w:tr>
    </w:tbl>
    <w:p>
      <w:pPr>
        <w:jc w:val="both"/>
        <w:rPr>
          <w:b/>
          <w:bCs/>
          <w:sz w:val="24"/>
          <w:szCs w:val="24"/>
        </w:rPr>
      </w:pPr>
    </w:p>
    <w:p>
      <w:pPr>
        <w:jc w:val="both"/>
        <w:rPr>
          <w:b/>
          <w:bCs/>
          <w:sz w:val="24"/>
          <w:szCs w:val="24"/>
        </w:rPr>
      </w:pPr>
      <w:r>
        <w:rPr>
          <w:b/>
          <w:bCs/>
          <w:sz w:val="24"/>
          <w:szCs w:val="24"/>
        </w:rPr>
        <w:t>Note 9 – Investment Property</w:t>
      </w:r>
    </w:p>
    <w:p>
      <w:pPr>
        <w:rPr>
          <w:b/>
          <w:bCs/>
          <w:sz w:val="24"/>
          <w:szCs w:val="24"/>
        </w:rPr>
      </w:pPr>
    </w:p>
    <w:p>
      <w:pPr>
        <w:spacing w:line="276" w:lineRule="auto"/>
        <w:ind w:left="993"/>
        <w:jc w:val="both"/>
        <w:rPr>
          <w:sz w:val="24"/>
          <w:szCs w:val="24"/>
        </w:rPr>
      </w:pPr>
      <w:r>
        <w:rPr>
          <w:sz w:val="24"/>
          <w:szCs w:val="24"/>
        </w:rPr>
        <w:t>The investment property accounted for in this account is the Food Court Station/Food Centrum with comparative figures below:</w:t>
      </w:r>
    </w:p>
    <w:tbl>
      <w:tblPr>
        <w:tblpPr w:leftFromText="180" w:rightFromText="180" w:vertAnchor="text" w:horzAnchor="margin" w:tblpXSpec="right" w:tblpY="134"/>
        <w:tblW w:w="8755" w:type="dxa"/>
        <w:tblLook w:val="04A0" w:firstRow="1" w:lastRow="0" w:firstColumn="1" w:lastColumn="0" w:noHBand="0" w:noVBand="1"/>
      </w:tblPr>
      <w:tblGrid>
        <w:gridCol w:w="4111"/>
        <w:gridCol w:w="2410"/>
        <w:gridCol w:w="2234"/>
      </w:tblGrid>
      <w:tr>
        <w:trPr>
          <w:trHeight w:val="340"/>
        </w:trPr>
        <w:tc>
          <w:tcPr>
            <w:tcW w:w="411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Investment Property</w:t>
            </w:r>
          </w:p>
        </w:tc>
        <w:tc>
          <w:tcPr>
            <w:tcW w:w="241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3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Investment Property</w:t>
            </w:r>
          </w:p>
        </w:tc>
        <w:tc>
          <w:tcPr>
            <w:tcW w:w="241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29,626,667.40</w:t>
            </w:r>
          </w:p>
        </w:tc>
        <w:tc>
          <w:tcPr>
            <w:tcW w:w="223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29,626,667.40 </w:t>
            </w:r>
          </w:p>
        </w:tc>
      </w:tr>
      <w:tr>
        <w:trPr>
          <w:trHeight w:val="340"/>
        </w:trPr>
        <w:tc>
          <w:tcPr>
            <w:tcW w:w="41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Accumulated Depn- Investment Property</w:t>
            </w:r>
          </w:p>
        </w:tc>
        <w:tc>
          <w:tcPr>
            <w:tcW w:w="241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(8,157,985.86)</w:t>
            </w:r>
          </w:p>
        </w:tc>
        <w:tc>
          <w:tcPr>
            <w:tcW w:w="223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(7,219,808.10)</w:t>
            </w:r>
          </w:p>
        </w:tc>
      </w:tr>
      <w:tr>
        <w:trPr>
          <w:trHeight w:val="340"/>
        </w:trPr>
        <w:tc>
          <w:tcPr>
            <w:tcW w:w="4111"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2410"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21,468,681.54                    </w:t>
            </w:r>
          </w:p>
        </w:tc>
        <w:tc>
          <w:tcPr>
            <w:tcW w:w="2234"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22,406,859.30 </w:t>
            </w:r>
          </w:p>
        </w:tc>
      </w:tr>
    </w:tbl>
    <w:p>
      <w:pPr>
        <w:rPr>
          <w:b/>
          <w:bCs/>
          <w:sz w:val="24"/>
          <w:szCs w:val="24"/>
        </w:rPr>
      </w:pPr>
      <w:r>
        <w:rPr>
          <w:b/>
          <w:bCs/>
          <w:sz w:val="24"/>
          <w:szCs w:val="24"/>
        </w:rPr>
        <w:t xml:space="preserve">        </w:t>
      </w:r>
    </w:p>
    <w:p>
      <w:pPr>
        <w:rPr>
          <w:b/>
          <w:bCs/>
          <w:sz w:val="24"/>
          <w:szCs w:val="24"/>
        </w:rPr>
      </w:pPr>
    </w:p>
    <w:p>
      <w:pPr>
        <w:rPr>
          <w:b/>
          <w:bCs/>
          <w:sz w:val="24"/>
          <w:szCs w:val="24"/>
        </w:rPr>
      </w:pPr>
    </w:p>
    <w:p>
      <w:pPr>
        <w:rPr>
          <w:b/>
          <w:bCs/>
          <w:sz w:val="24"/>
          <w:szCs w:val="24"/>
        </w:rPr>
      </w:pPr>
      <w:r>
        <w:rPr>
          <w:b/>
          <w:bCs/>
          <w:sz w:val="24"/>
          <w:szCs w:val="24"/>
        </w:rPr>
        <w:tab/>
      </w:r>
    </w:p>
    <w:p>
      <w:pPr>
        <w:rPr>
          <w:b/>
          <w:bCs/>
          <w:sz w:val="24"/>
          <w:szCs w:val="24"/>
        </w:rPr>
      </w:pPr>
    </w:p>
    <w:p>
      <w:pPr>
        <w:rPr>
          <w:b/>
          <w:bCs/>
          <w:sz w:val="24"/>
          <w:szCs w:val="24"/>
        </w:rPr>
      </w:pPr>
    </w:p>
    <w:p>
      <w:pPr>
        <w:rPr>
          <w:b/>
          <w:bCs/>
          <w:sz w:val="24"/>
          <w:szCs w:val="24"/>
        </w:rPr>
      </w:pPr>
    </w:p>
    <w:p>
      <w:pPr>
        <w:rPr>
          <w:b/>
          <w:bCs/>
          <w:sz w:val="24"/>
          <w:szCs w:val="24"/>
        </w:rPr>
      </w:pPr>
    </w:p>
    <w:p>
      <w:pPr>
        <w:jc w:val="both"/>
        <w:rPr>
          <w:b/>
          <w:bCs/>
          <w:sz w:val="24"/>
          <w:szCs w:val="24"/>
        </w:rPr>
      </w:pPr>
      <w:r>
        <w:rPr>
          <w:b/>
          <w:bCs/>
          <w:sz w:val="24"/>
          <w:szCs w:val="24"/>
        </w:rPr>
        <w:t>Note 10 – Property, Plant, and Equipment</w:t>
      </w:r>
    </w:p>
    <w:p>
      <w:pPr>
        <w:pStyle w:val="ListParagraph"/>
        <w:ind w:left="360"/>
        <w:rPr>
          <w:b/>
          <w:bCs/>
          <w:sz w:val="24"/>
          <w:szCs w:val="24"/>
        </w:rPr>
      </w:pPr>
    </w:p>
    <w:p>
      <w:pPr>
        <w:spacing w:line="276" w:lineRule="auto"/>
        <w:ind w:left="993"/>
        <w:jc w:val="both"/>
        <w:rPr>
          <w:sz w:val="24"/>
          <w:szCs w:val="24"/>
        </w:rPr>
      </w:pPr>
      <w:r>
        <w:rPr>
          <w:sz w:val="24"/>
          <w:szCs w:val="24"/>
        </w:rPr>
        <w:t>This major account group consists of the following account group with its comparative figures for the year ended 2022 and 2021.</w:t>
      </w:r>
    </w:p>
    <w:p>
      <w:pPr>
        <w:ind w:left="720"/>
        <w:rPr>
          <w:sz w:val="24"/>
          <w:szCs w:val="24"/>
        </w:rPr>
      </w:pPr>
    </w:p>
    <w:tbl>
      <w:tblPr>
        <w:tblW w:w="8792" w:type="dxa"/>
        <w:tblInd w:w="1101" w:type="dxa"/>
        <w:tblLayout w:type="fixed"/>
        <w:tblLook w:val="04A0" w:firstRow="1" w:lastRow="0" w:firstColumn="1" w:lastColumn="0" w:noHBand="0" w:noVBand="1"/>
      </w:tblPr>
      <w:tblGrid>
        <w:gridCol w:w="3686"/>
        <w:gridCol w:w="2553"/>
        <w:gridCol w:w="2553"/>
      </w:tblGrid>
      <w:tr>
        <w:trPr>
          <w:trHeight w:val="340"/>
          <w:tblHeader/>
        </w:trPr>
        <w:tc>
          <w:tcPr>
            <w:tcW w:w="368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PPE Account Group</w:t>
            </w:r>
          </w:p>
        </w:tc>
        <w:tc>
          <w:tcPr>
            <w:tcW w:w="255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55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Land</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127,849,060.88</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125,923,109.32</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lastRenderedPageBreak/>
              <w:t>Land Improvements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51,771,333.36</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34,216,091.98</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Infrastructure Assets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1,689,471,179.03</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1,225,501,919.31</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Building &amp; Other Structures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921,433,869.73</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826,047,687.16</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Machinery &amp; Equipment</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495,430,920.30</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498,132,045.75</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Transportation Equipment</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152,710,846.31</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145,838,626.77</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Furniture, Fixtures &amp; Books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14,072,386.90</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25,538,764.14</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Construction in Progress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456,006,452.52</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295,076,387.72</w:t>
            </w:r>
          </w:p>
        </w:tc>
      </w:tr>
      <w:tr>
        <w:trPr>
          <w:trHeight w:val="340"/>
        </w:trPr>
        <w:tc>
          <w:tcPr>
            <w:tcW w:w="368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Property, Plant &amp; Equipment</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55,668,671.11</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53,484,995.28</w:t>
            </w:r>
          </w:p>
        </w:tc>
      </w:tr>
      <w:tr>
        <w:trPr>
          <w:trHeight w:val="340"/>
        </w:trPr>
        <w:tc>
          <w:tcPr>
            <w:tcW w:w="368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553"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   3,964,414,720.14</w:t>
            </w:r>
          </w:p>
        </w:tc>
        <w:tc>
          <w:tcPr>
            <w:tcW w:w="2553"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3,229,759,627.43 </w:t>
            </w:r>
          </w:p>
        </w:tc>
      </w:tr>
    </w:tbl>
    <w:p>
      <w:pPr>
        <w:ind w:left="720"/>
        <w:jc w:val="both"/>
        <w:rPr>
          <w:sz w:val="24"/>
          <w:szCs w:val="24"/>
        </w:rPr>
      </w:pPr>
    </w:p>
    <w:p>
      <w:pPr>
        <w:spacing w:line="276" w:lineRule="auto"/>
        <w:ind w:left="993"/>
        <w:jc w:val="both"/>
        <w:rPr>
          <w:sz w:val="24"/>
          <w:szCs w:val="24"/>
          <w:lang w:val="en-PH"/>
        </w:rPr>
      </w:pPr>
      <w:r>
        <w:rPr>
          <w:sz w:val="24"/>
          <w:szCs w:val="24"/>
        </w:rPr>
        <w:t>For the year 2022, there was a total increase of Php 709,327,430.33 in the Property, Plant and Equipment. The subsequent data and tables show the movement of each sub-major account group.</w:t>
      </w:r>
    </w:p>
    <w:p>
      <w:pPr>
        <w:rPr>
          <w:sz w:val="24"/>
          <w:szCs w:val="24"/>
        </w:rPr>
      </w:pPr>
      <w:r>
        <w:rPr>
          <w:sz w:val="24"/>
          <w:szCs w:val="24"/>
        </w:rPr>
        <w:t xml:space="preserve">  </w:t>
      </w:r>
    </w:p>
    <w:p>
      <w:pPr>
        <w:ind w:left="1418" w:hanging="284"/>
        <w:rPr>
          <w:b/>
          <w:bCs/>
          <w:sz w:val="24"/>
          <w:szCs w:val="24"/>
        </w:rPr>
      </w:pPr>
      <w:r>
        <w:rPr>
          <w:b/>
          <w:bCs/>
          <w:sz w:val="24"/>
          <w:szCs w:val="24"/>
        </w:rPr>
        <w:t>10.1 Land</w:t>
      </w:r>
    </w:p>
    <w:p>
      <w:pPr>
        <w:rPr>
          <w:b/>
          <w:bCs/>
          <w:sz w:val="24"/>
          <w:szCs w:val="24"/>
        </w:rPr>
      </w:pPr>
    </w:p>
    <w:tbl>
      <w:tblPr>
        <w:tblW w:w="8363" w:type="dxa"/>
        <w:tblInd w:w="1526" w:type="dxa"/>
        <w:tblLook w:val="04A0" w:firstRow="1" w:lastRow="0" w:firstColumn="1" w:lastColumn="0" w:noHBand="0" w:noVBand="1"/>
      </w:tblPr>
      <w:tblGrid>
        <w:gridCol w:w="3686"/>
        <w:gridCol w:w="2126"/>
        <w:gridCol w:w="2551"/>
      </w:tblGrid>
      <w:tr>
        <w:trPr>
          <w:trHeight w:val="283"/>
        </w:trPr>
        <w:tc>
          <w:tcPr>
            <w:tcW w:w="368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Land</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55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686" w:type="dxa"/>
            <w:tcBorders>
              <w:top w:val="nil"/>
              <w:left w:val="nil"/>
              <w:bottom w:val="nil"/>
              <w:right w:val="nil"/>
            </w:tcBorders>
            <w:shd w:val="clear" w:color="auto" w:fill="auto"/>
            <w:vAlign w:val="center"/>
            <w:hideMark/>
          </w:tcPr>
          <w:p>
            <w:pPr>
              <w:ind w:left="743" w:hanging="743"/>
              <w:rPr>
                <w:sz w:val="24"/>
                <w:szCs w:val="24"/>
                <w:lang w:val="en-PH" w:eastAsia="en-PH"/>
              </w:rPr>
            </w:pPr>
            <w:r>
              <w:rPr>
                <w:sz w:val="24"/>
                <w:szCs w:val="24"/>
                <w:lang w:val="en-PH" w:eastAsia="en-PH"/>
              </w:rPr>
              <w:t>Land</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127,849,060.88</w:t>
            </w:r>
          </w:p>
        </w:tc>
        <w:tc>
          <w:tcPr>
            <w:tcW w:w="255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125,923,109.32</w:t>
            </w:r>
          </w:p>
        </w:tc>
      </w:tr>
      <w:tr>
        <w:trPr>
          <w:trHeight w:val="283"/>
        </w:trPr>
        <w:tc>
          <w:tcPr>
            <w:tcW w:w="368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13" w:firstLine="31"/>
              <w:jc w:val="right"/>
              <w:rPr>
                <w:b/>
                <w:bCs/>
                <w:sz w:val="24"/>
                <w:szCs w:val="24"/>
                <w:lang w:val="en-PH" w:eastAsia="en-PH"/>
              </w:rPr>
            </w:pPr>
            <w:r>
              <w:rPr>
                <w:b/>
                <w:bCs/>
                <w:sz w:val="24"/>
                <w:szCs w:val="24"/>
                <w:lang w:val="en-PH" w:eastAsia="en-PH"/>
              </w:rPr>
              <w:t xml:space="preserve">127,849,060.88 </w:t>
            </w:r>
          </w:p>
        </w:tc>
        <w:tc>
          <w:tcPr>
            <w:tcW w:w="2551"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         125,923,109.32 </w:t>
            </w:r>
          </w:p>
        </w:tc>
      </w:tr>
    </w:tbl>
    <w:p>
      <w:pPr>
        <w:rPr>
          <w:sz w:val="24"/>
          <w:szCs w:val="24"/>
        </w:rPr>
      </w:pPr>
    </w:p>
    <w:p>
      <w:pPr>
        <w:ind w:left="1418"/>
        <w:rPr>
          <w:sz w:val="24"/>
          <w:szCs w:val="24"/>
        </w:rPr>
      </w:pPr>
      <w:r>
        <w:rPr>
          <w:sz w:val="24"/>
          <w:szCs w:val="24"/>
        </w:rPr>
        <w:tab/>
        <w:t xml:space="preserve">There was an additional acquisition of land during the year 2022 as per the below details: </w:t>
      </w:r>
    </w:p>
    <w:p>
      <w:pPr>
        <w:rPr>
          <w:sz w:val="24"/>
          <w:szCs w:val="24"/>
        </w:rPr>
      </w:pPr>
      <w:r>
        <w:rPr>
          <w:sz w:val="24"/>
          <w:szCs w:val="24"/>
        </w:rPr>
        <w:t xml:space="preserve">     </w:t>
      </w:r>
      <w:r>
        <w:rPr>
          <w:sz w:val="24"/>
          <w:szCs w:val="24"/>
        </w:rPr>
        <w:tab/>
      </w:r>
    </w:p>
    <w:tbl>
      <w:tblPr>
        <w:tblW w:w="8221"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7"/>
        <w:gridCol w:w="2154"/>
      </w:tblGrid>
      <w:tr>
        <w:trPr>
          <w:trHeight w:val="283"/>
        </w:trPr>
        <w:tc>
          <w:tcPr>
            <w:tcW w:w="6067" w:type="dxa"/>
            <w:shd w:val="clear" w:color="auto" w:fill="auto"/>
            <w:vAlign w:val="center"/>
            <w:hideMark/>
          </w:tcPr>
          <w:p>
            <w:pPr>
              <w:jc w:val="center"/>
              <w:rPr>
                <w:b/>
                <w:bCs/>
                <w:sz w:val="24"/>
                <w:szCs w:val="24"/>
                <w:lang w:val="en-PH" w:eastAsia="en-PH"/>
              </w:rPr>
            </w:pPr>
            <w:r>
              <w:rPr>
                <w:b/>
                <w:bCs/>
                <w:sz w:val="24"/>
                <w:szCs w:val="24"/>
                <w:lang w:val="en-PH" w:eastAsia="en-PH"/>
              </w:rPr>
              <w:t>Land</w:t>
            </w:r>
          </w:p>
        </w:tc>
        <w:tc>
          <w:tcPr>
            <w:tcW w:w="2154" w:type="dxa"/>
            <w:shd w:val="clear" w:color="auto" w:fill="auto"/>
            <w:vAlign w:val="center"/>
            <w:hideMark/>
          </w:tcPr>
          <w:p>
            <w:pPr>
              <w:jc w:val="center"/>
              <w:rPr>
                <w:b/>
                <w:bCs/>
                <w:sz w:val="24"/>
                <w:szCs w:val="24"/>
                <w:lang w:val="en-PH" w:eastAsia="en-PH"/>
              </w:rPr>
            </w:pPr>
            <w:r>
              <w:rPr>
                <w:b/>
                <w:bCs/>
                <w:sz w:val="24"/>
                <w:szCs w:val="24"/>
                <w:lang w:val="en-PH" w:eastAsia="en-PH"/>
              </w:rPr>
              <w:t>2022</w:t>
            </w:r>
          </w:p>
        </w:tc>
      </w:tr>
      <w:tr>
        <w:trPr>
          <w:trHeight w:val="283"/>
        </w:trPr>
        <w:tc>
          <w:tcPr>
            <w:tcW w:w="6067" w:type="dxa"/>
            <w:shd w:val="clear" w:color="auto" w:fill="auto"/>
            <w:vAlign w:val="center"/>
            <w:hideMark/>
          </w:tcPr>
          <w:p>
            <w:pPr>
              <w:rPr>
                <w:sz w:val="24"/>
                <w:szCs w:val="24"/>
                <w:lang w:val="en-PH" w:eastAsia="en-PH"/>
              </w:rPr>
            </w:pPr>
            <w:r>
              <w:rPr>
                <w:sz w:val="24"/>
                <w:szCs w:val="24"/>
                <w:lang w:val="en-PH" w:eastAsia="en-PH"/>
              </w:rPr>
              <w:t>Beginning Balance</w:t>
            </w:r>
          </w:p>
        </w:tc>
        <w:tc>
          <w:tcPr>
            <w:tcW w:w="2154" w:type="dxa"/>
            <w:shd w:val="clear" w:color="auto" w:fill="auto"/>
            <w:vAlign w:val="center"/>
            <w:hideMark/>
          </w:tcPr>
          <w:p>
            <w:pPr>
              <w:jc w:val="right"/>
              <w:rPr>
                <w:sz w:val="24"/>
                <w:szCs w:val="24"/>
                <w:lang w:val="en-PH" w:eastAsia="en-PH"/>
              </w:rPr>
            </w:pPr>
            <w:r>
              <w:rPr>
                <w:sz w:val="24"/>
                <w:szCs w:val="24"/>
                <w:lang w:val="en-PH" w:eastAsia="en-PH"/>
              </w:rPr>
              <w:t>125,923,109.32</w:t>
            </w:r>
          </w:p>
        </w:tc>
      </w:tr>
      <w:tr>
        <w:trPr>
          <w:trHeight w:val="283"/>
        </w:trPr>
        <w:tc>
          <w:tcPr>
            <w:tcW w:w="6067" w:type="dxa"/>
            <w:shd w:val="clear" w:color="auto" w:fill="auto"/>
            <w:vAlign w:val="center"/>
            <w:hideMark/>
          </w:tcPr>
          <w:p>
            <w:pPr>
              <w:rPr>
                <w:b/>
                <w:bCs/>
                <w:sz w:val="24"/>
                <w:szCs w:val="24"/>
                <w:lang w:val="en-PH" w:eastAsia="en-PH"/>
              </w:rPr>
            </w:pPr>
            <w:r>
              <w:rPr>
                <w:b/>
                <w:bCs/>
                <w:sz w:val="24"/>
                <w:szCs w:val="24"/>
                <w:lang w:val="en-PH" w:eastAsia="en-PH"/>
              </w:rPr>
              <w:t>Acquisition during the year:</w:t>
            </w:r>
          </w:p>
        </w:tc>
        <w:tc>
          <w:tcPr>
            <w:tcW w:w="2154" w:type="dxa"/>
            <w:shd w:val="clear" w:color="auto" w:fill="auto"/>
            <w:vAlign w:val="center"/>
            <w:hideMark/>
          </w:tcPr>
          <w:p>
            <w:pPr>
              <w:jc w:val="right"/>
              <w:rPr>
                <w:sz w:val="24"/>
                <w:szCs w:val="24"/>
                <w:lang w:val="en-PH" w:eastAsia="en-PH"/>
              </w:rPr>
            </w:pPr>
            <w:r>
              <w:rPr>
                <w:sz w:val="24"/>
                <w:szCs w:val="24"/>
                <w:lang w:val="en-PH" w:eastAsia="en-PH"/>
              </w:rPr>
              <w:t> </w:t>
            </w:r>
          </w:p>
        </w:tc>
      </w:tr>
      <w:tr>
        <w:trPr>
          <w:trHeight w:val="283"/>
        </w:trPr>
        <w:tc>
          <w:tcPr>
            <w:tcW w:w="6067" w:type="dxa"/>
            <w:shd w:val="clear" w:color="auto" w:fill="auto"/>
            <w:vAlign w:val="center"/>
            <w:hideMark/>
          </w:tcPr>
          <w:p>
            <w:pPr>
              <w:rPr>
                <w:sz w:val="24"/>
                <w:szCs w:val="24"/>
                <w:lang w:val="en-PH" w:eastAsia="en-PH"/>
              </w:rPr>
            </w:pPr>
            <w:r>
              <w:rPr>
                <w:sz w:val="24"/>
                <w:szCs w:val="24"/>
                <w:lang w:val="en-PH" w:eastAsia="en-PH"/>
              </w:rPr>
              <w:t>747 sq. m with TCT No. 142-2014002808,JP Laurel ,Panabo City</w:t>
            </w:r>
          </w:p>
        </w:tc>
        <w:tc>
          <w:tcPr>
            <w:tcW w:w="2154" w:type="dxa"/>
            <w:shd w:val="clear" w:color="auto" w:fill="auto"/>
            <w:vAlign w:val="center"/>
            <w:hideMark/>
          </w:tcPr>
          <w:p>
            <w:pPr>
              <w:jc w:val="right"/>
              <w:rPr>
                <w:sz w:val="24"/>
                <w:szCs w:val="24"/>
                <w:lang w:val="en-PH" w:eastAsia="en-PH"/>
              </w:rPr>
            </w:pPr>
            <w:r>
              <w:rPr>
                <w:sz w:val="24"/>
                <w:szCs w:val="24"/>
                <w:lang w:val="en-PH" w:eastAsia="en-PH"/>
              </w:rPr>
              <w:t>295,962.24</w:t>
            </w:r>
          </w:p>
        </w:tc>
      </w:tr>
      <w:tr>
        <w:trPr>
          <w:trHeight w:val="283"/>
        </w:trPr>
        <w:tc>
          <w:tcPr>
            <w:tcW w:w="6067" w:type="dxa"/>
            <w:shd w:val="clear" w:color="auto" w:fill="auto"/>
            <w:vAlign w:val="center"/>
            <w:hideMark/>
          </w:tcPr>
          <w:p>
            <w:pPr>
              <w:rPr>
                <w:sz w:val="24"/>
                <w:szCs w:val="24"/>
                <w:lang w:val="en-PH" w:eastAsia="en-PH"/>
              </w:rPr>
            </w:pPr>
            <w:r>
              <w:rPr>
                <w:sz w:val="24"/>
                <w:szCs w:val="24"/>
                <w:lang w:val="en-PH" w:eastAsia="en-PH"/>
              </w:rPr>
              <w:t>Lot no. 11074-B,  TCT no. 142-2021008876 with an area of 2,600 sq.m., San Vicente, P.C.</w:t>
            </w:r>
          </w:p>
        </w:tc>
        <w:tc>
          <w:tcPr>
            <w:tcW w:w="2154" w:type="dxa"/>
            <w:shd w:val="clear" w:color="auto" w:fill="auto"/>
            <w:vAlign w:val="center"/>
            <w:hideMark/>
          </w:tcPr>
          <w:p>
            <w:pPr>
              <w:jc w:val="right"/>
              <w:rPr>
                <w:sz w:val="24"/>
                <w:szCs w:val="24"/>
                <w:lang w:val="en-PH" w:eastAsia="en-PH"/>
              </w:rPr>
            </w:pPr>
            <w:r>
              <w:rPr>
                <w:sz w:val="24"/>
                <w:szCs w:val="24"/>
                <w:lang w:val="en-PH" w:eastAsia="en-PH"/>
              </w:rPr>
              <w:t>1,583,400.00</w:t>
            </w:r>
          </w:p>
        </w:tc>
      </w:tr>
      <w:tr>
        <w:trPr>
          <w:trHeight w:val="283"/>
        </w:trPr>
        <w:tc>
          <w:tcPr>
            <w:tcW w:w="6067" w:type="dxa"/>
            <w:shd w:val="clear" w:color="auto" w:fill="auto"/>
            <w:vAlign w:val="center"/>
            <w:hideMark/>
          </w:tcPr>
          <w:p>
            <w:pPr>
              <w:rPr>
                <w:sz w:val="24"/>
                <w:szCs w:val="24"/>
                <w:lang w:val="en-PH" w:eastAsia="en-PH"/>
              </w:rPr>
            </w:pPr>
            <w:r>
              <w:rPr>
                <w:sz w:val="24"/>
                <w:szCs w:val="24"/>
                <w:lang w:val="en-PH" w:eastAsia="en-PH"/>
              </w:rPr>
              <w:t>Titling of various properties</w:t>
            </w:r>
          </w:p>
        </w:tc>
        <w:tc>
          <w:tcPr>
            <w:tcW w:w="2154" w:type="dxa"/>
            <w:shd w:val="clear" w:color="auto" w:fill="auto"/>
            <w:vAlign w:val="center"/>
            <w:hideMark/>
          </w:tcPr>
          <w:p>
            <w:pPr>
              <w:jc w:val="right"/>
              <w:rPr>
                <w:sz w:val="24"/>
                <w:szCs w:val="24"/>
                <w:lang w:val="en-PH" w:eastAsia="en-PH"/>
              </w:rPr>
            </w:pPr>
            <w:r>
              <w:rPr>
                <w:sz w:val="24"/>
                <w:szCs w:val="24"/>
                <w:lang w:val="en-PH" w:eastAsia="en-PH"/>
              </w:rPr>
              <w:t>46,589.32</w:t>
            </w:r>
          </w:p>
        </w:tc>
      </w:tr>
      <w:tr>
        <w:trPr>
          <w:trHeight w:val="283"/>
        </w:trPr>
        <w:tc>
          <w:tcPr>
            <w:tcW w:w="6067" w:type="dxa"/>
            <w:shd w:val="clear" w:color="auto" w:fill="auto"/>
            <w:vAlign w:val="center"/>
            <w:hideMark/>
          </w:tcPr>
          <w:p>
            <w:pPr>
              <w:rPr>
                <w:b/>
                <w:bCs/>
                <w:sz w:val="24"/>
                <w:szCs w:val="24"/>
                <w:lang w:val="en-PH" w:eastAsia="en-PH"/>
              </w:rPr>
            </w:pPr>
            <w:r>
              <w:rPr>
                <w:b/>
                <w:bCs/>
                <w:sz w:val="24"/>
                <w:szCs w:val="24"/>
                <w:lang w:val="en-PH" w:eastAsia="en-PH"/>
              </w:rPr>
              <w:t>Total</w:t>
            </w:r>
          </w:p>
        </w:tc>
        <w:tc>
          <w:tcPr>
            <w:tcW w:w="2154" w:type="dxa"/>
            <w:shd w:val="clear" w:color="auto" w:fill="auto"/>
            <w:noWrap/>
            <w:vAlign w:val="center"/>
            <w:hideMark/>
          </w:tcPr>
          <w:p>
            <w:pPr>
              <w:jc w:val="right"/>
              <w:rPr>
                <w:b/>
                <w:bCs/>
                <w:sz w:val="24"/>
                <w:szCs w:val="24"/>
                <w:lang w:val="en-PH" w:eastAsia="en-PH"/>
              </w:rPr>
            </w:pPr>
            <w:r>
              <w:rPr>
                <w:b/>
                <w:bCs/>
                <w:sz w:val="24"/>
                <w:szCs w:val="24"/>
                <w:lang w:val="en-PH" w:eastAsia="en-PH"/>
              </w:rPr>
              <w:t xml:space="preserve">127,849,060.88 </w:t>
            </w:r>
          </w:p>
        </w:tc>
      </w:tr>
    </w:tbl>
    <w:p>
      <w:pPr>
        <w:rPr>
          <w:sz w:val="24"/>
          <w:szCs w:val="24"/>
        </w:rPr>
      </w:pPr>
      <w:r>
        <w:rPr>
          <w:sz w:val="24"/>
          <w:szCs w:val="24"/>
        </w:rPr>
        <w:t xml:space="preserve">       </w:t>
      </w:r>
    </w:p>
    <w:p>
      <w:pPr>
        <w:ind w:left="1134"/>
        <w:rPr>
          <w:b/>
          <w:bCs/>
          <w:sz w:val="24"/>
          <w:szCs w:val="24"/>
        </w:rPr>
      </w:pPr>
      <w:r>
        <w:rPr>
          <w:b/>
          <w:bCs/>
          <w:sz w:val="24"/>
          <w:szCs w:val="24"/>
        </w:rPr>
        <w:t>10.2 Land Improvement</w:t>
      </w:r>
    </w:p>
    <w:p>
      <w:pPr>
        <w:rPr>
          <w:sz w:val="24"/>
          <w:szCs w:val="24"/>
        </w:rPr>
      </w:pPr>
      <w:r>
        <w:rPr>
          <w:sz w:val="24"/>
          <w:szCs w:val="24"/>
        </w:rPr>
        <w:t xml:space="preserve">        </w:t>
      </w:r>
    </w:p>
    <w:p>
      <w:pPr>
        <w:spacing w:line="276" w:lineRule="auto"/>
        <w:ind w:left="1418"/>
        <w:jc w:val="both"/>
        <w:rPr>
          <w:sz w:val="24"/>
          <w:szCs w:val="24"/>
        </w:rPr>
      </w:pPr>
      <w:r>
        <w:rPr>
          <w:sz w:val="24"/>
          <w:szCs w:val="24"/>
        </w:rPr>
        <w:t>This comprised of the following account with comparative figure for the years ended 2022 and 2021.</w:t>
      </w:r>
    </w:p>
    <w:p>
      <w:pPr>
        <w:ind w:left="720"/>
        <w:jc w:val="both"/>
        <w:rPr>
          <w:sz w:val="24"/>
          <w:szCs w:val="24"/>
        </w:rPr>
      </w:pPr>
    </w:p>
    <w:tbl>
      <w:tblPr>
        <w:tblW w:w="8221" w:type="dxa"/>
        <w:tblInd w:w="1526" w:type="dxa"/>
        <w:tblLayout w:type="fixed"/>
        <w:tblLook w:val="04A0" w:firstRow="1" w:lastRow="0" w:firstColumn="1" w:lastColumn="0" w:noHBand="0" w:noVBand="1"/>
      </w:tblPr>
      <w:tblGrid>
        <w:gridCol w:w="3543"/>
        <w:gridCol w:w="2339"/>
        <w:gridCol w:w="2339"/>
      </w:tblGrid>
      <w:tr>
        <w:trPr>
          <w:trHeight w:val="283"/>
        </w:trPr>
        <w:tc>
          <w:tcPr>
            <w:tcW w:w="354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Land Improvement</w:t>
            </w:r>
          </w:p>
        </w:tc>
        <w:tc>
          <w:tcPr>
            <w:tcW w:w="233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33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543" w:type="dxa"/>
            <w:tcBorders>
              <w:top w:val="nil"/>
              <w:left w:val="nil"/>
              <w:bottom w:val="nil"/>
              <w:right w:val="nil"/>
            </w:tcBorders>
            <w:shd w:val="clear" w:color="auto" w:fill="auto"/>
            <w:vAlign w:val="center"/>
            <w:hideMark/>
          </w:tcPr>
          <w:p>
            <w:pPr>
              <w:ind w:left="34" w:hanging="34"/>
              <w:rPr>
                <w:sz w:val="24"/>
                <w:szCs w:val="24"/>
                <w:lang w:val="en-PH" w:eastAsia="en-PH"/>
              </w:rPr>
            </w:pPr>
            <w:r>
              <w:rPr>
                <w:sz w:val="24"/>
                <w:szCs w:val="24"/>
                <w:lang w:val="en-PH" w:eastAsia="en-PH"/>
              </w:rPr>
              <w:t>Other Land Improvement</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51,771,333.36</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34,216,091.98</w:t>
            </w:r>
          </w:p>
        </w:tc>
      </w:tr>
      <w:tr>
        <w:trPr>
          <w:trHeight w:val="283"/>
        </w:trPr>
        <w:tc>
          <w:tcPr>
            <w:tcW w:w="35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Accumulated Depreciation -OLI</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(17,295,769.21)</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(11,214,771.99)</w:t>
            </w:r>
          </w:p>
        </w:tc>
      </w:tr>
      <w:tr>
        <w:trPr>
          <w:trHeight w:val="283"/>
        </w:trPr>
        <w:tc>
          <w:tcPr>
            <w:tcW w:w="354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233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34,475,564.15</w:t>
            </w:r>
          </w:p>
        </w:tc>
        <w:tc>
          <w:tcPr>
            <w:tcW w:w="233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23,001,319.99 </w:t>
            </w:r>
          </w:p>
        </w:tc>
      </w:tr>
    </w:tbl>
    <w:p>
      <w:pPr>
        <w:jc w:val="both"/>
        <w:rPr>
          <w:sz w:val="24"/>
          <w:szCs w:val="24"/>
        </w:rPr>
      </w:pPr>
    </w:p>
    <w:p>
      <w:pPr>
        <w:spacing w:line="276" w:lineRule="auto"/>
        <w:ind w:left="1418"/>
        <w:jc w:val="both"/>
        <w:rPr>
          <w:sz w:val="24"/>
          <w:szCs w:val="24"/>
        </w:rPr>
      </w:pPr>
      <w:r>
        <w:rPr>
          <w:sz w:val="24"/>
          <w:szCs w:val="24"/>
        </w:rPr>
        <w:t>The movement of this account is due to additions of newly completed projects and adjustments during the year shown per the below details. The changes to its accumulated depreciation are due to the recognition of depreciation for the year 2022.</w:t>
      </w:r>
    </w:p>
    <w:p>
      <w:pPr>
        <w:rPr>
          <w:sz w:val="24"/>
          <w:szCs w:val="24"/>
        </w:rPr>
      </w:pPr>
    </w:p>
    <w:tbl>
      <w:tblPr>
        <w:tblW w:w="8363" w:type="dxa"/>
        <w:tblInd w:w="1526" w:type="dxa"/>
        <w:tblLook w:val="04A0" w:firstRow="1" w:lastRow="0" w:firstColumn="1" w:lastColumn="0" w:noHBand="0" w:noVBand="1"/>
      </w:tblPr>
      <w:tblGrid>
        <w:gridCol w:w="6662"/>
        <w:gridCol w:w="1701"/>
      </w:tblGrid>
      <w:tr>
        <w:trPr>
          <w:trHeight w:val="283"/>
          <w:tblHeader/>
        </w:trPr>
        <w:tc>
          <w:tcPr>
            <w:tcW w:w="6662"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Other Land Improvement</w:t>
            </w:r>
          </w:p>
        </w:tc>
        <w:tc>
          <w:tcPr>
            <w:tcW w:w="1701"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1701" w:type="dxa"/>
            <w:tcBorders>
              <w:top w:val="single" w:sz="4" w:space="0" w:color="A6A6A6"/>
              <w:left w:val="nil"/>
              <w:bottom w:val="single" w:sz="4" w:space="0" w:color="A6A6A6"/>
              <w:right w:val="nil"/>
            </w:tcBorders>
            <w:shd w:val="clear" w:color="auto" w:fill="auto"/>
            <w:vAlign w:val="center"/>
            <w:hideMark/>
          </w:tcPr>
          <w:p>
            <w:pPr>
              <w:jc w:val="right"/>
              <w:rPr>
                <w:b/>
                <w:sz w:val="22"/>
                <w:szCs w:val="22"/>
                <w:lang w:val="en-PH" w:eastAsia="en-PH"/>
              </w:rPr>
            </w:pPr>
            <w:r>
              <w:rPr>
                <w:b/>
                <w:sz w:val="22"/>
                <w:szCs w:val="22"/>
                <w:lang w:val="en-PH" w:eastAsia="en-PH"/>
              </w:rPr>
              <w:t>34,216,091.98</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Additions during the year:</w:t>
            </w:r>
          </w:p>
        </w:tc>
        <w:tc>
          <w:tcPr>
            <w:tcW w:w="1701" w:type="dxa"/>
            <w:tcBorders>
              <w:top w:val="single" w:sz="4" w:space="0" w:color="A6A6A6"/>
              <w:left w:val="nil"/>
              <w:bottom w:val="single" w:sz="4" w:space="0" w:color="A6A6A6"/>
              <w:right w:val="nil"/>
            </w:tcBorders>
            <w:shd w:val="clear" w:color="auto" w:fill="auto"/>
            <w:vAlign w:val="center"/>
            <w:hideMark/>
          </w:tcPr>
          <w:p>
            <w:pPr>
              <w:rPr>
                <w:b/>
                <w:bCs/>
                <w:sz w:val="22"/>
                <w:szCs w:val="22"/>
                <w:lang w:val="en-PH" w:eastAsia="en-PH"/>
              </w:rPr>
            </w:pP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POW-2021-05-174_Perimeter Fence, Buenavista ES located at Brgy. Buenavista; date completed: 01/25/2022</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497,211.05</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POW-2021-11-412-School Site Improvement-Landscaping Licanan ES</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496,956.42</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POW-2021-09-005_Site Development for Resettlement Areas (5.9 heactares) (Add'l) C  F</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1,977,694.62</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POW-2021-11-434_Urban Greening Project @ Brgy.   JP Laurel (SP Bldg. Area)_2019 Budget_P 1M)</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1,360,721.16</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POW-2022-03-128-Construction of Perimeter Fence Cagangohan NHS</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496,162.44</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POW-2021-11-422_Embankment of Motorpool Area, Datu Abdul</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977,850.00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POW-2022-01-001-Php1M-Site Development (Relampagos Village II),Quezon</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1,108,116.46</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POW-2020-03-166_Closure and Rehabilitation of Open Dumpsite (Phase II) @New Malitbog, PC</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1,409,337.41</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POW-2016-07-358- Construction of Perimeter Fence, Sindaton ES</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129,850.00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POW-2017-08-595- Construction of Perimeter Fence, P2,San Francisco ES</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166,653.00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POW-2019-03-132_Construction of Perimeter Fence P. Changco ES @Brgy. Tibungol)</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495,053.34</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Completion of Concrete Fence - Dondoy Elementary School, Brgy. Cagangohan, Panabo City)</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211,308.20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POW#2019-04-167_Construction of Perimeter Fence, So. Davao ES @Southern Davao)</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403,748.93</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POW#2019-05-199_ Construction of Perimeter Fence Panabo City SHS</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781,000.67</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POW-2016-08-396-Construction of Perimeter Fence @ Sison E.S., Brgy. Sindaton_POW#2016-08-396)</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177,540.00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Adjustment/Reclassification:</w:t>
            </w:r>
          </w:p>
        </w:tc>
        <w:tc>
          <w:tcPr>
            <w:tcW w:w="1701" w:type="dxa"/>
            <w:tcBorders>
              <w:top w:val="single" w:sz="4" w:space="0" w:color="A6A6A6"/>
              <w:left w:val="nil"/>
              <w:bottom w:val="single" w:sz="4" w:space="0" w:color="A6A6A6"/>
              <w:right w:val="nil"/>
            </w:tcBorders>
            <w:shd w:val="clear" w:color="auto" w:fill="auto"/>
            <w:vAlign w:val="center"/>
            <w:hideMark/>
          </w:tcPr>
          <w:p>
            <w:pPr>
              <w:rPr>
                <w:b/>
                <w:bCs/>
                <w:sz w:val="22"/>
                <w:szCs w:val="22"/>
                <w:lang w:val="en-PH" w:eastAsia="en-PH"/>
              </w:rPr>
            </w:pP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 xml:space="preserve">477 li. m. Perimeter Fence Fronting City Hall Government Center w/ Gate Component @ Brgy. JP Laurel_POW#2016-09-465  </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2,833,007.00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 xml:space="preserve">POW#2016-04-235_Fence - Angel Barachael, Brgy. New Pandan,  </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752,942.07</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 xml:space="preserve">150 li. m.  Perimeter Fence @ Motorpool, Datu Abdul- POW#2017-01-035  </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1,869,065.11</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 xml:space="preserve">POW-2017-03-158-Construction of Perimeter Fence at Panabo City Eternal Garden, Brgy. Datu Abdul, Panabo City/  </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1,417,023.50</w:t>
            </w:r>
          </w:p>
        </w:tc>
      </w:tr>
      <w:tr>
        <w:trPr>
          <w:trHeight w:val="283"/>
        </w:trPr>
        <w:tc>
          <w:tcPr>
            <w:tcW w:w="6662" w:type="dxa"/>
            <w:tcBorders>
              <w:top w:val="single" w:sz="4" w:space="0" w:color="A6A6A6"/>
              <w:left w:val="nil"/>
              <w:bottom w:val="single" w:sz="4" w:space="0" w:color="A6A6A6"/>
              <w:right w:val="nil"/>
            </w:tcBorders>
            <w:shd w:val="clear" w:color="auto" w:fill="auto"/>
            <w:vAlign w:val="center"/>
            <w:hideMark/>
          </w:tcPr>
          <w:p>
            <w:pPr>
              <w:ind w:left="175"/>
              <w:rPr>
                <w:sz w:val="22"/>
                <w:szCs w:val="22"/>
                <w:lang w:val="en-PH" w:eastAsia="en-PH"/>
              </w:rPr>
            </w:pPr>
            <w:r>
              <w:rPr>
                <w:sz w:val="22"/>
                <w:szCs w:val="22"/>
                <w:lang w:val="en-PH" w:eastAsia="en-PH"/>
              </w:rPr>
              <w:t>Site Development -Timtim Property</w:t>
            </w:r>
          </w:p>
        </w:tc>
        <w:tc>
          <w:tcPr>
            <w:tcW w:w="1701" w:type="dxa"/>
            <w:tcBorders>
              <w:top w:val="single" w:sz="4" w:space="0" w:color="A6A6A6"/>
              <w:left w:val="nil"/>
              <w:bottom w:val="single" w:sz="4" w:space="0" w:color="A6A6A6"/>
              <w:right w:val="nil"/>
            </w:tcBorders>
            <w:shd w:val="clear" w:color="auto" w:fill="auto"/>
            <w:hideMark/>
          </w:tcPr>
          <w:p>
            <w:pPr>
              <w:jc w:val="right"/>
              <w:rPr>
                <w:sz w:val="22"/>
                <w:szCs w:val="22"/>
                <w:lang w:val="en-PH" w:eastAsia="en-PH"/>
              </w:rPr>
            </w:pPr>
            <w:r>
              <w:rPr>
                <w:sz w:val="22"/>
                <w:szCs w:val="22"/>
                <w:lang w:val="en-PH" w:eastAsia="en-PH"/>
              </w:rPr>
              <w:t>(6,000.00)</w:t>
            </w:r>
          </w:p>
        </w:tc>
      </w:tr>
      <w:tr>
        <w:trPr>
          <w:trHeight w:val="283"/>
        </w:trPr>
        <w:tc>
          <w:tcPr>
            <w:tcW w:w="6662" w:type="dxa"/>
            <w:tcBorders>
              <w:top w:val="single" w:sz="4" w:space="0" w:color="A6A6A6"/>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Total</w:t>
            </w:r>
          </w:p>
        </w:tc>
        <w:tc>
          <w:tcPr>
            <w:tcW w:w="1701" w:type="dxa"/>
            <w:tcBorders>
              <w:top w:val="single" w:sz="4" w:space="0" w:color="A6A6A6"/>
              <w:left w:val="nil"/>
              <w:bottom w:val="double" w:sz="6" w:space="0" w:color="A6A6A6"/>
              <w:right w:val="nil"/>
            </w:tcBorders>
            <w:shd w:val="clear" w:color="auto" w:fill="auto"/>
            <w:noWrap/>
            <w:vAlign w:val="center"/>
            <w:hideMark/>
          </w:tcPr>
          <w:p>
            <w:pPr>
              <w:ind w:firstLineChars="14" w:firstLine="31"/>
              <w:jc w:val="right"/>
              <w:rPr>
                <w:b/>
                <w:bCs/>
                <w:sz w:val="22"/>
                <w:szCs w:val="22"/>
                <w:lang w:val="en-PH" w:eastAsia="en-PH"/>
              </w:rPr>
            </w:pPr>
            <w:r>
              <w:rPr>
                <w:b/>
                <w:bCs/>
                <w:sz w:val="22"/>
                <w:szCs w:val="22"/>
                <w:lang w:val="en-PH" w:eastAsia="en-PH"/>
              </w:rPr>
              <w:t xml:space="preserve">51,771,333.36 </w:t>
            </w:r>
          </w:p>
        </w:tc>
      </w:tr>
    </w:tbl>
    <w:p>
      <w:pPr>
        <w:ind w:left="426"/>
        <w:jc w:val="both"/>
        <w:rPr>
          <w:sz w:val="24"/>
          <w:szCs w:val="24"/>
        </w:rPr>
      </w:pPr>
    </w:p>
    <w:p>
      <w:pPr>
        <w:ind w:left="426"/>
        <w:jc w:val="both"/>
        <w:rPr>
          <w:sz w:val="24"/>
          <w:szCs w:val="24"/>
        </w:rPr>
      </w:pPr>
    </w:p>
    <w:p>
      <w:pPr>
        <w:ind w:left="1134"/>
        <w:jc w:val="both"/>
        <w:rPr>
          <w:b/>
          <w:bCs/>
          <w:sz w:val="24"/>
          <w:szCs w:val="24"/>
        </w:rPr>
      </w:pPr>
      <w:r>
        <w:rPr>
          <w:b/>
          <w:bCs/>
          <w:sz w:val="24"/>
          <w:szCs w:val="24"/>
        </w:rPr>
        <w:lastRenderedPageBreak/>
        <w:t>10.3 Infrastructure Assets</w:t>
      </w:r>
    </w:p>
    <w:p>
      <w:pPr>
        <w:ind w:left="426"/>
        <w:jc w:val="both"/>
        <w:rPr>
          <w:sz w:val="24"/>
          <w:szCs w:val="24"/>
        </w:rPr>
      </w:pPr>
    </w:p>
    <w:p>
      <w:pPr>
        <w:spacing w:line="276" w:lineRule="auto"/>
        <w:ind w:left="1418"/>
        <w:jc w:val="both"/>
        <w:rPr>
          <w:sz w:val="24"/>
          <w:szCs w:val="24"/>
        </w:rPr>
      </w:pPr>
      <w:r>
        <w:rPr>
          <w:sz w:val="24"/>
          <w:szCs w:val="24"/>
        </w:rPr>
        <w:t>This comprised of the following accounts with their comparative figure for the years ended 2022 and 2021.</w:t>
      </w:r>
    </w:p>
    <w:p>
      <w:pPr>
        <w:ind w:left="426"/>
        <w:jc w:val="both"/>
        <w:rPr>
          <w:sz w:val="24"/>
          <w:szCs w:val="24"/>
        </w:rPr>
      </w:pPr>
    </w:p>
    <w:tbl>
      <w:tblPr>
        <w:tblW w:w="8363" w:type="dxa"/>
        <w:tblInd w:w="1526" w:type="dxa"/>
        <w:tblLayout w:type="fixed"/>
        <w:tblLook w:val="04A0" w:firstRow="1" w:lastRow="0" w:firstColumn="1" w:lastColumn="0" w:noHBand="0" w:noVBand="1"/>
      </w:tblPr>
      <w:tblGrid>
        <w:gridCol w:w="4028"/>
        <w:gridCol w:w="2167"/>
        <w:gridCol w:w="2168"/>
      </w:tblGrid>
      <w:tr>
        <w:trPr>
          <w:trHeight w:val="283"/>
          <w:tblHeader/>
        </w:trPr>
        <w:tc>
          <w:tcPr>
            <w:tcW w:w="4028"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Infrastructure Assets</w:t>
            </w:r>
          </w:p>
        </w:tc>
        <w:tc>
          <w:tcPr>
            <w:tcW w:w="216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c>
          <w:tcPr>
            <w:tcW w:w="2168"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2021</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Road Networks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1,422,405,048.34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992,824,576.81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Depn-Road Networks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(185,892,774.32)</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(151,043,819.69)</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Flood Control Systems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19,644,568.46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8,575,169.76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 Flood Control Systems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(2,055,746.00)</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(1,644,992.65)</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Sewer Systems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14,885,351.55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13,890,418.28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 Sewer Systems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(2,446,229.42)</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(2,202,949.02)</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Water Supply Systems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21,616,633.09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10,926,411.21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Depn-Water Supply Systems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(4,202,060.81)</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(3,514,707.58)</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Communication Network</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2,087,051.00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2,087,051.00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 Communication Network</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(445,154.73)</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(185,515.68)</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Parks, Plazas and Monuments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40,665,872.91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40,665,872.91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Depn-Parks, Plazas and Monuments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(5,194,165.93)</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(4,454,003.48)</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Other Infrastructure Assets</w:t>
            </w:r>
          </w:p>
        </w:tc>
        <w:tc>
          <w:tcPr>
            <w:tcW w:w="2167"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 xml:space="preserve">168,166,653.68 </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156,532,419.34 </w:t>
            </w:r>
          </w:p>
        </w:tc>
      </w:tr>
      <w:tr>
        <w:trPr>
          <w:trHeight w:val="283"/>
        </w:trPr>
        <w:tc>
          <w:tcPr>
            <w:tcW w:w="4028"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Accum. Depn-Other Infrastructure Assets</w:t>
            </w:r>
          </w:p>
        </w:tc>
        <w:tc>
          <w:tcPr>
            <w:tcW w:w="2167"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(31,363,080.39)</w:t>
            </w:r>
          </w:p>
        </w:tc>
        <w:tc>
          <w:tcPr>
            <w:tcW w:w="216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(27,212,257.35)</w:t>
            </w:r>
          </w:p>
        </w:tc>
      </w:tr>
      <w:tr>
        <w:trPr>
          <w:trHeight w:val="283"/>
        </w:trPr>
        <w:tc>
          <w:tcPr>
            <w:tcW w:w="4028" w:type="dxa"/>
            <w:tcBorders>
              <w:top w:val="single" w:sz="4" w:space="0" w:color="A6A6A6"/>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Net Book Value</w:t>
            </w:r>
          </w:p>
        </w:tc>
        <w:tc>
          <w:tcPr>
            <w:tcW w:w="2167"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1,457,871,967.43</w:t>
            </w:r>
          </w:p>
        </w:tc>
        <w:tc>
          <w:tcPr>
            <w:tcW w:w="2168" w:type="dxa"/>
            <w:tcBorders>
              <w:top w:val="single" w:sz="4" w:space="0" w:color="A6A6A6"/>
              <w:left w:val="nil"/>
              <w:bottom w:val="double" w:sz="6" w:space="0" w:color="A6A6A6"/>
              <w:right w:val="nil"/>
            </w:tcBorders>
            <w:shd w:val="clear" w:color="auto" w:fill="auto"/>
            <w:noWrap/>
            <w:vAlign w:val="center"/>
            <w:hideMark/>
          </w:tcPr>
          <w:p>
            <w:pPr>
              <w:jc w:val="center"/>
              <w:rPr>
                <w:b/>
                <w:bCs/>
                <w:sz w:val="22"/>
                <w:szCs w:val="22"/>
                <w:lang w:val="en-PH" w:eastAsia="en-PH"/>
              </w:rPr>
            </w:pPr>
            <w:r>
              <w:rPr>
                <w:b/>
                <w:bCs/>
                <w:sz w:val="22"/>
                <w:szCs w:val="22"/>
                <w:lang w:val="en-PH" w:eastAsia="en-PH"/>
              </w:rPr>
              <w:t xml:space="preserve">1,035,243,673.86 </w:t>
            </w:r>
          </w:p>
        </w:tc>
      </w:tr>
    </w:tbl>
    <w:p>
      <w:pPr>
        <w:jc w:val="both"/>
        <w:rPr>
          <w:sz w:val="24"/>
          <w:szCs w:val="24"/>
        </w:rPr>
      </w:pPr>
    </w:p>
    <w:p>
      <w:pPr>
        <w:spacing w:line="276" w:lineRule="auto"/>
        <w:ind w:left="1418"/>
        <w:jc w:val="both"/>
        <w:rPr>
          <w:sz w:val="24"/>
          <w:szCs w:val="24"/>
        </w:rPr>
      </w:pPr>
      <w:r>
        <w:rPr>
          <w:sz w:val="24"/>
          <w:szCs w:val="24"/>
        </w:rPr>
        <w:t>The vast increase in infrastructure assets was mainly due to the completed projects from each of the following accounts.</w:t>
      </w:r>
    </w:p>
    <w:p>
      <w:pPr>
        <w:ind w:left="480"/>
        <w:jc w:val="both"/>
        <w:rPr>
          <w:sz w:val="24"/>
          <w:szCs w:val="24"/>
        </w:rPr>
      </w:pPr>
    </w:p>
    <w:tbl>
      <w:tblPr>
        <w:tblW w:w="8354" w:type="dxa"/>
        <w:tblInd w:w="1526" w:type="dxa"/>
        <w:tblLook w:val="04A0" w:firstRow="1" w:lastRow="0" w:firstColumn="1" w:lastColumn="0" w:noHBand="0" w:noVBand="1"/>
      </w:tblPr>
      <w:tblGrid>
        <w:gridCol w:w="3902"/>
        <w:gridCol w:w="1910"/>
        <w:gridCol w:w="2542"/>
      </w:tblGrid>
      <w:tr>
        <w:trPr>
          <w:trHeight w:val="283"/>
        </w:trPr>
        <w:tc>
          <w:tcPr>
            <w:tcW w:w="5812" w:type="dxa"/>
            <w:gridSpan w:val="2"/>
            <w:tcBorders>
              <w:top w:val="nil"/>
              <w:left w:val="nil"/>
              <w:bottom w:val="single" w:sz="4"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 xml:space="preserve">Infrastructure Assets </w:t>
            </w:r>
          </w:p>
        </w:tc>
        <w:tc>
          <w:tcPr>
            <w:tcW w:w="254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3902" w:type="dxa"/>
            <w:tcBorders>
              <w:top w:val="nil"/>
              <w:left w:val="nil"/>
              <w:bottom w:val="nil"/>
              <w:right w:val="nil"/>
            </w:tcBorders>
            <w:shd w:val="clear" w:color="auto" w:fill="auto"/>
            <w:vAlign w:val="center"/>
          </w:tcPr>
          <w:p>
            <w:pPr>
              <w:rPr>
                <w:i/>
                <w:sz w:val="24"/>
                <w:szCs w:val="24"/>
                <w:lang w:val="en-PH" w:eastAsia="en-PH"/>
              </w:rPr>
            </w:pPr>
            <w:r>
              <w:rPr>
                <w:b/>
                <w:bCs/>
                <w:i/>
                <w:sz w:val="24"/>
                <w:szCs w:val="24"/>
                <w:lang w:val="en-PH" w:eastAsia="en-PH"/>
              </w:rPr>
              <w:t>Additions during the year:</w:t>
            </w:r>
          </w:p>
        </w:tc>
        <w:tc>
          <w:tcPr>
            <w:tcW w:w="1910" w:type="dxa"/>
            <w:tcBorders>
              <w:top w:val="nil"/>
              <w:left w:val="nil"/>
              <w:bottom w:val="nil"/>
              <w:right w:val="nil"/>
            </w:tcBorders>
            <w:shd w:val="clear" w:color="auto" w:fill="auto"/>
            <w:noWrap/>
            <w:vAlign w:val="bottom"/>
          </w:tcPr>
          <w:p>
            <w:pPr>
              <w:rPr>
                <w:sz w:val="24"/>
                <w:szCs w:val="24"/>
                <w:lang w:val="en-PH" w:eastAsia="en-PH"/>
              </w:rPr>
            </w:pPr>
          </w:p>
        </w:tc>
        <w:tc>
          <w:tcPr>
            <w:tcW w:w="2542" w:type="dxa"/>
            <w:tcBorders>
              <w:top w:val="nil"/>
              <w:left w:val="nil"/>
              <w:bottom w:val="nil"/>
              <w:right w:val="nil"/>
            </w:tcBorders>
            <w:shd w:val="clear" w:color="auto" w:fill="auto"/>
            <w:noWrap/>
            <w:vAlign w:val="center"/>
          </w:tcPr>
          <w:p>
            <w:pPr>
              <w:jc w:val="right"/>
              <w:rPr>
                <w:sz w:val="24"/>
                <w:szCs w:val="24"/>
                <w:lang w:val="en-PH" w:eastAsia="en-PH"/>
              </w:rPr>
            </w:pPr>
          </w:p>
        </w:tc>
      </w:tr>
      <w:tr>
        <w:trPr>
          <w:trHeight w:val="283"/>
        </w:trPr>
        <w:tc>
          <w:tcPr>
            <w:tcW w:w="390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Road Networks</w:t>
            </w:r>
          </w:p>
        </w:tc>
        <w:tc>
          <w:tcPr>
            <w:tcW w:w="1910" w:type="dxa"/>
            <w:tcBorders>
              <w:top w:val="nil"/>
              <w:left w:val="nil"/>
              <w:bottom w:val="nil"/>
              <w:right w:val="nil"/>
            </w:tcBorders>
            <w:shd w:val="clear" w:color="auto" w:fill="auto"/>
            <w:noWrap/>
            <w:vAlign w:val="bottom"/>
            <w:hideMark/>
          </w:tcPr>
          <w:p>
            <w:pPr>
              <w:rPr>
                <w:sz w:val="24"/>
                <w:szCs w:val="24"/>
                <w:lang w:val="en-PH" w:eastAsia="en-PH"/>
              </w:rPr>
            </w:pPr>
          </w:p>
        </w:tc>
        <w:tc>
          <w:tcPr>
            <w:tcW w:w="254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429,580,471.53 </w:t>
            </w:r>
          </w:p>
        </w:tc>
      </w:tr>
      <w:tr>
        <w:trPr>
          <w:trHeight w:val="283"/>
        </w:trPr>
        <w:tc>
          <w:tcPr>
            <w:tcW w:w="390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Flood Control Systems</w:t>
            </w:r>
          </w:p>
        </w:tc>
        <w:tc>
          <w:tcPr>
            <w:tcW w:w="1910" w:type="dxa"/>
            <w:tcBorders>
              <w:top w:val="nil"/>
              <w:left w:val="nil"/>
              <w:bottom w:val="nil"/>
              <w:right w:val="nil"/>
            </w:tcBorders>
            <w:shd w:val="clear" w:color="auto" w:fill="auto"/>
            <w:noWrap/>
            <w:vAlign w:val="bottom"/>
            <w:hideMark/>
          </w:tcPr>
          <w:p>
            <w:pPr>
              <w:rPr>
                <w:sz w:val="24"/>
                <w:szCs w:val="24"/>
                <w:lang w:val="en-PH" w:eastAsia="en-PH"/>
              </w:rPr>
            </w:pPr>
          </w:p>
        </w:tc>
        <w:tc>
          <w:tcPr>
            <w:tcW w:w="254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11,069,398.70 </w:t>
            </w:r>
          </w:p>
        </w:tc>
      </w:tr>
      <w:tr>
        <w:trPr>
          <w:trHeight w:val="283"/>
        </w:trPr>
        <w:tc>
          <w:tcPr>
            <w:tcW w:w="390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Sewer Systems</w:t>
            </w:r>
          </w:p>
        </w:tc>
        <w:tc>
          <w:tcPr>
            <w:tcW w:w="1910" w:type="dxa"/>
            <w:tcBorders>
              <w:top w:val="nil"/>
              <w:left w:val="nil"/>
              <w:bottom w:val="nil"/>
              <w:right w:val="nil"/>
            </w:tcBorders>
            <w:shd w:val="clear" w:color="auto" w:fill="auto"/>
            <w:noWrap/>
            <w:vAlign w:val="bottom"/>
            <w:hideMark/>
          </w:tcPr>
          <w:p>
            <w:pPr>
              <w:rPr>
                <w:sz w:val="24"/>
                <w:szCs w:val="24"/>
                <w:lang w:val="en-PH" w:eastAsia="en-PH"/>
              </w:rPr>
            </w:pPr>
          </w:p>
        </w:tc>
        <w:tc>
          <w:tcPr>
            <w:tcW w:w="254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994,933.27 </w:t>
            </w:r>
          </w:p>
        </w:tc>
      </w:tr>
      <w:tr>
        <w:trPr>
          <w:trHeight w:val="283"/>
        </w:trPr>
        <w:tc>
          <w:tcPr>
            <w:tcW w:w="390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Water Supply Systems</w:t>
            </w:r>
          </w:p>
        </w:tc>
        <w:tc>
          <w:tcPr>
            <w:tcW w:w="1910" w:type="dxa"/>
            <w:tcBorders>
              <w:top w:val="nil"/>
              <w:left w:val="nil"/>
              <w:bottom w:val="nil"/>
              <w:right w:val="nil"/>
            </w:tcBorders>
            <w:shd w:val="clear" w:color="auto" w:fill="auto"/>
            <w:noWrap/>
            <w:vAlign w:val="bottom"/>
            <w:hideMark/>
          </w:tcPr>
          <w:p>
            <w:pPr>
              <w:rPr>
                <w:sz w:val="24"/>
                <w:szCs w:val="24"/>
                <w:lang w:val="en-PH" w:eastAsia="en-PH"/>
              </w:rPr>
            </w:pPr>
          </w:p>
        </w:tc>
        <w:tc>
          <w:tcPr>
            <w:tcW w:w="254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10,690,221.88 </w:t>
            </w:r>
          </w:p>
        </w:tc>
      </w:tr>
      <w:tr>
        <w:trPr>
          <w:trHeight w:val="283"/>
        </w:trPr>
        <w:tc>
          <w:tcPr>
            <w:tcW w:w="390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Infrastructure Assets</w:t>
            </w:r>
          </w:p>
        </w:tc>
        <w:tc>
          <w:tcPr>
            <w:tcW w:w="1910" w:type="dxa"/>
            <w:tcBorders>
              <w:top w:val="nil"/>
              <w:left w:val="nil"/>
              <w:bottom w:val="nil"/>
              <w:right w:val="nil"/>
            </w:tcBorders>
            <w:shd w:val="clear" w:color="auto" w:fill="auto"/>
            <w:noWrap/>
            <w:vAlign w:val="bottom"/>
            <w:hideMark/>
          </w:tcPr>
          <w:p>
            <w:pPr>
              <w:rPr>
                <w:sz w:val="24"/>
                <w:szCs w:val="24"/>
                <w:lang w:val="en-PH" w:eastAsia="en-PH"/>
              </w:rPr>
            </w:pPr>
          </w:p>
        </w:tc>
        <w:tc>
          <w:tcPr>
            <w:tcW w:w="254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11,634,234.34 </w:t>
            </w:r>
          </w:p>
        </w:tc>
      </w:tr>
      <w:tr>
        <w:trPr>
          <w:trHeight w:val="283"/>
        </w:trPr>
        <w:tc>
          <w:tcPr>
            <w:tcW w:w="390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1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 </w:t>
            </w:r>
          </w:p>
        </w:tc>
        <w:tc>
          <w:tcPr>
            <w:tcW w:w="254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463,969,259.72 </w:t>
            </w:r>
          </w:p>
        </w:tc>
      </w:tr>
    </w:tbl>
    <w:p>
      <w:pPr>
        <w:ind w:left="240"/>
        <w:jc w:val="both"/>
        <w:rPr>
          <w:sz w:val="24"/>
          <w:szCs w:val="24"/>
          <w:lang w:val="en-PH" w:eastAsia="en-PH"/>
        </w:rPr>
      </w:pPr>
    </w:p>
    <w:p>
      <w:pPr>
        <w:spacing w:line="276" w:lineRule="auto"/>
        <w:ind w:left="1418"/>
        <w:jc w:val="both"/>
        <w:rPr>
          <w:sz w:val="24"/>
          <w:szCs w:val="24"/>
          <w:lang w:val="en-PH" w:eastAsia="en-PH"/>
        </w:rPr>
      </w:pPr>
      <w:r>
        <w:rPr>
          <w:sz w:val="24"/>
          <w:szCs w:val="24"/>
          <w:lang w:val="en-PH" w:eastAsia="en-PH"/>
        </w:rPr>
        <w:t>Hence, the following table shows the amount of movement of each infrastructure assets accounts.</w:t>
      </w:r>
    </w:p>
    <w:p>
      <w:pPr>
        <w:ind w:left="420"/>
        <w:jc w:val="both"/>
        <w:rPr>
          <w:sz w:val="24"/>
          <w:szCs w:val="24"/>
          <w:lang w:val="en-PH" w:eastAsia="en-PH"/>
        </w:rPr>
      </w:pPr>
    </w:p>
    <w:tbl>
      <w:tblPr>
        <w:tblW w:w="9200" w:type="dxa"/>
        <w:tblInd w:w="675" w:type="dxa"/>
        <w:tblLayout w:type="fixed"/>
        <w:tblLook w:val="04A0" w:firstRow="1" w:lastRow="0" w:firstColumn="1" w:lastColumn="0" w:noHBand="0" w:noVBand="1"/>
      </w:tblPr>
      <w:tblGrid>
        <w:gridCol w:w="2693"/>
        <w:gridCol w:w="1701"/>
        <w:gridCol w:w="1560"/>
        <w:gridCol w:w="1559"/>
        <w:gridCol w:w="1687"/>
      </w:tblGrid>
      <w:tr>
        <w:trPr>
          <w:trHeight w:val="283"/>
          <w:tblHeader/>
        </w:trPr>
        <w:tc>
          <w:tcPr>
            <w:tcW w:w="2693" w:type="dxa"/>
            <w:tcBorders>
              <w:top w:val="nil"/>
              <w:left w:val="nil"/>
              <w:bottom w:val="single" w:sz="4" w:space="0" w:color="A6A6A6"/>
              <w:right w:val="nil"/>
            </w:tcBorders>
            <w:shd w:val="clear" w:color="auto" w:fill="auto"/>
            <w:hideMark/>
          </w:tcPr>
          <w:p>
            <w:pPr>
              <w:jc w:val="center"/>
              <w:rPr>
                <w:b/>
                <w:bCs/>
                <w:lang w:val="en-PH" w:eastAsia="en-PH"/>
              </w:rPr>
            </w:pPr>
            <w:r>
              <w:rPr>
                <w:b/>
                <w:bCs/>
                <w:lang w:val="en-PH" w:eastAsia="en-PH"/>
              </w:rPr>
              <w:t>Infrastructure Assets</w:t>
            </w:r>
          </w:p>
        </w:tc>
        <w:tc>
          <w:tcPr>
            <w:tcW w:w="1701" w:type="dxa"/>
            <w:tcBorders>
              <w:top w:val="nil"/>
              <w:left w:val="nil"/>
              <w:bottom w:val="single" w:sz="4" w:space="0" w:color="A6A6A6"/>
              <w:right w:val="nil"/>
            </w:tcBorders>
            <w:shd w:val="clear" w:color="auto" w:fill="auto"/>
            <w:noWrap/>
            <w:hideMark/>
          </w:tcPr>
          <w:p>
            <w:pPr>
              <w:jc w:val="center"/>
              <w:rPr>
                <w:b/>
                <w:bCs/>
                <w:lang w:val="en-PH" w:eastAsia="en-PH"/>
              </w:rPr>
            </w:pPr>
            <w:r>
              <w:rPr>
                <w:b/>
                <w:bCs/>
                <w:lang w:val="en-PH" w:eastAsia="en-PH"/>
              </w:rPr>
              <w:t>Beginning Balance</w:t>
            </w:r>
          </w:p>
        </w:tc>
        <w:tc>
          <w:tcPr>
            <w:tcW w:w="1560" w:type="dxa"/>
            <w:tcBorders>
              <w:top w:val="nil"/>
              <w:left w:val="nil"/>
              <w:bottom w:val="single" w:sz="4" w:space="0" w:color="A6A6A6"/>
              <w:right w:val="nil"/>
            </w:tcBorders>
            <w:shd w:val="clear" w:color="auto" w:fill="auto"/>
            <w:noWrap/>
            <w:hideMark/>
          </w:tcPr>
          <w:p>
            <w:pPr>
              <w:jc w:val="center"/>
              <w:rPr>
                <w:b/>
                <w:bCs/>
                <w:lang w:val="en-PH" w:eastAsia="en-PH"/>
              </w:rPr>
            </w:pPr>
            <w:r>
              <w:rPr>
                <w:b/>
                <w:bCs/>
                <w:lang w:val="en-PH" w:eastAsia="en-PH"/>
              </w:rPr>
              <w:t>Asset Additions</w:t>
            </w:r>
          </w:p>
        </w:tc>
        <w:tc>
          <w:tcPr>
            <w:tcW w:w="1559" w:type="dxa"/>
            <w:tcBorders>
              <w:top w:val="nil"/>
              <w:left w:val="nil"/>
              <w:bottom w:val="single" w:sz="4" w:space="0" w:color="A6A6A6"/>
              <w:right w:val="nil"/>
            </w:tcBorders>
            <w:shd w:val="clear" w:color="auto" w:fill="auto"/>
            <w:hideMark/>
          </w:tcPr>
          <w:p>
            <w:pPr>
              <w:jc w:val="center"/>
              <w:rPr>
                <w:b/>
                <w:bCs/>
                <w:lang w:val="en-PH" w:eastAsia="en-PH"/>
              </w:rPr>
            </w:pPr>
            <w:r>
              <w:rPr>
                <w:b/>
                <w:bCs/>
                <w:lang w:val="en-PH" w:eastAsia="en-PH"/>
              </w:rPr>
              <w:t>Depreciation for the year</w:t>
            </w:r>
          </w:p>
        </w:tc>
        <w:tc>
          <w:tcPr>
            <w:tcW w:w="1687" w:type="dxa"/>
            <w:tcBorders>
              <w:top w:val="nil"/>
              <w:left w:val="nil"/>
              <w:bottom w:val="single" w:sz="4" w:space="0" w:color="A6A6A6"/>
              <w:right w:val="nil"/>
            </w:tcBorders>
            <w:shd w:val="clear" w:color="auto" w:fill="auto"/>
            <w:noWrap/>
            <w:hideMark/>
          </w:tcPr>
          <w:p>
            <w:pPr>
              <w:jc w:val="center"/>
              <w:rPr>
                <w:b/>
                <w:bCs/>
                <w:lang w:val="en-PH" w:eastAsia="en-PH"/>
              </w:rPr>
            </w:pPr>
            <w:r>
              <w:rPr>
                <w:b/>
                <w:bCs/>
                <w:lang w:val="en-PH" w:eastAsia="en-PH"/>
              </w:rPr>
              <w:t>Ending Balance</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Road Networks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992,824,576.81</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429,580,471.53</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1,422,405,048.34</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AD-Road Networks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(151,043,819.69)</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(34,848,954.63)</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(185,892,774.32)</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Flood Control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8,575,169.76</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11,069,398.70</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19,644,568.46</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 Flood Control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(1,644,992.65)</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(410,753.35)</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(2,055,746.00)</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Sewer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13,890,418.28</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994,933.27</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14,885,351.55</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lastRenderedPageBreak/>
              <w:t>AD- Sewer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(2,202,949.02)</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(243,280.40)</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(2,446,229.42)</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Water Supply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10,926,411.21</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10,690,221.88</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21,616,633.09</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AD-Water Supply Systems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(3,514,707.58)</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(687,353.23)</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(4,202,060.81)</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Communication Network</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2,087,051.00</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2,087,051.00</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 Communication Network</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(185,515.68)</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(259,639.05)</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(445,154.73)</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Parks, Plazas, and Monuments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40,665,872.91</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40,665,872.91</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AD-Parks, Plazas &amp;Monuments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(4,454,003.48)</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(740,162.45)</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(5,194,165.93)</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Other Infrastructure Assets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156,532,419.34</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11,634,234.34</w:t>
            </w:r>
          </w:p>
        </w:tc>
        <w:tc>
          <w:tcPr>
            <w:tcW w:w="1559"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687" w:type="dxa"/>
            <w:tcBorders>
              <w:top w:val="nil"/>
              <w:left w:val="nil"/>
              <w:bottom w:val="single" w:sz="4" w:space="0" w:color="A6A6A6"/>
              <w:right w:val="nil"/>
            </w:tcBorders>
            <w:shd w:val="clear" w:color="auto" w:fill="auto"/>
            <w:noWrap/>
            <w:vAlign w:val="center"/>
            <w:hideMark/>
          </w:tcPr>
          <w:p>
            <w:pPr>
              <w:jc w:val="right"/>
              <w:rPr>
                <w:lang w:val="en-PH" w:eastAsia="en-PH"/>
              </w:rPr>
            </w:pPr>
            <w:r>
              <w:rPr>
                <w:lang w:val="en-PH" w:eastAsia="en-PH"/>
              </w:rPr>
              <w:t>168,166,653.68</w:t>
            </w:r>
          </w:p>
        </w:tc>
      </w:tr>
      <w:tr>
        <w:trPr>
          <w:trHeight w:val="283"/>
        </w:trPr>
        <w:tc>
          <w:tcPr>
            <w:tcW w:w="2693" w:type="dxa"/>
            <w:tcBorders>
              <w:top w:val="nil"/>
              <w:left w:val="nil"/>
              <w:bottom w:val="single" w:sz="4" w:space="0" w:color="A6A6A6"/>
              <w:right w:val="nil"/>
            </w:tcBorders>
            <w:shd w:val="clear" w:color="auto" w:fill="auto"/>
            <w:vAlign w:val="center"/>
            <w:hideMark/>
          </w:tcPr>
          <w:p>
            <w:pPr>
              <w:rPr>
                <w:lang w:val="en-PH" w:eastAsia="en-PH"/>
              </w:rPr>
            </w:pPr>
            <w:r>
              <w:rPr>
                <w:lang w:val="en-PH" w:eastAsia="en-PH"/>
              </w:rPr>
              <w:t>AD-Other Infrastructure Assets</w:t>
            </w:r>
          </w:p>
        </w:tc>
        <w:tc>
          <w:tcPr>
            <w:tcW w:w="1701"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(27,212,257.35)</w:t>
            </w:r>
          </w:p>
        </w:tc>
        <w:tc>
          <w:tcPr>
            <w:tcW w:w="1560" w:type="dxa"/>
            <w:tcBorders>
              <w:top w:val="nil"/>
              <w:left w:val="nil"/>
              <w:bottom w:val="single" w:sz="4" w:space="0" w:color="A6A6A6"/>
              <w:right w:val="nil"/>
            </w:tcBorders>
            <w:shd w:val="clear" w:color="auto" w:fill="auto"/>
            <w:noWrap/>
            <w:vAlign w:val="center"/>
            <w:hideMark/>
          </w:tcPr>
          <w:p>
            <w:pPr>
              <w:jc w:val="right"/>
              <w:rPr>
                <w:lang w:val="en-PH" w:eastAsia="en-PH"/>
              </w:rPr>
            </w:pPr>
          </w:p>
        </w:tc>
        <w:tc>
          <w:tcPr>
            <w:tcW w:w="1559"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(4,150,823.04)</w:t>
            </w:r>
          </w:p>
        </w:tc>
        <w:tc>
          <w:tcPr>
            <w:tcW w:w="1687" w:type="dxa"/>
            <w:tcBorders>
              <w:top w:val="nil"/>
              <w:left w:val="nil"/>
              <w:bottom w:val="single" w:sz="4" w:space="0" w:color="A6A6A6"/>
              <w:right w:val="nil"/>
            </w:tcBorders>
            <w:shd w:val="clear" w:color="auto" w:fill="auto"/>
            <w:vAlign w:val="center"/>
            <w:hideMark/>
          </w:tcPr>
          <w:p>
            <w:pPr>
              <w:jc w:val="right"/>
              <w:rPr>
                <w:lang w:val="en-PH" w:eastAsia="en-PH"/>
              </w:rPr>
            </w:pPr>
            <w:r>
              <w:rPr>
                <w:lang w:val="en-PH" w:eastAsia="en-PH"/>
              </w:rPr>
              <w:t>(31,363,080.39)</w:t>
            </w:r>
          </w:p>
        </w:tc>
      </w:tr>
      <w:tr>
        <w:trPr>
          <w:trHeight w:val="283"/>
        </w:trPr>
        <w:tc>
          <w:tcPr>
            <w:tcW w:w="2693" w:type="dxa"/>
            <w:tcBorders>
              <w:top w:val="nil"/>
              <w:left w:val="nil"/>
              <w:bottom w:val="double" w:sz="6" w:space="0" w:color="A6A6A6"/>
              <w:right w:val="nil"/>
            </w:tcBorders>
            <w:shd w:val="clear" w:color="auto" w:fill="auto"/>
            <w:vAlign w:val="center"/>
            <w:hideMark/>
          </w:tcPr>
          <w:p>
            <w:pPr>
              <w:rPr>
                <w:b/>
                <w:bCs/>
                <w:lang w:val="en-PH" w:eastAsia="en-PH"/>
              </w:rPr>
            </w:pPr>
            <w:r>
              <w:rPr>
                <w:b/>
                <w:bCs/>
                <w:lang w:val="en-PH" w:eastAsia="en-PH"/>
              </w:rPr>
              <w:t> Total</w:t>
            </w:r>
          </w:p>
        </w:tc>
        <w:tc>
          <w:tcPr>
            <w:tcW w:w="1701" w:type="dxa"/>
            <w:tcBorders>
              <w:top w:val="nil"/>
              <w:left w:val="nil"/>
              <w:bottom w:val="double" w:sz="6" w:space="0" w:color="A6A6A6"/>
              <w:right w:val="nil"/>
            </w:tcBorders>
            <w:shd w:val="clear" w:color="auto" w:fill="auto"/>
            <w:noWrap/>
            <w:vAlign w:val="center"/>
            <w:hideMark/>
          </w:tcPr>
          <w:p>
            <w:pPr>
              <w:jc w:val="right"/>
              <w:rPr>
                <w:b/>
                <w:bCs/>
                <w:lang w:val="en-PH" w:eastAsia="en-PH"/>
              </w:rPr>
            </w:pPr>
            <w:r>
              <w:rPr>
                <w:b/>
                <w:bCs/>
                <w:lang w:val="en-PH" w:eastAsia="en-PH"/>
              </w:rPr>
              <w:t>1,035,243,673.86</w:t>
            </w:r>
          </w:p>
        </w:tc>
        <w:tc>
          <w:tcPr>
            <w:tcW w:w="1560" w:type="dxa"/>
            <w:tcBorders>
              <w:top w:val="nil"/>
              <w:left w:val="nil"/>
              <w:bottom w:val="double" w:sz="6" w:space="0" w:color="A6A6A6"/>
              <w:right w:val="nil"/>
            </w:tcBorders>
            <w:shd w:val="clear" w:color="auto" w:fill="auto"/>
            <w:noWrap/>
            <w:vAlign w:val="center"/>
            <w:hideMark/>
          </w:tcPr>
          <w:p>
            <w:pPr>
              <w:jc w:val="right"/>
              <w:rPr>
                <w:b/>
                <w:bCs/>
                <w:lang w:val="en-PH" w:eastAsia="en-PH"/>
              </w:rPr>
            </w:pPr>
            <w:r>
              <w:rPr>
                <w:b/>
                <w:bCs/>
                <w:lang w:val="en-PH" w:eastAsia="en-PH"/>
              </w:rPr>
              <w:t>463,969,259.72</w:t>
            </w:r>
          </w:p>
        </w:tc>
        <w:tc>
          <w:tcPr>
            <w:tcW w:w="1559" w:type="dxa"/>
            <w:tcBorders>
              <w:top w:val="nil"/>
              <w:left w:val="nil"/>
              <w:bottom w:val="double" w:sz="6" w:space="0" w:color="A6A6A6"/>
              <w:right w:val="nil"/>
            </w:tcBorders>
            <w:shd w:val="clear" w:color="auto" w:fill="auto"/>
            <w:noWrap/>
            <w:vAlign w:val="center"/>
            <w:hideMark/>
          </w:tcPr>
          <w:p>
            <w:pPr>
              <w:jc w:val="right"/>
              <w:rPr>
                <w:b/>
                <w:bCs/>
                <w:lang w:val="en-PH" w:eastAsia="en-PH"/>
              </w:rPr>
            </w:pPr>
            <w:r>
              <w:rPr>
                <w:b/>
                <w:bCs/>
                <w:lang w:val="en-PH" w:eastAsia="en-PH"/>
              </w:rPr>
              <w:t>(41,340,966.15)</w:t>
            </w:r>
          </w:p>
        </w:tc>
        <w:tc>
          <w:tcPr>
            <w:tcW w:w="1687" w:type="dxa"/>
            <w:tcBorders>
              <w:top w:val="nil"/>
              <w:left w:val="nil"/>
              <w:bottom w:val="double" w:sz="6" w:space="0" w:color="A6A6A6"/>
              <w:right w:val="nil"/>
            </w:tcBorders>
            <w:shd w:val="clear" w:color="auto" w:fill="auto"/>
            <w:noWrap/>
            <w:vAlign w:val="center"/>
            <w:hideMark/>
          </w:tcPr>
          <w:p>
            <w:pPr>
              <w:jc w:val="right"/>
              <w:rPr>
                <w:b/>
                <w:bCs/>
                <w:lang w:val="en-PH" w:eastAsia="en-PH"/>
              </w:rPr>
            </w:pPr>
            <w:r>
              <w:rPr>
                <w:b/>
                <w:bCs/>
                <w:lang w:val="en-PH" w:eastAsia="en-PH"/>
              </w:rPr>
              <w:t>1,457,871,967.43</w:t>
            </w:r>
          </w:p>
        </w:tc>
      </w:tr>
    </w:tbl>
    <w:p>
      <w:pPr>
        <w:ind w:left="420"/>
        <w:jc w:val="both"/>
        <w:rPr>
          <w:sz w:val="24"/>
          <w:szCs w:val="24"/>
          <w:lang w:val="en-PH" w:eastAsia="en-PH"/>
        </w:rPr>
      </w:pPr>
    </w:p>
    <w:p>
      <w:pPr>
        <w:ind w:left="420"/>
        <w:jc w:val="both"/>
        <w:rPr>
          <w:sz w:val="24"/>
          <w:szCs w:val="24"/>
          <w:lang w:val="en-PH" w:eastAsia="en-PH"/>
        </w:rPr>
      </w:pPr>
    </w:p>
    <w:p>
      <w:pPr>
        <w:ind w:left="1418"/>
        <w:jc w:val="both"/>
        <w:rPr>
          <w:sz w:val="24"/>
          <w:szCs w:val="24"/>
          <w:lang w:val="en-PH" w:eastAsia="en-PH"/>
        </w:rPr>
      </w:pPr>
      <w:r>
        <w:rPr>
          <w:sz w:val="24"/>
          <w:szCs w:val="24"/>
          <w:lang w:val="en-PH" w:eastAsia="en-PH"/>
        </w:rPr>
        <w:t>The details of additions for each account during the year are as per the following tables:</w:t>
      </w:r>
    </w:p>
    <w:p>
      <w:pPr>
        <w:ind w:left="240"/>
        <w:jc w:val="both"/>
        <w:rPr>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0"/>
          <w:numId w:val="14"/>
        </w:numPr>
        <w:rPr>
          <w:vanish/>
          <w:sz w:val="24"/>
          <w:szCs w:val="24"/>
          <w:lang w:val="en-PH" w:eastAsia="en-PH"/>
        </w:rPr>
      </w:pPr>
    </w:p>
    <w:p>
      <w:pPr>
        <w:pStyle w:val="ListParagraph"/>
        <w:numPr>
          <w:ilvl w:val="1"/>
          <w:numId w:val="14"/>
        </w:numPr>
        <w:rPr>
          <w:vanish/>
          <w:sz w:val="24"/>
          <w:szCs w:val="24"/>
          <w:lang w:val="en-PH" w:eastAsia="en-PH"/>
        </w:rPr>
      </w:pPr>
    </w:p>
    <w:p>
      <w:pPr>
        <w:pStyle w:val="ListParagraph"/>
        <w:numPr>
          <w:ilvl w:val="1"/>
          <w:numId w:val="14"/>
        </w:numPr>
        <w:rPr>
          <w:vanish/>
          <w:sz w:val="24"/>
          <w:szCs w:val="24"/>
          <w:lang w:val="en-PH" w:eastAsia="en-PH"/>
        </w:rPr>
      </w:pPr>
    </w:p>
    <w:p>
      <w:pPr>
        <w:pStyle w:val="ListParagraph"/>
        <w:numPr>
          <w:ilvl w:val="1"/>
          <w:numId w:val="14"/>
        </w:numPr>
        <w:rPr>
          <w:vanish/>
          <w:sz w:val="24"/>
          <w:szCs w:val="24"/>
          <w:lang w:val="en-PH" w:eastAsia="en-PH"/>
        </w:rPr>
      </w:pPr>
    </w:p>
    <w:p>
      <w:pPr>
        <w:pStyle w:val="ListParagraph"/>
        <w:numPr>
          <w:ilvl w:val="2"/>
          <w:numId w:val="14"/>
        </w:numPr>
        <w:rPr>
          <w:vanish/>
          <w:sz w:val="24"/>
          <w:szCs w:val="24"/>
          <w:lang w:val="en-PH" w:eastAsia="en-PH"/>
        </w:rPr>
      </w:pPr>
    </w:p>
    <w:p>
      <w:pPr>
        <w:pStyle w:val="ListParagraph"/>
        <w:numPr>
          <w:ilvl w:val="2"/>
          <w:numId w:val="23"/>
        </w:numPr>
        <w:ind w:left="1418" w:firstLine="0"/>
        <w:rPr>
          <w:b/>
          <w:bCs/>
          <w:sz w:val="24"/>
          <w:szCs w:val="24"/>
        </w:rPr>
      </w:pPr>
      <w:r>
        <w:rPr>
          <w:b/>
          <w:bCs/>
          <w:sz w:val="24"/>
          <w:szCs w:val="24"/>
        </w:rPr>
        <w:t>Road Networks</w:t>
      </w:r>
    </w:p>
    <w:p>
      <w:pPr>
        <w:pStyle w:val="ListParagraph"/>
        <w:ind w:left="792"/>
        <w:rPr>
          <w:sz w:val="24"/>
          <w:szCs w:val="24"/>
        </w:rPr>
      </w:pPr>
    </w:p>
    <w:tbl>
      <w:tblPr>
        <w:tblW w:w="8221" w:type="dxa"/>
        <w:tblInd w:w="1526" w:type="dxa"/>
        <w:tblLook w:val="04A0" w:firstRow="1" w:lastRow="0" w:firstColumn="1" w:lastColumn="0" w:noHBand="0" w:noVBand="1"/>
      </w:tblPr>
      <w:tblGrid>
        <w:gridCol w:w="6237"/>
        <w:gridCol w:w="1984"/>
      </w:tblGrid>
      <w:tr>
        <w:trPr>
          <w:trHeight w:val="283"/>
          <w:tblHeader/>
        </w:trPr>
        <w:tc>
          <w:tcPr>
            <w:tcW w:w="623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1984"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237" w:type="dxa"/>
            <w:tcBorders>
              <w:top w:val="nil"/>
              <w:left w:val="nil"/>
              <w:bottom w:val="nil"/>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1984" w:type="dxa"/>
            <w:tcBorders>
              <w:top w:val="nil"/>
              <w:left w:val="nil"/>
              <w:bottom w:val="nil"/>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992,824,576.81 </w:t>
            </w:r>
          </w:p>
        </w:tc>
      </w:tr>
      <w:tr>
        <w:trPr>
          <w:trHeight w:val="283"/>
        </w:trPr>
        <w:tc>
          <w:tcPr>
            <w:tcW w:w="6237" w:type="dxa"/>
            <w:tcBorders>
              <w:top w:val="single" w:sz="4" w:space="0" w:color="A6A6A6"/>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Additions during the year:</w:t>
            </w:r>
          </w:p>
        </w:tc>
        <w:tc>
          <w:tcPr>
            <w:tcW w:w="1984" w:type="dxa"/>
            <w:tcBorders>
              <w:top w:val="single" w:sz="4" w:space="0" w:color="A6A6A6"/>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POW-2021-05-168-date completed 02-04-22_Concreting of Farm of MArket Road COnsolacion to Kauswagan l</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43,986,052.65</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POW-2020-06-253-Concreting of Farm to Market Road Sta. Cruz to Kiotoy</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34,766,911.74</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*POW-2021-05-215 dated completed 06/20/22_Concreting of Roads-Malativas to Consolacion-Phase 2, Mala</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23,782,473.19</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POW#2020-06-230_Concreting of Farm to Market Road @ Brgy. Kiotoy,- San Nicolas, San Nicolas Panabo City)</w:t>
            </w:r>
          </w:p>
        </w:tc>
        <w:tc>
          <w:tcPr>
            <w:tcW w:w="1984" w:type="dxa"/>
            <w:tcBorders>
              <w:top w:val="nil"/>
              <w:left w:val="nil"/>
              <w:bottom w:val="single" w:sz="4" w:space="0" w:color="A6A6A6"/>
              <w:right w:val="nil"/>
            </w:tcBorders>
            <w:shd w:val="clear" w:color="auto" w:fill="auto"/>
            <w:noWrap/>
            <w:vAlign w:val="bottom"/>
            <w:hideMark/>
          </w:tcPr>
          <w:p>
            <w:pPr>
              <w:jc w:val="right"/>
              <w:rPr>
                <w:sz w:val="22"/>
                <w:szCs w:val="22"/>
                <w:lang w:val="en-PH" w:eastAsia="en-PH"/>
              </w:rPr>
            </w:pPr>
            <w:r>
              <w:rPr>
                <w:sz w:val="22"/>
                <w:szCs w:val="22"/>
                <w:lang w:val="en-PH" w:eastAsia="en-PH"/>
              </w:rPr>
              <w:t>20,481,699.68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POW-2021-07-279-COncreting of Farm to Market Road from Mabunao to Buenavista Phase 4</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19,994,469.96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*POW-2021-05-188-Concreting of Roads from Cacao to Kauswagan FMR Cacao 300mm thickx6.7m widthx1089Li</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19,987,958.33</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POW-2021-10-378-Concreting of farm to market road-Homeland and Dapco going to Main TAdeco Road (2021</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19,986,069.26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POW-2021-09-367_Concreting of Farm to Market Road from  Kauswagan to Consolacion [0.30m thick x 6.7m</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19,986,010.88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POW-2022-01-012 (18M)Upgrading of Local Access Road-JNCT Buenavista &amp; Tagpore to San Nicolas .03m thickx6.7mx768m</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17,989,294.49</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POW-2021-05-162-date completed:11-18-21_Road Consolacion to Malativas</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19,975,730.12</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POW-2021-09-366-Php18M-0.3m thick x 5.0m x 1361 m-Concreting of Road Crossing Culpa Going to Urban S</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17,976,944.85</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POW-2021-04-156-date completed: 01/28/2022_Road Buenavista to Tagpore;</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16,927,861.59</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POW-2021-09-362-Construction of Farm to Market Road from </w:t>
            </w:r>
            <w:r>
              <w:rPr>
                <w:sz w:val="22"/>
                <w:szCs w:val="22"/>
                <w:lang w:val="en-PH" w:eastAsia="en-PH"/>
              </w:rPr>
              <w:lastRenderedPageBreak/>
              <w:t>Mabunao to San Roque Phase 2, Mabunao0.3m thickx6.1mx170</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lastRenderedPageBreak/>
              <w:t>16,174,148.64</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*POW-2021-09-354 (16m)-upgrading of Local access road 0.3mm thickx</w:t>
            </w:r>
            <w:proofErr w:type="gramStart"/>
            <w:r>
              <w:rPr>
                <w:sz w:val="22"/>
                <w:szCs w:val="22"/>
                <w:lang w:val="en-PH" w:eastAsia="en-PH"/>
              </w:rPr>
              <w:t>6..</w:t>
            </w:r>
            <w:proofErr w:type="gramEnd"/>
            <w:r>
              <w:rPr>
                <w:sz w:val="22"/>
                <w:szCs w:val="22"/>
                <w:lang w:val="en-PH" w:eastAsia="en-PH"/>
              </w:rPr>
              <w:t xml:space="preserve">10mx935m concrete road w/10-36 </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15,949,574.67</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POW-2022-01-003_Upgrading of Local Access Road (0.3m thick x 6.7m x 580 m) from Brgy. Buenavista to</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12,593,156.56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POW-2021-09-355-Upgrading of Road Access of Purok 3 &amp; 5, Waterfall, Panabo City-0.23 thick x 5.0m x </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9,998,721.48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POW-2021-08-326-Upgrading of local access road (230mm thick x 6.1m width x 810li.m, concrete road) @</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9,977,001.66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POW-2022-01-008_(9M)Upgrading of Local Access Road-Barangay Waterfall to Kauswagan(0.3m thick x--x43</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8,998,207.28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POW-2021-03-110-date completed 10-08-21-Concreting of Farm to MArket Road  from Maduao to Upper Lica</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7,193,406.23</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*POW-2021-10-387-Upgrading of Local Road,New Malitbog0.23m thickx6.10mx336m</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4,994,503.10</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*POW-2022-01-004_P5M_Upgrading of Local Access Road in Purok Pechay (0.23m thick x 5.0m x 88m and 0.</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4,985,042.23</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POW-2021-08-302_Php 3M-date completed 03-01-22-Re-Blocking, City Wide;   6.70mx0.30mx54.00 I.m. (24b</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2,985,802.94</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POW-2021-05-169-date completed 03-15-22-Concreting of Road with Rotundas and Drainage Component at E</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2,937,390.20</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POW-2015-12-667-Php 2.5M Asphalt Overlay Quirino St To New Visayas, Brgy. New Visayas,   Panabo City</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2,485,250.00</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POW-2021-06-247-date completed 01-27-22_Concreting of Road-Purok 7, San Francisco (Additional) loact</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2,483,501.97</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POW-2021-06-257-date completed: 01-27-22_PEDA Road Phase 3, San Francisco;</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2,387,351.59</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POW-2021-10-399</w:t>
            </w:r>
            <w:proofErr w:type="gramStart"/>
            <w:r>
              <w:rPr>
                <w:sz w:val="22"/>
                <w:szCs w:val="22"/>
                <w:lang w:val="en-PH" w:eastAsia="en-PH"/>
              </w:rPr>
              <w:t>_(</w:t>
            </w:r>
            <w:proofErr w:type="gramEnd"/>
            <w:r>
              <w:rPr>
                <w:sz w:val="22"/>
                <w:szCs w:val="22"/>
                <w:lang w:val="en-PH" w:eastAsia="en-PH"/>
              </w:rPr>
              <w:t>date completion 07-01-22)Concreting of Road from San Roque ES to Brgy. Hall Phase-3</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2,192,889.86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POW-2022-04-167-Rehabilitation of City Roads (Brgy. Little Panay 33.0mx67.50 I.m (15 blocks @4.5M) Brgy. New Visayas 3.0mx0.30mx67.50I.M (15 blocks@4.5m)</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1,672,247.45</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POW-2019-08-290-Php 1.1M_Asphalting Of Main Road In Urban Poor   Communities-Various Barngay'S</w:t>
            </w:r>
          </w:p>
        </w:tc>
        <w:tc>
          <w:tcPr>
            <w:tcW w:w="198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805,600.00</w:t>
            </w:r>
          </w:p>
        </w:tc>
      </w:tr>
      <w:tr>
        <w:trPr>
          <w:trHeight w:val="283"/>
        </w:trPr>
        <w:tc>
          <w:tcPr>
            <w:tcW w:w="623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POW-2020-08-327_Concreting/Rehabilitation of Road at Brgy. Katualan to Junction Mabunao- San Roque,</w:t>
            </w:r>
          </w:p>
        </w:tc>
        <w:tc>
          <w:tcPr>
            <w:tcW w:w="1984"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19,985,193.50</w:t>
            </w:r>
          </w:p>
        </w:tc>
      </w:tr>
      <w:tr>
        <w:trPr>
          <w:trHeight w:val="283"/>
        </w:trPr>
        <w:tc>
          <w:tcPr>
            <w:tcW w:w="6237" w:type="dxa"/>
            <w:tcBorders>
              <w:top w:val="single" w:sz="4" w:space="0" w:color="A6A6A6"/>
              <w:left w:val="nil"/>
              <w:bottom w:val="nil"/>
              <w:right w:val="nil"/>
            </w:tcBorders>
            <w:shd w:val="clear" w:color="auto" w:fill="auto"/>
            <w:vAlign w:val="center"/>
            <w:hideMark/>
          </w:tcPr>
          <w:p>
            <w:pPr>
              <w:rPr>
                <w:sz w:val="22"/>
                <w:szCs w:val="22"/>
                <w:lang w:val="en-PH" w:eastAsia="en-PH"/>
              </w:rPr>
            </w:pPr>
            <w:r>
              <w:rPr>
                <w:sz w:val="22"/>
                <w:szCs w:val="22"/>
                <w:lang w:val="en-PH" w:eastAsia="en-PH"/>
              </w:rPr>
              <w:t>POW-2021-10-374_P15M_Upgrading of Local Access Road Purok Batong to Kalabasa [0.30m thick x 6.1m x 8</w:t>
            </w:r>
          </w:p>
        </w:tc>
        <w:tc>
          <w:tcPr>
            <w:tcW w:w="1984" w:type="dxa"/>
            <w:tcBorders>
              <w:top w:val="single" w:sz="4" w:space="0" w:color="A6A6A6"/>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14,989,544.13</w:t>
            </w:r>
          </w:p>
        </w:tc>
      </w:tr>
      <w:tr>
        <w:trPr>
          <w:trHeight w:val="283"/>
        </w:trPr>
        <w:tc>
          <w:tcPr>
            <w:tcW w:w="6237" w:type="dxa"/>
            <w:tcBorders>
              <w:top w:val="single" w:sz="4" w:space="0" w:color="A6A6A6"/>
              <w:left w:val="nil"/>
              <w:bottom w:val="nil"/>
              <w:right w:val="nil"/>
            </w:tcBorders>
            <w:shd w:val="clear" w:color="auto" w:fill="auto"/>
            <w:vAlign w:val="center"/>
            <w:hideMark/>
          </w:tcPr>
          <w:p>
            <w:pPr>
              <w:rPr>
                <w:sz w:val="22"/>
                <w:szCs w:val="22"/>
                <w:lang w:val="en-PH" w:eastAsia="en-PH"/>
              </w:rPr>
            </w:pPr>
            <w:r>
              <w:rPr>
                <w:sz w:val="22"/>
                <w:szCs w:val="22"/>
                <w:lang w:val="en-PH" w:eastAsia="en-PH"/>
              </w:rPr>
              <w:t>*POW 2021-08-305-upgrading of Local Access Road-Concreting of Roads 0.3m thickx6.7mx500m</w:t>
            </w:r>
          </w:p>
        </w:tc>
        <w:tc>
          <w:tcPr>
            <w:tcW w:w="1984" w:type="dxa"/>
            <w:tcBorders>
              <w:top w:val="single" w:sz="4" w:space="0" w:color="A6A6A6"/>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9,950,461.30</w:t>
            </w:r>
          </w:p>
        </w:tc>
      </w:tr>
      <w:tr>
        <w:trPr>
          <w:trHeight w:val="283"/>
        </w:trPr>
        <w:tc>
          <w:tcPr>
            <w:tcW w:w="6237" w:type="dxa"/>
            <w:tcBorders>
              <w:top w:val="single" w:sz="4" w:space="0" w:color="A6A6A6"/>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1984"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 xml:space="preserve">1,422,405,048.34 </w:t>
            </w:r>
          </w:p>
        </w:tc>
      </w:tr>
    </w:tbl>
    <w:p>
      <w:pPr>
        <w:pStyle w:val="ListParagraph"/>
        <w:ind w:left="792"/>
        <w:rPr>
          <w:sz w:val="24"/>
          <w:szCs w:val="24"/>
        </w:rPr>
      </w:pPr>
    </w:p>
    <w:p>
      <w:pPr>
        <w:pStyle w:val="ListParagraph"/>
        <w:numPr>
          <w:ilvl w:val="2"/>
          <w:numId w:val="23"/>
        </w:numPr>
        <w:ind w:left="1418" w:firstLine="0"/>
        <w:rPr>
          <w:b/>
          <w:bCs/>
          <w:sz w:val="24"/>
          <w:szCs w:val="24"/>
        </w:rPr>
      </w:pPr>
      <w:r>
        <w:rPr>
          <w:b/>
          <w:bCs/>
          <w:sz w:val="24"/>
          <w:szCs w:val="24"/>
        </w:rPr>
        <w:t>Flood Control System</w:t>
      </w:r>
    </w:p>
    <w:p>
      <w:pPr>
        <w:pStyle w:val="ListParagraph"/>
        <w:ind w:left="1224"/>
        <w:rPr>
          <w:b/>
          <w:bCs/>
          <w:sz w:val="24"/>
          <w:szCs w:val="24"/>
        </w:rPr>
      </w:pPr>
    </w:p>
    <w:tbl>
      <w:tblPr>
        <w:tblW w:w="8265" w:type="dxa"/>
        <w:tblInd w:w="1526" w:type="dxa"/>
        <w:tblLook w:val="04A0" w:firstRow="1" w:lastRow="0" w:firstColumn="1" w:lastColumn="0" w:noHBand="0" w:noVBand="1"/>
      </w:tblPr>
      <w:tblGrid>
        <w:gridCol w:w="6237"/>
        <w:gridCol w:w="2028"/>
      </w:tblGrid>
      <w:tr>
        <w:trPr>
          <w:trHeight w:val="283"/>
          <w:tblHeader/>
        </w:trPr>
        <w:tc>
          <w:tcPr>
            <w:tcW w:w="623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sz w:val="22"/>
                <w:szCs w:val="22"/>
              </w:rPr>
              <w:t xml:space="preserve"> </w:t>
            </w:r>
            <w:r>
              <w:rPr>
                <w:b/>
                <w:bCs/>
                <w:sz w:val="22"/>
                <w:szCs w:val="22"/>
                <w:lang w:val="en-PH" w:eastAsia="en-PH"/>
              </w:rPr>
              <w:t>Particulars</w:t>
            </w:r>
          </w:p>
        </w:tc>
        <w:tc>
          <w:tcPr>
            <w:tcW w:w="2028"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237" w:type="dxa"/>
            <w:tcBorders>
              <w:top w:val="nil"/>
              <w:left w:val="nil"/>
              <w:bottom w:val="nil"/>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2028" w:type="dxa"/>
            <w:tcBorders>
              <w:top w:val="nil"/>
              <w:left w:val="nil"/>
              <w:bottom w:val="nil"/>
              <w:right w:val="nil"/>
            </w:tcBorders>
            <w:shd w:val="clear" w:color="auto" w:fill="auto"/>
            <w:vAlign w:val="center"/>
            <w:hideMark/>
          </w:tcPr>
          <w:p>
            <w:pPr>
              <w:jc w:val="center"/>
              <w:rPr>
                <w:b/>
                <w:bCs/>
                <w:sz w:val="22"/>
                <w:szCs w:val="22"/>
                <w:lang w:val="en-PH" w:eastAsia="en-PH"/>
              </w:rPr>
            </w:pPr>
            <w:r>
              <w:rPr>
                <w:b/>
                <w:bCs/>
                <w:sz w:val="22"/>
                <w:szCs w:val="22"/>
                <w:lang w:val="en-PH" w:eastAsia="en-PH"/>
              </w:rPr>
              <w:t xml:space="preserve">         8,575,169.76 </w:t>
            </w:r>
          </w:p>
        </w:tc>
      </w:tr>
      <w:tr>
        <w:trPr>
          <w:trHeight w:val="283"/>
        </w:trPr>
        <w:tc>
          <w:tcPr>
            <w:tcW w:w="6237" w:type="dxa"/>
            <w:tcBorders>
              <w:top w:val="single" w:sz="4" w:space="0" w:color="A6A6A6"/>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Additions during the year:</w:t>
            </w:r>
          </w:p>
        </w:tc>
        <w:tc>
          <w:tcPr>
            <w:tcW w:w="2028" w:type="dxa"/>
            <w:tcBorders>
              <w:top w:val="single" w:sz="4" w:space="0" w:color="A6A6A6"/>
              <w:left w:val="nil"/>
              <w:bottom w:val="single" w:sz="4" w:space="0" w:color="A6A6A6"/>
              <w:right w:val="nil"/>
            </w:tcBorders>
            <w:shd w:val="clear" w:color="auto" w:fill="auto"/>
            <w:vAlign w:val="center"/>
            <w:hideMark/>
          </w:tcPr>
          <w:p>
            <w:pPr>
              <w:jc w:val="right"/>
              <w:rPr>
                <w:sz w:val="22"/>
                <w:szCs w:val="22"/>
                <w:lang w:val="en-PH" w:eastAsia="en-PH"/>
              </w:rPr>
            </w:pP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POW-2015-10-587-Construction Of Concrete Drainage, Brgy. </w:t>
            </w:r>
            <w:r>
              <w:rPr>
                <w:sz w:val="22"/>
                <w:szCs w:val="22"/>
                <w:lang w:val="en-PH" w:eastAsia="en-PH"/>
              </w:rPr>
              <w:lastRenderedPageBreak/>
              <w:t>Upper Licanan</w:t>
            </w:r>
          </w:p>
        </w:tc>
        <w:tc>
          <w:tcPr>
            <w:tcW w:w="2028"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lastRenderedPageBreak/>
              <w:t>117,900.00</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POW-2015-12-659-Construction of Box Culvert Purok Kalabasa, Nanyo</w:t>
            </w:r>
          </w:p>
        </w:tc>
        <w:tc>
          <w:tcPr>
            <w:tcW w:w="2028"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985,477.29</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POW-2017-11-766-Riprapping of Creek at Baragnay Salvacion to Barangay Sto Niño</w:t>
            </w:r>
          </w:p>
        </w:tc>
        <w:tc>
          <w:tcPr>
            <w:tcW w:w="2028"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992,203.48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POW-2021-09-343-Php2M-Riprapping of creek-back of covered court </w:t>
            </w:r>
            <w:proofErr w:type="gramStart"/>
            <w:r>
              <w:rPr>
                <w:sz w:val="22"/>
                <w:szCs w:val="22"/>
                <w:lang w:val="en-PH" w:eastAsia="en-PH"/>
              </w:rPr>
              <w:t>Kasilak  project</w:t>
            </w:r>
            <w:proofErr w:type="gramEnd"/>
            <w:r>
              <w:rPr>
                <w:sz w:val="22"/>
                <w:szCs w:val="22"/>
                <w:lang w:val="en-PH" w:eastAsia="en-PH"/>
              </w:rPr>
              <w:t xml:space="preserve"> location:Brgy. KAsilak</w:t>
            </w:r>
          </w:p>
        </w:tc>
        <w:tc>
          <w:tcPr>
            <w:tcW w:w="2028"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1,992,238.11</w:t>
            </w:r>
          </w:p>
        </w:tc>
      </w:tr>
      <w:tr>
        <w:trPr>
          <w:trHeight w:val="283"/>
        </w:trPr>
        <w:tc>
          <w:tcPr>
            <w:tcW w:w="6237" w:type="dxa"/>
            <w:tcBorders>
              <w:top w:val="nil"/>
              <w:left w:val="nil"/>
              <w:bottom w:val="single" w:sz="4" w:space="0" w:color="A6A6A6"/>
              <w:right w:val="nil"/>
            </w:tcBorders>
            <w:shd w:val="clear" w:color="auto" w:fill="auto"/>
            <w:noWrap/>
            <w:vAlign w:val="center"/>
            <w:hideMark/>
          </w:tcPr>
          <w:p>
            <w:pPr>
              <w:rPr>
                <w:sz w:val="22"/>
                <w:szCs w:val="22"/>
                <w:lang w:val="en-PH" w:eastAsia="en-PH"/>
              </w:rPr>
            </w:pPr>
            <w:r>
              <w:rPr>
                <w:sz w:val="22"/>
                <w:szCs w:val="22"/>
                <w:lang w:val="en-PH" w:eastAsia="en-PH"/>
              </w:rPr>
              <w:t>Completion Of Riprapping Both Sides (Traversing Lot Of Jain Family)</w:t>
            </w:r>
          </w:p>
        </w:tc>
        <w:tc>
          <w:tcPr>
            <w:tcW w:w="2028" w:type="dxa"/>
            <w:tcBorders>
              <w:top w:val="nil"/>
              <w:left w:val="nil"/>
              <w:bottom w:val="single" w:sz="4" w:space="0" w:color="A6A6A6"/>
              <w:right w:val="nil"/>
            </w:tcBorders>
            <w:shd w:val="clear" w:color="auto" w:fill="auto"/>
            <w:noWrap/>
            <w:vAlign w:val="center"/>
            <w:hideMark/>
          </w:tcPr>
          <w:p>
            <w:pPr>
              <w:jc w:val="right"/>
              <w:rPr>
                <w:sz w:val="22"/>
                <w:szCs w:val="22"/>
                <w:lang w:val="en-PH" w:eastAsia="en-PH"/>
              </w:rPr>
            </w:pPr>
            <w:r>
              <w:rPr>
                <w:sz w:val="22"/>
                <w:szCs w:val="22"/>
                <w:lang w:val="en-PH" w:eastAsia="en-PH"/>
              </w:rPr>
              <w:t>873,553.75</w:t>
            </w:r>
          </w:p>
        </w:tc>
      </w:tr>
      <w:tr>
        <w:trPr>
          <w:trHeight w:val="283"/>
        </w:trPr>
        <w:tc>
          <w:tcPr>
            <w:tcW w:w="6237" w:type="dxa"/>
            <w:tcBorders>
              <w:top w:val="nil"/>
              <w:left w:val="nil"/>
              <w:bottom w:val="single" w:sz="4" w:space="0" w:color="A6A6A6"/>
              <w:right w:val="nil"/>
            </w:tcBorders>
            <w:shd w:val="clear" w:color="auto" w:fill="auto"/>
            <w:noWrap/>
            <w:vAlign w:val="center"/>
            <w:hideMark/>
          </w:tcPr>
          <w:p>
            <w:pPr>
              <w:rPr>
                <w:sz w:val="22"/>
                <w:szCs w:val="22"/>
                <w:lang w:val="en-PH" w:eastAsia="en-PH"/>
              </w:rPr>
            </w:pPr>
            <w:r>
              <w:rPr>
                <w:sz w:val="22"/>
                <w:szCs w:val="22"/>
                <w:lang w:val="en-PH" w:eastAsia="en-PH"/>
              </w:rPr>
              <w:t>POW-2021-12-447-(4M) Rehabilitation of Drainage system, construction of 150.00 In.m with 135 pcs RCPC</w:t>
            </w:r>
          </w:p>
        </w:tc>
        <w:tc>
          <w:tcPr>
            <w:tcW w:w="2028" w:type="dxa"/>
            <w:tcBorders>
              <w:top w:val="nil"/>
              <w:left w:val="nil"/>
              <w:bottom w:val="single" w:sz="4" w:space="0" w:color="A6A6A6"/>
              <w:right w:val="nil"/>
            </w:tcBorders>
            <w:shd w:val="clear" w:color="auto" w:fill="auto"/>
            <w:noWrap/>
            <w:vAlign w:val="center"/>
            <w:hideMark/>
          </w:tcPr>
          <w:p>
            <w:pPr>
              <w:jc w:val="right"/>
              <w:rPr>
                <w:sz w:val="22"/>
                <w:szCs w:val="22"/>
                <w:lang w:val="en-PH" w:eastAsia="en-PH"/>
              </w:rPr>
            </w:pPr>
            <w:r>
              <w:rPr>
                <w:sz w:val="22"/>
                <w:szCs w:val="22"/>
                <w:lang w:val="en-PH" w:eastAsia="en-PH"/>
              </w:rPr>
              <w:t>3,962,558.99</w:t>
            </w:r>
          </w:p>
        </w:tc>
      </w:tr>
      <w:tr>
        <w:trPr>
          <w:trHeight w:val="283"/>
        </w:trPr>
        <w:tc>
          <w:tcPr>
            <w:tcW w:w="6237" w:type="dxa"/>
            <w:tcBorders>
              <w:top w:val="nil"/>
              <w:left w:val="nil"/>
              <w:bottom w:val="single" w:sz="4" w:space="0" w:color="A6A6A6"/>
              <w:right w:val="nil"/>
            </w:tcBorders>
            <w:shd w:val="clear" w:color="auto" w:fill="auto"/>
            <w:noWrap/>
            <w:vAlign w:val="center"/>
            <w:hideMark/>
          </w:tcPr>
          <w:p>
            <w:pPr>
              <w:rPr>
                <w:sz w:val="22"/>
                <w:szCs w:val="22"/>
                <w:lang w:val="en-PH" w:eastAsia="en-PH"/>
              </w:rPr>
            </w:pPr>
            <w:r>
              <w:rPr>
                <w:sz w:val="22"/>
                <w:szCs w:val="22"/>
                <w:lang w:val="en-PH" w:eastAsia="en-PH"/>
              </w:rPr>
              <w:t>POW-2020-12-001-Riprapping of Creek,San Francisco,Panabo City</w:t>
            </w:r>
          </w:p>
        </w:tc>
        <w:tc>
          <w:tcPr>
            <w:tcW w:w="2028" w:type="dxa"/>
            <w:tcBorders>
              <w:top w:val="nil"/>
              <w:left w:val="nil"/>
              <w:bottom w:val="single" w:sz="4" w:space="0" w:color="A6A6A6"/>
              <w:right w:val="nil"/>
            </w:tcBorders>
            <w:shd w:val="clear" w:color="auto" w:fill="auto"/>
            <w:noWrap/>
            <w:vAlign w:val="center"/>
            <w:hideMark/>
          </w:tcPr>
          <w:p>
            <w:pPr>
              <w:jc w:val="right"/>
              <w:rPr>
                <w:sz w:val="22"/>
                <w:szCs w:val="22"/>
                <w:lang w:val="en-PH" w:eastAsia="en-PH"/>
              </w:rPr>
            </w:pPr>
            <w:r>
              <w:rPr>
                <w:sz w:val="22"/>
                <w:szCs w:val="22"/>
                <w:lang w:val="en-PH" w:eastAsia="en-PH"/>
              </w:rPr>
              <w:t>2,145,466.85</w:t>
            </w:r>
          </w:p>
        </w:tc>
      </w:tr>
      <w:tr>
        <w:trPr>
          <w:trHeight w:val="283"/>
        </w:trPr>
        <w:tc>
          <w:tcPr>
            <w:tcW w:w="6237"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028" w:type="dxa"/>
            <w:tcBorders>
              <w:top w:val="nil"/>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19,644,568.23</w:t>
            </w:r>
          </w:p>
        </w:tc>
      </w:tr>
    </w:tbl>
    <w:p>
      <w:pPr>
        <w:rPr>
          <w:sz w:val="24"/>
          <w:szCs w:val="24"/>
        </w:rPr>
      </w:pPr>
      <w:r>
        <w:rPr>
          <w:sz w:val="24"/>
          <w:szCs w:val="24"/>
        </w:rPr>
        <w:t xml:space="preserve">  </w:t>
      </w:r>
    </w:p>
    <w:p>
      <w:pPr>
        <w:pStyle w:val="ListParagraph"/>
        <w:numPr>
          <w:ilvl w:val="2"/>
          <w:numId w:val="23"/>
        </w:numPr>
        <w:ind w:left="1418" w:firstLine="0"/>
        <w:rPr>
          <w:b/>
          <w:bCs/>
          <w:sz w:val="24"/>
          <w:szCs w:val="24"/>
        </w:rPr>
      </w:pPr>
      <w:r>
        <w:rPr>
          <w:b/>
          <w:bCs/>
          <w:sz w:val="24"/>
          <w:szCs w:val="24"/>
        </w:rPr>
        <w:t>Sewer System</w:t>
      </w:r>
    </w:p>
    <w:p>
      <w:pPr>
        <w:pStyle w:val="ListParagraph"/>
        <w:ind w:left="360"/>
        <w:rPr>
          <w:sz w:val="24"/>
          <w:szCs w:val="24"/>
        </w:rPr>
      </w:pPr>
    </w:p>
    <w:tbl>
      <w:tblPr>
        <w:tblW w:w="8225" w:type="dxa"/>
        <w:tblInd w:w="1526" w:type="dxa"/>
        <w:tblLook w:val="04A0" w:firstRow="1" w:lastRow="0" w:firstColumn="1" w:lastColumn="0" w:noHBand="0" w:noVBand="1"/>
      </w:tblPr>
      <w:tblGrid>
        <w:gridCol w:w="6237"/>
        <w:gridCol w:w="1988"/>
      </w:tblGrid>
      <w:tr>
        <w:trPr>
          <w:trHeight w:val="283"/>
        </w:trPr>
        <w:tc>
          <w:tcPr>
            <w:tcW w:w="623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1988"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237" w:type="dxa"/>
            <w:tcBorders>
              <w:top w:val="single" w:sz="4" w:space="0" w:color="A6A6A6"/>
              <w:left w:val="nil"/>
              <w:bottom w:val="single" w:sz="4" w:space="0" w:color="A6A6A6" w:themeColor="background1" w:themeShade="A6"/>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1988" w:type="dxa"/>
            <w:tcBorders>
              <w:top w:val="single" w:sz="4" w:space="0" w:color="A6A6A6"/>
              <w:left w:val="nil"/>
              <w:bottom w:val="single" w:sz="4" w:space="0" w:color="A6A6A6" w:themeColor="background1" w:themeShade="A6"/>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       13,890,418.28 </w:t>
            </w:r>
          </w:p>
        </w:tc>
      </w:tr>
      <w:tr>
        <w:trPr>
          <w:trHeight w:val="283"/>
        </w:trPr>
        <w:tc>
          <w:tcPr>
            <w:tcW w:w="6237" w:type="dxa"/>
            <w:tcBorders>
              <w:top w:val="single" w:sz="4" w:space="0" w:color="A6A6A6" w:themeColor="background1" w:themeShade="A6"/>
              <w:left w:val="nil"/>
              <w:bottom w:val="nil"/>
              <w:right w:val="nil"/>
            </w:tcBorders>
            <w:shd w:val="clear" w:color="auto" w:fill="auto"/>
            <w:vAlign w:val="center"/>
          </w:tcPr>
          <w:p>
            <w:pPr>
              <w:rPr>
                <w:sz w:val="22"/>
                <w:szCs w:val="22"/>
                <w:lang w:val="en-PH" w:eastAsia="en-PH"/>
              </w:rPr>
            </w:pPr>
            <w:r>
              <w:rPr>
                <w:b/>
                <w:bCs/>
                <w:i/>
                <w:sz w:val="22"/>
                <w:szCs w:val="22"/>
                <w:lang w:val="en-PH" w:eastAsia="en-PH"/>
              </w:rPr>
              <w:t>Additions during the year:</w:t>
            </w:r>
          </w:p>
        </w:tc>
        <w:tc>
          <w:tcPr>
            <w:tcW w:w="1988" w:type="dxa"/>
            <w:tcBorders>
              <w:top w:val="single" w:sz="4" w:space="0" w:color="A6A6A6" w:themeColor="background1" w:themeShade="A6"/>
              <w:left w:val="nil"/>
              <w:bottom w:val="nil"/>
              <w:right w:val="nil"/>
            </w:tcBorders>
            <w:shd w:val="clear" w:color="auto" w:fill="auto"/>
            <w:vAlign w:val="center"/>
          </w:tcPr>
          <w:p>
            <w:pPr>
              <w:jc w:val="right"/>
              <w:rPr>
                <w:sz w:val="22"/>
                <w:szCs w:val="22"/>
                <w:lang w:val="en-PH" w:eastAsia="en-PH"/>
              </w:rPr>
            </w:pPr>
          </w:p>
        </w:tc>
      </w:tr>
      <w:tr>
        <w:trPr>
          <w:trHeight w:val="283"/>
        </w:trPr>
        <w:tc>
          <w:tcPr>
            <w:tcW w:w="6237" w:type="dxa"/>
            <w:tcBorders>
              <w:top w:val="single" w:sz="4" w:space="0" w:color="A6A6A6" w:themeColor="background1" w:themeShade="A6"/>
              <w:left w:val="nil"/>
              <w:bottom w:val="nil"/>
              <w:right w:val="nil"/>
            </w:tcBorders>
            <w:shd w:val="clear" w:color="auto" w:fill="auto"/>
            <w:vAlign w:val="center"/>
            <w:hideMark/>
          </w:tcPr>
          <w:p>
            <w:pPr>
              <w:rPr>
                <w:sz w:val="22"/>
                <w:szCs w:val="22"/>
                <w:lang w:val="en-PH" w:eastAsia="en-PH"/>
              </w:rPr>
            </w:pPr>
            <w:r>
              <w:rPr>
                <w:sz w:val="22"/>
                <w:szCs w:val="22"/>
                <w:lang w:val="en-PH" w:eastAsia="en-PH"/>
              </w:rPr>
              <w:t xml:space="preserve">POW-2021-12-453_Const. of 3m x7.5M Waste Water Treatment Facility, Panabo Fish Port at Brgy. Cagangohan </w:t>
            </w:r>
          </w:p>
        </w:tc>
        <w:tc>
          <w:tcPr>
            <w:tcW w:w="1988" w:type="dxa"/>
            <w:tcBorders>
              <w:top w:val="single" w:sz="4" w:space="0" w:color="A6A6A6" w:themeColor="background1" w:themeShade="A6"/>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                   994,933.27 </w:t>
            </w:r>
          </w:p>
        </w:tc>
      </w:tr>
      <w:tr>
        <w:trPr>
          <w:trHeight w:val="283"/>
        </w:trPr>
        <w:tc>
          <w:tcPr>
            <w:tcW w:w="6237" w:type="dxa"/>
            <w:tcBorders>
              <w:top w:val="single" w:sz="4" w:space="0" w:color="A6A6A6"/>
              <w:left w:val="nil"/>
              <w:bottom w:val="single" w:sz="4" w:space="0" w:color="BFBFBF" w:themeColor="background1" w:themeShade="BF"/>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1988" w:type="dxa"/>
            <w:tcBorders>
              <w:top w:val="single" w:sz="4" w:space="0" w:color="A6A6A6"/>
              <w:left w:val="nil"/>
              <w:bottom w:val="single" w:sz="4" w:space="0" w:color="BFBFBF" w:themeColor="background1" w:themeShade="BF"/>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 xml:space="preserve">    14,885,351.55 </w:t>
            </w:r>
          </w:p>
        </w:tc>
      </w:tr>
    </w:tbl>
    <w:p>
      <w:pPr>
        <w:pStyle w:val="ListParagraph"/>
        <w:ind w:left="360"/>
        <w:rPr>
          <w:sz w:val="24"/>
          <w:szCs w:val="24"/>
        </w:rPr>
      </w:pPr>
    </w:p>
    <w:p>
      <w:pPr>
        <w:pStyle w:val="ListParagraph"/>
        <w:numPr>
          <w:ilvl w:val="2"/>
          <w:numId w:val="23"/>
        </w:numPr>
        <w:ind w:left="1418" w:firstLine="0"/>
        <w:rPr>
          <w:b/>
          <w:bCs/>
          <w:sz w:val="24"/>
          <w:szCs w:val="24"/>
        </w:rPr>
      </w:pPr>
      <w:r>
        <w:rPr>
          <w:b/>
          <w:bCs/>
          <w:sz w:val="24"/>
          <w:szCs w:val="24"/>
        </w:rPr>
        <w:t>Water Supply Systems</w:t>
      </w:r>
    </w:p>
    <w:p>
      <w:pPr>
        <w:pStyle w:val="ListParagraph"/>
        <w:ind w:left="1920"/>
        <w:rPr>
          <w:b/>
          <w:bCs/>
          <w:sz w:val="24"/>
          <w:szCs w:val="24"/>
        </w:rPr>
      </w:pPr>
    </w:p>
    <w:tbl>
      <w:tblPr>
        <w:tblW w:w="8221" w:type="dxa"/>
        <w:tblInd w:w="1526" w:type="dxa"/>
        <w:tblLook w:val="04A0" w:firstRow="1" w:lastRow="0" w:firstColumn="1" w:lastColumn="0" w:noHBand="0" w:noVBand="1"/>
      </w:tblPr>
      <w:tblGrid>
        <w:gridCol w:w="6095"/>
        <w:gridCol w:w="2126"/>
      </w:tblGrid>
      <w:tr>
        <w:trPr>
          <w:trHeight w:val="283"/>
        </w:trPr>
        <w:tc>
          <w:tcPr>
            <w:tcW w:w="6095"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2126"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095"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Beginning Balance</w:t>
            </w:r>
          </w:p>
        </w:tc>
        <w:tc>
          <w:tcPr>
            <w:tcW w:w="2126" w:type="dxa"/>
            <w:tcBorders>
              <w:top w:val="nil"/>
              <w:left w:val="nil"/>
              <w:bottom w:val="nil"/>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                     10,926,411.21 </w:t>
            </w:r>
          </w:p>
        </w:tc>
      </w:tr>
      <w:tr>
        <w:trPr>
          <w:trHeight w:val="283"/>
        </w:trPr>
        <w:tc>
          <w:tcPr>
            <w:tcW w:w="6095" w:type="dxa"/>
            <w:tcBorders>
              <w:top w:val="single" w:sz="4" w:space="0" w:color="A6A6A6"/>
              <w:left w:val="nil"/>
              <w:bottom w:val="single" w:sz="4" w:space="0" w:color="A6A6A6"/>
              <w:right w:val="nil"/>
            </w:tcBorders>
            <w:shd w:val="clear" w:color="auto" w:fill="auto"/>
            <w:vAlign w:val="center"/>
            <w:hideMark/>
          </w:tcPr>
          <w:p>
            <w:pPr>
              <w:rPr>
                <w:b/>
                <w:bCs/>
                <w:sz w:val="22"/>
                <w:szCs w:val="22"/>
                <w:lang w:val="en-PH" w:eastAsia="en-PH"/>
              </w:rPr>
            </w:pPr>
            <w:r>
              <w:rPr>
                <w:b/>
                <w:bCs/>
                <w:sz w:val="22"/>
                <w:szCs w:val="22"/>
                <w:lang w:val="en-PH" w:eastAsia="en-PH"/>
              </w:rPr>
              <w:t>Additions during the year:</w:t>
            </w:r>
          </w:p>
        </w:tc>
        <w:tc>
          <w:tcPr>
            <w:tcW w:w="2126" w:type="dxa"/>
            <w:tcBorders>
              <w:top w:val="single" w:sz="4" w:space="0" w:color="A6A6A6"/>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6095"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POW-2021-08-317-Improvement of Water System,Katualan</w:t>
            </w:r>
          </w:p>
        </w:tc>
        <w:tc>
          <w:tcPr>
            <w:tcW w:w="2126"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4,957,105.98 </w:t>
            </w:r>
          </w:p>
        </w:tc>
      </w:tr>
      <w:tr>
        <w:trPr>
          <w:trHeight w:val="283"/>
        </w:trPr>
        <w:tc>
          <w:tcPr>
            <w:tcW w:w="6095"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POW-2021-08-318-Water System, Cacao,Panabo City</w:t>
            </w:r>
          </w:p>
        </w:tc>
        <w:tc>
          <w:tcPr>
            <w:tcW w:w="2126"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2,997,934.63 </w:t>
            </w:r>
          </w:p>
        </w:tc>
      </w:tr>
      <w:tr>
        <w:trPr>
          <w:trHeight w:val="283"/>
        </w:trPr>
        <w:tc>
          <w:tcPr>
            <w:tcW w:w="6095"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 # 2018-06-257_(Construction Of Drainage System)A.O Floirendo Nhs</w:t>
            </w:r>
          </w:p>
        </w:tc>
        <w:tc>
          <w:tcPr>
            <w:tcW w:w="2126"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485,364.41 </w:t>
            </w:r>
          </w:p>
        </w:tc>
      </w:tr>
      <w:tr>
        <w:trPr>
          <w:trHeight w:val="283"/>
        </w:trPr>
        <w:tc>
          <w:tcPr>
            <w:tcW w:w="6095"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POW#2019-04-191_Installation Of Water Reservoir/ Tank (Best Tank, Tagpore, Es</w:t>
            </w:r>
          </w:p>
        </w:tc>
        <w:tc>
          <w:tcPr>
            <w:tcW w:w="2126"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175,323.86 </w:t>
            </w:r>
          </w:p>
        </w:tc>
      </w:tr>
      <w:tr>
        <w:trPr>
          <w:trHeight w:val="283"/>
        </w:trPr>
        <w:tc>
          <w:tcPr>
            <w:tcW w:w="6095"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POW-2020-09-342_Water Systems Project Development(Barangay Water System Improvements)</w:t>
            </w:r>
          </w:p>
        </w:tc>
        <w:tc>
          <w:tcPr>
            <w:tcW w:w="2126"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2,098,490.00 </w:t>
            </w:r>
          </w:p>
        </w:tc>
      </w:tr>
      <w:tr>
        <w:trPr>
          <w:trHeight w:val="283"/>
        </w:trPr>
        <w:tc>
          <w:tcPr>
            <w:tcW w:w="6095" w:type="dxa"/>
            <w:tcBorders>
              <w:top w:val="nil"/>
              <w:left w:val="nil"/>
              <w:bottom w:val="single" w:sz="4" w:space="0" w:color="A6A6A6"/>
              <w:right w:val="nil"/>
            </w:tcBorders>
            <w:shd w:val="clear" w:color="auto" w:fill="auto"/>
            <w:vAlign w:val="center"/>
            <w:hideMark/>
          </w:tcPr>
          <w:p>
            <w:pPr>
              <w:rPr>
                <w:i/>
                <w:sz w:val="22"/>
                <w:szCs w:val="22"/>
                <w:lang w:val="en-PH" w:eastAsia="en-PH"/>
              </w:rPr>
            </w:pPr>
            <w:r>
              <w:rPr>
                <w:i/>
                <w:sz w:val="22"/>
                <w:szCs w:val="22"/>
                <w:lang w:val="en-PH" w:eastAsia="en-PH"/>
              </w:rPr>
              <w:t>Adjustment during the year</w:t>
            </w:r>
          </w:p>
        </w:tc>
        <w:tc>
          <w:tcPr>
            <w:tcW w:w="2126" w:type="dxa"/>
            <w:tcBorders>
              <w:top w:val="nil"/>
              <w:left w:val="nil"/>
              <w:bottom w:val="single" w:sz="4" w:space="0" w:color="A6A6A6"/>
              <w:right w:val="nil"/>
            </w:tcBorders>
            <w:shd w:val="clear" w:color="auto" w:fill="auto"/>
            <w:vAlign w:val="center"/>
            <w:hideMark/>
          </w:tcPr>
          <w:p>
            <w:pPr>
              <w:jc w:val="right"/>
              <w:rPr>
                <w:i/>
                <w:sz w:val="22"/>
                <w:szCs w:val="22"/>
                <w:lang w:val="en-PH" w:eastAsia="en-PH"/>
              </w:rPr>
            </w:pPr>
            <w:r>
              <w:rPr>
                <w:i/>
                <w:sz w:val="22"/>
                <w:szCs w:val="22"/>
                <w:lang w:val="en-PH" w:eastAsia="en-PH"/>
              </w:rPr>
              <w:t>(23,997.00 )</w:t>
            </w:r>
          </w:p>
        </w:tc>
      </w:tr>
      <w:tr>
        <w:trPr>
          <w:trHeight w:val="283"/>
        </w:trPr>
        <w:tc>
          <w:tcPr>
            <w:tcW w:w="6095"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126" w:type="dxa"/>
            <w:tcBorders>
              <w:top w:val="nil"/>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21,616,633.09 </w:t>
            </w:r>
          </w:p>
        </w:tc>
      </w:tr>
    </w:tbl>
    <w:p>
      <w:pPr>
        <w:ind w:left="720"/>
        <w:rPr>
          <w:sz w:val="24"/>
          <w:szCs w:val="24"/>
        </w:rPr>
      </w:pPr>
    </w:p>
    <w:p>
      <w:pPr>
        <w:pStyle w:val="ListParagraph"/>
        <w:numPr>
          <w:ilvl w:val="2"/>
          <w:numId w:val="23"/>
        </w:numPr>
        <w:ind w:left="1418" w:firstLine="0"/>
        <w:rPr>
          <w:b/>
          <w:bCs/>
          <w:sz w:val="24"/>
          <w:szCs w:val="24"/>
        </w:rPr>
      </w:pPr>
      <w:r>
        <w:rPr>
          <w:b/>
          <w:bCs/>
          <w:sz w:val="24"/>
          <w:szCs w:val="24"/>
        </w:rPr>
        <w:t>Other Infrastructure Assets</w:t>
      </w:r>
    </w:p>
    <w:p>
      <w:pPr>
        <w:rPr>
          <w:sz w:val="24"/>
          <w:szCs w:val="24"/>
        </w:rPr>
      </w:pPr>
    </w:p>
    <w:tbl>
      <w:tblPr>
        <w:tblW w:w="8271" w:type="dxa"/>
        <w:tblInd w:w="1526" w:type="dxa"/>
        <w:tblLook w:val="04A0" w:firstRow="1" w:lastRow="0" w:firstColumn="1" w:lastColumn="0" w:noHBand="0" w:noVBand="1"/>
      </w:tblPr>
      <w:tblGrid>
        <w:gridCol w:w="6237"/>
        <w:gridCol w:w="2034"/>
      </w:tblGrid>
      <w:tr>
        <w:trPr>
          <w:trHeight w:val="283"/>
        </w:trPr>
        <w:tc>
          <w:tcPr>
            <w:tcW w:w="623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2034"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237" w:type="dxa"/>
            <w:tcBorders>
              <w:top w:val="nil"/>
              <w:left w:val="nil"/>
              <w:bottom w:val="nil"/>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2034" w:type="dxa"/>
            <w:tcBorders>
              <w:top w:val="nil"/>
              <w:left w:val="nil"/>
              <w:bottom w:val="nil"/>
              <w:right w:val="nil"/>
            </w:tcBorders>
            <w:shd w:val="clear" w:color="auto" w:fill="auto"/>
            <w:vAlign w:val="center"/>
            <w:hideMark/>
          </w:tcPr>
          <w:p>
            <w:pPr>
              <w:jc w:val="right"/>
              <w:rPr>
                <w:b/>
                <w:bCs/>
                <w:sz w:val="22"/>
                <w:szCs w:val="22"/>
                <w:lang w:val="en-PH" w:eastAsia="en-PH"/>
              </w:rPr>
            </w:pPr>
            <w:r>
              <w:rPr>
                <w:b/>
                <w:bCs/>
                <w:sz w:val="22"/>
                <w:szCs w:val="22"/>
                <w:lang w:val="en-PH" w:eastAsia="en-PH"/>
              </w:rPr>
              <w:t>156,532,419.34</w:t>
            </w:r>
          </w:p>
        </w:tc>
      </w:tr>
      <w:tr>
        <w:trPr>
          <w:trHeight w:val="283"/>
        </w:trPr>
        <w:tc>
          <w:tcPr>
            <w:tcW w:w="6237" w:type="dxa"/>
            <w:tcBorders>
              <w:top w:val="single" w:sz="4" w:space="0" w:color="A6A6A6"/>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Additions during the year:</w:t>
            </w:r>
          </w:p>
        </w:tc>
        <w:tc>
          <w:tcPr>
            <w:tcW w:w="2034" w:type="dxa"/>
            <w:tcBorders>
              <w:top w:val="single" w:sz="4" w:space="0" w:color="A6A6A6"/>
              <w:left w:val="nil"/>
              <w:bottom w:val="single" w:sz="4" w:space="0" w:color="A6A6A6"/>
              <w:right w:val="nil"/>
            </w:tcBorders>
            <w:shd w:val="clear" w:color="auto" w:fill="auto"/>
            <w:vAlign w:val="center"/>
            <w:hideMark/>
          </w:tcPr>
          <w:p>
            <w:pPr>
              <w:jc w:val="right"/>
              <w:rPr>
                <w:sz w:val="22"/>
                <w:szCs w:val="22"/>
                <w:lang w:val="en-PH" w:eastAsia="en-PH"/>
              </w:rPr>
            </w:pP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POW-2015-06-306-Construction Of Women'S Crisis Center @ </w:t>
            </w:r>
            <w:r>
              <w:rPr>
                <w:sz w:val="22"/>
                <w:szCs w:val="22"/>
                <w:lang w:val="en-PH" w:eastAsia="en-PH"/>
              </w:rPr>
              <w:lastRenderedPageBreak/>
              <w:t>Brgy. Datu Abdul_  273-002-0002-2690 POW 2017-05-454-Construction Of Baywalk (Expansion On</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lastRenderedPageBreak/>
              <w:t>2,150,275.85</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Construction Of Rehabilitation Center For Cicl_POW # 2015-05-280 -Coc 02-05-16 (20%Df Counterpart)</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1,000,000.00</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COMPLETION OF MULTI-PURPOSE GYM, Brgy. Kiotoy, Panabo City  Reference:2014-12-025662, JEV-2015-09-016768</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44,984.03</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POW-2020-12-442(COC- 08-22-21)-Completion on Additional Facilities &amp; Improvement of CDRRMO Evacuation</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994,913.32</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POW-2016-09-471-Installation of Traffic Lights with controls &amp; vehicle sensor at Junction Quirino St. National Highway</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3,695,633.86</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POW-2021-12-445-Completion of Day Care Center-Aklan, Brgy Kasilak,Panabo City</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995,011.94</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POW-2021-03-116(COC-10/22/2021)-School Mini Gym Phase 2, Panabo City SHS;</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1,443,378.98</w:t>
            </w:r>
          </w:p>
        </w:tc>
      </w:tr>
      <w:tr>
        <w:trPr>
          <w:trHeight w:val="283"/>
        </w:trPr>
        <w:tc>
          <w:tcPr>
            <w:tcW w:w="6237"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POW-2021-09-333-Construciton of Home Economics Buidling Narciso Galapin ES</w:t>
            </w:r>
          </w:p>
        </w:tc>
        <w:tc>
          <w:tcPr>
            <w:tcW w:w="2034"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1,461,929.69</w:t>
            </w:r>
          </w:p>
        </w:tc>
      </w:tr>
      <w:tr>
        <w:trPr>
          <w:trHeight w:val="283"/>
        </w:trPr>
        <w:tc>
          <w:tcPr>
            <w:tcW w:w="6237" w:type="dxa"/>
            <w:tcBorders>
              <w:top w:val="nil"/>
              <w:left w:val="nil"/>
              <w:bottom w:val="single" w:sz="4" w:space="0" w:color="A6A6A6"/>
              <w:right w:val="nil"/>
            </w:tcBorders>
            <w:shd w:val="clear" w:color="auto" w:fill="auto"/>
            <w:vAlign w:val="center"/>
            <w:hideMark/>
          </w:tcPr>
          <w:p>
            <w:pPr>
              <w:rPr>
                <w:i/>
                <w:iCs/>
                <w:sz w:val="22"/>
                <w:szCs w:val="22"/>
                <w:lang w:val="en-PH" w:eastAsia="en-PH"/>
              </w:rPr>
            </w:pPr>
            <w:r>
              <w:rPr>
                <w:i/>
                <w:iCs/>
                <w:sz w:val="22"/>
                <w:szCs w:val="22"/>
                <w:lang w:val="en-PH" w:eastAsia="en-PH"/>
              </w:rPr>
              <w:t>Adjustments during the year</w:t>
            </w:r>
          </w:p>
        </w:tc>
        <w:tc>
          <w:tcPr>
            <w:tcW w:w="2034" w:type="dxa"/>
            <w:tcBorders>
              <w:top w:val="nil"/>
              <w:left w:val="nil"/>
              <w:bottom w:val="single" w:sz="4" w:space="0" w:color="A6A6A6"/>
              <w:right w:val="nil"/>
            </w:tcBorders>
            <w:shd w:val="clear" w:color="auto" w:fill="auto"/>
            <w:vAlign w:val="center"/>
            <w:hideMark/>
          </w:tcPr>
          <w:p>
            <w:pPr>
              <w:jc w:val="right"/>
              <w:rPr>
                <w:i/>
                <w:sz w:val="22"/>
                <w:szCs w:val="22"/>
                <w:lang w:val="en-PH" w:eastAsia="en-PH"/>
              </w:rPr>
            </w:pPr>
            <w:r>
              <w:rPr>
                <w:i/>
                <w:sz w:val="22"/>
                <w:szCs w:val="22"/>
                <w:lang w:val="en-PH" w:eastAsia="en-PH"/>
              </w:rPr>
              <w:t>(151,893.33)</w:t>
            </w:r>
          </w:p>
        </w:tc>
      </w:tr>
      <w:tr>
        <w:trPr>
          <w:trHeight w:val="283"/>
        </w:trPr>
        <w:tc>
          <w:tcPr>
            <w:tcW w:w="6237"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034" w:type="dxa"/>
            <w:tcBorders>
              <w:top w:val="nil"/>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168,166,653.68</w:t>
            </w:r>
          </w:p>
        </w:tc>
      </w:tr>
    </w:tbl>
    <w:p>
      <w:pPr>
        <w:jc w:val="both"/>
        <w:rPr>
          <w:sz w:val="24"/>
          <w:szCs w:val="24"/>
        </w:rPr>
      </w:pPr>
    </w:p>
    <w:p>
      <w:pPr>
        <w:ind w:left="1418" w:hanging="284"/>
        <w:jc w:val="both"/>
        <w:rPr>
          <w:b/>
          <w:bCs/>
          <w:sz w:val="24"/>
          <w:szCs w:val="24"/>
        </w:rPr>
      </w:pPr>
      <w:r>
        <w:rPr>
          <w:b/>
          <w:bCs/>
          <w:sz w:val="24"/>
          <w:szCs w:val="24"/>
        </w:rPr>
        <w:t>10.4 Building and Other Structures</w:t>
      </w:r>
    </w:p>
    <w:p>
      <w:pPr>
        <w:jc w:val="both"/>
        <w:rPr>
          <w:b/>
          <w:bCs/>
          <w:sz w:val="24"/>
          <w:szCs w:val="24"/>
        </w:rPr>
      </w:pPr>
    </w:p>
    <w:p>
      <w:pPr>
        <w:ind w:left="1418"/>
        <w:jc w:val="both"/>
        <w:rPr>
          <w:sz w:val="24"/>
          <w:szCs w:val="24"/>
        </w:rPr>
      </w:pPr>
      <w:r>
        <w:rPr>
          <w:sz w:val="24"/>
          <w:szCs w:val="24"/>
        </w:rPr>
        <w:t xml:space="preserve">This comprised of the following accounts with their comparative figure for the years ended </w:t>
      </w:r>
      <w:r>
        <w:rPr>
          <w:sz w:val="24"/>
          <w:szCs w:val="24"/>
          <w:lang w:val="en-PH" w:eastAsia="en-PH"/>
        </w:rPr>
        <w:t>2022</w:t>
      </w:r>
      <w:r>
        <w:rPr>
          <w:sz w:val="24"/>
          <w:szCs w:val="24"/>
        </w:rPr>
        <w:t xml:space="preserve"> and 2021.</w:t>
      </w:r>
      <w:r>
        <w:rPr>
          <w:sz w:val="24"/>
          <w:szCs w:val="24"/>
        </w:rPr>
        <w:tab/>
      </w:r>
    </w:p>
    <w:p>
      <w:pPr>
        <w:ind w:left="1418"/>
        <w:jc w:val="both"/>
        <w:rPr>
          <w:sz w:val="24"/>
          <w:szCs w:val="24"/>
        </w:rPr>
      </w:pPr>
    </w:p>
    <w:tbl>
      <w:tblPr>
        <w:tblW w:w="8285" w:type="dxa"/>
        <w:tblInd w:w="1526" w:type="dxa"/>
        <w:tblLayout w:type="fixed"/>
        <w:tblLook w:val="04A0" w:firstRow="1" w:lastRow="0" w:firstColumn="1" w:lastColumn="0" w:noHBand="0" w:noVBand="1"/>
      </w:tblPr>
      <w:tblGrid>
        <w:gridCol w:w="4394"/>
        <w:gridCol w:w="1945"/>
        <w:gridCol w:w="1946"/>
      </w:tblGrid>
      <w:tr>
        <w:trPr>
          <w:trHeight w:val="283"/>
          <w:tblHeader/>
        </w:trPr>
        <w:tc>
          <w:tcPr>
            <w:tcW w:w="439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Building &amp; Other Structures</w:t>
            </w:r>
          </w:p>
        </w:tc>
        <w:tc>
          <w:tcPr>
            <w:tcW w:w="194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Buildings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375,503,294.83</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415,794,810.05</w:t>
            </w:r>
          </w:p>
        </w:tc>
      </w:tr>
      <w:tr>
        <w:trPr>
          <w:trHeight w:val="283"/>
        </w:trPr>
        <w:tc>
          <w:tcPr>
            <w:tcW w:w="4394" w:type="dxa"/>
            <w:tcBorders>
              <w:top w:val="nil"/>
              <w:left w:val="nil"/>
              <w:bottom w:val="nil"/>
              <w:right w:val="nil"/>
            </w:tcBorders>
            <w:shd w:val="clear" w:color="auto" w:fill="auto"/>
            <w:vAlign w:val="center"/>
            <w:hideMark/>
          </w:tcPr>
          <w:p>
            <w:pPr>
              <w:jc w:val="both"/>
              <w:rPr>
                <w:sz w:val="24"/>
                <w:szCs w:val="24"/>
                <w:lang w:val="en-PH" w:eastAsia="en-PH"/>
              </w:rPr>
            </w:pPr>
            <w:r>
              <w:rPr>
                <w:sz w:val="24"/>
                <w:szCs w:val="24"/>
                <w:lang w:val="en-PH" w:eastAsia="en-PH"/>
              </w:rPr>
              <w:t>Accum. Depn-Buildings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(82,148,286.35)</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(86,338,784.90)</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School Buildings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95,130,850.84</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40,021,524.19</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 Depn-School Buildings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(10,558,893.14)</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(8,350,328.26)</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Hospitals &amp; Health Centers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10,898,983.62</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10,898,983.62</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 Depn - Hospital &amp; Health Centers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(3,805,394.19)</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(3,641,658.46)</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Markets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91,373,712.55</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93,052,494.24</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 Depn–Markets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(33,760,237.69)</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(40,215,349.34)</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Slaughterhouses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21,850,796.20</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21,850,796.20</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 Depn–Slaughterhouses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(9,784,811.98)</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(6,362,331.03)</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Structures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326,676,231.69</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244,429,078.86</w:t>
            </w:r>
          </w:p>
        </w:tc>
      </w:tr>
      <w:tr>
        <w:trPr>
          <w:trHeight w:val="283"/>
        </w:trPr>
        <w:tc>
          <w:tcPr>
            <w:tcW w:w="439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 Depn–Other Structures</w:t>
            </w:r>
          </w:p>
        </w:tc>
        <w:tc>
          <w:tcPr>
            <w:tcW w:w="194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(50,236,497.46)</w:t>
            </w:r>
          </w:p>
        </w:tc>
        <w:tc>
          <w:tcPr>
            <w:tcW w:w="19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(22,668,314.91)</w:t>
            </w:r>
          </w:p>
        </w:tc>
      </w:tr>
      <w:tr>
        <w:trPr>
          <w:trHeight w:val="283"/>
        </w:trPr>
        <w:tc>
          <w:tcPr>
            <w:tcW w:w="439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1945" w:type="dxa"/>
            <w:tcBorders>
              <w:top w:val="single" w:sz="4" w:space="0" w:color="A6A6A6"/>
              <w:left w:val="nil"/>
              <w:bottom w:val="double" w:sz="6" w:space="0" w:color="A6A6A6"/>
              <w:right w:val="nil"/>
            </w:tcBorders>
            <w:shd w:val="clear" w:color="auto" w:fill="auto"/>
            <w:noWrap/>
            <w:vAlign w:val="center"/>
            <w:hideMark/>
          </w:tcPr>
          <w:p>
            <w:pPr>
              <w:ind w:firstLineChars="17" w:firstLine="41"/>
              <w:jc w:val="right"/>
              <w:rPr>
                <w:b/>
                <w:bCs/>
                <w:sz w:val="24"/>
                <w:szCs w:val="24"/>
                <w:lang w:val="en-PH" w:eastAsia="en-PH"/>
              </w:rPr>
            </w:pPr>
            <w:r>
              <w:rPr>
                <w:b/>
                <w:bCs/>
                <w:sz w:val="24"/>
                <w:szCs w:val="24"/>
                <w:lang w:val="en-PH" w:eastAsia="en-PH"/>
              </w:rPr>
              <w:t>731,139,748.92</w:t>
            </w:r>
          </w:p>
        </w:tc>
        <w:tc>
          <w:tcPr>
            <w:tcW w:w="1946"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658,470,920.26</w:t>
            </w:r>
          </w:p>
        </w:tc>
      </w:tr>
    </w:tbl>
    <w:p>
      <w:pPr>
        <w:ind w:left="240"/>
        <w:jc w:val="both"/>
        <w:rPr>
          <w:sz w:val="24"/>
          <w:szCs w:val="24"/>
          <w:lang w:val="en-PH" w:eastAsia="en-PH"/>
        </w:rPr>
      </w:pPr>
      <w:r>
        <w:rPr>
          <w:sz w:val="24"/>
          <w:szCs w:val="24"/>
          <w:lang w:val="en-PH" w:eastAsia="en-PH"/>
        </w:rPr>
        <w:t xml:space="preserve">  </w:t>
      </w:r>
    </w:p>
    <w:p>
      <w:pPr>
        <w:ind w:left="1418"/>
        <w:jc w:val="both"/>
        <w:rPr>
          <w:sz w:val="24"/>
          <w:szCs w:val="24"/>
          <w:lang w:val="en-PH" w:eastAsia="en-PH"/>
        </w:rPr>
      </w:pPr>
      <w:r>
        <w:rPr>
          <w:sz w:val="24"/>
          <w:szCs w:val="24"/>
          <w:lang w:val="en-PH" w:eastAsia="en-PH"/>
        </w:rPr>
        <w:t>The details of additions for each account during the year are as per the following:</w:t>
      </w:r>
    </w:p>
    <w:p>
      <w:pPr>
        <w:ind w:left="120"/>
        <w:jc w:val="both"/>
        <w:rPr>
          <w:sz w:val="24"/>
          <w:szCs w:val="24"/>
        </w:rPr>
      </w:pPr>
      <w:r>
        <w:rPr>
          <w:sz w:val="24"/>
          <w:szCs w:val="24"/>
        </w:rPr>
        <w:tab/>
      </w:r>
      <w:r>
        <w:rPr>
          <w:sz w:val="24"/>
          <w:szCs w:val="24"/>
        </w:rPr>
        <w:tab/>
      </w:r>
    </w:p>
    <w:p>
      <w:pPr>
        <w:ind w:left="1418"/>
        <w:jc w:val="both"/>
        <w:rPr>
          <w:b/>
          <w:bCs/>
          <w:sz w:val="24"/>
          <w:szCs w:val="24"/>
        </w:rPr>
      </w:pPr>
      <w:r>
        <w:rPr>
          <w:b/>
          <w:bCs/>
          <w:sz w:val="24"/>
          <w:szCs w:val="24"/>
        </w:rPr>
        <w:t>10.4.1 Buildings</w:t>
      </w:r>
    </w:p>
    <w:p>
      <w:pPr>
        <w:ind w:left="120"/>
        <w:jc w:val="both"/>
        <w:rPr>
          <w:b/>
          <w:bCs/>
          <w:sz w:val="24"/>
          <w:szCs w:val="24"/>
        </w:rPr>
      </w:pPr>
      <w:r>
        <w:rPr>
          <w:b/>
          <w:bCs/>
          <w:sz w:val="24"/>
          <w:szCs w:val="24"/>
        </w:rPr>
        <w:tab/>
        <w:t xml:space="preserve">   </w:t>
      </w:r>
    </w:p>
    <w:tbl>
      <w:tblPr>
        <w:tblW w:w="8290" w:type="dxa"/>
        <w:tblInd w:w="1526" w:type="dxa"/>
        <w:tblLook w:val="04A0" w:firstRow="1" w:lastRow="0" w:firstColumn="1" w:lastColumn="0" w:noHBand="0" w:noVBand="1"/>
      </w:tblPr>
      <w:tblGrid>
        <w:gridCol w:w="5953"/>
        <w:gridCol w:w="2337"/>
      </w:tblGrid>
      <w:tr>
        <w:trPr>
          <w:trHeight w:val="283"/>
        </w:trPr>
        <w:tc>
          <w:tcPr>
            <w:tcW w:w="5953"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rPr>
              <w:t>Particulars</w:t>
            </w:r>
          </w:p>
        </w:tc>
        <w:tc>
          <w:tcPr>
            <w:tcW w:w="233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5953" w:type="dxa"/>
            <w:tcBorders>
              <w:top w:val="nil"/>
              <w:left w:val="nil"/>
              <w:bottom w:val="single" w:sz="4" w:space="0" w:color="A6A6A6"/>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2337" w:type="dxa"/>
            <w:tcBorders>
              <w:top w:val="nil"/>
              <w:left w:val="nil"/>
              <w:bottom w:val="single" w:sz="4" w:space="0" w:color="A6A6A6"/>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          415,794,810.05 </w:t>
            </w:r>
          </w:p>
        </w:tc>
      </w:tr>
      <w:tr>
        <w:trPr>
          <w:trHeight w:val="283"/>
        </w:trPr>
        <w:tc>
          <w:tcPr>
            <w:tcW w:w="5953" w:type="dxa"/>
            <w:tcBorders>
              <w:top w:val="nil"/>
              <w:left w:val="nil"/>
              <w:bottom w:val="single" w:sz="4" w:space="0" w:color="A6A6A6"/>
              <w:right w:val="nil"/>
            </w:tcBorders>
            <w:shd w:val="clear" w:color="auto" w:fill="auto"/>
            <w:vAlign w:val="center"/>
            <w:hideMark/>
          </w:tcPr>
          <w:p>
            <w:pPr>
              <w:rPr>
                <w:b/>
                <w:i/>
                <w:sz w:val="22"/>
                <w:szCs w:val="22"/>
                <w:lang w:val="en-PH" w:eastAsia="en-PH"/>
              </w:rPr>
            </w:pPr>
            <w:r>
              <w:rPr>
                <w:b/>
                <w:i/>
                <w:sz w:val="22"/>
                <w:szCs w:val="22"/>
                <w:lang w:val="en-PH" w:eastAsia="en-PH"/>
              </w:rPr>
              <w:t>Addition during the year:</w:t>
            </w:r>
          </w:p>
        </w:tc>
        <w:tc>
          <w:tcPr>
            <w:tcW w:w="2337"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5953"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2021-11-410-Construction of IP Building at Government Center</w:t>
            </w:r>
          </w:p>
        </w:tc>
        <w:tc>
          <w:tcPr>
            <w:tcW w:w="2337"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1,995,361.22 </w:t>
            </w:r>
          </w:p>
        </w:tc>
      </w:tr>
      <w:tr>
        <w:trPr>
          <w:trHeight w:val="283"/>
        </w:trPr>
        <w:tc>
          <w:tcPr>
            <w:tcW w:w="5953" w:type="dxa"/>
            <w:tcBorders>
              <w:top w:val="nil"/>
              <w:left w:val="nil"/>
              <w:bottom w:val="single" w:sz="4" w:space="0" w:color="A6A6A6"/>
              <w:right w:val="nil"/>
            </w:tcBorders>
            <w:shd w:val="clear" w:color="auto" w:fill="auto"/>
            <w:vAlign w:val="center"/>
            <w:hideMark/>
          </w:tcPr>
          <w:p>
            <w:pPr>
              <w:rPr>
                <w:b/>
                <w:i/>
                <w:sz w:val="22"/>
                <w:szCs w:val="22"/>
                <w:lang w:val="en-PH" w:eastAsia="en-PH"/>
              </w:rPr>
            </w:pPr>
            <w:r>
              <w:rPr>
                <w:b/>
                <w:i/>
                <w:sz w:val="22"/>
                <w:szCs w:val="22"/>
                <w:lang w:val="en-PH" w:eastAsia="en-PH"/>
              </w:rPr>
              <w:lastRenderedPageBreak/>
              <w:t>Adjustment and Reclassification during the year:</w:t>
            </w:r>
          </w:p>
        </w:tc>
        <w:tc>
          <w:tcPr>
            <w:tcW w:w="2337"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5953"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Converted from Building account to Other Structure account</w:t>
            </w:r>
          </w:p>
        </w:tc>
        <w:tc>
          <w:tcPr>
            <w:tcW w:w="2337"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(38,969,147.94)</w:t>
            </w:r>
          </w:p>
        </w:tc>
      </w:tr>
      <w:tr>
        <w:trPr>
          <w:trHeight w:val="283"/>
        </w:trPr>
        <w:tc>
          <w:tcPr>
            <w:tcW w:w="5953"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Adjustment and reclassification</w:t>
            </w:r>
          </w:p>
        </w:tc>
        <w:tc>
          <w:tcPr>
            <w:tcW w:w="2337"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(3,317,728.50)</w:t>
            </w:r>
          </w:p>
        </w:tc>
      </w:tr>
      <w:tr>
        <w:trPr>
          <w:trHeight w:val="283"/>
        </w:trPr>
        <w:tc>
          <w:tcPr>
            <w:tcW w:w="5953"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337" w:type="dxa"/>
            <w:tcBorders>
              <w:top w:val="nil"/>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375,503,294.83</w:t>
            </w:r>
          </w:p>
        </w:tc>
      </w:tr>
    </w:tbl>
    <w:p>
      <w:pPr>
        <w:ind w:left="120"/>
        <w:jc w:val="both"/>
        <w:rPr>
          <w:sz w:val="24"/>
          <w:szCs w:val="24"/>
        </w:rPr>
      </w:pPr>
    </w:p>
    <w:p>
      <w:pPr>
        <w:ind w:left="1418"/>
        <w:jc w:val="both"/>
        <w:rPr>
          <w:b/>
          <w:bCs/>
          <w:sz w:val="24"/>
          <w:szCs w:val="24"/>
        </w:rPr>
      </w:pPr>
      <w:r>
        <w:rPr>
          <w:b/>
          <w:bCs/>
          <w:sz w:val="24"/>
          <w:szCs w:val="24"/>
        </w:rPr>
        <w:t>10.4.2 School Buildings</w:t>
      </w:r>
    </w:p>
    <w:p>
      <w:pPr>
        <w:ind w:left="120"/>
        <w:jc w:val="both"/>
        <w:rPr>
          <w:sz w:val="24"/>
          <w:szCs w:val="24"/>
        </w:rPr>
      </w:pPr>
    </w:p>
    <w:p>
      <w:pPr>
        <w:spacing w:line="276" w:lineRule="auto"/>
        <w:ind w:left="1418"/>
        <w:jc w:val="both"/>
        <w:rPr>
          <w:sz w:val="24"/>
          <w:szCs w:val="24"/>
        </w:rPr>
      </w:pPr>
      <w:r>
        <w:rPr>
          <w:sz w:val="24"/>
          <w:szCs w:val="24"/>
        </w:rPr>
        <w:t xml:space="preserve">The completed school buildings project during the year considered as additions </w:t>
      </w:r>
      <w:proofErr w:type="gramStart"/>
      <w:r>
        <w:rPr>
          <w:sz w:val="24"/>
          <w:szCs w:val="24"/>
        </w:rPr>
        <w:t>to  the</w:t>
      </w:r>
      <w:proofErr w:type="gramEnd"/>
      <w:r>
        <w:rPr>
          <w:sz w:val="24"/>
          <w:szCs w:val="24"/>
        </w:rPr>
        <w:t xml:space="preserve"> account are as follows:</w:t>
      </w:r>
    </w:p>
    <w:p>
      <w:pPr>
        <w:ind w:left="120"/>
        <w:jc w:val="both"/>
        <w:rPr>
          <w:sz w:val="24"/>
          <w:szCs w:val="24"/>
        </w:rPr>
      </w:pPr>
      <w:r>
        <w:rPr>
          <w:sz w:val="24"/>
          <w:szCs w:val="24"/>
        </w:rPr>
        <w:tab/>
      </w:r>
    </w:p>
    <w:tbl>
      <w:tblPr>
        <w:tblW w:w="8221" w:type="dxa"/>
        <w:tblInd w:w="1526" w:type="dxa"/>
        <w:tblLook w:val="04A0" w:firstRow="1" w:lastRow="0" w:firstColumn="1" w:lastColumn="0" w:noHBand="0" w:noVBand="1"/>
      </w:tblPr>
      <w:tblGrid>
        <w:gridCol w:w="6096"/>
        <w:gridCol w:w="2125"/>
      </w:tblGrid>
      <w:tr>
        <w:trPr>
          <w:trHeight w:val="283"/>
          <w:tblHeader/>
        </w:trPr>
        <w:tc>
          <w:tcPr>
            <w:tcW w:w="6096" w:type="dxa"/>
            <w:tcBorders>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2125" w:type="dxa"/>
            <w:tcBorders>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096" w:type="dxa"/>
            <w:tcBorders>
              <w:top w:val="nil"/>
              <w:left w:val="nil"/>
              <w:bottom w:val="single" w:sz="4" w:space="0" w:color="A6A6A6"/>
              <w:right w:val="nil"/>
            </w:tcBorders>
            <w:shd w:val="clear" w:color="auto" w:fill="auto"/>
            <w:vAlign w:val="center"/>
            <w:hideMark/>
          </w:tcPr>
          <w:p>
            <w:pPr>
              <w:ind w:left="176"/>
              <w:rPr>
                <w:b/>
                <w:sz w:val="22"/>
                <w:szCs w:val="22"/>
                <w:lang w:val="en-PH" w:eastAsia="en-PH"/>
              </w:rPr>
            </w:pPr>
            <w:r>
              <w:rPr>
                <w:b/>
                <w:sz w:val="22"/>
                <w:szCs w:val="22"/>
                <w:lang w:val="en-PH" w:eastAsia="en-PH"/>
              </w:rPr>
              <w:t>Beginning Balance</w:t>
            </w:r>
          </w:p>
        </w:tc>
        <w:tc>
          <w:tcPr>
            <w:tcW w:w="2125" w:type="dxa"/>
            <w:tcBorders>
              <w:top w:val="nil"/>
              <w:left w:val="nil"/>
              <w:bottom w:val="single" w:sz="4" w:space="0" w:color="A6A6A6"/>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40,021,524.19 </w:t>
            </w:r>
          </w:p>
        </w:tc>
      </w:tr>
      <w:tr>
        <w:trPr>
          <w:trHeight w:val="283"/>
        </w:trPr>
        <w:tc>
          <w:tcPr>
            <w:tcW w:w="6096" w:type="dxa"/>
            <w:tcBorders>
              <w:top w:val="nil"/>
              <w:left w:val="nil"/>
              <w:bottom w:val="single" w:sz="4" w:space="0" w:color="A6A6A6"/>
              <w:right w:val="nil"/>
            </w:tcBorders>
            <w:shd w:val="clear" w:color="auto" w:fill="auto"/>
            <w:vAlign w:val="center"/>
            <w:hideMark/>
          </w:tcPr>
          <w:p>
            <w:pPr>
              <w:rPr>
                <w:b/>
                <w:bCs/>
                <w:i/>
                <w:sz w:val="22"/>
                <w:szCs w:val="22"/>
                <w:lang w:val="en-PH" w:eastAsia="en-PH"/>
              </w:rPr>
            </w:pPr>
            <w:r>
              <w:rPr>
                <w:b/>
                <w:bCs/>
                <w:i/>
                <w:sz w:val="22"/>
                <w:szCs w:val="22"/>
                <w:lang w:val="en-PH" w:eastAsia="en-PH"/>
              </w:rPr>
              <w:t>Additions during the year:</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POW-2021-08-322_date completed 06/09/22-Construction of school building (2 units 7m x 9m Classrom  </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2,981,988.96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*POW-2022-02-049-date completed 08-05-22-(3M)Construction of 1 storey 2 classroom school building with comfort rom, Nanyo Central E/S 7mx9m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2,996,610.32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*POW-2022-02-056-date completion 09-02-22-(3M)Construction of 1 storey 2 classroom school building with comfort room, Sta Cruz ES 7mx9m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2,998,978.81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POW#2020-04-197_Construction Of 7Mx18M 2 Classroom One Storey School Building With Comfort Room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2,585,704.74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POW#2021-05-187_Cont. of (1) Sotrey 2 Classroom School Building with Comfort Room Tagurot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2,593,707.07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POW-2021-05-164-date completed 02/22/22-Construction od One (1)storey 2 classroom school building with comfort room, Narciso Gakapin ES, Brgy.Maduao, PAnabo City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2,594,045.88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POW-2021-05-171-Php 2.6M- Date Completion 01-28-22-Construction Of One   Storey 2 Classroom School Building With Comfort Room   San Roque Es-Description: Constructrion 2 Units-7M X 9M   Classroom </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2,562,406.38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POW-2021-05-191_One (1) Storey Two (2) Classroom School Building with Comfort Room, San Vicente ES; Date completed: 01-26-22</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2,594,361.50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POW-2021-05-192_One (1) Storey Two (2) Classroom School Building with Comfort Room, Waterfall ES; Date completed: 01-26-2022</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2,594,202.88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POW-2021-08-323 date completed 06-23-22 (1.5M)construction of Home   Economics Building Sindaton E/S 6mx7m)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1,494,758.53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POW-2021-09-353-Construction of one (1) storey 5 classroom school building with comfort room, Salvacion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6,495,536.15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POW2021-10-379_Php 4M-date completed 04-04-22- Construction of 1 Storey 3units   7m x 9m Classroom with 3 units Comfort Room at Manay NHS Ext., Dalisay   HS, Brgy. Dalisay_(2019 Cont. App))</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3,996,543.99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POW-2021-11-403(4.3M), Construction of 2 storey 6 CL school building, Panabo  NHS (Annex)Phase 4, Progressive Type</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4,290,011.57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POW-2022-02-057(3M)Construction of 1 storey 2 classroom </w:t>
            </w:r>
            <w:r>
              <w:rPr>
                <w:sz w:val="22"/>
                <w:szCs w:val="22"/>
                <w:lang w:val="en-PH" w:eastAsia="en-PH"/>
              </w:rPr>
              <w:lastRenderedPageBreak/>
              <w:t>school building with comfort room Southern Davao ES 7mxm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lastRenderedPageBreak/>
              <w:t xml:space="preserve">                          </w:t>
            </w:r>
            <w:r>
              <w:rPr>
                <w:sz w:val="22"/>
                <w:szCs w:val="22"/>
                <w:lang w:val="en-PH" w:eastAsia="en-PH"/>
              </w:rPr>
              <w:lastRenderedPageBreak/>
              <w:t xml:space="preserve">2,998,403.33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lastRenderedPageBreak/>
              <w:t>POW-2022-02-058(3M) Construction of 1storey 2 classroom school building with comfort room, Tagpore ES 7mx9m</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2,998,411.52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POW-2022-03-096(3M)Construction of 1 storey 2 classroom school building with comfort room TG Gerona Sr.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2,996,729.77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POW#2021-05-190_One (1) Storey 2 Classroom School Building with Comfort Room Gredu ES; Date completed: 12-09-21</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2,594,206.93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POW#2019-01-006_Construction Of School Building One (1) Storey 2 Cl School Building, Kasilak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2,185,938.07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POW#2019-07-263_Completion Of School Building-One Storey 3 Cl 7 X 27 School Building, Phase 2 San Fr)</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488,727.25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Const. Of 1 Storey 2 Classroom School Bldg.- New Malitbog High School Ext. (Phase Ii)_Pow # 2016-09-)</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                             113,013.00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Adjustments during the year</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(44,960.00)</w:t>
            </w:r>
          </w:p>
        </w:tc>
      </w:tr>
      <w:tr>
        <w:trPr>
          <w:trHeight w:val="283"/>
        </w:trPr>
        <w:tc>
          <w:tcPr>
            <w:tcW w:w="6096"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125" w:type="dxa"/>
            <w:tcBorders>
              <w:top w:val="nil"/>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95,130,850.84 </w:t>
            </w:r>
          </w:p>
        </w:tc>
      </w:tr>
    </w:tbl>
    <w:p>
      <w:pPr>
        <w:ind w:left="120"/>
        <w:jc w:val="both"/>
        <w:rPr>
          <w:sz w:val="24"/>
          <w:szCs w:val="24"/>
        </w:rPr>
      </w:pPr>
    </w:p>
    <w:p>
      <w:pPr>
        <w:ind w:left="1418" w:firstLine="11"/>
        <w:jc w:val="both"/>
        <w:rPr>
          <w:b/>
          <w:bCs/>
          <w:sz w:val="24"/>
          <w:szCs w:val="24"/>
        </w:rPr>
      </w:pPr>
      <w:r>
        <w:rPr>
          <w:b/>
          <w:bCs/>
          <w:sz w:val="24"/>
          <w:szCs w:val="24"/>
        </w:rPr>
        <w:t xml:space="preserve">  10.4.3 Market</w:t>
      </w:r>
    </w:p>
    <w:p>
      <w:pPr>
        <w:ind w:left="120" w:firstLine="600"/>
        <w:jc w:val="both"/>
        <w:rPr>
          <w:b/>
          <w:bCs/>
          <w:sz w:val="24"/>
          <w:szCs w:val="24"/>
        </w:rPr>
      </w:pPr>
    </w:p>
    <w:tbl>
      <w:tblPr>
        <w:tblW w:w="8221" w:type="dxa"/>
        <w:tblInd w:w="1526" w:type="dxa"/>
        <w:tblLook w:val="04A0" w:firstRow="1" w:lastRow="0" w:firstColumn="1" w:lastColumn="0" w:noHBand="0" w:noVBand="1"/>
      </w:tblPr>
      <w:tblGrid>
        <w:gridCol w:w="6521"/>
        <w:gridCol w:w="1700"/>
      </w:tblGrid>
      <w:tr>
        <w:trPr>
          <w:trHeight w:val="283"/>
          <w:tblHeader/>
        </w:trPr>
        <w:tc>
          <w:tcPr>
            <w:tcW w:w="6521"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Particulars</w:t>
            </w:r>
          </w:p>
        </w:tc>
        <w:tc>
          <w:tcPr>
            <w:tcW w:w="1700"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521" w:type="dxa"/>
            <w:tcBorders>
              <w:top w:val="nil"/>
              <w:left w:val="nil"/>
              <w:bottom w:val="single" w:sz="4" w:space="0" w:color="A6A6A6"/>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1700" w:type="dxa"/>
            <w:tcBorders>
              <w:top w:val="nil"/>
              <w:left w:val="nil"/>
              <w:bottom w:val="single" w:sz="4" w:space="0" w:color="A6A6A6"/>
              <w:right w:val="nil"/>
            </w:tcBorders>
            <w:shd w:val="clear" w:color="auto" w:fill="auto"/>
            <w:vAlign w:val="center"/>
            <w:hideMark/>
          </w:tcPr>
          <w:p>
            <w:pPr>
              <w:jc w:val="right"/>
              <w:rPr>
                <w:b/>
                <w:bCs/>
                <w:sz w:val="22"/>
                <w:szCs w:val="22"/>
                <w:lang w:val="en-PH" w:eastAsia="en-PH"/>
              </w:rPr>
            </w:pPr>
            <w:r>
              <w:rPr>
                <w:b/>
                <w:bCs/>
                <w:sz w:val="22"/>
                <w:szCs w:val="22"/>
                <w:lang w:val="en-PH" w:eastAsia="en-PH"/>
              </w:rPr>
              <w:t>93,052,494.24</w:t>
            </w:r>
          </w:p>
        </w:tc>
      </w:tr>
      <w:tr>
        <w:trPr>
          <w:trHeight w:val="283"/>
        </w:trPr>
        <w:tc>
          <w:tcPr>
            <w:tcW w:w="6521" w:type="dxa"/>
            <w:tcBorders>
              <w:top w:val="nil"/>
              <w:left w:val="nil"/>
              <w:bottom w:val="single" w:sz="4" w:space="0" w:color="A6A6A6"/>
              <w:right w:val="nil"/>
            </w:tcBorders>
            <w:shd w:val="clear" w:color="auto" w:fill="auto"/>
            <w:vAlign w:val="center"/>
            <w:hideMark/>
          </w:tcPr>
          <w:p>
            <w:pPr>
              <w:rPr>
                <w:b/>
                <w:i/>
                <w:iCs/>
                <w:sz w:val="22"/>
                <w:szCs w:val="22"/>
                <w:lang w:val="en-PH" w:eastAsia="en-PH"/>
              </w:rPr>
            </w:pPr>
            <w:r>
              <w:rPr>
                <w:b/>
                <w:i/>
                <w:iCs/>
                <w:sz w:val="22"/>
                <w:szCs w:val="22"/>
                <w:lang w:val="en-PH" w:eastAsia="en-PH"/>
              </w:rPr>
              <w:t>Adjustments during the year</w:t>
            </w:r>
          </w:p>
        </w:tc>
        <w:tc>
          <w:tcPr>
            <w:tcW w:w="1700"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(1,877,964.26)</w:t>
            </w:r>
          </w:p>
        </w:tc>
      </w:tr>
      <w:tr>
        <w:trPr>
          <w:trHeight w:val="283"/>
        </w:trPr>
        <w:tc>
          <w:tcPr>
            <w:tcW w:w="6521"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Reclassification from Market account to Other Structures account</w:t>
            </w:r>
          </w:p>
        </w:tc>
        <w:tc>
          <w:tcPr>
            <w:tcW w:w="1700"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(237,914.00)</w:t>
            </w:r>
          </w:p>
        </w:tc>
      </w:tr>
      <w:tr>
        <w:trPr>
          <w:trHeight w:val="283"/>
        </w:trPr>
        <w:tc>
          <w:tcPr>
            <w:tcW w:w="6521"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Reclassification from Other Structure account to Market account</w:t>
            </w:r>
          </w:p>
        </w:tc>
        <w:tc>
          <w:tcPr>
            <w:tcW w:w="1700"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437,096.57</w:t>
            </w:r>
          </w:p>
        </w:tc>
      </w:tr>
      <w:tr>
        <w:trPr>
          <w:trHeight w:val="283"/>
        </w:trPr>
        <w:tc>
          <w:tcPr>
            <w:tcW w:w="6521"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1700" w:type="dxa"/>
            <w:tcBorders>
              <w:top w:val="nil"/>
              <w:left w:val="nil"/>
              <w:bottom w:val="double" w:sz="6" w:space="0" w:color="A6A6A6"/>
              <w:right w:val="nil"/>
            </w:tcBorders>
            <w:shd w:val="clear" w:color="auto" w:fill="auto"/>
            <w:noWrap/>
            <w:vAlign w:val="center"/>
            <w:hideMark/>
          </w:tcPr>
          <w:p>
            <w:pPr>
              <w:ind w:firstLineChars="14" w:firstLine="31"/>
              <w:jc w:val="right"/>
              <w:rPr>
                <w:b/>
                <w:bCs/>
                <w:sz w:val="22"/>
                <w:szCs w:val="22"/>
                <w:lang w:val="en-PH" w:eastAsia="en-PH"/>
              </w:rPr>
            </w:pPr>
            <w:r>
              <w:rPr>
                <w:b/>
                <w:bCs/>
                <w:sz w:val="22"/>
                <w:szCs w:val="22"/>
                <w:lang w:val="en-PH" w:eastAsia="en-PH"/>
              </w:rPr>
              <w:t>91,373,712.55</w:t>
            </w:r>
          </w:p>
        </w:tc>
      </w:tr>
    </w:tbl>
    <w:p>
      <w:pPr>
        <w:ind w:left="120"/>
        <w:jc w:val="both"/>
        <w:rPr>
          <w:sz w:val="24"/>
          <w:szCs w:val="24"/>
        </w:rPr>
      </w:pPr>
    </w:p>
    <w:p>
      <w:pPr>
        <w:ind w:left="1418"/>
        <w:jc w:val="both"/>
        <w:rPr>
          <w:b/>
          <w:bCs/>
          <w:sz w:val="24"/>
          <w:szCs w:val="24"/>
        </w:rPr>
      </w:pPr>
      <w:r>
        <w:rPr>
          <w:b/>
          <w:bCs/>
          <w:sz w:val="24"/>
          <w:szCs w:val="24"/>
        </w:rPr>
        <w:t xml:space="preserve">  10.4.3 Other Structures</w:t>
      </w:r>
    </w:p>
    <w:p>
      <w:pPr>
        <w:ind w:left="120" w:firstLine="600"/>
        <w:jc w:val="both"/>
        <w:rPr>
          <w:b/>
          <w:bCs/>
          <w:sz w:val="24"/>
          <w:szCs w:val="24"/>
        </w:rPr>
      </w:pPr>
    </w:p>
    <w:tbl>
      <w:tblPr>
        <w:tblW w:w="8221" w:type="dxa"/>
        <w:tblInd w:w="1526" w:type="dxa"/>
        <w:tblLook w:val="04A0" w:firstRow="1" w:lastRow="0" w:firstColumn="1" w:lastColumn="0" w:noHBand="0" w:noVBand="1"/>
      </w:tblPr>
      <w:tblGrid>
        <w:gridCol w:w="6096"/>
        <w:gridCol w:w="2125"/>
      </w:tblGrid>
      <w:tr>
        <w:trPr>
          <w:trHeight w:val="283"/>
          <w:tblHeader/>
        </w:trPr>
        <w:tc>
          <w:tcPr>
            <w:tcW w:w="6096"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Other Structures</w:t>
            </w:r>
          </w:p>
        </w:tc>
        <w:tc>
          <w:tcPr>
            <w:tcW w:w="2125"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r>
      <w:tr>
        <w:trPr>
          <w:trHeight w:val="283"/>
        </w:trPr>
        <w:tc>
          <w:tcPr>
            <w:tcW w:w="6096" w:type="dxa"/>
            <w:tcBorders>
              <w:top w:val="nil"/>
              <w:left w:val="nil"/>
              <w:bottom w:val="single" w:sz="4" w:space="0" w:color="A6A6A6"/>
              <w:right w:val="nil"/>
            </w:tcBorders>
            <w:shd w:val="clear" w:color="auto" w:fill="auto"/>
            <w:vAlign w:val="center"/>
            <w:hideMark/>
          </w:tcPr>
          <w:p>
            <w:pPr>
              <w:rPr>
                <w:b/>
                <w:sz w:val="22"/>
                <w:szCs w:val="22"/>
                <w:lang w:val="en-PH" w:eastAsia="en-PH"/>
              </w:rPr>
            </w:pPr>
            <w:r>
              <w:rPr>
                <w:b/>
                <w:sz w:val="22"/>
                <w:szCs w:val="22"/>
                <w:lang w:val="en-PH" w:eastAsia="en-PH"/>
              </w:rPr>
              <w:t>Beginning Balance</w:t>
            </w:r>
          </w:p>
        </w:tc>
        <w:tc>
          <w:tcPr>
            <w:tcW w:w="2125" w:type="dxa"/>
            <w:tcBorders>
              <w:top w:val="nil"/>
              <w:left w:val="nil"/>
              <w:bottom w:val="single" w:sz="4" w:space="0" w:color="A6A6A6"/>
              <w:right w:val="nil"/>
            </w:tcBorders>
            <w:shd w:val="clear" w:color="auto" w:fill="auto"/>
            <w:vAlign w:val="center"/>
            <w:hideMark/>
          </w:tcPr>
          <w:p>
            <w:pPr>
              <w:jc w:val="right"/>
              <w:rPr>
                <w:b/>
                <w:bCs/>
                <w:sz w:val="22"/>
                <w:szCs w:val="22"/>
                <w:lang w:val="en-PH" w:eastAsia="en-PH"/>
              </w:rPr>
            </w:pPr>
            <w:r>
              <w:rPr>
                <w:b/>
                <w:bCs/>
                <w:sz w:val="22"/>
                <w:szCs w:val="22"/>
                <w:lang w:val="en-PH" w:eastAsia="en-PH"/>
              </w:rPr>
              <w:t xml:space="preserve">244,429,078.86 </w:t>
            </w:r>
          </w:p>
        </w:tc>
      </w:tr>
      <w:tr>
        <w:trPr>
          <w:trHeight w:val="283"/>
        </w:trPr>
        <w:tc>
          <w:tcPr>
            <w:tcW w:w="6096" w:type="dxa"/>
            <w:tcBorders>
              <w:top w:val="nil"/>
              <w:left w:val="nil"/>
              <w:bottom w:val="single" w:sz="4" w:space="0" w:color="A6A6A6"/>
              <w:right w:val="nil"/>
            </w:tcBorders>
            <w:shd w:val="clear" w:color="auto" w:fill="auto"/>
            <w:vAlign w:val="center"/>
            <w:hideMark/>
          </w:tcPr>
          <w:p>
            <w:pPr>
              <w:rPr>
                <w:b/>
                <w:i/>
                <w:iCs/>
                <w:sz w:val="22"/>
                <w:szCs w:val="22"/>
                <w:lang w:val="en-PH" w:eastAsia="en-PH"/>
              </w:rPr>
            </w:pPr>
            <w:r>
              <w:rPr>
                <w:b/>
                <w:i/>
                <w:iCs/>
                <w:sz w:val="22"/>
                <w:szCs w:val="22"/>
                <w:lang w:val="en-PH" w:eastAsia="en-PH"/>
              </w:rPr>
              <w:t>Additions during the year:</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 2022-03-099-Construction of School Mini gym Phase 2, kiotoy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1,497,411.74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POW#2020-06-227_Rehabilitation of Panabo Central ES-SPED Gymnasium, Brgy. San Francisco</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3,987,492.10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POW-2017-02-056 &amp; POW-2017-07-559-2017-Construction of Tennis Court - Brgy. J.P Laurel, Panabo City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1,445,157.20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POW-2021-07-286_Construction of Reading Center, Consolacion ES; Date completed: 12-13-21</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497,585.94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POW-2021-07-288-date completed 10-24-22-Construction of micromill building</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1,196,876.67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POW-2021-07-294_Coffin Crypt Building - Eternal Garden Phase 10 - (Additional Funding) @ Datu Abdul_Date completed: 01/21/2022</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2,486,249.52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POW-2021-08-303-date completed 02-04-22-Constructin of Coffin Crypt Building-Eternal Garden-Phase2-Datu Abdul Dadia, Panabo City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2,991,420.68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POW-2021-08-304-Other Infrastructure Assets   Fishport Center </w:t>
            </w:r>
            <w:r>
              <w:rPr>
                <w:sz w:val="22"/>
                <w:szCs w:val="22"/>
                <w:lang w:val="en-PH" w:eastAsia="en-PH"/>
              </w:rPr>
              <w:lastRenderedPageBreak/>
              <w:t>(1M)) located at Brgy. Cagangohan P.C</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lastRenderedPageBreak/>
              <w:t xml:space="preserve">989,892.13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POW-2021-08-330-date completed 02-03-22-Construction of Handwashing Facility Panabo NHS-located at Brgy. Gredu, Panabo City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495,442.77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POW-2021-09-357(3M)Construction of Barangay Health Station 153 sq.m one storey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2,999,753.58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POW-2021-11-411_date completed 06-20-22-Construction of 2 units Bone   Crypt (w/ 4 Bldg walkway, 4 set of Atrium w/ Landscaping and w/ Concrete   Stamping) P-II, Eternal Garden_2021 Budget)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4,995,470.82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POW-2022-06-225-Rehabilitation/Improvement of Barangay Health Station with Safe birthing Facility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2,597,892.03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POW#2016-09-465-477 li. m. Perimeter Fence Fronting City Hall Government Center w/ Gate Component @ Brgy. JP Laurel</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2,315,357.00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Reclass - other infra to other structure</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11,684,690.47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Reclass from other structure to other land improvement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(1,869,065.11)</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Reclassification from Market account to Other Structure account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237,914.00 </w:t>
            </w:r>
          </w:p>
        </w:tc>
      </w:tr>
      <w:tr>
        <w:trPr>
          <w:trHeight w:val="283"/>
        </w:trPr>
        <w:tc>
          <w:tcPr>
            <w:tcW w:w="6096" w:type="dxa"/>
            <w:tcBorders>
              <w:top w:val="nil"/>
              <w:left w:val="nil"/>
              <w:bottom w:val="single" w:sz="4" w:space="0" w:color="A6A6A6"/>
              <w:right w:val="nil"/>
            </w:tcBorders>
            <w:shd w:val="clear" w:color="auto" w:fill="auto"/>
            <w:vAlign w:val="center"/>
            <w:hideMark/>
          </w:tcPr>
          <w:p>
            <w:pPr>
              <w:rPr>
                <w:b/>
                <w:i/>
                <w:iCs/>
                <w:sz w:val="22"/>
                <w:szCs w:val="22"/>
                <w:lang w:val="en-PH" w:eastAsia="en-PH"/>
              </w:rPr>
            </w:pPr>
            <w:r>
              <w:rPr>
                <w:b/>
                <w:i/>
                <w:iCs/>
                <w:sz w:val="22"/>
                <w:szCs w:val="22"/>
                <w:lang w:val="en-PH" w:eastAsia="en-PH"/>
              </w:rPr>
              <w:t>Converted from Building to Other Structures: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Construction of City Hall Canteen- JP Laurel ,Panabo City</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484,074.75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Construction of MPTCSC Building</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4,112,814.11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 xml:space="preserve">Old City Hall/ CITY Museum </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1,065,924.52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Panabo Integrated Bus &amp; Jeepney Terminal - From Buildings to Other Structure</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33,109,962.61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POW-2019-05-195_Renovation Of Panabo City Teen Center)</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614,913.86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POW-2021-09-363_Construction of Visitor's Lounge at 27th IB, 10th ID, Philippine Army @ Brgy. Dalisa)</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199,797.00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Pow-2019-09-344_Construction Of Batching Foudnation)</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711,475.40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POW--2019-12-484_Completion/Operation Of Asphalt Batching Plant)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2,116,700.00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Market Operation  (POW-2017-04-209-(Demolition )Proposed Panabo City Market Complex (Demolition Works))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857,051.80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POW-2021-06-239_Completion of School Stage (PhaseII) at N.Galapin ES, Brgy Maduao_(2021 Budget))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233,999.00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POW-2021-07-283-Php300K-Improvement of Handwashing Facility Don Manuel A Javellana Memorial ES)</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164,310.00 </w:t>
            </w:r>
          </w:p>
        </w:tc>
      </w:tr>
      <w:tr>
        <w:trPr>
          <w:trHeight w:val="283"/>
        </w:trPr>
        <w:tc>
          <w:tcPr>
            <w:tcW w:w="6096" w:type="dxa"/>
            <w:tcBorders>
              <w:top w:val="nil"/>
              <w:left w:val="nil"/>
              <w:bottom w:val="single" w:sz="4" w:space="0" w:color="A6A6A6"/>
              <w:right w:val="nil"/>
            </w:tcBorders>
            <w:shd w:val="clear" w:color="auto" w:fill="auto"/>
            <w:vAlign w:val="center"/>
            <w:hideMark/>
          </w:tcPr>
          <w:p>
            <w:pPr>
              <w:rPr>
                <w:sz w:val="22"/>
                <w:szCs w:val="22"/>
                <w:lang w:val="en-PH" w:eastAsia="en-PH"/>
              </w:rPr>
            </w:pPr>
            <w:r>
              <w:rPr>
                <w:sz w:val="22"/>
                <w:szCs w:val="22"/>
                <w:lang w:val="en-PH" w:eastAsia="en-PH"/>
              </w:rPr>
              <w:t>POW-2021-08-327_Construction of School Signage and Gate at JP Laurel E.S (2021 Budget))</w:t>
            </w:r>
          </w:p>
        </w:tc>
        <w:tc>
          <w:tcPr>
            <w:tcW w:w="2125" w:type="dxa"/>
            <w:tcBorders>
              <w:top w:val="nil"/>
              <w:left w:val="nil"/>
              <w:bottom w:val="single" w:sz="4" w:space="0" w:color="A6A6A6"/>
              <w:right w:val="nil"/>
            </w:tcBorders>
            <w:shd w:val="clear" w:color="auto" w:fill="auto"/>
            <w:vAlign w:val="center"/>
            <w:hideMark/>
          </w:tcPr>
          <w:p>
            <w:pPr>
              <w:jc w:val="right"/>
              <w:rPr>
                <w:sz w:val="22"/>
                <w:szCs w:val="22"/>
                <w:lang w:val="en-PH" w:eastAsia="en-PH"/>
              </w:rPr>
            </w:pPr>
            <w:r>
              <w:rPr>
                <w:sz w:val="22"/>
                <w:szCs w:val="22"/>
                <w:lang w:val="en-PH" w:eastAsia="en-PH"/>
              </w:rPr>
              <w:t xml:space="preserve">239,869.00 </w:t>
            </w:r>
          </w:p>
        </w:tc>
      </w:tr>
      <w:tr>
        <w:trPr>
          <w:trHeight w:val="283"/>
        </w:trPr>
        <w:tc>
          <w:tcPr>
            <w:tcW w:w="6096" w:type="dxa"/>
            <w:tcBorders>
              <w:top w:val="nil"/>
              <w:left w:val="nil"/>
              <w:bottom w:val="single" w:sz="4" w:space="0" w:color="A6A6A6"/>
              <w:right w:val="nil"/>
            </w:tcBorders>
            <w:shd w:val="clear" w:color="auto" w:fill="auto"/>
            <w:vAlign w:val="center"/>
            <w:hideMark/>
          </w:tcPr>
          <w:p>
            <w:pPr>
              <w:rPr>
                <w:i/>
                <w:sz w:val="22"/>
                <w:szCs w:val="22"/>
                <w:lang w:val="en-PH" w:eastAsia="en-PH"/>
              </w:rPr>
            </w:pPr>
            <w:r>
              <w:rPr>
                <w:i/>
                <w:sz w:val="22"/>
                <w:szCs w:val="22"/>
                <w:lang w:val="en-PH" w:eastAsia="en-PH"/>
              </w:rPr>
              <w:t>Adjustments</w:t>
            </w:r>
          </w:p>
        </w:tc>
        <w:tc>
          <w:tcPr>
            <w:tcW w:w="2125" w:type="dxa"/>
            <w:tcBorders>
              <w:top w:val="nil"/>
              <w:left w:val="nil"/>
              <w:bottom w:val="single" w:sz="4" w:space="0" w:color="A6A6A6"/>
              <w:right w:val="nil"/>
            </w:tcBorders>
            <w:shd w:val="clear" w:color="auto" w:fill="auto"/>
            <w:vAlign w:val="center"/>
            <w:hideMark/>
          </w:tcPr>
          <w:p>
            <w:pPr>
              <w:jc w:val="right"/>
              <w:rPr>
                <w:i/>
                <w:sz w:val="22"/>
                <w:szCs w:val="22"/>
                <w:lang w:val="en-PH" w:eastAsia="en-PH"/>
              </w:rPr>
            </w:pPr>
            <w:r>
              <w:rPr>
                <w:i/>
                <w:sz w:val="22"/>
                <w:szCs w:val="22"/>
                <w:lang w:val="en-PH" w:eastAsia="en-PH"/>
              </w:rPr>
              <w:t>(213,280.76)</w:t>
            </w:r>
          </w:p>
        </w:tc>
      </w:tr>
      <w:tr>
        <w:trPr>
          <w:trHeight w:val="283"/>
        </w:trPr>
        <w:tc>
          <w:tcPr>
            <w:tcW w:w="6096" w:type="dxa"/>
            <w:tcBorders>
              <w:top w:val="nil"/>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Ending Balance</w:t>
            </w:r>
          </w:p>
        </w:tc>
        <w:tc>
          <w:tcPr>
            <w:tcW w:w="2125" w:type="dxa"/>
            <w:tcBorders>
              <w:top w:val="nil"/>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 xml:space="preserve">   326,676,231.69 </w:t>
            </w:r>
          </w:p>
        </w:tc>
      </w:tr>
    </w:tbl>
    <w:p>
      <w:pPr>
        <w:jc w:val="both"/>
        <w:rPr>
          <w:sz w:val="24"/>
          <w:szCs w:val="24"/>
        </w:rPr>
      </w:pPr>
    </w:p>
    <w:p>
      <w:pPr>
        <w:ind w:left="1134"/>
        <w:jc w:val="both"/>
        <w:rPr>
          <w:b/>
          <w:bCs/>
          <w:sz w:val="24"/>
          <w:szCs w:val="24"/>
        </w:rPr>
      </w:pPr>
      <w:r>
        <w:rPr>
          <w:b/>
          <w:bCs/>
          <w:sz w:val="24"/>
          <w:szCs w:val="24"/>
        </w:rPr>
        <w:t>10.5 Machinery and Equipment</w:t>
      </w:r>
    </w:p>
    <w:p>
      <w:pPr>
        <w:ind w:firstLine="720"/>
        <w:jc w:val="both"/>
        <w:rPr>
          <w:b/>
          <w:bCs/>
          <w:sz w:val="24"/>
          <w:szCs w:val="24"/>
        </w:rPr>
      </w:pPr>
    </w:p>
    <w:p>
      <w:pPr>
        <w:spacing w:line="276" w:lineRule="auto"/>
        <w:ind w:left="1418"/>
        <w:jc w:val="both"/>
        <w:rPr>
          <w:sz w:val="24"/>
          <w:szCs w:val="24"/>
        </w:rPr>
      </w:pPr>
      <w:r>
        <w:rPr>
          <w:sz w:val="24"/>
          <w:szCs w:val="24"/>
        </w:rPr>
        <w:t>This comprised of the following accounts with their comparative figure for the years ended 2022 and 2021.</w:t>
      </w:r>
    </w:p>
    <w:p>
      <w:pPr>
        <w:jc w:val="both"/>
        <w:rPr>
          <w:sz w:val="24"/>
          <w:szCs w:val="24"/>
        </w:rPr>
      </w:pPr>
    </w:p>
    <w:p>
      <w:pPr>
        <w:jc w:val="both"/>
        <w:rPr>
          <w:sz w:val="24"/>
          <w:szCs w:val="24"/>
        </w:rPr>
      </w:pPr>
    </w:p>
    <w:tbl>
      <w:tblPr>
        <w:tblW w:w="8228"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2275"/>
        <w:gridCol w:w="2126"/>
      </w:tblGrid>
      <w:tr>
        <w:trPr>
          <w:trHeight w:val="283"/>
          <w:tblHeader/>
        </w:trPr>
        <w:tc>
          <w:tcPr>
            <w:tcW w:w="3827" w:type="dxa"/>
            <w:shd w:val="clear" w:color="auto" w:fill="auto"/>
            <w:vAlign w:val="center"/>
            <w:hideMark/>
          </w:tcPr>
          <w:p>
            <w:pPr>
              <w:jc w:val="center"/>
              <w:rPr>
                <w:b/>
                <w:bCs/>
                <w:sz w:val="24"/>
                <w:szCs w:val="24"/>
                <w:lang w:val="en-PH" w:eastAsia="en-PH"/>
              </w:rPr>
            </w:pPr>
            <w:r>
              <w:rPr>
                <w:b/>
                <w:bCs/>
                <w:sz w:val="24"/>
                <w:szCs w:val="24"/>
                <w:lang w:val="en-PH" w:eastAsia="en-PH"/>
              </w:rPr>
              <w:lastRenderedPageBreak/>
              <w:t>Machinery &amp; Equipment</w:t>
            </w:r>
          </w:p>
        </w:tc>
        <w:tc>
          <w:tcPr>
            <w:tcW w:w="2275" w:type="dxa"/>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Machinery</w:t>
            </w:r>
          </w:p>
        </w:tc>
        <w:tc>
          <w:tcPr>
            <w:tcW w:w="2275" w:type="dxa"/>
            <w:shd w:val="clear" w:color="auto" w:fill="auto"/>
            <w:vAlign w:val="center"/>
            <w:hideMark/>
          </w:tcPr>
          <w:p>
            <w:pPr>
              <w:jc w:val="right"/>
              <w:rPr>
                <w:sz w:val="24"/>
                <w:szCs w:val="24"/>
                <w:lang w:val="en-PH" w:eastAsia="en-PH"/>
              </w:rPr>
            </w:pPr>
            <w:r>
              <w:rPr>
                <w:sz w:val="24"/>
                <w:szCs w:val="24"/>
                <w:lang w:val="en-PH" w:eastAsia="en-PH"/>
              </w:rPr>
              <w:t>0.00</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295,040.00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Machinery</w:t>
            </w:r>
          </w:p>
        </w:tc>
        <w:tc>
          <w:tcPr>
            <w:tcW w:w="2275" w:type="dxa"/>
            <w:shd w:val="clear" w:color="auto" w:fill="auto"/>
            <w:vAlign w:val="center"/>
            <w:hideMark/>
          </w:tcPr>
          <w:p>
            <w:pPr>
              <w:jc w:val="right"/>
              <w:rPr>
                <w:sz w:val="24"/>
                <w:szCs w:val="24"/>
                <w:lang w:val="en-PH" w:eastAsia="en-PH"/>
              </w:rPr>
            </w:pPr>
            <w:r>
              <w:rPr>
                <w:sz w:val="24"/>
                <w:szCs w:val="24"/>
                <w:lang w:val="en-PH" w:eastAsia="en-PH"/>
              </w:rPr>
              <w:t>0.00</w:t>
            </w:r>
          </w:p>
        </w:tc>
        <w:tc>
          <w:tcPr>
            <w:tcW w:w="2126" w:type="dxa"/>
            <w:shd w:val="clear" w:color="auto" w:fill="auto"/>
            <w:vAlign w:val="center"/>
            <w:hideMark/>
          </w:tcPr>
          <w:p>
            <w:pPr>
              <w:jc w:val="right"/>
              <w:rPr>
                <w:sz w:val="24"/>
                <w:szCs w:val="24"/>
                <w:lang w:val="en-PH" w:eastAsia="en-PH"/>
              </w:rPr>
            </w:pPr>
            <w:r>
              <w:rPr>
                <w:sz w:val="24"/>
                <w:szCs w:val="24"/>
                <w:lang w:val="en-PH" w:eastAsia="en-PH"/>
              </w:rPr>
              <w:t>(181,845.78)</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Office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24,522,241.94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32,129,377.64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Office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(15,230,356.24)</w:t>
            </w:r>
          </w:p>
        </w:tc>
        <w:tc>
          <w:tcPr>
            <w:tcW w:w="2126" w:type="dxa"/>
            <w:shd w:val="clear" w:color="auto" w:fill="auto"/>
            <w:vAlign w:val="center"/>
            <w:hideMark/>
          </w:tcPr>
          <w:p>
            <w:pPr>
              <w:jc w:val="right"/>
              <w:rPr>
                <w:sz w:val="24"/>
                <w:szCs w:val="24"/>
                <w:lang w:val="en-PH" w:eastAsia="en-PH"/>
              </w:rPr>
            </w:pPr>
            <w:r>
              <w:rPr>
                <w:sz w:val="24"/>
                <w:szCs w:val="24"/>
                <w:lang w:val="en-PH" w:eastAsia="en-PH"/>
              </w:rPr>
              <w:t>(20,035,656.30)</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Infor &amp; Communication Tech Equip.</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30,876,157.54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59,875,298.07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ICTE</w:t>
            </w:r>
          </w:p>
        </w:tc>
        <w:tc>
          <w:tcPr>
            <w:tcW w:w="2275" w:type="dxa"/>
            <w:shd w:val="clear" w:color="auto" w:fill="auto"/>
            <w:vAlign w:val="center"/>
            <w:hideMark/>
          </w:tcPr>
          <w:p>
            <w:pPr>
              <w:jc w:val="right"/>
              <w:rPr>
                <w:sz w:val="24"/>
                <w:szCs w:val="24"/>
                <w:lang w:val="en-PH" w:eastAsia="en-PH"/>
              </w:rPr>
            </w:pPr>
            <w:r>
              <w:rPr>
                <w:sz w:val="24"/>
                <w:szCs w:val="24"/>
                <w:lang w:val="en-PH" w:eastAsia="en-PH"/>
              </w:rPr>
              <w:t>(17,466,470.73)</w:t>
            </w:r>
          </w:p>
        </w:tc>
        <w:tc>
          <w:tcPr>
            <w:tcW w:w="2126" w:type="dxa"/>
            <w:shd w:val="clear" w:color="auto" w:fill="auto"/>
            <w:vAlign w:val="center"/>
            <w:hideMark/>
          </w:tcPr>
          <w:p>
            <w:pPr>
              <w:jc w:val="right"/>
              <w:rPr>
                <w:sz w:val="24"/>
                <w:szCs w:val="24"/>
                <w:lang w:val="en-PH" w:eastAsia="en-PH"/>
              </w:rPr>
            </w:pPr>
            <w:r>
              <w:rPr>
                <w:sz w:val="24"/>
                <w:szCs w:val="24"/>
                <w:lang w:val="en-PH" w:eastAsia="en-PH"/>
              </w:rPr>
              <w:t>(39,073,020.51)</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Agricultural &amp; Forestry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6,794,850.00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6,770,273.00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Agricultural &amp; Forestry Equip</w:t>
            </w:r>
          </w:p>
        </w:tc>
        <w:tc>
          <w:tcPr>
            <w:tcW w:w="2275" w:type="dxa"/>
            <w:shd w:val="clear" w:color="auto" w:fill="auto"/>
            <w:vAlign w:val="center"/>
            <w:hideMark/>
          </w:tcPr>
          <w:p>
            <w:pPr>
              <w:jc w:val="right"/>
              <w:rPr>
                <w:sz w:val="24"/>
                <w:szCs w:val="24"/>
                <w:lang w:val="en-PH" w:eastAsia="en-PH"/>
              </w:rPr>
            </w:pPr>
            <w:r>
              <w:rPr>
                <w:sz w:val="24"/>
                <w:szCs w:val="24"/>
                <w:lang w:val="en-PH" w:eastAsia="en-PH"/>
              </w:rPr>
              <w:t>(3,992,751.33)</w:t>
            </w:r>
          </w:p>
        </w:tc>
        <w:tc>
          <w:tcPr>
            <w:tcW w:w="2126" w:type="dxa"/>
            <w:shd w:val="clear" w:color="auto" w:fill="auto"/>
            <w:vAlign w:val="center"/>
            <w:hideMark/>
          </w:tcPr>
          <w:p>
            <w:pPr>
              <w:jc w:val="right"/>
              <w:rPr>
                <w:sz w:val="24"/>
                <w:szCs w:val="24"/>
                <w:lang w:val="en-PH" w:eastAsia="en-PH"/>
              </w:rPr>
            </w:pPr>
            <w:r>
              <w:rPr>
                <w:sz w:val="24"/>
                <w:szCs w:val="24"/>
                <w:lang w:val="en-PH" w:eastAsia="en-PH"/>
              </w:rPr>
              <w:t>(4,316,546.46)</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Marine &amp; Forestry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67,000.00 </w:t>
            </w:r>
          </w:p>
        </w:tc>
        <w:tc>
          <w:tcPr>
            <w:tcW w:w="2126" w:type="dxa"/>
            <w:shd w:val="clear" w:color="auto" w:fill="auto"/>
            <w:vAlign w:val="center"/>
            <w:hideMark/>
          </w:tcPr>
          <w:p>
            <w:pPr>
              <w:jc w:val="right"/>
              <w:rPr>
                <w:sz w:val="24"/>
                <w:szCs w:val="24"/>
                <w:lang w:val="en-PH" w:eastAsia="en-PH"/>
              </w:rPr>
            </w:pPr>
            <w:r>
              <w:rPr>
                <w:sz w:val="24"/>
                <w:szCs w:val="24"/>
                <w:lang w:val="en-PH" w:eastAsia="en-PH"/>
              </w:rPr>
              <w:t>0.00</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Marine &amp; Forestry Equip</w:t>
            </w:r>
          </w:p>
        </w:tc>
        <w:tc>
          <w:tcPr>
            <w:tcW w:w="2275" w:type="dxa"/>
            <w:shd w:val="clear" w:color="auto" w:fill="auto"/>
            <w:vAlign w:val="center"/>
            <w:hideMark/>
          </w:tcPr>
          <w:p>
            <w:pPr>
              <w:jc w:val="right"/>
              <w:rPr>
                <w:sz w:val="24"/>
                <w:szCs w:val="24"/>
                <w:lang w:val="en-PH" w:eastAsia="en-PH"/>
              </w:rPr>
            </w:pPr>
            <w:r>
              <w:rPr>
                <w:sz w:val="24"/>
                <w:szCs w:val="24"/>
                <w:lang w:val="en-PH" w:eastAsia="en-PH"/>
              </w:rPr>
              <w:t>(14,851.76)</w:t>
            </w:r>
          </w:p>
        </w:tc>
        <w:tc>
          <w:tcPr>
            <w:tcW w:w="2126" w:type="dxa"/>
            <w:shd w:val="clear" w:color="auto" w:fill="auto"/>
            <w:vAlign w:val="center"/>
            <w:hideMark/>
          </w:tcPr>
          <w:p>
            <w:pPr>
              <w:jc w:val="right"/>
              <w:rPr>
                <w:sz w:val="24"/>
                <w:szCs w:val="24"/>
                <w:lang w:val="en-PH" w:eastAsia="en-PH"/>
              </w:rPr>
            </w:pPr>
            <w:r>
              <w:rPr>
                <w:sz w:val="24"/>
                <w:szCs w:val="24"/>
                <w:lang w:val="en-PH" w:eastAsia="en-PH"/>
              </w:rPr>
              <w:t>0.00</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Communication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6,537,800.77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12,440,993.96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AD-Communication Equip.</w:t>
            </w:r>
          </w:p>
        </w:tc>
        <w:tc>
          <w:tcPr>
            <w:tcW w:w="2275" w:type="dxa"/>
            <w:shd w:val="clear" w:color="auto" w:fill="auto"/>
            <w:vAlign w:val="center"/>
            <w:hideMark/>
          </w:tcPr>
          <w:p>
            <w:pPr>
              <w:jc w:val="right"/>
              <w:rPr>
                <w:sz w:val="24"/>
                <w:szCs w:val="24"/>
                <w:lang w:val="en-PH" w:eastAsia="en-PH"/>
              </w:rPr>
            </w:pPr>
            <w:r>
              <w:rPr>
                <w:sz w:val="24"/>
                <w:szCs w:val="24"/>
                <w:lang w:val="en-PH" w:eastAsia="en-PH"/>
              </w:rPr>
              <w:t>(5,219,784.92)</w:t>
            </w:r>
          </w:p>
        </w:tc>
        <w:tc>
          <w:tcPr>
            <w:tcW w:w="2126" w:type="dxa"/>
            <w:shd w:val="clear" w:color="auto" w:fill="auto"/>
            <w:vAlign w:val="center"/>
            <w:hideMark/>
          </w:tcPr>
          <w:p>
            <w:pPr>
              <w:jc w:val="right"/>
              <w:rPr>
                <w:sz w:val="24"/>
                <w:szCs w:val="24"/>
                <w:lang w:val="en-PH" w:eastAsia="en-PH"/>
              </w:rPr>
            </w:pPr>
            <w:r>
              <w:rPr>
                <w:sz w:val="24"/>
                <w:szCs w:val="24"/>
                <w:lang w:val="en-PH" w:eastAsia="en-PH"/>
              </w:rPr>
              <w:t>(9,680,659.46)</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Construction and Heavy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374,206,613.64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323,232,763.64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AD-Const. &amp; Heavy Equip.</w:t>
            </w:r>
          </w:p>
        </w:tc>
        <w:tc>
          <w:tcPr>
            <w:tcW w:w="2275" w:type="dxa"/>
            <w:shd w:val="clear" w:color="auto" w:fill="auto"/>
            <w:vAlign w:val="center"/>
            <w:hideMark/>
          </w:tcPr>
          <w:p>
            <w:pPr>
              <w:jc w:val="right"/>
              <w:rPr>
                <w:sz w:val="24"/>
                <w:szCs w:val="24"/>
                <w:lang w:val="en-PH" w:eastAsia="en-PH"/>
              </w:rPr>
            </w:pPr>
            <w:r>
              <w:rPr>
                <w:sz w:val="24"/>
                <w:szCs w:val="24"/>
                <w:lang w:val="en-PH" w:eastAsia="en-PH"/>
              </w:rPr>
              <w:t>(214,108,423.57)</w:t>
            </w:r>
          </w:p>
        </w:tc>
        <w:tc>
          <w:tcPr>
            <w:tcW w:w="2126" w:type="dxa"/>
            <w:shd w:val="clear" w:color="auto" w:fill="auto"/>
            <w:vAlign w:val="center"/>
            <w:hideMark/>
          </w:tcPr>
          <w:p>
            <w:pPr>
              <w:jc w:val="right"/>
              <w:rPr>
                <w:sz w:val="24"/>
                <w:szCs w:val="24"/>
                <w:lang w:val="en-PH" w:eastAsia="en-PH"/>
              </w:rPr>
            </w:pPr>
            <w:r>
              <w:rPr>
                <w:sz w:val="24"/>
                <w:szCs w:val="24"/>
                <w:lang w:val="en-PH" w:eastAsia="en-PH"/>
              </w:rPr>
              <w:t>(192,786,624.32)</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Disaster Response &amp; Rescue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3,517,857.00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5,209,287.00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DRRE</w:t>
            </w:r>
          </w:p>
        </w:tc>
        <w:tc>
          <w:tcPr>
            <w:tcW w:w="2275" w:type="dxa"/>
            <w:shd w:val="clear" w:color="auto" w:fill="auto"/>
            <w:vAlign w:val="center"/>
            <w:hideMark/>
          </w:tcPr>
          <w:p>
            <w:pPr>
              <w:jc w:val="right"/>
              <w:rPr>
                <w:sz w:val="24"/>
                <w:szCs w:val="24"/>
                <w:lang w:val="en-PH" w:eastAsia="en-PH"/>
              </w:rPr>
            </w:pPr>
            <w:r>
              <w:rPr>
                <w:sz w:val="24"/>
                <w:szCs w:val="24"/>
                <w:lang w:val="en-PH" w:eastAsia="en-PH"/>
              </w:rPr>
              <w:t>(2,190,069.60)</w:t>
            </w:r>
          </w:p>
        </w:tc>
        <w:tc>
          <w:tcPr>
            <w:tcW w:w="2126" w:type="dxa"/>
            <w:shd w:val="clear" w:color="auto" w:fill="auto"/>
            <w:vAlign w:val="center"/>
            <w:hideMark/>
          </w:tcPr>
          <w:p>
            <w:pPr>
              <w:jc w:val="right"/>
              <w:rPr>
                <w:sz w:val="24"/>
                <w:szCs w:val="24"/>
                <w:lang w:val="en-PH" w:eastAsia="en-PH"/>
              </w:rPr>
            </w:pPr>
            <w:r>
              <w:rPr>
                <w:sz w:val="24"/>
                <w:szCs w:val="24"/>
                <w:lang w:val="en-PH" w:eastAsia="en-PH"/>
              </w:rPr>
              <w:t>(4,364,732.44)</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 xml:space="preserve">Military, Police &amp; Security Equipment </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99,000.00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336,450.00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AD-Military, Police &amp; Security Equip</w:t>
            </w:r>
          </w:p>
        </w:tc>
        <w:tc>
          <w:tcPr>
            <w:tcW w:w="2275" w:type="dxa"/>
            <w:shd w:val="clear" w:color="auto" w:fill="auto"/>
            <w:vAlign w:val="center"/>
            <w:hideMark/>
          </w:tcPr>
          <w:p>
            <w:pPr>
              <w:jc w:val="right"/>
              <w:rPr>
                <w:sz w:val="24"/>
                <w:szCs w:val="24"/>
                <w:lang w:val="en-PH" w:eastAsia="en-PH"/>
              </w:rPr>
            </w:pPr>
            <w:r>
              <w:rPr>
                <w:sz w:val="24"/>
                <w:szCs w:val="24"/>
                <w:lang w:val="en-PH" w:eastAsia="en-PH"/>
              </w:rPr>
              <w:t>(96,818.10)</w:t>
            </w:r>
          </w:p>
        </w:tc>
        <w:tc>
          <w:tcPr>
            <w:tcW w:w="2126" w:type="dxa"/>
            <w:shd w:val="clear" w:color="auto" w:fill="auto"/>
            <w:vAlign w:val="center"/>
            <w:hideMark/>
          </w:tcPr>
          <w:p>
            <w:pPr>
              <w:jc w:val="right"/>
              <w:rPr>
                <w:sz w:val="24"/>
                <w:szCs w:val="24"/>
                <w:lang w:val="en-PH" w:eastAsia="en-PH"/>
              </w:rPr>
            </w:pPr>
            <w:r>
              <w:rPr>
                <w:sz w:val="24"/>
                <w:szCs w:val="24"/>
                <w:lang w:val="en-PH" w:eastAsia="en-PH"/>
              </w:rPr>
              <w:t>(308,891.92)</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Medical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14,201,992.56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15,057,383.56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Medical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(3,694,712.83)</w:t>
            </w:r>
          </w:p>
        </w:tc>
        <w:tc>
          <w:tcPr>
            <w:tcW w:w="2126" w:type="dxa"/>
            <w:shd w:val="clear" w:color="auto" w:fill="auto"/>
            <w:vAlign w:val="center"/>
            <w:hideMark/>
          </w:tcPr>
          <w:p>
            <w:pPr>
              <w:jc w:val="right"/>
              <w:rPr>
                <w:sz w:val="24"/>
                <w:szCs w:val="24"/>
                <w:lang w:val="en-PH" w:eastAsia="en-PH"/>
              </w:rPr>
            </w:pPr>
            <w:r>
              <w:rPr>
                <w:sz w:val="24"/>
                <w:szCs w:val="24"/>
                <w:lang w:val="en-PH" w:eastAsia="en-PH"/>
              </w:rPr>
              <w:t>(3,242,116.60)</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Sports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3,066,000.00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3,965,905.03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 Sports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(1,396,037.85)</w:t>
            </w:r>
          </w:p>
        </w:tc>
        <w:tc>
          <w:tcPr>
            <w:tcW w:w="2126" w:type="dxa"/>
            <w:shd w:val="clear" w:color="auto" w:fill="auto"/>
            <w:vAlign w:val="center"/>
            <w:hideMark/>
          </w:tcPr>
          <w:p>
            <w:pPr>
              <w:jc w:val="right"/>
              <w:rPr>
                <w:sz w:val="24"/>
                <w:szCs w:val="24"/>
                <w:lang w:val="en-PH" w:eastAsia="en-PH"/>
              </w:rPr>
            </w:pPr>
            <w:r>
              <w:rPr>
                <w:sz w:val="24"/>
                <w:szCs w:val="24"/>
                <w:lang w:val="en-PH" w:eastAsia="en-PH"/>
              </w:rPr>
              <w:t>(1,443,004.84)</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Technical &amp; Scientific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14,124,454.50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18,228,490.50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AD–Technical &amp; Scientific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(9,286,607.71)</w:t>
            </w:r>
          </w:p>
        </w:tc>
        <w:tc>
          <w:tcPr>
            <w:tcW w:w="2126" w:type="dxa"/>
            <w:shd w:val="clear" w:color="auto" w:fill="auto"/>
            <w:vAlign w:val="center"/>
            <w:hideMark/>
          </w:tcPr>
          <w:p>
            <w:pPr>
              <w:jc w:val="right"/>
              <w:rPr>
                <w:sz w:val="24"/>
                <w:szCs w:val="24"/>
                <w:lang w:val="en-PH" w:eastAsia="en-PH"/>
              </w:rPr>
            </w:pPr>
            <w:r>
              <w:rPr>
                <w:sz w:val="24"/>
                <w:szCs w:val="24"/>
                <w:lang w:val="en-PH" w:eastAsia="en-PH"/>
              </w:rPr>
              <w:t>(11,522,294.69)</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Other Machinery &amp;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 xml:space="preserve">17,416,952.35 </w:t>
            </w:r>
          </w:p>
        </w:tc>
        <w:tc>
          <w:tcPr>
            <w:tcW w:w="2126" w:type="dxa"/>
            <w:shd w:val="clear" w:color="auto" w:fill="auto"/>
            <w:vAlign w:val="center"/>
            <w:hideMark/>
          </w:tcPr>
          <w:p>
            <w:pPr>
              <w:jc w:val="right"/>
              <w:rPr>
                <w:sz w:val="24"/>
                <w:szCs w:val="24"/>
                <w:lang w:val="en-PH" w:eastAsia="en-PH"/>
              </w:rPr>
            </w:pPr>
            <w:r>
              <w:rPr>
                <w:sz w:val="24"/>
                <w:szCs w:val="24"/>
                <w:lang w:val="en-PH" w:eastAsia="en-PH"/>
              </w:rPr>
              <w:t xml:space="preserve">20,590,783.35 </w:t>
            </w:r>
          </w:p>
        </w:tc>
      </w:tr>
      <w:tr>
        <w:trPr>
          <w:trHeight w:val="283"/>
        </w:trPr>
        <w:tc>
          <w:tcPr>
            <w:tcW w:w="3827" w:type="dxa"/>
            <w:shd w:val="clear" w:color="auto" w:fill="auto"/>
            <w:vAlign w:val="center"/>
            <w:hideMark/>
          </w:tcPr>
          <w:p>
            <w:pPr>
              <w:rPr>
                <w:sz w:val="24"/>
                <w:szCs w:val="24"/>
                <w:lang w:val="en-PH" w:eastAsia="en-PH"/>
              </w:rPr>
            </w:pPr>
            <w:r>
              <w:rPr>
                <w:sz w:val="24"/>
                <w:szCs w:val="24"/>
                <w:lang w:val="en-PH" w:eastAsia="en-PH"/>
              </w:rPr>
              <w:t>AD–Other Machinery &amp; Equipment</w:t>
            </w:r>
          </w:p>
        </w:tc>
        <w:tc>
          <w:tcPr>
            <w:tcW w:w="2275" w:type="dxa"/>
            <w:shd w:val="clear" w:color="auto" w:fill="auto"/>
            <w:vAlign w:val="center"/>
            <w:hideMark/>
          </w:tcPr>
          <w:p>
            <w:pPr>
              <w:jc w:val="right"/>
              <w:rPr>
                <w:sz w:val="24"/>
                <w:szCs w:val="24"/>
                <w:lang w:val="en-PH" w:eastAsia="en-PH"/>
              </w:rPr>
            </w:pPr>
            <w:r>
              <w:rPr>
                <w:sz w:val="24"/>
                <w:szCs w:val="24"/>
                <w:lang w:val="en-PH" w:eastAsia="en-PH"/>
              </w:rPr>
              <w:t>(9,860,061.84)</w:t>
            </w:r>
          </w:p>
        </w:tc>
        <w:tc>
          <w:tcPr>
            <w:tcW w:w="2126" w:type="dxa"/>
            <w:shd w:val="clear" w:color="auto" w:fill="auto"/>
            <w:vAlign w:val="center"/>
            <w:hideMark/>
          </w:tcPr>
          <w:p>
            <w:pPr>
              <w:jc w:val="right"/>
              <w:rPr>
                <w:sz w:val="24"/>
                <w:szCs w:val="24"/>
                <w:lang w:val="en-PH" w:eastAsia="en-PH"/>
              </w:rPr>
            </w:pPr>
            <w:r>
              <w:rPr>
                <w:sz w:val="24"/>
                <w:szCs w:val="24"/>
                <w:lang w:val="en-PH" w:eastAsia="en-PH"/>
              </w:rPr>
              <w:t>(11,151,062.74)</w:t>
            </w:r>
          </w:p>
        </w:tc>
      </w:tr>
      <w:tr>
        <w:trPr>
          <w:trHeight w:val="283"/>
        </w:trPr>
        <w:tc>
          <w:tcPr>
            <w:tcW w:w="3827" w:type="dxa"/>
            <w:shd w:val="clear" w:color="auto" w:fill="auto"/>
            <w:vAlign w:val="center"/>
            <w:hideMark/>
          </w:tcPr>
          <w:p>
            <w:pPr>
              <w:rPr>
                <w:b/>
                <w:bCs/>
                <w:sz w:val="24"/>
                <w:szCs w:val="24"/>
                <w:lang w:val="en-PH" w:eastAsia="en-PH"/>
              </w:rPr>
            </w:pPr>
            <w:r>
              <w:rPr>
                <w:b/>
                <w:bCs/>
                <w:sz w:val="24"/>
                <w:szCs w:val="24"/>
                <w:lang w:val="en-PH" w:eastAsia="en-PH"/>
              </w:rPr>
              <w:t>Net Book Value</w:t>
            </w:r>
          </w:p>
        </w:tc>
        <w:tc>
          <w:tcPr>
            <w:tcW w:w="2275" w:type="dxa"/>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212,873,973.82 </w:t>
            </w:r>
          </w:p>
        </w:tc>
        <w:tc>
          <w:tcPr>
            <w:tcW w:w="2126" w:type="dxa"/>
            <w:shd w:val="clear" w:color="auto" w:fill="auto"/>
            <w:noWrap/>
            <w:vAlign w:val="center"/>
            <w:hideMark/>
          </w:tcPr>
          <w:p>
            <w:pPr>
              <w:jc w:val="right"/>
              <w:rPr>
                <w:b/>
                <w:bCs/>
                <w:sz w:val="24"/>
                <w:szCs w:val="24"/>
                <w:lang w:val="en-PH" w:eastAsia="en-PH"/>
              </w:rPr>
            </w:pPr>
            <w:r>
              <w:rPr>
                <w:b/>
                <w:bCs/>
                <w:sz w:val="24"/>
                <w:szCs w:val="24"/>
                <w:lang w:val="en-PH" w:eastAsia="en-PH"/>
              </w:rPr>
              <w:t xml:space="preserve">200,025,589.69 </w:t>
            </w:r>
          </w:p>
        </w:tc>
      </w:tr>
    </w:tbl>
    <w:p>
      <w:pPr>
        <w:jc w:val="both"/>
        <w:rPr>
          <w:sz w:val="24"/>
          <w:szCs w:val="24"/>
        </w:rPr>
      </w:pPr>
    </w:p>
    <w:p>
      <w:pPr>
        <w:spacing w:line="276" w:lineRule="auto"/>
        <w:ind w:left="1418"/>
        <w:jc w:val="both"/>
        <w:rPr>
          <w:sz w:val="24"/>
          <w:szCs w:val="24"/>
        </w:rPr>
      </w:pPr>
      <w:r>
        <w:rPr>
          <w:sz w:val="24"/>
          <w:szCs w:val="24"/>
        </w:rPr>
        <w:t>During the year, the transactions that affects the movement of each account under each major group account are the acquisitions, receipt of donations and adjustments/reclassification of equipment in compliance of COA Circular 2022-004 dated May 31, 2022 which specifically relative to the increase of capitalization threshold from 15,000.00 to 50,000.00. The total amount adjustment in compliance to COA Circular 2022-004 is Eighty Three Million Eight Hundred Ninety-Three Thousand Nine Hundred Twenty-Eight &amp; 24/100 pesos (83,893,928.24). The following tables below shows the balances for each account group and the movement of each account during the year:</w:t>
      </w:r>
    </w:p>
    <w:p>
      <w:pPr>
        <w:ind w:left="720"/>
        <w:jc w:val="both"/>
        <w:rPr>
          <w:sz w:val="24"/>
          <w:szCs w:val="24"/>
        </w:rPr>
      </w:pPr>
    </w:p>
    <w:tbl>
      <w:tblPr>
        <w:tblW w:w="931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920"/>
        <w:gridCol w:w="1818"/>
        <w:gridCol w:w="1954"/>
        <w:gridCol w:w="1920"/>
      </w:tblGrid>
      <w:tr>
        <w:trPr>
          <w:trHeight w:val="283"/>
          <w:tblHeader/>
        </w:trPr>
        <w:tc>
          <w:tcPr>
            <w:tcW w:w="1699" w:type="dxa"/>
            <w:shd w:val="clear" w:color="auto" w:fill="auto"/>
            <w:vAlign w:val="center"/>
            <w:hideMark/>
          </w:tcPr>
          <w:p>
            <w:pPr>
              <w:jc w:val="center"/>
              <w:rPr>
                <w:b/>
                <w:bCs/>
                <w:lang w:val="en-PH" w:eastAsia="en-PH"/>
              </w:rPr>
            </w:pPr>
            <w:r>
              <w:rPr>
                <w:b/>
                <w:bCs/>
                <w:lang w:val="en-PH" w:eastAsia="en-PH"/>
              </w:rPr>
              <w:lastRenderedPageBreak/>
              <w:t>PPE Accounts</w:t>
            </w:r>
          </w:p>
        </w:tc>
        <w:tc>
          <w:tcPr>
            <w:tcW w:w="1920" w:type="dxa"/>
            <w:shd w:val="clear" w:color="auto" w:fill="auto"/>
            <w:noWrap/>
            <w:vAlign w:val="center"/>
            <w:hideMark/>
          </w:tcPr>
          <w:p>
            <w:pPr>
              <w:jc w:val="center"/>
              <w:rPr>
                <w:b/>
                <w:bCs/>
                <w:lang w:val="en-PH" w:eastAsia="en-PH"/>
              </w:rPr>
            </w:pPr>
            <w:r>
              <w:rPr>
                <w:b/>
                <w:bCs/>
                <w:lang w:val="en-PH" w:eastAsia="en-PH"/>
              </w:rPr>
              <w:t>Beginning Balance</w:t>
            </w:r>
          </w:p>
        </w:tc>
        <w:tc>
          <w:tcPr>
            <w:tcW w:w="1818" w:type="dxa"/>
            <w:shd w:val="clear" w:color="auto" w:fill="auto"/>
            <w:hideMark/>
          </w:tcPr>
          <w:p>
            <w:pPr>
              <w:jc w:val="center"/>
              <w:rPr>
                <w:b/>
                <w:bCs/>
                <w:lang w:val="en-PH" w:eastAsia="en-PH"/>
              </w:rPr>
            </w:pPr>
            <w:r>
              <w:rPr>
                <w:b/>
                <w:bCs/>
                <w:lang w:val="en-PH" w:eastAsia="en-PH"/>
              </w:rPr>
              <w:t>Purchases</w:t>
            </w:r>
            <w:r>
              <w:rPr>
                <w:b/>
                <w:bCs/>
                <w:lang w:val="en-PH" w:eastAsia="en-PH"/>
              </w:rPr>
              <w:br/>
              <w:t>(Depreciation)</w:t>
            </w:r>
          </w:p>
        </w:tc>
        <w:tc>
          <w:tcPr>
            <w:tcW w:w="1954" w:type="dxa"/>
            <w:shd w:val="clear" w:color="auto" w:fill="auto"/>
            <w:noWrap/>
            <w:vAlign w:val="center"/>
            <w:hideMark/>
          </w:tcPr>
          <w:p>
            <w:pPr>
              <w:jc w:val="center"/>
              <w:rPr>
                <w:b/>
                <w:bCs/>
                <w:lang w:val="en-PH" w:eastAsia="en-PH"/>
              </w:rPr>
            </w:pPr>
            <w:r>
              <w:rPr>
                <w:b/>
                <w:bCs/>
                <w:lang w:val="en-PH" w:eastAsia="en-PH"/>
              </w:rPr>
              <w:t>Adjustments</w:t>
            </w:r>
          </w:p>
        </w:tc>
        <w:tc>
          <w:tcPr>
            <w:tcW w:w="1920" w:type="dxa"/>
            <w:shd w:val="clear" w:color="auto" w:fill="auto"/>
            <w:noWrap/>
            <w:vAlign w:val="center"/>
            <w:hideMark/>
          </w:tcPr>
          <w:p>
            <w:pPr>
              <w:jc w:val="center"/>
              <w:rPr>
                <w:b/>
                <w:bCs/>
                <w:lang w:val="en-PH" w:eastAsia="en-PH"/>
              </w:rPr>
            </w:pPr>
            <w:r>
              <w:rPr>
                <w:b/>
                <w:bCs/>
                <w:lang w:val="en-PH" w:eastAsia="en-PH"/>
              </w:rPr>
              <w:t>Ending Balance</w:t>
            </w:r>
          </w:p>
        </w:tc>
      </w:tr>
      <w:tr>
        <w:trPr>
          <w:trHeight w:val="283"/>
        </w:trPr>
        <w:tc>
          <w:tcPr>
            <w:tcW w:w="1699" w:type="dxa"/>
            <w:shd w:val="clear" w:color="auto" w:fill="auto"/>
            <w:vAlign w:val="center"/>
            <w:hideMark/>
          </w:tcPr>
          <w:p>
            <w:pPr>
              <w:rPr>
                <w:lang w:val="en-PH" w:eastAsia="en-PH"/>
              </w:rPr>
            </w:pPr>
            <w:r>
              <w:rPr>
                <w:lang w:val="en-PH" w:eastAsia="en-PH"/>
              </w:rPr>
              <w:t>Machinery</w:t>
            </w:r>
          </w:p>
        </w:tc>
        <w:tc>
          <w:tcPr>
            <w:tcW w:w="1920" w:type="dxa"/>
            <w:shd w:val="clear" w:color="auto" w:fill="auto"/>
            <w:vAlign w:val="center"/>
            <w:hideMark/>
          </w:tcPr>
          <w:p>
            <w:pPr>
              <w:jc w:val="right"/>
              <w:rPr>
                <w:lang w:val="en-PH" w:eastAsia="en-PH"/>
              </w:rPr>
            </w:pPr>
            <w:r>
              <w:rPr>
                <w:lang w:val="en-PH" w:eastAsia="en-PH"/>
              </w:rPr>
              <w:t>295,040.00</w:t>
            </w:r>
          </w:p>
        </w:tc>
        <w:tc>
          <w:tcPr>
            <w:tcW w:w="1818" w:type="dxa"/>
            <w:shd w:val="clear" w:color="auto" w:fill="auto"/>
            <w:noWrap/>
            <w:vAlign w:val="center"/>
            <w:hideMark/>
          </w:tcPr>
          <w:p>
            <w:pPr>
              <w:jc w:val="right"/>
              <w:rPr>
                <w:lang w:val="en-PH" w:eastAsia="en-PH"/>
              </w:rPr>
            </w:pPr>
          </w:p>
        </w:tc>
        <w:tc>
          <w:tcPr>
            <w:tcW w:w="1954" w:type="dxa"/>
            <w:shd w:val="clear" w:color="auto" w:fill="auto"/>
            <w:noWrap/>
            <w:vAlign w:val="center"/>
            <w:hideMark/>
          </w:tcPr>
          <w:p>
            <w:pPr>
              <w:jc w:val="right"/>
              <w:rPr>
                <w:lang w:val="en-PH" w:eastAsia="en-PH"/>
              </w:rPr>
            </w:pPr>
            <w:r>
              <w:rPr>
                <w:lang w:val="en-PH" w:eastAsia="en-PH"/>
              </w:rPr>
              <w:t>(295,040.00)</w:t>
            </w:r>
          </w:p>
        </w:tc>
        <w:tc>
          <w:tcPr>
            <w:tcW w:w="1920" w:type="dxa"/>
            <w:shd w:val="clear" w:color="auto" w:fill="auto"/>
            <w:noWrap/>
            <w:vAlign w:val="center"/>
            <w:hideMark/>
          </w:tcPr>
          <w:p>
            <w:pPr>
              <w:jc w:val="right"/>
              <w:rPr>
                <w:lang w:val="en-PH" w:eastAsia="en-PH"/>
              </w:rPr>
            </w:pPr>
            <w:r>
              <w:rPr>
                <w:lang w:val="en-PH" w:eastAsia="en-PH"/>
              </w:rPr>
              <w:t>0.00</w:t>
            </w:r>
          </w:p>
        </w:tc>
      </w:tr>
      <w:tr>
        <w:trPr>
          <w:trHeight w:val="283"/>
        </w:trPr>
        <w:tc>
          <w:tcPr>
            <w:tcW w:w="1699" w:type="dxa"/>
            <w:shd w:val="clear" w:color="auto" w:fill="auto"/>
            <w:vAlign w:val="center"/>
            <w:hideMark/>
          </w:tcPr>
          <w:p>
            <w:pPr>
              <w:rPr>
                <w:lang w:val="en-PH" w:eastAsia="en-PH"/>
              </w:rPr>
            </w:pPr>
            <w:r>
              <w:rPr>
                <w:lang w:val="en-PH" w:eastAsia="en-PH"/>
              </w:rPr>
              <w:t>AD– Machinery</w:t>
            </w:r>
          </w:p>
        </w:tc>
        <w:tc>
          <w:tcPr>
            <w:tcW w:w="1920" w:type="dxa"/>
            <w:shd w:val="clear" w:color="auto" w:fill="auto"/>
            <w:vAlign w:val="center"/>
            <w:hideMark/>
          </w:tcPr>
          <w:p>
            <w:pPr>
              <w:jc w:val="right"/>
              <w:rPr>
                <w:lang w:val="en-PH" w:eastAsia="en-PH"/>
              </w:rPr>
            </w:pPr>
            <w:r>
              <w:rPr>
                <w:lang w:val="en-PH" w:eastAsia="en-PH"/>
              </w:rPr>
              <w:t>(181,845.78)</w:t>
            </w:r>
          </w:p>
        </w:tc>
        <w:tc>
          <w:tcPr>
            <w:tcW w:w="1818" w:type="dxa"/>
            <w:shd w:val="clear" w:color="auto" w:fill="auto"/>
            <w:noWrap/>
            <w:vAlign w:val="center"/>
            <w:hideMark/>
          </w:tcPr>
          <w:p>
            <w:pPr>
              <w:jc w:val="right"/>
              <w:rPr>
                <w:lang w:val="en-PH" w:eastAsia="en-PH"/>
              </w:rPr>
            </w:pPr>
          </w:p>
        </w:tc>
        <w:tc>
          <w:tcPr>
            <w:tcW w:w="1954" w:type="dxa"/>
            <w:shd w:val="clear" w:color="auto" w:fill="auto"/>
            <w:noWrap/>
            <w:vAlign w:val="center"/>
            <w:hideMark/>
          </w:tcPr>
          <w:p>
            <w:pPr>
              <w:jc w:val="right"/>
              <w:rPr>
                <w:lang w:val="en-PH" w:eastAsia="en-PH"/>
              </w:rPr>
            </w:pPr>
            <w:r>
              <w:rPr>
                <w:lang w:val="en-PH" w:eastAsia="en-PH"/>
              </w:rPr>
              <w:t>181,845.78</w:t>
            </w:r>
          </w:p>
        </w:tc>
        <w:tc>
          <w:tcPr>
            <w:tcW w:w="1920" w:type="dxa"/>
            <w:shd w:val="clear" w:color="auto" w:fill="auto"/>
            <w:noWrap/>
            <w:vAlign w:val="center"/>
            <w:hideMark/>
          </w:tcPr>
          <w:p>
            <w:pPr>
              <w:jc w:val="right"/>
              <w:rPr>
                <w:lang w:val="en-PH" w:eastAsia="en-PH"/>
              </w:rPr>
            </w:pPr>
            <w:r>
              <w:rPr>
                <w:lang w:val="en-PH" w:eastAsia="en-PH"/>
              </w:rPr>
              <w:t>0.00</w:t>
            </w:r>
          </w:p>
        </w:tc>
      </w:tr>
      <w:tr>
        <w:trPr>
          <w:trHeight w:val="283"/>
        </w:trPr>
        <w:tc>
          <w:tcPr>
            <w:tcW w:w="1699" w:type="dxa"/>
            <w:shd w:val="clear" w:color="auto" w:fill="auto"/>
            <w:vAlign w:val="center"/>
            <w:hideMark/>
          </w:tcPr>
          <w:p>
            <w:pPr>
              <w:rPr>
                <w:lang w:val="en-PH" w:eastAsia="en-PH"/>
              </w:rPr>
            </w:pPr>
            <w:r>
              <w:rPr>
                <w:lang w:val="en-PH" w:eastAsia="en-PH"/>
              </w:rPr>
              <w:t>Office Equipment</w:t>
            </w:r>
          </w:p>
        </w:tc>
        <w:tc>
          <w:tcPr>
            <w:tcW w:w="1920" w:type="dxa"/>
            <w:shd w:val="clear" w:color="auto" w:fill="auto"/>
            <w:vAlign w:val="center"/>
            <w:hideMark/>
          </w:tcPr>
          <w:p>
            <w:pPr>
              <w:jc w:val="right"/>
              <w:rPr>
                <w:lang w:val="en-PH" w:eastAsia="en-PH"/>
              </w:rPr>
            </w:pPr>
            <w:r>
              <w:rPr>
                <w:lang w:val="en-PH" w:eastAsia="en-PH"/>
              </w:rPr>
              <w:t>32,129,377.64</w:t>
            </w:r>
          </w:p>
        </w:tc>
        <w:tc>
          <w:tcPr>
            <w:tcW w:w="1818" w:type="dxa"/>
            <w:shd w:val="clear" w:color="auto" w:fill="auto"/>
            <w:noWrap/>
            <w:vAlign w:val="center"/>
            <w:hideMark/>
          </w:tcPr>
          <w:p>
            <w:pPr>
              <w:jc w:val="right"/>
              <w:rPr>
                <w:lang w:val="en-PH" w:eastAsia="en-PH"/>
              </w:rPr>
            </w:pPr>
            <w:r>
              <w:rPr>
                <w:lang w:val="en-PH" w:eastAsia="en-PH"/>
              </w:rPr>
              <w:t>3,066,802.95</w:t>
            </w:r>
          </w:p>
        </w:tc>
        <w:tc>
          <w:tcPr>
            <w:tcW w:w="1954" w:type="dxa"/>
            <w:shd w:val="clear" w:color="auto" w:fill="auto"/>
            <w:noWrap/>
            <w:vAlign w:val="center"/>
            <w:hideMark/>
          </w:tcPr>
          <w:p>
            <w:pPr>
              <w:jc w:val="right"/>
              <w:rPr>
                <w:lang w:val="en-PH" w:eastAsia="en-PH"/>
              </w:rPr>
            </w:pPr>
            <w:r>
              <w:rPr>
                <w:lang w:val="en-PH" w:eastAsia="en-PH"/>
              </w:rPr>
              <w:t>(10,673,938.65)</w:t>
            </w:r>
          </w:p>
        </w:tc>
        <w:tc>
          <w:tcPr>
            <w:tcW w:w="1920" w:type="dxa"/>
            <w:shd w:val="clear" w:color="auto" w:fill="auto"/>
            <w:noWrap/>
            <w:vAlign w:val="center"/>
            <w:hideMark/>
          </w:tcPr>
          <w:p>
            <w:pPr>
              <w:jc w:val="right"/>
              <w:rPr>
                <w:lang w:val="en-PH" w:eastAsia="en-PH"/>
              </w:rPr>
            </w:pPr>
            <w:r>
              <w:rPr>
                <w:lang w:val="en-PH" w:eastAsia="en-PH"/>
              </w:rPr>
              <w:t>24,522,241.94</w:t>
            </w:r>
          </w:p>
        </w:tc>
      </w:tr>
      <w:tr>
        <w:trPr>
          <w:trHeight w:val="283"/>
        </w:trPr>
        <w:tc>
          <w:tcPr>
            <w:tcW w:w="1699" w:type="dxa"/>
            <w:shd w:val="clear" w:color="auto" w:fill="auto"/>
            <w:vAlign w:val="center"/>
            <w:hideMark/>
          </w:tcPr>
          <w:p>
            <w:pPr>
              <w:rPr>
                <w:lang w:val="en-PH" w:eastAsia="en-PH"/>
              </w:rPr>
            </w:pPr>
            <w:r>
              <w:rPr>
                <w:lang w:val="en-PH" w:eastAsia="en-PH"/>
              </w:rPr>
              <w:t>AD– Office Equipment</w:t>
            </w:r>
          </w:p>
        </w:tc>
        <w:tc>
          <w:tcPr>
            <w:tcW w:w="1920" w:type="dxa"/>
            <w:shd w:val="clear" w:color="auto" w:fill="auto"/>
            <w:vAlign w:val="center"/>
            <w:hideMark/>
          </w:tcPr>
          <w:p>
            <w:pPr>
              <w:jc w:val="right"/>
              <w:rPr>
                <w:lang w:val="en-PH" w:eastAsia="en-PH"/>
              </w:rPr>
            </w:pPr>
            <w:r>
              <w:rPr>
                <w:lang w:val="en-PH" w:eastAsia="en-PH"/>
              </w:rPr>
              <w:t>(20,035,656.30)</w:t>
            </w:r>
          </w:p>
        </w:tc>
        <w:tc>
          <w:tcPr>
            <w:tcW w:w="1818" w:type="dxa"/>
            <w:shd w:val="clear" w:color="auto" w:fill="auto"/>
            <w:noWrap/>
            <w:vAlign w:val="center"/>
            <w:hideMark/>
          </w:tcPr>
          <w:p>
            <w:pPr>
              <w:jc w:val="right"/>
              <w:rPr>
                <w:lang w:val="en-PH" w:eastAsia="en-PH"/>
              </w:rPr>
            </w:pPr>
            <w:r>
              <w:rPr>
                <w:lang w:val="en-PH" w:eastAsia="en-PH"/>
              </w:rPr>
              <w:t>(2,486,791.90)</w:t>
            </w:r>
          </w:p>
        </w:tc>
        <w:tc>
          <w:tcPr>
            <w:tcW w:w="1954" w:type="dxa"/>
            <w:shd w:val="clear" w:color="auto" w:fill="auto"/>
            <w:noWrap/>
            <w:vAlign w:val="center"/>
            <w:hideMark/>
          </w:tcPr>
          <w:p>
            <w:pPr>
              <w:jc w:val="right"/>
              <w:rPr>
                <w:lang w:val="en-PH" w:eastAsia="en-PH"/>
              </w:rPr>
            </w:pPr>
            <w:r>
              <w:rPr>
                <w:lang w:val="en-PH" w:eastAsia="en-PH"/>
              </w:rPr>
              <w:t>7,292,091.96</w:t>
            </w:r>
          </w:p>
        </w:tc>
        <w:tc>
          <w:tcPr>
            <w:tcW w:w="1920" w:type="dxa"/>
            <w:shd w:val="clear" w:color="auto" w:fill="auto"/>
            <w:noWrap/>
            <w:vAlign w:val="center"/>
            <w:hideMark/>
          </w:tcPr>
          <w:p>
            <w:pPr>
              <w:jc w:val="right"/>
              <w:rPr>
                <w:lang w:val="en-PH" w:eastAsia="en-PH"/>
              </w:rPr>
            </w:pPr>
            <w:r>
              <w:rPr>
                <w:lang w:val="en-PH" w:eastAsia="en-PH"/>
              </w:rPr>
              <w:t>(15,230,356.24)</w:t>
            </w:r>
          </w:p>
        </w:tc>
      </w:tr>
      <w:tr>
        <w:trPr>
          <w:trHeight w:val="283"/>
        </w:trPr>
        <w:tc>
          <w:tcPr>
            <w:tcW w:w="1699" w:type="dxa"/>
            <w:shd w:val="clear" w:color="auto" w:fill="auto"/>
            <w:vAlign w:val="center"/>
            <w:hideMark/>
          </w:tcPr>
          <w:p>
            <w:pPr>
              <w:rPr>
                <w:lang w:val="en-PH" w:eastAsia="en-PH"/>
              </w:rPr>
            </w:pPr>
            <w:r>
              <w:rPr>
                <w:lang w:val="en-PH" w:eastAsia="en-PH"/>
              </w:rPr>
              <w:t>Infor &amp; Communication Tech Equip.</w:t>
            </w:r>
          </w:p>
        </w:tc>
        <w:tc>
          <w:tcPr>
            <w:tcW w:w="1920" w:type="dxa"/>
            <w:shd w:val="clear" w:color="auto" w:fill="auto"/>
            <w:vAlign w:val="center"/>
            <w:hideMark/>
          </w:tcPr>
          <w:p>
            <w:pPr>
              <w:jc w:val="right"/>
              <w:rPr>
                <w:lang w:val="en-PH" w:eastAsia="en-PH"/>
              </w:rPr>
            </w:pPr>
            <w:r>
              <w:rPr>
                <w:lang w:val="en-PH" w:eastAsia="en-PH"/>
              </w:rPr>
              <w:t>59,875,298.07</w:t>
            </w:r>
          </w:p>
        </w:tc>
        <w:tc>
          <w:tcPr>
            <w:tcW w:w="1818" w:type="dxa"/>
            <w:shd w:val="clear" w:color="auto" w:fill="auto"/>
            <w:noWrap/>
            <w:vAlign w:val="center"/>
            <w:hideMark/>
          </w:tcPr>
          <w:p>
            <w:pPr>
              <w:jc w:val="right"/>
              <w:rPr>
                <w:lang w:val="en-PH" w:eastAsia="en-PH"/>
              </w:rPr>
            </w:pPr>
            <w:r>
              <w:rPr>
                <w:lang w:val="en-PH" w:eastAsia="en-PH"/>
              </w:rPr>
              <w:t>9,479,656.00</w:t>
            </w:r>
          </w:p>
        </w:tc>
        <w:tc>
          <w:tcPr>
            <w:tcW w:w="1954" w:type="dxa"/>
            <w:shd w:val="clear" w:color="auto" w:fill="auto"/>
            <w:noWrap/>
            <w:vAlign w:val="center"/>
            <w:hideMark/>
          </w:tcPr>
          <w:p>
            <w:pPr>
              <w:jc w:val="right"/>
              <w:rPr>
                <w:lang w:val="en-PH" w:eastAsia="en-PH"/>
              </w:rPr>
            </w:pPr>
            <w:r>
              <w:rPr>
                <w:lang w:val="en-PH" w:eastAsia="en-PH"/>
              </w:rPr>
              <w:t>(38,478,796.53)</w:t>
            </w:r>
          </w:p>
        </w:tc>
        <w:tc>
          <w:tcPr>
            <w:tcW w:w="1920" w:type="dxa"/>
            <w:shd w:val="clear" w:color="auto" w:fill="auto"/>
            <w:noWrap/>
            <w:vAlign w:val="center"/>
            <w:hideMark/>
          </w:tcPr>
          <w:p>
            <w:pPr>
              <w:jc w:val="right"/>
              <w:rPr>
                <w:lang w:val="en-PH" w:eastAsia="en-PH"/>
              </w:rPr>
            </w:pPr>
            <w:r>
              <w:rPr>
                <w:lang w:val="en-PH" w:eastAsia="en-PH"/>
              </w:rPr>
              <w:t>30,876,157.54</w:t>
            </w:r>
          </w:p>
        </w:tc>
      </w:tr>
      <w:tr>
        <w:trPr>
          <w:trHeight w:val="283"/>
        </w:trPr>
        <w:tc>
          <w:tcPr>
            <w:tcW w:w="1699" w:type="dxa"/>
            <w:shd w:val="clear" w:color="auto" w:fill="auto"/>
            <w:vAlign w:val="center"/>
            <w:hideMark/>
          </w:tcPr>
          <w:p>
            <w:pPr>
              <w:rPr>
                <w:lang w:val="en-PH" w:eastAsia="en-PH"/>
              </w:rPr>
            </w:pPr>
            <w:r>
              <w:rPr>
                <w:lang w:val="en-PH" w:eastAsia="en-PH"/>
              </w:rPr>
              <w:t>AD– ICTE</w:t>
            </w:r>
          </w:p>
        </w:tc>
        <w:tc>
          <w:tcPr>
            <w:tcW w:w="1920" w:type="dxa"/>
            <w:shd w:val="clear" w:color="auto" w:fill="auto"/>
            <w:vAlign w:val="center"/>
            <w:hideMark/>
          </w:tcPr>
          <w:p>
            <w:pPr>
              <w:jc w:val="right"/>
              <w:rPr>
                <w:lang w:val="en-PH" w:eastAsia="en-PH"/>
              </w:rPr>
            </w:pPr>
            <w:r>
              <w:rPr>
                <w:lang w:val="en-PH" w:eastAsia="en-PH"/>
              </w:rPr>
              <w:t>(39,073,020.51)</w:t>
            </w:r>
          </w:p>
        </w:tc>
        <w:tc>
          <w:tcPr>
            <w:tcW w:w="1818" w:type="dxa"/>
            <w:shd w:val="clear" w:color="auto" w:fill="auto"/>
            <w:noWrap/>
            <w:vAlign w:val="center"/>
            <w:hideMark/>
          </w:tcPr>
          <w:p>
            <w:pPr>
              <w:jc w:val="right"/>
              <w:rPr>
                <w:lang w:val="en-PH" w:eastAsia="en-PH"/>
              </w:rPr>
            </w:pPr>
            <w:r>
              <w:rPr>
                <w:lang w:val="en-PH" w:eastAsia="en-PH"/>
              </w:rPr>
              <w:t>(2,799,463.15)</w:t>
            </w:r>
          </w:p>
        </w:tc>
        <w:tc>
          <w:tcPr>
            <w:tcW w:w="1954" w:type="dxa"/>
            <w:shd w:val="clear" w:color="auto" w:fill="auto"/>
            <w:noWrap/>
            <w:vAlign w:val="center"/>
            <w:hideMark/>
          </w:tcPr>
          <w:p>
            <w:pPr>
              <w:jc w:val="right"/>
              <w:rPr>
                <w:lang w:val="en-PH" w:eastAsia="en-PH"/>
              </w:rPr>
            </w:pPr>
            <w:r>
              <w:rPr>
                <w:lang w:val="en-PH" w:eastAsia="en-PH"/>
              </w:rPr>
              <w:t>24,406,012.93</w:t>
            </w:r>
          </w:p>
        </w:tc>
        <w:tc>
          <w:tcPr>
            <w:tcW w:w="1920" w:type="dxa"/>
            <w:shd w:val="clear" w:color="auto" w:fill="auto"/>
            <w:noWrap/>
            <w:vAlign w:val="center"/>
            <w:hideMark/>
          </w:tcPr>
          <w:p>
            <w:pPr>
              <w:jc w:val="right"/>
              <w:rPr>
                <w:lang w:val="en-PH" w:eastAsia="en-PH"/>
              </w:rPr>
            </w:pPr>
            <w:r>
              <w:rPr>
                <w:lang w:val="en-PH" w:eastAsia="en-PH"/>
              </w:rPr>
              <w:t>(17,466,470.73)</w:t>
            </w:r>
          </w:p>
        </w:tc>
      </w:tr>
      <w:tr>
        <w:trPr>
          <w:trHeight w:val="283"/>
        </w:trPr>
        <w:tc>
          <w:tcPr>
            <w:tcW w:w="1699" w:type="dxa"/>
            <w:shd w:val="clear" w:color="auto" w:fill="auto"/>
            <w:vAlign w:val="center"/>
            <w:hideMark/>
          </w:tcPr>
          <w:p>
            <w:pPr>
              <w:rPr>
                <w:lang w:val="en-PH" w:eastAsia="en-PH"/>
              </w:rPr>
            </w:pPr>
            <w:r>
              <w:rPr>
                <w:lang w:val="en-PH" w:eastAsia="en-PH"/>
              </w:rPr>
              <w:t>Agricultural &amp; Forestry Equipment</w:t>
            </w:r>
          </w:p>
        </w:tc>
        <w:tc>
          <w:tcPr>
            <w:tcW w:w="1920" w:type="dxa"/>
            <w:shd w:val="clear" w:color="auto" w:fill="auto"/>
            <w:vAlign w:val="center"/>
            <w:hideMark/>
          </w:tcPr>
          <w:p>
            <w:pPr>
              <w:jc w:val="right"/>
              <w:rPr>
                <w:lang w:val="en-PH" w:eastAsia="en-PH"/>
              </w:rPr>
            </w:pPr>
            <w:r>
              <w:rPr>
                <w:lang w:val="en-PH" w:eastAsia="en-PH"/>
              </w:rPr>
              <w:t>6,770,273.00</w:t>
            </w:r>
          </w:p>
        </w:tc>
        <w:tc>
          <w:tcPr>
            <w:tcW w:w="1818" w:type="dxa"/>
            <w:shd w:val="clear" w:color="auto" w:fill="auto"/>
            <w:noWrap/>
            <w:vAlign w:val="center"/>
            <w:hideMark/>
          </w:tcPr>
          <w:p>
            <w:pPr>
              <w:jc w:val="right"/>
              <w:rPr>
                <w:lang w:val="en-PH" w:eastAsia="en-PH"/>
              </w:rPr>
            </w:pPr>
            <w:r>
              <w:rPr>
                <w:lang w:val="en-PH" w:eastAsia="en-PH"/>
              </w:rPr>
              <w:t>798,000.00</w:t>
            </w:r>
          </w:p>
        </w:tc>
        <w:tc>
          <w:tcPr>
            <w:tcW w:w="1954" w:type="dxa"/>
            <w:shd w:val="clear" w:color="auto" w:fill="auto"/>
            <w:noWrap/>
            <w:vAlign w:val="center"/>
            <w:hideMark/>
          </w:tcPr>
          <w:p>
            <w:pPr>
              <w:jc w:val="right"/>
              <w:rPr>
                <w:lang w:val="en-PH" w:eastAsia="en-PH"/>
              </w:rPr>
            </w:pPr>
            <w:r>
              <w:rPr>
                <w:lang w:val="en-PH" w:eastAsia="en-PH"/>
              </w:rPr>
              <w:t>(773,423.00)</w:t>
            </w:r>
          </w:p>
        </w:tc>
        <w:tc>
          <w:tcPr>
            <w:tcW w:w="1920" w:type="dxa"/>
            <w:shd w:val="clear" w:color="auto" w:fill="auto"/>
            <w:noWrap/>
            <w:vAlign w:val="center"/>
            <w:hideMark/>
          </w:tcPr>
          <w:p>
            <w:pPr>
              <w:jc w:val="right"/>
              <w:rPr>
                <w:lang w:val="en-PH" w:eastAsia="en-PH"/>
              </w:rPr>
            </w:pPr>
            <w:r>
              <w:rPr>
                <w:lang w:val="en-PH" w:eastAsia="en-PH"/>
              </w:rPr>
              <w:t>6,794,850.00</w:t>
            </w:r>
          </w:p>
        </w:tc>
      </w:tr>
      <w:tr>
        <w:trPr>
          <w:trHeight w:val="283"/>
        </w:trPr>
        <w:tc>
          <w:tcPr>
            <w:tcW w:w="1699" w:type="dxa"/>
            <w:shd w:val="clear" w:color="auto" w:fill="auto"/>
            <w:vAlign w:val="center"/>
            <w:hideMark/>
          </w:tcPr>
          <w:p>
            <w:pPr>
              <w:rPr>
                <w:lang w:val="en-PH" w:eastAsia="en-PH"/>
              </w:rPr>
            </w:pPr>
            <w:r>
              <w:rPr>
                <w:lang w:val="en-PH" w:eastAsia="en-PH"/>
              </w:rPr>
              <w:t>AD.- Agricultural &amp; Forestry Equip</w:t>
            </w:r>
          </w:p>
        </w:tc>
        <w:tc>
          <w:tcPr>
            <w:tcW w:w="1920" w:type="dxa"/>
            <w:shd w:val="clear" w:color="auto" w:fill="auto"/>
            <w:vAlign w:val="center"/>
            <w:hideMark/>
          </w:tcPr>
          <w:p>
            <w:pPr>
              <w:jc w:val="right"/>
              <w:rPr>
                <w:lang w:val="en-PH" w:eastAsia="en-PH"/>
              </w:rPr>
            </w:pPr>
            <w:r>
              <w:rPr>
                <w:lang w:val="en-PH" w:eastAsia="en-PH"/>
              </w:rPr>
              <w:t>(4,316,546.46)</w:t>
            </w:r>
          </w:p>
        </w:tc>
        <w:tc>
          <w:tcPr>
            <w:tcW w:w="1818" w:type="dxa"/>
            <w:shd w:val="clear" w:color="auto" w:fill="auto"/>
            <w:noWrap/>
            <w:vAlign w:val="center"/>
            <w:hideMark/>
          </w:tcPr>
          <w:p>
            <w:pPr>
              <w:jc w:val="right"/>
              <w:rPr>
                <w:lang w:val="en-PH" w:eastAsia="en-PH"/>
              </w:rPr>
            </w:pPr>
            <w:r>
              <w:rPr>
                <w:lang w:val="en-PH" w:eastAsia="en-PH"/>
              </w:rPr>
              <w:t>(118,531.51)</w:t>
            </w:r>
          </w:p>
        </w:tc>
        <w:tc>
          <w:tcPr>
            <w:tcW w:w="1954" w:type="dxa"/>
            <w:shd w:val="clear" w:color="auto" w:fill="auto"/>
            <w:noWrap/>
            <w:vAlign w:val="center"/>
            <w:hideMark/>
          </w:tcPr>
          <w:p>
            <w:pPr>
              <w:jc w:val="right"/>
              <w:rPr>
                <w:lang w:val="en-PH" w:eastAsia="en-PH"/>
              </w:rPr>
            </w:pPr>
            <w:r>
              <w:rPr>
                <w:lang w:val="en-PH" w:eastAsia="en-PH"/>
              </w:rPr>
              <w:t>442,326.64</w:t>
            </w:r>
          </w:p>
        </w:tc>
        <w:tc>
          <w:tcPr>
            <w:tcW w:w="1920" w:type="dxa"/>
            <w:shd w:val="clear" w:color="auto" w:fill="auto"/>
            <w:noWrap/>
            <w:vAlign w:val="center"/>
            <w:hideMark/>
          </w:tcPr>
          <w:p>
            <w:pPr>
              <w:jc w:val="right"/>
              <w:rPr>
                <w:lang w:val="en-PH" w:eastAsia="en-PH"/>
              </w:rPr>
            </w:pPr>
            <w:r>
              <w:rPr>
                <w:lang w:val="en-PH" w:eastAsia="en-PH"/>
              </w:rPr>
              <w:t>(3,992,751.33)</w:t>
            </w:r>
          </w:p>
        </w:tc>
      </w:tr>
      <w:tr>
        <w:trPr>
          <w:trHeight w:val="283"/>
        </w:trPr>
        <w:tc>
          <w:tcPr>
            <w:tcW w:w="1699" w:type="dxa"/>
            <w:shd w:val="clear" w:color="auto" w:fill="auto"/>
            <w:vAlign w:val="center"/>
            <w:hideMark/>
          </w:tcPr>
          <w:p>
            <w:pPr>
              <w:rPr>
                <w:lang w:val="en-PH" w:eastAsia="en-PH"/>
              </w:rPr>
            </w:pPr>
            <w:r>
              <w:rPr>
                <w:lang w:val="en-PH" w:eastAsia="en-PH"/>
              </w:rPr>
              <w:t>Marine &amp; Forestry Equipment</w:t>
            </w:r>
          </w:p>
        </w:tc>
        <w:tc>
          <w:tcPr>
            <w:tcW w:w="1920" w:type="dxa"/>
            <w:shd w:val="clear" w:color="auto" w:fill="auto"/>
            <w:vAlign w:val="center"/>
            <w:hideMark/>
          </w:tcPr>
          <w:p>
            <w:pPr>
              <w:jc w:val="right"/>
              <w:rPr>
                <w:lang w:val="en-PH" w:eastAsia="en-PH"/>
              </w:rPr>
            </w:pPr>
            <w:r>
              <w:rPr>
                <w:lang w:val="en-PH" w:eastAsia="en-PH"/>
              </w:rPr>
              <w:t>0.00</w:t>
            </w:r>
          </w:p>
        </w:tc>
        <w:tc>
          <w:tcPr>
            <w:tcW w:w="1818" w:type="dxa"/>
            <w:shd w:val="clear" w:color="auto" w:fill="auto"/>
            <w:noWrap/>
            <w:vAlign w:val="center"/>
            <w:hideMark/>
          </w:tcPr>
          <w:p>
            <w:pPr>
              <w:jc w:val="right"/>
              <w:rPr>
                <w:lang w:val="en-PH" w:eastAsia="en-PH"/>
              </w:rPr>
            </w:pPr>
            <w:r>
              <w:rPr>
                <w:lang w:val="en-PH" w:eastAsia="en-PH"/>
              </w:rPr>
              <w:t>174,000.00</w:t>
            </w:r>
          </w:p>
        </w:tc>
        <w:tc>
          <w:tcPr>
            <w:tcW w:w="1954" w:type="dxa"/>
            <w:shd w:val="clear" w:color="auto" w:fill="auto"/>
            <w:noWrap/>
            <w:vAlign w:val="center"/>
            <w:hideMark/>
          </w:tcPr>
          <w:p>
            <w:pPr>
              <w:jc w:val="right"/>
              <w:rPr>
                <w:lang w:val="en-PH" w:eastAsia="en-PH"/>
              </w:rPr>
            </w:pPr>
            <w:r>
              <w:rPr>
                <w:lang w:val="en-PH" w:eastAsia="en-PH"/>
              </w:rPr>
              <w:t>(107,000.00)</w:t>
            </w:r>
          </w:p>
        </w:tc>
        <w:tc>
          <w:tcPr>
            <w:tcW w:w="1920" w:type="dxa"/>
            <w:shd w:val="clear" w:color="auto" w:fill="auto"/>
            <w:noWrap/>
            <w:vAlign w:val="center"/>
            <w:hideMark/>
          </w:tcPr>
          <w:p>
            <w:pPr>
              <w:jc w:val="right"/>
              <w:rPr>
                <w:lang w:val="en-PH" w:eastAsia="en-PH"/>
              </w:rPr>
            </w:pPr>
            <w:r>
              <w:rPr>
                <w:lang w:val="en-PH" w:eastAsia="en-PH"/>
              </w:rPr>
              <w:t>67,000.00</w:t>
            </w:r>
          </w:p>
        </w:tc>
      </w:tr>
      <w:tr>
        <w:trPr>
          <w:trHeight w:val="283"/>
        </w:trPr>
        <w:tc>
          <w:tcPr>
            <w:tcW w:w="1699" w:type="dxa"/>
            <w:shd w:val="clear" w:color="auto" w:fill="auto"/>
            <w:vAlign w:val="center"/>
            <w:hideMark/>
          </w:tcPr>
          <w:p>
            <w:pPr>
              <w:rPr>
                <w:lang w:val="en-PH" w:eastAsia="en-PH"/>
              </w:rPr>
            </w:pPr>
            <w:r>
              <w:rPr>
                <w:lang w:val="en-PH" w:eastAsia="en-PH"/>
              </w:rPr>
              <w:t>AD– Marine &amp; Forestry Equip</w:t>
            </w:r>
          </w:p>
        </w:tc>
        <w:tc>
          <w:tcPr>
            <w:tcW w:w="1920" w:type="dxa"/>
            <w:shd w:val="clear" w:color="auto" w:fill="auto"/>
            <w:vAlign w:val="center"/>
            <w:hideMark/>
          </w:tcPr>
          <w:p>
            <w:pPr>
              <w:jc w:val="right"/>
              <w:rPr>
                <w:lang w:val="en-PH" w:eastAsia="en-PH"/>
              </w:rPr>
            </w:pPr>
            <w:r>
              <w:rPr>
                <w:lang w:val="en-PH" w:eastAsia="en-PH"/>
              </w:rPr>
              <w:t>0.00</w:t>
            </w:r>
          </w:p>
        </w:tc>
        <w:tc>
          <w:tcPr>
            <w:tcW w:w="1818" w:type="dxa"/>
            <w:shd w:val="clear" w:color="auto" w:fill="auto"/>
            <w:noWrap/>
            <w:vAlign w:val="center"/>
            <w:hideMark/>
          </w:tcPr>
          <w:p>
            <w:pPr>
              <w:jc w:val="right"/>
              <w:rPr>
                <w:lang w:val="en-PH" w:eastAsia="en-PH"/>
              </w:rPr>
            </w:pPr>
            <w:r>
              <w:rPr>
                <w:lang w:val="en-PH" w:eastAsia="en-PH"/>
              </w:rPr>
              <w:t>(42,976.76)</w:t>
            </w:r>
          </w:p>
        </w:tc>
        <w:tc>
          <w:tcPr>
            <w:tcW w:w="1954" w:type="dxa"/>
            <w:shd w:val="clear" w:color="auto" w:fill="auto"/>
            <w:noWrap/>
            <w:vAlign w:val="center"/>
            <w:hideMark/>
          </w:tcPr>
          <w:p>
            <w:pPr>
              <w:jc w:val="right"/>
              <w:rPr>
                <w:lang w:val="en-PH" w:eastAsia="en-PH"/>
              </w:rPr>
            </w:pPr>
            <w:r>
              <w:rPr>
                <w:lang w:val="en-PH" w:eastAsia="en-PH"/>
              </w:rPr>
              <w:t>28,125.00</w:t>
            </w:r>
          </w:p>
        </w:tc>
        <w:tc>
          <w:tcPr>
            <w:tcW w:w="1920" w:type="dxa"/>
            <w:shd w:val="clear" w:color="auto" w:fill="auto"/>
            <w:noWrap/>
            <w:vAlign w:val="center"/>
            <w:hideMark/>
          </w:tcPr>
          <w:p>
            <w:pPr>
              <w:jc w:val="right"/>
              <w:rPr>
                <w:lang w:val="en-PH" w:eastAsia="en-PH"/>
              </w:rPr>
            </w:pPr>
            <w:r>
              <w:rPr>
                <w:lang w:val="en-PH" w:eastAsia="en-PH"/>
              </w:rPr>
              <w:t>(14,851.76)</w:t>
            </w:r>
          </w:p>
        </w:tc>
      </w:tr>
      <w:tr>
        <w:trPr>
          <w:trHeight w:val="283"/>
        </w:trPr>
        <w:tc>
          <w:tcPr>
            <w:tcW w:w="1699" w:type="dxa"/>
            <w:shd w:val="clear" w:color="auto" w:fill="auto"/>
            <w:vAlign w:val="center"/>
            <w:hideMark/>
          </w:tcPr>
          <w:p>
            <w:pPr>
              <w:rPr>
                <w:lang w:val="en-PH" w:eastAsia="en-PH"/>
              </w:rPr>
            </w:pPr>
            <w:r>
              <w:rPr>
                <w:lang w:val="en-PH" w:eastAsia="en-PH"/>
              </w:rPr>
              <w:t>Communication Equipment</w:t>
            </w:r>
          </w:p>
        </w:tc>
        <w:tc>
          <w:tcPr>
            <w:tcW w:w="1920" w:type="dxa"/>
            <w:shd w:val="clear" w:color="auto" w:fill="auto"/>
            <w:vAlign w:val="center"/>
            <w:hideMark/>
          </w:tcPr>
          <w:p>
            <w:pPr>
              <w:jc w:val="right"/>
              <w:rPr>
                <w:lang w:val="en-PH" w:eastAsia="en-PH"/>
              </w:rPr>
            </w:pPr>
            <w:r>
              <w:rPr>
                <w:lang w:val="en-PH" w:eastAsia="en-PH"/>
              </w:rPr>
              <w:t>12,440,993.96</w:t>
            </w:r>
          </w:p>
        </w:tc>
        <w:tc>
          <w:tcPr>
            <w:tcW w:w="1818" w:type="dxa"/>
            <w:shd w:val="clear" w:color="auto" w:fill="auto"/>
            <w:noWrap/>
            <w:vAlign w:val="center"/>
            <w:hideMark/>
          </w:tcPr>
          <w:p>
            <w:pPr>
              <w:jc w:val="right"/>
              <w:rPr>
                <w:lang w:val="en-PH" w:eastAsia="en-PH"/>
              </w:rPr>
            </w:pPr>
            <w:r>
              <w:rPr>
                <w:lang w:val="en-PH" w:eastAsia="en-PH"/>
              </w:rPr>
              <w:t>235,140.00</w:t>
            </w:r>
          </w:p>
        </w:tc>
        <w:tc>
          <w:tcPr>
            <w:tcW w:w="1954" w:type="dxa"/>
            <w:shd w:val="clear" w:color="auto" w:fill="auto"/>
            <w:noWrap/>
            <w:vAlign w:val="center"/>
            <w:hideMark/>
          </w:tcPr>
          <w:p>
            <w:pPr>
              <w:jc w:val="right"/>
              <w:rPr>
                <w:lang w:val="en-PH" w:eastAsia="en-PH"/>
              </w:rPr>
            </w:pPr>
            <w:r>
              <w:rPr>
                <w:lang w:val="en-PH" w:eastAsia="en-PH"/>
              </w:rPr>
              <w:t>(6,138,333.19)</w:t>
            </w:r>
          </w:p>
        </w:tc>
        <w:tc>
          <w:tcPr>
            <w:tcW w:w="1920" w:type="dxa"/>
            <w:shd w:val="clear" w:color="auto" w:fill="auto"/>
            <w:noWrap/>
            <w:vAlign w:val="center"/>
            <w:hideMark/>
          </w:tcPr>
          <w:p>
            <w:pPr>
              <w:jc w:val="right"/>
              <w:rPr>
                <w:lang w:val="en-PH" w:eastAsia="en-PH"/>
              </w:rPr>
            </w:pPr>
            <w:r>
              <w:rPr>
                <w:lang w:val="en-PH" w:eastAsia="en-PH"/>
              </w:rPr>
              <w:t>6,537,800.77</w:t>
            </w:r>
          </w:p>
        </w:tc>
      </w:tr>
      <w:tr>
        <w:trPr>
          <w:trHeight w:val="283"/>
        </w:trPr>
        <w:tc>
          <w:tcPr>
            <w:tcW w:w="1699" w:type="dxa"/>
            <w:shd w:val="clear" w:color="auto" w:fill="auto"/>
            <w:vAlign w:val="center"/>
            <w:hideMark/>
          </w:tcPr>
          <w:p>
            <w:pPr>
              <w:rPr>
                <w:lang w:val="en-PH" w:eastAsia="en-PH"/>
              </w:rPr>
            </w:pPr>
            <w:r>
              <w:rPr>
                <w:lang w:val="en-PH" w:eastAsia="en-PH"/>
              </w:rPr>
              <w:t>AD-Comm. Equip.</w:t>
            </w:r>
          </w:p>
        </w:tc>
        <w:tc>
          <w:tcPr>
            <w:tcW w:w="1920" w:type="dxa"/>
            <w:shd w:val="clear" w:color="auto" w:fill="auto"/>
            <w:vAlign w:val="center"/>
            <w:hideMark/>
          </w:tcPr>
          <w:p>
            <w:pPr>
              <w:jc w:val="right"/>
              <w:rPr>
                <w:lang w:val="en-PH" w:eastAsia="en-PH"/>
              </w:rPr>
            </w:pPr>
            <w:r>
              <w:rPr>
                <w:lang w:val="en-PH" w:eastAsia="en-PH"/>
              </w:rPr>
              <w:t>(9,680,659.46)</w:t>
            </w:r>
          </w:p>
        </w:tc>
        <w:tc>
          <w:tcPr>
            <w:tcW w:w="1818" w:type="dxa"/>
            <w:shd w:val="clear" w:color="auto" w:fill="auto"/>
            <w:noWrap/>
            <w:vAlign w:val="center"/>
            <w:hideMark/>
          </w:tcPr>
          <w:p>
            <w:pPr>
              <w:jc w:val="right"/>
              <w:rPr>
                <w:lang w:val="en-PH" w:eastAsia="en-PH"/>
              </w:rPr>
            </w:pPr>
            <w:r>
              <w:rPr>
                <w:lang w:val="en-PH" w:eastAsia="en-PH"/>
              </w:rPr>
              <w:t>(207,868.48)</w:t>
            </w:r>
          </w:p>
        </w:tc>
        <w:tc>
          <w:tcPr>
            <w:tcW w:w="1954" w:type="dxa"/>
            <w:shd w:val="clear" w:color="auto" w:fill="auto"/>
            <w:noWrap/>
            <w:vAlign w:val="center"/>
            <w:hideMark/>
          </w:tcPr>
          <w:p>
            <w:pPr>
              <w:jc w:val="right"/>
              <w:rPr>
                <w:lang w:val="en-PH" w:eastAsia="en-PH"/>
              </w:rPr>
            </w:pPr>
            <w:r>
              <w:rPr>
                <w:lang w:val="en-PH" w:eastAsia="en-PH"/>
              </w:rPr>
              <w:t>4,668,743.02</w:t>
            </w:r>
          </w:p>
        </w:tc>
        <w:tc>
          <w:tcPr>
            <w:tcW w:w="1920" w:type="dxa"/>
            <w:shd w:val="clear" w:color="auto" w:fill="auto"/>
            <w:noWrap/>
            <w:vAlign w:val="center"/>
            <w:hideMark/>
          </w:tcPr>
          <w:p>
            <w:pPr>
              <w:jc w:val="right"/>
              <w:rPr>
                <w:lang w:val="en-PH" w:eastAsia="en-PH"/>
              </w:rPr>
            </w:pPr>
            <w:r>
              <w:rPr>
                <w:lang w:val="en-PH" w:eastAsia="en-PH"/>
              </w:rPr>
              <w:t>(5,219,784.92)</w:t>
            </w:r>
          </w:p>
        </w:tc>
      </w:tr>
      <w:tr>
        <w:trPr>
          <w:trHeight w:val="283"/>
        </w:trPr>
        <w:tc>
          <w:tcPr>
            <w:tcW w:w="1699" w:type="dxa"/>
            <w:shd w:val="clear" w:color="auto" w:fill="auto"/>
            <w:vAlign w:val="center"/>
            <w:hideMark/>
          </w:tcPr>
          <w:p>
            <w:pPr>
              <w:rPr>
                <w:lang w:val="en-PH" w:eastAsia="en-PH"/>
              </w:rPr>
            </w:pPr>
            <w:r>
              <w:rPr>
                <w:lang w:val="en-PH" w:eastAsia="en-PH"/>
              </w:rPr>
              <w:t>Construction and Heavy Equipment</w:t>
            </w:r>
          </w:p>
        </w:tc>
        <w:tc>
          <w:tcPr>
            <w:tcW w:w="1920" w:type="dxa"/>
            <w:shd w:val="clear" w:color="auto" w:fill="auto"/>
            <w:vAlign w:val="center"/>
            <w:hideMark/>
          </w:tcPr>
          <w:p>
            <w:pPr>
              <w:jc w:val="right"/>
              <w:rPr>
                <w:lang w:val="en-PH" w:eastAsia="en-PH"/>
              </w:rPr>
            </w:pPr>
            <w:r>
              <w:rPr>
                <w:lang w:val="en-PH" w:eastAsia="en-PH"/>
              </w:rPr>
              <w:t>323,232,763.64</w:t>
            </w:r>
          </w:p>
        </w:tc>
        <w:tc>
          <w:tcPr>
            <w:tcW w:w="1818" w:type="dxa"/>
            <w:shd w:val="clear" w:color="auto" w:fill="auto"/>
            <w:noWrap/>
            <w:vAlign w:val="center"/>
            <w:hideMark/>
          </w:tcPr>
          <w:p>
            <w:pPr>
              <w:jc w:val="right"/>
              <w:rPr>
                <w:lang w:val="en-PH" w:eastAsia="en-PH"/>
              </w:rPr>
            </w:pPr>
            <w:r>
              <w:rPr>
                <w:lang w:val="en-PH" w:eastAsia="en-PH"/>
              </w:rPr>
              <w:t>50,987,000.00</w:t>
            </w:r>
          </w:p>
        </w:tc>
        <w:tc>
          <w:tcPr>
            <w:tcW w:w="1954" w:type="dxa"/>
            <w:shd w:val="clear" w:color="auto" w:fill="auto"/>
            <w:noWrap/>
            <w:vAlign w:val="center"/>
            <w:hideMark/>
          </w:tcPr>
          <w:p>
            <w:pPr>
              <w:jc w:val="right"/>
              <w:rPr>
                <w:lang w:val="en-PH" w:eastAsia="en-PH"/>
              </w:rPr>
            </w:pPr>
            <w:r>
              <w:rPr>
                <w:lang w:val="en-PH" w:eastAsia="en-PH"/>
              </w:rPr>
              <w:t>(13,150.00)</w:t>
            </w:r>
          </w:p>
        </w:tc>
        <w:tc>
          <w:tcPr>
            <w:tcW w:w="1920" w:type="dxa"/>
            <w:shd w:val="clear" w:color="auto" w:fill="auto"/>
            <w:noWrap/>
            <w:vAlign w:val="center"/>
            <w:hideMark/>
          </w:tcPr>
          <w:p>
            <w:pPr>
              <w:jc w:val="right"/>
              <w:rPr>
                <w:lang w:val="en-PH" w:eastAsia="en-PH"/>
              </w:rPr>
            </w:pPr>
            <w:r>
              <w:rPr>
                <w:lang w:val="en-PH" w:eastAsia="en-PH"/>
              </w:rPr>
              <w:t>374,206,613.64</w:t>
            </w:r>
          </w:p>
        </w:tc>
      </w:tr>
      <w:tr>
        <w:trPr>
          <w:trHeight w:val="283"/>
        </w:trPr>
        <w:tc>
          <w:tcPr>
            <w:tcW w:w="1699" w:type="dxa"/>
            <w:shd w:val="clear" w:color="auto" w:fill="auto"/>
            <w:vAlign w:val="center"/>
            <w:hideMark/>
          </w:tcPr>
          <w:p>
            <w:pPr>
              <w:rPr>
                <w:lang w:val="en-PH" w:eastAsia="en-PH"/>
              </w:rPr>
            </w:pPr>
            <w:r>
              <w:rPr>
                <w:lang w:val="en-PH" w:eastAsia="en-PH"/>
              </w:rPr>
              <w:t>AD– Const. &amp; Heavy Equip.</w:t>
            </w:r>
          </w:p>
        </w:tc>
        <w:tc>
          <w:tcPr>
            <w:tcW w:w="1920" w:type="dxa"/>
            <w:shd w:val="clear" w:color="auto" w:fill="auto"/>
            <w:vAlign w:val="center"/>
            <w:hideMark/>
          </w:tcPr>
          <w:p>
            <w:pPr>
              <w:jc w:val="right"/>
              <w:rPr>
                <w:lang w:val="en-PH" w:eastAsia="en-PH"/>
              </w:rPr>
            </w:pPr>
            <w:r>
              <w:rPr>
                <w:lang w:val="en-PH" w:eastAsia="en-PH"/>
              </w:rPr>
              <w:t>(192,786,624.32)</w:t>
            </w:r>
          </w:p>
        </w:tc>
        <w:tc>
          <w:tcPr>
            <w:tcW w:w="1818" w:type="dxa"/>
            <w:shd w:val="clear" w:color="auto" w:fill="auto"/>
            <w:noWrap/>
            <w:vAlign w:val="center"/>
            <w:hideMark/>
          </w:tcPr>
          <w:p>
            <w:pPr>
              <w:jc w:val="right"/>
              <w:rPr>
                <w:lang w:val="en-PH" w:eastAsia="en-PH"/>
              </w:rPr>
            </w:pPr>
            <w:r>
              <w:rPr>
                <w:lang w:val="en-PH" w:eastAsia="en-PH"/>
              </w:rPr>
              <w:t>(22,962,159.35)</w:t>
            </w:r>
          </w:p>
        </w:tc>
        <w:tc>
          <w:tcPr>
            <w:tcW w:w="1954" w:type="dxa"/>
            <w:shd w:val="clear" w:color="auto" w:fill="auto"/>
            <w:noWrap/>
            <w:vAlign w:val="center"/>
            <w:hideMark/>
          </w:tcPr>
          <w:p>
            <w:pPr>
              <w:jc w:val="right"/>
              <w:rPr>
                <w:lang w:val="en-PH" w:eastAsia="en-PH"/>
              </w:rPr>
            </w:pPr>
            <w:r>
              <w:rPr>
                <w:lang w:val="en-PH" w:eastAsia="en-PH"/>
              </w:rPr>
              <w:t>1,640,360.10</w:t>
            </w:r>
          </w:p>
        </w:tc>
        <w:tc>
          <w:tcPr>
            <w:tcW w:w="1920" w:type="dxa"/>
            <w:shd w:val="clear" w:color="auto" w:fill="auto"/>
            <w:noWrap/>
            <w:vAlign w:val="center"/>
            <w:hideMark/>
          </w:tcPr>
          <w:p>
            <w:pPr>
              <w:jc w:val="right"/>
              <w:rPr>
                <w:lang w:val="en-PH" w:eastAsia="en-PH"/>
              </w:rPr>
            </w:pPr>
            <w:r>
              <w:rPr>
                <w:lang w:val="en-PH" w:eastAsia="en-PH"/>
              </w:rPr>
              <w:t>(214,108,423.57)</w:t>
            </w:r>
          </w:p>
        </w:tc>
      </w:tr>
      <w:tr>
        <w:trPr>
          <w:trHeight w:val="283"/>
        </w:trPr>
        <w:tc>
          <w:tcPr>
            <w:tcW w:w="1699" w:type="dxa"/>
            <w:shd w:val="clear" w:color="auto" w:fill="auto"/>
            <w:vAlign w:val="center"/>
            <w:hideMark/>
          </w:tcPr>
          <w:p>
            <w:pPr>
              <w:rPr>
                <w:lang w:val="en-PH" w:eastAsia="en-PH"/>
              </w:rPr>
            </w:pPr>
            <w:r>
              <w:rPr>
                <w:lang w:val="en-PH" w:eastAsia="en-PH"/>
              </w:rPr>
              <w:t>Disaster Response &amp; Rescue Equip</w:t>
            </w:r>
          </w:p>
        </w:tc>
        <w:tc>
          <w:tcPr>
            <w:tcW w:w="1920" w:type="dxa"/>
            <w:shd w:val="clear" w:color="auto" w:fill="auto"/>
            <w:vAlign w:val="center"/>
            <w:hideMark/>
          </w:tcPr>
          <w:p>
            <w:pPr>
              <w:jc w:val="right"/>
              <w:rPr>
                <w:lang w:val="en-PH" w:eastAsia="en-PH"/>
              </w:rPr>
            </w:pPr>
            <w:r>
              <w:rPr>
                <w:lang w:val="en-PH" w:eastAsia="en-PH"/>
              </w:rPr>
              <w:t>5,209,287.00</w:t>
            </w:r>
          </w:p>
        </w:tc>
        <w:tc>
          <w:tcPr>
            <w:tcW w:w="1818" w:type="dxa"/>
            <w:shd w:val="clear" w:color="auto" w:fill="auto"/>
            <w:noWrap/>
            <w:vAlign w:val="center"/>
            <w:hideMark/>
          </w:tcPr>
          <w:p>
            <w:pPr>
              <w:jc w:val="right"/>
              <w:rPr>
                <w:lang w:val="en-PH" w:eastAsia="en-PH"/>
              </w:rPr>
            </w:pPr>
            <w:r>
              <w:rPr>
                <w:lang w:val="en-PH" w:eastAsia="en-PH"/>
              </w:rPr>
              <w:t>935,000.00</w:t>
            </w:r>
          </w:p>
        </w:tc>
        <w:tc>
          <w:tcPr>
            <w:tcW w:w="1954" w:type="dxa"/>
            <w:shd w:val="clear" w:color="auto" w:fill="auto"/>
            <w:noWrap/>
            <w:vAlign w:val="center"/>
            <w:hideMark/>
          </w:tcPr>
          <w:p>
            <w:pPr>
              <w:jc w:val="right"/>
              <w:rPr>
                <w:lang w:val="en-PH" w:eastAsia="en-PH"/>
              </w:rPr>
            </w:pPr>
            <w:r>
              <w:rPr>
                <w:lang w:val="en-PH" w:eastAsia="en-PH"/>
              </w:rPr>
              <w:t>(2,626,430.00)</w:t>
            </w:r>
          </w:p>
        </w:tc>
        <w:tc>
          <w:tcPr>
            <w:tcW w:w="1920" w:type="dxa"/>
            <w:shd w:val="clear" w:color="auto" w:fill="auto"/>
            <w:noWrap/>
            <w:vAlign w:val="center"/>
            <w:hideMark/>
          </w:tcPr>
          <w:p>
            <w:pPr>
              <w:jc w:val="right"/>
              <w:rPr>
                <w:lang w:val="en-PH" w:eastAsia="en-PH"/>
              </w:rPr>
            </w:pPr>
            <w:r>
              <w:rPr>
                <w:lang w:val="en-PH" w:eastAsia="en-PH"/>
              </w:rPr>
              <w:t>3,517,857.00</w:t>
            </w:r>
          </w:p>
        </w:tc>
      </w:tr>
      <w:tr>
        <w:trPr>
          <w:trHeight w:val="283"/>
        </w:trPr>
        <w:tc>
          <w:tcPr>
            <w:tcW w:w="1699" w:type="dxa"/>
            <w:shd w:val="clear" w:color="auto" w:fill="auto"/>
            <w:vAlign w:val="center"/>
            <w:hideMark/>
          </w:tcPr>
          <w:p>
            <w:pPr>
              <w:rPr>
                <w:lang w:val="en-PH" w:eastAsia="en-PH"/>
              </w:rPr>
            </w:pPr>
            <w:r>
              <w:rPr>
                <w:lang w:val="en-PH" w:eastAsia="en-PH"/>
              </w:rPr>
              <w:t>AD– DRRE</w:t>
            </w:r>
          </w:p>
        </w:tc>
        <w:tc>
          <w:tcPr>
            <w:tcW w:w="1920" w:type="dxa"/>
            <w:shd w:val="clear" w:color="auto" w:fill="auto"/>
            <w:vAlign w:val="center"/>
            <w:hideMark/>
          </w:tcPr>
          <w:p>
            <w:pPr>
              <w:jc w:val="right"/>
              <w:rPr>
                <w:lang w:val="en-PH" w:eastAsia="en-PH"/>
              </w:rPr>
            </w:pPr>
            <w:r>
              <w:rPr>
                <w:lang w:val="en-PH" w:eastAsia="en-PH"/>
              </w:rPr>
              <w:t>(4,364,732.44)</w:t>
            </w:r>
          </w:p>
        </w:tc>
        <w:tc>
          <w:tcPr>
            <w:tcW w:w="1818" w:type="dxa"/>
            <w:shd w:val="clear" w:color="auto" w:fill="auto"/>
            <w:noWrap/>
            <w:vAlign w:val="center"/>
            <w:hideMark/>
          </w:tcPr>
          <w:p>
            <w:pPr>
              <w:jc w:val="right"/>
              <w:rPr>
                <w:lang w:val="en-PH" w:eastAsia="en-PH"/>
              </w:rPr>
            </w:pPr>
            <w:r>
              <w:rPr>
                <w:lang w:val="en-PH" w:eastAsia="en-PH"/>
              </w:rPr>
              <w:t>(163,016.70)</w:t>
            </w:r>
          </w:p>
        </w:tc>
        <w:tc>
          <w:tcPr>
            <w:tcW w:w="1954" w:type="dxa"/>
            <w:shd w:val="clear" w:color="auto" w:fill="auto"/>
            <w:noWrap/>
            <w:vAlign w:val="center"/>
            <w:hideMark/>
          </w:tcPr>
          <w:p>
            <w:pPr>
              <w:jc w:val="right"/>
              <w:rPr>
                <w:lang w:val="en-PH" w:eastAsia="en-PH"/>
              </w:rPr>
            </w:pPr>
            <w:r>
              <w:rPr>
                <w:lang w:val="en-PH" w:eastAsia="en-PH"/>
              </w:rPr>
              <w:t>2,337,679.54</w:t>
            </w:r>
          </w:p>
        </w:tc>
        <w:tc>
          <w:tcPr>
            <w:tcW w:w="1920" w:type="dxa"/>
            <w:shd w:val="clear" w:color="auto" w:fill="auto"/>
            <w:noWrap/>
            <w:vAlign w:val="center"/>
            <w:hideMark/>
          </w:tcPr>
          <w:p>
            <w:pPr>
              <w:jc w:val="right"/>
              <w:rPr>
                <w:lang w:val="en-PH" w:eastAsia="en-PH"/>
              </w:rPr>
            </w:pPr>
            <w:r>
              <w:rPr>
                <w:lang w:val="en-PH" w:eastAsia="en-PH"/>
              </w:rPr>
              <w:t>(2,190,069.60)</w:t>
            </w:r>
          </w:p>
        </w:tc>
      </w:tr>
      <w:tr>
        <w:trPr>
          <w:trHeight w:val="283"/>
        </w:trPr>
        <w:tc>
          <w:tcPr>
            <w:tcW w:w="1699" w:type="dxa"/>
            <w:shd w:val="clear" w:color="auto" w:fill="auto"/>
            <w:vAlign w:val="center"/>
            <w:hideMark/>
          </w:tcPr>
          <w:p>
            <w:pPr>
              <w:rPr>
                <w:lang w:val="en-PH" w:eastAsia="en-PH"/>
              </w:rPr>
            </w:pPr>
            <w:r>
              <w:rPr>
                <w:lang w:val="en-PH" w:eastAsia="en-PH"/>
              </w:rPr>
              <w:t>Military, Police &amp; Security Equip</w:t>
            </w:r>
          </w:p>
        </w:tc>
        <w:tc>
          <w:tcPr>
            <w:tcW w:w="1920" w:type="dxa"/>
            <w:shd w:val="clear" w:color="auto" w:fill="auto"/>
            <w:vAlign w:val="center"/>
            <w:hideMark/>
          </w:tcPr>
          <w:p>
            <w:pPr>
              <w:jc w:val="right"/>
              <w:rPr>
                <w:lang w:val="en-PH" w:eastAsia="en-PH"/>
              </w:rPr>
            </w:pPr>
            <w:r>
              <w:rPr>
                <w:lang w:val="en-PH" w:eastAsia="en-PH"/>
              </w:rPr>
              <w:t>336,450.00</w:t>
            </w:r>
          </w:p>
        </w:tc>
        <w:tc>
          <w:tcPr>
            <w:tcW w:w="1818" w:type="dxa"/>
            <w:shd w:val="clear" w:color="auto" w:fill="auto"/>
            <w:noWrap/>
            <w:vAlign w:val="center"/>
            <w:hideMark/>
          </w:tcPr>
          <w:p>
            <w:pPr>
              <w:jc w:val="right"/>
              <w:rPr>
                <w:lang w:val="en-PH" w:eastAsia="en-PH"/>
              </w:rPr>
            </w:pPr>
            <w:r>
              <w:rPr>
                <w:lang w:val="en-PH" w:eastAsia="en-PH"/>
              </w:rPr>
              <w:t>0.00</w:t>
            </w:r>
          </w:p>
        </w:tc>
        <w:tc>
          <w:tcPr>
            <w:tcW w:w="1954" w:type="dxa"/>
            <w:shd w:val="clear" w:color="auto" w:fill="auto"/>
            <w:noWrap/>
            <w:vAlign w:val="center"/>
            <w:hideMark/>
          </w:tcPr>
          <w:p>
            <w:pPr>
              <w:jc w:val="right"/>
              <w:rPr>
                <w:lang w:val="en-PH" w:eastAsia="en-PH"/>
              </w:rPr>
            </w:pPr>
            <w:r>
              <w:rPr>
                <w:lang w:val="en-PH" w:eastAsia="en-PH"/>
              </w:rPr>
              <w:t>(237,450.00)</w:t>
            </w:r>
          </w:p>
        </w:tc>
        <w:tc>
          <w:tcPr>
            <w:tcW w:w="1920" w:type="dxa"/>
            <w:shd w:val="clear" w:color="auto" w:fill="auto"/>
            <w:noWrap/>
            <w:vAlign w:val="center"/>
            <w:hideMark/>
          </w:tcPr>
          <w:p>
            <w:pPr>
              <w:jc w:val="right"/>
              <w:rPr>
                <w:lang w:val="en-PH" w:eastAsia="en-PH"/>
              </w:rPr>
            </w:pPr>
            <w:r>
              <w:rPr>
                <w:lang w:val="en-PH" w:eastAsia="en-PH"/>
              </w:rPr>
              <w:t>99,000.00</w:t>
            </w:r>
          </w:p>
        </w:tc>
      </w:tr>
      <w:tr>
        <w:trPr>
          <w:trHeight w:val="283"/>
        </w:trPr>
        <w:tc>
          <w:tcPr>
            <w:tcW w:w="1699" w:type="dxa"/>
            <w:shd w:val="clear" w:color="auto" w:fill="auto"/>
            <w:vAlign w:val="center"/>
            <w:hideMark/>
          </w:tcPr>
          <w:p>
            <w:pPr>
              <w:rPr>
                <w:lang w:val="en-PH" w:eastAsia="en-PH"/>
              </w:rPr>
            </w:pPr>
            <w:r>
              <w:rPr>
                <w:lang w:val="en-PH" w:eastAsia="en-PH"/>
              </w:rPr>
              <w:t>AD- MPSE</w:t>
            </w:r>
          </w:p>
        </w:tc>
        <w:tc>
          <w:tcPr>
            <w:tcW w:w="1920" w:type="dxa"/>
            <w:shd w:val="clear" w:color="auto" w:fill="auto"/>
            <w:vAlign w:val="center"/>
            <w:hideMark/>
          </w:tcPr>
          <w:p>
            <w:pPr>
              <w:jc w:val="right"/>
              <w:rPr>
                <w:lang w:val="en-PH" w:eastAsia="en-PH"/>
              </w:rPr>
            </w:pPr>
            <w:r>
              <w:rPr>
                <w:lang w:val="en-PH" w:eastAsia="en-PH"/>
              </w:rPr>
              <w:t>(308,891.92)</w:t>
            </w:r>
          </w:p>
        </w:tc>
        <w:tc>
          <w:tcPr>
            <w:tcW w:w="1818" w:type="dxa"/>
            <w:shd w:val="clear" w:color="auto" w:fill="auto"/>
            <w:noWrap/>
            <w:vAlign w:val="center"/>
            <w:hideMark/>
          </w:tcPr>
          <w:p>
            <w:pPr>
              <w:jc w:val="right"/>
              <w:rPr>
                <w:lang w:val="en-PH" w:eastAsia="en-PH"/>
              </w:rPr>
            </w:pPr>
            <w:r>
              <w:rPr>
                <w:lang w:val="en-PH" w:eastAsia="en-PH"/>
              </w:rPr>
              <w:t>(10,118.91)</w:t>
            </w:r>
          </w:p>
        </w:tc>
        <w:tc>
          <w:tcPr>
            <w:tcW w:w="1954" w:type="dxa"/>
            <w:shd w:val="clear" w:color="auto" w:fill="auto"/>
            <w:noWrap/>
            <w:vAlign w:val="center"/>
            <w:hideMark/>
          </w:tcPr>
          <w:p>
            <w:pPr>
              <w:jc w:val="right"/>
              <w:rPr>
                <w:lang w:val="en-PH" w:eastAsia="en-PH"/>
              </w:rPr>
            </w:pPr>
            <w:r>
              <w:rPr>
                <w:lang w:val="en-PH" w:eastAsia="en-PH"/>
              </w:rPr>
              <w:t>222,192.73</w:t>
            </w:r>
          </w:p>
        </w:tc>
        <w:tc>
          <w:tcPr>
            <w:tcW w:w="1920" w:type="dxa"/>
            <w:shd w:val="clear" w:color="auto" w:fill="auto"/>
            <w:noWrap/>
            <w:vAlign w:val="center"/>
            <w:hideMark/>
          </w:tcPr>
          <w:p>
            <w:pPr>
              <w:jc w:val="right"/>
              <w:rPr>
                <w:lang w:val="en-PH" w:eastAsia="en-PH"/>
              </w:rPr>
            </w:pPr>
            <w:r>
              <w:rPr>
                <w:lang w:val="en-PH" w:eastAsia="en-PH"/>
              </w:rPr>
              <w:t>(96,818.10)</w:t>
            </w:r>
          </w:p>
        </w:tc>
      </w:tr>
      <w:tr>
        <w:trPr>
          <w:trHeight w:val="283"/>
        </w:trPr>
        <w:tc>
          <w:tcPr>
            <w:tcW w:w="1699" w:type="dxa"/>
            <w:shd w:val="clear" w:color="auto" w:fill="auto"/>
            <w:vAlign w:val="center"/>
            <w:hideMark/>
          </w:tcPr>
          <w:p>
            <w:pPr>
              <w:rPr>
                <w:lang w:val="en-PH" w:eastAsia="en-PH"/>
              </w:rPr>
            </w:pPr>
            <w:r>
              <w:rPr>
                <w:lang w:val="en-PH" w:eastAsia="en-PH"/>
              </w:rPr>
              <w:t>Medical Equipment</w:t>
            </w:r>
          </w:p>
        </w:tc>
        <w:tc>
          <w:tcPr>
            <w:tcW w:w="1920" w:type="dxa"/>
            <w:shd w:val="clear" w:color="auto" w:fill="auto"/>
            <w:vAlign w:val="center"/>
            <w:hideMark/>
          </w:tcPr>
          <w:p>
            <w:pPr>
              <w:jc w:val="right"/>
              <w:rPr>
                <w:lang w:val="en-PH" w:eastAsia="en-PH"/>
              </w:rPr>
            </w:pPr>
            <w:r>
              <w:rPr>
                <w:lang w:val="en-PH" w:eastAsia="en-PH"/>
              </w:rPr>
              <w:t>15,057,383.56</w:t>
            </w:r>
          </w:p>
        </w:tc>
        <w:tc>
          <w:tcPr>
            <w:tcW w:w="1818" w:type="dxa"/>
            <w:shd w:val="clear" w:color="auto" w:fill="auto"/>
            <w:noWrap/>
            <w:vAlign w:val="center"/>
            <w:hideMark/>
          </w:tcPr>
          <w:p>
            <w:pPr>
              <w:jc w:val="right"/>
              <w:rPr>
                <w:lang w:val="en-PH" w:eastAsia="en-PH"/>
              </w:rPr>
            </w:pPr>
            <w:r>
              <w:rPr>
                <w:lang w:val="en-PH" w:eastAsia="en-PH"/>
              </w:rPr>
              <w:t>0.00</w:t>
            </w:r>
          </w:p>
        </w:tc>
        <w:tc>
          <w:tcPr>
            <w:tcW w:w="1954" w:type="dxa"/>
            <w:shd w:val="clear" w:color="auto" w:fill="auto"/>
            <w:noWrap/>
            <w:vAlign w:val="center"/>
            <w:hideMark/>
          </w:tcPr>
          <w:p>
            <w:pPr>
              <w:jc w:val="right"/>
              <w:rPr>
                <w:lang w:val="en-PH" w:eastAsia="en-PH"/>
              </w:rPr>
            </w:pPr>
            <w:r>
              <w:rPr>
                <w:lang w:val="en-PH" w:eastAsia="en-PH"/>
              </w:rPr>
              <w:t>(855,391.00)</w:t>
            </w:r>
          </w:p>
        </w:tc>
        <w:tc>
          <w:tcPr>
            <w:tcW w:w="1920" w:type="dxa"/>
            <w:shd w:val="clear" w:color="auto" w:fill="auto"/>
            <w:noWrap/>
            <w:vAlign w:val="center"/>
            <w:hideMark/>
          </w:tcPr>
          <w:p>
            <w:pPr>
              <w:jc w:val="right"/>
              <w:rPr>
                <w:lang w:val="en-PH" w:eastAsia="en-PH"/>
              </w:rPr>
            </w:pPr>
            <w:r>
              <w:rPr>
                <w:lang w:val="en-PH" w:eastAsia="en-PH"/>
              </w:rPr>
              <w:t>14,201,992.56</w:t>
            </w:r>
          </w:p>
        </w:tc>
      </w:tr>
      <w:tr>
        <w:trPr>
          <w:trHeight w:val="283"/>
        </w:trPr>
        <w:tc>
          <w:tcPr>
            <w:tcW w:w="1699" w:type="dxa"/>
            <w:shd w:val="clear" w:color="auto" w:fill="auto"/>
            <w:vAlign w:val="center"/>
            <w:hideMark/>
          </w:tcPr>
          <w:p>
            <w:pPr>
              <w:rPr>
                <w:lang w:val="en-PH" w:eastAsia="en-PH"/>
              </w:rPr>
            </w:pPr>
            <w:r>
              <w:rPr>
                <w:lang w:val="en-PH" w:eastAsia="en-PH"/>
              </w:rPr>
              <w:t>AD- Medical Equipment</w:t>
            </w:r>
          </w:p>
        </w:tc>
        <w:tc>
          <w:tcPr>
            <w:tcW w:w="1920" w:type="dxa"/>
            <w:shd w:val="clear" w:color="auto" w:fill="auto"/>
            <w:vAlign w:val="center"/>
            <w:hideMark/>
          </w:tcPr>
          <w:p>
            <w:pPr>
              <w:jc w:val="right"/>
              <w:rPr>
                <w:lang w:val="en-PH" w:eastAsia="en-PH"/>
              </w:rPr>
            </w:pPr>
            <w:r>
              <w:rPr>
                <w:lang w:val="en-PH" w:eastAsia="en-PH"/>
              </w:rPr>
              <w:t>(3,242,116.60)</w:t>
            </w:r>
          </w:p>
        </w:tc>
        <w:tc>
          <w:tcPr>
            <w:tcW w:w="1818" w:type="dxa"/>
            <w:shd w:val="clear" w:color="auto" w:fill="auto"/>
            <w:noWrap/>
            <w:vAlign w:val="center"/>
            <w:hideMark/>
          </w:tcPr>
          <w:p>
            <w:pPr>
              <w:jc w:val="right"/>
              <w:rPr>
                <w:lang w:val="en-PH" w:eastAsia="en-PH"/>
              </w:rPr>
            </w:pPr>
            <w:r>
              <w:rPr>
                <w:lang w:val="en-PH" w:eastAsia="en-PH"/>
              </w:rPr>
              <w:t>(1,225,580.40)</w:t>
            </w:r>
          </w:p>
        </w:tc>
        <w:tc>
          <w:tcPr>
            <w:tcW w:w="1954" w:type="dxa"/>
            <w:shd w:val="clear" w:color="auto" w:fill="auto"/>
            <w:noWrap/>
            <w:vAlign w:val="center"/>
            <w:hideMark/>
          </w:tcPr>
          <w:p>
            <w:pPr>
              <w:jc w:val="right"/>
              <w:rPr>
                <w:lang w:val="en-PH" w:eastAsia="en-PH"/>
              </w:rPr>
            </w:pPr>
            <w:r>
              <w:rPr>
                <w:lang w:val="en-PH" w:eastAsia="en-PH"/>
              </w:rPr>
              <w:t>772,984.17</w:t>
            </w:r>
          </w:p>
        </w:tc>
        <w:tc>
          <w:tcPr>
            <w:tcW w:w="1920" w:type="dxa"/>
            <w:shd w:val="clear" w:color="auto" w:fill="auto"/>
            <w:noWrap/>
            <w:vAlign w:val="center"/>
            <w:hideMark/>
          </w:tcPr>
          <w:p>
            <w:pPr>
              <w:jc w:val="right"/>
              <w:rPr>
                <w:lang w:val="en-PH" w:eastAsia="en-PH"/>
              </w:rPr>
            </w:pPr>
            <w:r>
              <w:rPr>
                <w:lang w:val="en-PH" w:eastAsia="en-PH"/>
              </w:rPr>
              <w:t>(3,694,712.83)</w:t>
            </w:r>
          </w:p>
        </w:tc>
      </w:tr>
      <w:tr>
        <w:trPr>
          <w:trHeight w:val="283"/>
        </w:trPr>
        <w:tc>
          <w:tcPr>
            <w:tcW w:w="1699" w:type="dxa"/>
            <w:shd w:val="clear" w:color="auto" w:fill="auto"/>
            <w:vAlign w:val="center"/>
            <w:hideMark/>
          </w:tcPr>
          <w:p>
            <w:pPr>
              <w:rPr>
                <w:lang w:val="en-PH" w:eastAsia="en-PH"/>
              </w:rPr>
            </w:pPr>
            <w:r>
              <w:rPr>
                <w:lang w:val="en-PH" w:eastAsia="en-PH"/>
              </w:rPr>
              <w:t>Sports Equipment</w:t>
            </w:r>
          </w:p>
        </w:tc>
        <w:tc>
          <w:tcPr>
            <w:tcW w:w="1920" w:type="dxa"/>
            <w:shd w:val="clear" w:color="auto" w:fill="auto"/>
            <w:vAlign w:val="center"/>
            <w:hideMark/>
          </w:tcPr>
          <w:p>
            <w:pPr>
              <w:jc w:val="right"/>
              <w:rPr>
                <w:lang w:val="en-PH" w:eastAsia="en-PH"/>
              </w:rPr>
            </w:pPr>
            <w:r>
              <w:rPr>
                <w:lang w:val="en-PH" w:eastAsia="en-PH"/>
              </w:rPr>
              <w:t>3,965,905.03</w:t>
            </w:r>
          </w:p>
        </w:tc>
        <w:tc>
          <w:tcPr>
            <w:tcW w:w="1818" w:type="dxa"/>
            <w:shd w:val="clear" w:color="auto" w:fill="auto"/>
            <w:noWrap/>
            <w:vAlign w:val="center"/>
            <w:hideMark/>
          </w:tcPr>
          <w:p>
            <w:pPr>
              <w:jc w:val="right"/>
              <w:rPr>
                <w:lang w:val="en-PH" w:eastAsia="en-PH"/>
              </w:rPr>
            </w:pPr>
          </w:p>
        </w:tc>
        <w:tc>
          <w:tcPr>
            <w:tcW w:w="1954" w:type="dxa"/>
            <w:shd w:val="clear" w:color="auto" w:fill="auto"/>
            <w:noWrap/>
            <w:vAlign w:val="center"/>
            <w:hideMark/>
          </w:tcPr>
          <w:p>
            <w:pPr>
              <w:jc w:val="right"/>
              <w:rPr>
                <w:lang w:val="en-PH" w:eastAsia="en-PH"/>
              </w:rPr>
            </w:pPr>
            <w:r>
              <w:rPr>
                <w:lang w:val="en-PH" w:eastAsia="en-PH"/>
              </w:rPr>
              <w:t>(899,905.03)</w:t>
            </w:r>
          </w:p>
        </w:tc>
        <w:tc>
          <w:tcPr>
            <w:tcW w:w="1920" w:type="dxa"/>
            <w:shd w:val="clear" w:color="auto" w:fill="auto"/>
            <w:noWrap/>
            <w:vAlign w:val="center"/>
            <w:hideMark/>
          </w:tcPr>
          <w:p>
            <w:pPr>
              <w:jc w:val="right"/>
              <w:rPr>
                <w:lang w:val="en-PH" w:eastAsia="en-PH"/>
              </w:rPr>
            </w:pPr>
            <w:r>
              <w:rPr>
                <w:lang w:val="en-PH" w:eastAsia="en-PH"/>
              </w:rPr>
              <w:t>3,066,000.00</w:t>
            </w:r>
          </w:p>
        </w:tc>
      </w:tr>
      <w:tr>
        <w:trPr>
          <w:trHeight w:val="283"/>
        </w:trPr>
        <w:tc>
          <w:tcPr>
            <w:tcW w:w="1699" w:type="dxa"/>
            <w:shd w:val="clear" w:color="auto" w:fill="auto"/>
            <w:vAlign w:val="center"/>
            <w:hideMark/>
          </w:tcPr>
          <w:p>
            <w:pPr>
              <w:rPr>
                <w:lang w:val="en-PH" w:eastAsia="en-PH"/>
              </w:rPr>
            </w:pPr>
            <w:r>
              <w:rPr>
                <w:lang w:val="en-PH" w:eastAsia="en-PH"/>
              </w:rPr>
              <w:t>AD - Sports Equip</w:t>
            </w:r>
          </w:p>
        </w:tc>
        <w:tc>
          <w:tcPr>
            <w:tcW w:w="1920" w:type="dxa"/>
            <w:shd w:val="clear" w:color="auto" w:fill="auto"/>
            <w:vAlign w:val="center"/>
            <w:hideMark/>
          </w:tcPr>
          <w:p>
            <w:pPr>
              <w:jc w:val="right"/>
              <w:rPr>
                <w:lang w:val="en-PH" w:eastAsia="en-PH"/>
              </w:rPr>
            </w:pPr>
            <w:r>
              <w:rPr>
                <w:lang w:val="en-PH" w:eastAsia="en-PH"/>
              </w:rPr>
              <w:t>(1,443,004.84)</w:t>
            </w:r>
          </w:p>
        </w:tc>
        <w:tc>
          <w:tcPr>
            <w:tcW w:w="1818" w:type="dxa"/>
            <w:shd w:val="clear" w:color="auto" w:fill="auto"/>
            <w:noWrap/>
            <w:vAlign w:val="center"/>
            <w:hideMark/>
          </w:tcPr>
          <w:p>
            <w:pPr>
              <w:jc w:val="right"/>
              <w:rPr>
                <w:lang w:val="en-PH" w:eastAsia="en-PH"/>
              </w:rPr>
            </w:pPr>
            <w:r>
              <w:rPr>
                <w:lang w:val="en-PH" w:eastAsia="en-PH"/>
              </w:rPr>
              <w:t>(267,091.32)</w:t>
            </w:r>
          </w:p>
        </w:tc>
        <w:tc>
          <w:tcPr>
            <w:tcW w:w="1954" w:type="dxa"/>
            <w:shd w:val="clear" w:color="auto" w:fill="auto"/>
            <w:noWrap/>
            <w:vAlign w:val="center"/>
            <w:hideMark/>
          </w:tcPr>
          <w:p>
            <w:pPr>
              <w:jc w:val="right"/>
              <w:rPr>
                <w:lang w:val="en-PH" w:eastAsia="en-PH"/>
              </w:rPr>
            </w:pPr>
            <w:r>
              <w:rPr>
                <w:lang w:val="en-PH" w:eastAsia="en-PH"/>
              </w:rPr>
              <w:t>314,058.31</w:t>
            </w:r>
          </w:p>
        </w:tc>
        <w:tc>
          <w:tcPr>
            <w:tcW w:w="1920" w:type="dxa"/>
            <w:shd w:val="clear" w:color="auto" w:fill="auto"/>
            <w:noWrap/>
            <w:vAlign w:val="center"/>
            <w:hideMark/>
          </w:tcPr>
          <w:p>
            <w:pPr>
              <w:jc w:val="right"/>
              <w:rPr>
                <w:lang w:val="en-PH" w:eastAsia="en-PH"/>
              </w:rPr>
            </w:pPr>
            <w:r>
              <w:rPr>
                <w:lang w:val="en-PH" w:eastAsia="en-PH"/>
              </w:rPr>
              <w:t>(1,396,037.85)</w:t>
            </w:r>
          </w:p>
        </w:tc>
      </w:tr>
      <w:tr>
        <w:trPr>
          <w:trHeight w:val="283"/>
        </w:trPr>
        <w:tc>
          <w:tcPr>
            <w:tcW w:w="1699" w:type="dxa"/>
            <w:shd w:val="clear" w:color="auto" w:fill="auto"/>
            <w:vAlign w:val="center"/>
            <w:hideMark/>
          </w:tcPr>
          <w:p>
            <w:pPr>
              <w:rPr>
                <w:lang w:val="en-PH" w:eastAsia="en-PH"/>
              </w:rPr>
            </w:pPr>
            <w:r>
              <w:rPr>
                <w:lang w:val="en-PH" w:eastAsia="en-PH"/>
              </w:rPr>
              <w:t>Technical &amp; Scientific Equip</w:t>
            </w:r>
          </w:p>
        </w:tc>
        <w:tc>
          <w:tcPr>
            <w:tcW w:w="1920" w:type="dxa"/>
            <w:shd w:val="clear" w:color="auto" w:fill="auto"/>
            <w:vAlign w:val="center"/>
            <w:hideMark/>
          </w:tcPr>
          <w:p>
            <w:pPr>
              <w:jc w:val="right"/>
              <w:rPr>
                <w:lang w:val="en-PH" w:eastAsia="en-PH"/>
              </w:rPr>
            </w:pPr>
            <w:r>
              <w:rPr>
                <w:lang w:val="en-PH" w:eastAsia="en-PH"/>
              </w:rPr>
              <w:t>18,228,490.50</w:t>
            </w:r>
          </w:p>
        </w:tc>
        <w:tc>
          <w:tcPr>
            <w:tcW w:w="1818" w:type="dxa"/>
            <w:shd w:val="clear" w:color="auto" w:fill="auto"/>
            <w:noWrap/>
            <w:vAlign w:val="center"/>
            <w:hideMark/>
          </w:tcPr>
          <w:p>
            <w:pPr>
              <w:jc w:val="right"/>
              <w:rPr>
                <w:lang w:val="en-PH" w:eastAsia="en-PH"/>
              </w:rPr>
            </w:pPr>
            <w:r>
              <w:rPr>
                <w:lang w:val="en-PH" w:eastAsia="en-PH"/>
              </w:rPr>
              <w:t>787,753.00</w:t>
            </w:r>
          </w:p>
        </w:tc>
        <w:tc>
          <w:tcPr>
            <w:tcW w:w="1954" w:type="dxa"/>
            <w:shd w:val="clear" w:color="auto" w:fill="auto"/>
            <w:noWrap/>
            <w:vAlign w:val="center"/>
            <w:hideMark/>
          </w:tcPr>
          <w:p>
            <w:pPr>
              <w:jc w:val="right"/>
              <w:rPr>
                <w:lang w:val="en-PH" w:eastAsia="en-PH"/>
              </w:rPr>
            </w:pPr>
            <w:r>
              <w:rPr>
                <w:lang w:val="en-PH" w:eastAsia="en-PH"/>
              </w:rPr>
              <w:t>(4,891,789.00)</w:t>
            </w:r>
          </w:p>
        </w:tc>
        <w:tc>
          <w:tcPr>
            <w:tcW w:w="1920" w:type="dxa"/>
            <w:shd w:val="clear" w:color="auto" w:fill="auto"/>
            <w:noWrap/>
            <w:vAlign w:val="center"/>
            <w:hideMark/>
          </w:tcPr>
          <w:p>
            <w:pPr>
              <w:jc w:val="right"/>
              <w:rPr>
                <w:lang w:val="en-PH" w:eastAsia="en-PH"/>
              </w:rPr>
            </w:pPr>
            <w:r>
              <w:rPr>
                <w:lang w:val="en-PH" w:eastAsia="en-PH"/>
              </w:rPr>
              <w:t>14,124,454.50</w:t>
            </w:r>
          </w:p>
        </w:tc>
      </w:tr>
      <w:tr>
        <w:trPr>
          <w:trHeight w:val="283"/>
        </w:trPr>
        <w:tc>
          <w:tcPr>
            <w:tcW w:w="1699" w:type="dxa"/>
            <w:shd w:val="clear" w:color="auto" w:fill="auto"/>
            <w:vAlign w:val="center"/>
            <w:hideMark/>
          </w:tcPr>
          <w:p>
            <w:pPr>
              <w:rPr>
                <w:lang w:val="en-PH" w:eastAsia="en-PH"/>
              </w:rPr>
            </w:pPr>
            <w:r>
              <w:rPr>
                <w:lang w:val="en-PH" w:eastAsia="en-PH"/>
              </w:rPr>
              <w:t>AD– Scientific Equip</w:t>
            </w:r>
          </w:p>
        </w:tc>
        <w:tc>
          <w:tcPr>
            <w:tcW w:w="1920" w:type="dxa"/>
            <w:shd w:val="clear" w:color="auto" w:fill="auto"/>
            <w:vAlign w:val="center"/>
            <w:hideMark/>
          </w:tcPr>
          <w:p>
            <w:pPr>
              <w:jc w:val="right"/>
              <w:rPr>
                <w:lang w:val="en-PH" w:eastAsia="en-PH"/>
              </w:rPr>
            </w:pPr>
            <w:r>
              <w:rPr>
                <w:lang w:val="en-PH" w:eastAsia="en-PH"/>
              </w:rPr>
              <w:t>(11,522,294.69)</w:t>
            </w:r>
          </w:p>
        </w:tc>
        <w:tc>
          <w:tcPr>
            <w:tcW w:w="1818" w:type="dxa"/>
            <w:shd w:val="clear" w:color="auto" w:fill="auto"/>
            <w:noWrap/>
            <w:vAlign w:val="center"/>
            <w:hideMark/>
          </w:tcPr>
          <w:p>
            <w:pPr>
              <w:jc w:val="right"/>
              <w:rPr>
                <w:lang w:val="en-PH" w:eastAsia="en-PH"/>
              </w:rPr>
            </w:pPr>
            <w:r>
              <w:rPr>
                <w:lang w:val="en-PH" w:eastAsia="en-PH"/>
              </w:rPr>
              <w:t>(755,116.09)</w:t>
            </w:r>
          </w:p>
        </w:tc>
        <w:tc>
          <w:tcPr>
            <w:tcW w:w="1954" w:type="dxa"/>
            <w:shd w:val="clear" w:color="auto" w:fill="auto"/>
            <w:noWrap/>
            <w:vAlign w:val="center"/>
            <w:hideMark/>
          </w:tcPr>
          <w:p>
            <w:pPr>
              <w:jc w:val="right"/>
              <w:rPr>
                <w:lang w:val="en-PH" w:eastAsia="en-PH"/>
              </w:rPr>
            </w:pPr>
            <w:r>
              <w:rPr>
                <w:lang w:val="en-PH" w:eastAsia="en-PH"/>
              </w:rPr>
              <w:t>2,990,803.07</w:t>
            </w:r>
          </w:p>
        </w:tc>
        <w:tc>
          <w:tcPr>
            <w:tcW w:w="1920" w:type="dxa"/>
            <w:shd w:val="clear" w:color="auto" w:fill="auto"/>
            <w:noWrap/>
            <w:vAlign w:val="center"/>
            <w:hideMark/>
          </w:tcPr>
          <w:p>
            <w:pPr>
              <w:jc w:val="right"/>
              <w:rPr>
                <w:lang w:val="en-PH" w:eastAsia="en-PH"/>
              </w:rPr>
            </w:pPr>
            <w:r>
              <w:rPr>
                <w:lang w:val="en-PH" w:eastAsia="en-PH"/>
              </w:rPr>
              <w:t>(9,286,607.71)</w:t>
            </w:r>
          </w:p>
        </w:tc>
      </w:tr>
      <w:tr>
        <w:trPr>
          <w:trHeight w:val="283"/>
        </w:trPr>
        <w:tc>
          <w:tcPr>
            <w:tcW w:w="1699" w:type="dxa"/>
            <w:shd w:val="clear" w:color="auto" w:fill="auto"/>
            <w:vAlign w:val="center"/>
            <w:hideMark/>
          </w:tcPr>
          <w:p>
            <w:pPr>
              <w:rPr>
                <w:lang w:val="en-PH" w:eastAsia="en-PH"/>
              </w:rPr>
            </w:pPr>
            <w:r>
              <w:rPr>
                <w:lang w:val="en-PH" w:eastAsia="en-PH"/>
              </w:rPr>
              <w:t>Other Machinery &amp; Equip</w:t>
            </w:r>
          </w:p>
        </w:tc>
        <w:tc>
          <w:tcPr>
            <w:tcW w:w="1920" w:type="dxa"/>
            <w:shd w:val="clear" w:color="auto" w:fill="auto"/>
            <w:vAlign w:val="center"/>
            <w:hideMark/>
          </w:tcPr>
          <w:p>
            <w:pPr>
              <w:jc w:val="right"/>
              <w:rPr>
                <w:lang w:val="en-PH" w:eastAsia="en-PH"/>
              </w:rPr>
            </w:pPr>
            <w:r>
              <w:rPr>
                <w:lang w:val="en-PH" w:eastAsia="en-PH"/>
              </w:rPr>
              <w:t>20,590,783.35</w:t>
            </w:r>
          </w:p>
        </w:tc>
        <w:tc>
          <w:tcPr>
            <w:tcW w:w="1818" w:type="dxa"/>
            <w:shd w:val="clear" w:color="auto" w:fill="auto"/>
            <w:noWrap/>
            <w:vAlign w:val="center"/>
            <w:hideMark/>
          </w:tcPr>
          <w:p>
            <w:pPr>
              <w:jc w:val="right"/>
              <w:rPr>
                <w:lang w:val="en-PH" w:eastAsia="en-PH"/>
              </w:rPr>
            </w:pPr>
            <w:r>
              <w:rPr>
                <w:lang w:val="en-PH" w:eastAsia="en-PH"/>
              </w:rPr>
              <w:t>702,218.00</w:t>
            </w:r>
          </w:p>
        </w:tc>
        <w:tc>
          <w:tcPr>
            <w:tcW w:w="1954" w:type="dxa"/>
            <w:shd w:val="clear" w:color="auto" w:fill="auto"/>
            <w:noWrap/>
            <w:vAlign w:val="center"/>
            <w:hideMark/>
          </w:tcPr>
          <w:p>
            <w:pPr>
              <w:jc w:val="right"/>
              <w:rPr>
                <w:lang w:val="en-PH" w:eastAsia="en-PH"/>
              </w:rPr>
            </w:pPr>
            <w:r>
              <w:rPr>
                <w:lang w:val="en-PH" w:eastAsia="en-PH"/>
              </w:rPr>
              <w:t>(3,876,049.00)</w:t>
            </w:r>
          </w:p>
        </w:tc>
        <w:tc>
          <w:tcPr>
            <w:tcW w:w="1920" w:type="dxa"/>
            <w:shd w:val="clear" w:color="auto" w:fill="auto"/>
            <w:noWrap/>
            <w:vAlign w:val="center"/>
            <w:hideMark/>
          </w:tcPr>
          <w:p>
            <w:pPr>
              <w:jc w:val="right"/>
              <w:rPr>
                <w:lang w:val="en-PH" w:eastAsia="en-PH"/>
              </w:rPr>
            </w:pPr>
            <w:r>
              <w:rPr>
                <w:lang w:val="en-PH" w:eastAsia="en-PH"/>
              </w:rPr>
              <w:t>17,416,952.35</w:t>
            </w:r>
          </w:p>
        </w:tc>
      </w:tr>
      <w:tr>
        <w:trPr>
          <w:trHeight w:val="283"/>
        </w:trPr>
        <w:tc>
          <w:tcPr>
            <w:tcW w:w="1699" w:type="dxa"/>
            <w:shd w:val="clear" w:color="auto" w:fill="auto"/>
            <w:vAlign w:val="center"/>
            <w:hideMark/>
          </w:tcPr>
          <w:p>
            <w:pPr>
              <w:rPr>
                <w:lang w:val="en-PH" w:eastAsia="en-PH"/>
              </w:rPr>
            </w:pPr>
            <w:r>
              <w:rPr>
                <w:lang w:val="en-PH" w:eastAsia="en-PH"/>
              </w:rPr>
              <w:t>AD–OM &amp; Equipment</w:t>
            </w:r>
          </w:p>
        </w:tc>
        <w:tc>
          <w:tcPr>
            <w:tcW w:w="1920" w:type="dxa"/>
            <w:shd w:val="clear" w:color="auto" w:fill="auto"/>
            <w:vAlign w:val="center"/>
            <w:hideMark/>
          </w:tcPr>
          <w:p>
            <w:pPr>
              <w:jc w:val="right"/>
              <w:rPr>
                <w:lang w:val="en-PH" w:eastAsia="en-PH"/>
              </w:rPr>
            </w:pPr>
            <w:r>
              <w:rPr>
                <w:lang w:val="en-PH" w:eastAsia="en-PH"/>
              </w:rPr>
              <w:t>(11,151,062.74)</w:t>
            </w:r>
          </w:p>
        </w:tc>
        <w:tc>
          <w:tcPr>
            <w:tcW w:w="1818" w:type="dxa"/>
            <w:shd w:val="clear" w:color="auto" w:fill="auto"/>
            <w:noWrap/>
            <w:vAlign w:val="center"/>
            <w:hideMark/>
          </w:tcPr>
          <w:p>
            <w:pPr>
              <w:jc w:val="right"/>
              <w:rPr>
                <w:lang w:val="en-PH" w:eastAsia="en-PH"/>
              </w:rPr>
            </w:pPr>
            <w:r>
              <w:rPr>
                <w:lang w:val="en-PH" w:eastAsia="en-PH"/>
              </w:rPr>
              <w:t>(1,124,208.09)</w:t>
            </w:r>
          </w:p>
        </w:tc>
        <w:tc>
          <w:tcPr>
            <w:tcW w:w="1954" w:type="dxa"/>
            <w:shd w:val="clear" w:color="auto" w:fill="auto"/>
            <w:noWrap/>
            <w:vAlign w:val="center"/>
            <w:hideMark/>
          </w:tcPr>
          <w:p>
            <w:pPr>
              <w:jc w:val="right"/>
              <w:rPr>
                <w:lang w:val="en-PH" w:eastAsia="en-PH"/>
              </w:rPr>
            </w:pPr>
            <w:r>
              <w:rPr>
                <w:lang w:val="en-PH" w:eastAsia="en-PH"/>
              </w:rPr>
              <w:t>2,415,208.99</w:t>
            </w:r>
          </w:p>
        </w:tc>
        <w:tc>
          <w:tcPr>
            <w:tcW w:w="1920" w:type="dxa"/>
            <w:shd w:val="clear" w:color="auto" w:fill="auto"/>
            <w:noWrap/>
            <w:vAlign w:val="center"/>
            <w:hideMark/>
          </w:tcPr>
          <w:p>
            <w:pPr>
              <w:jc w:val="right"/>
              <w:rPr>
                <w:lang w:val="en-PH" w:eastAsia="en-PH"/>
              </w:rPr>
            </w:pPr>
            <w:r>
              <w:rPr>
                <w:lang w:val="en-PH" w:eastAsia="en-PH"/>
              </w:rPr>
              <w:t>(9,860,061.84)</w:t>
            </w:r>
          </w:p>
        </w:tc>
      </w:tr>
      <w:tr>
        <w:trPr>
          <w:trHeight w:val="283"/>
        </w:trPr>
        <w:tc>
          <w:tcPr>
            <w:tcW w:w="1699" w:type="dxa"/>
            <w:shd w:val="clear" w:color="auto" w:fill="auto"/>
            <w:vAlign w:val="center"/>
            <w:hideMark/>
          </w:tcPr>
          <w:p>
            <w:pPr>
              <w:jc w:val="right"/>
              <w:rPr>
                <w:b/>
                <w:bCs/>
                <w:lang w:val="en-PH" w:eastAsia="en-PH"/>
              </w:rPr>
            </w:pPr>
            <w:r>
              <w:rPr>
                <w:b/>
                <w:bCs/>
                <w:lang w:val="en-PH" w:eastAsia="en-PH"/>
              </w:rPr>
              <w:t>Net Book Value</w:t>
            </w:r>
          </w:p>
        </w:tc>
        <w:tc>
          <w:tcPr>
            <w:tcW w:w="1920" w:type="dxa"/>
            <w:shd w:val="clear" w:color="auto" w:fill="auto"/>
            <w:noWrap/>
            <w:vAlign w:val="center"/>
            <w:hideMark/>
          </w:tcPr>
          <w:p>
            <w:pPr>
              <w:ind w:firstLineChars="200" w:firstLine="402"/>
              <w:jc w:val="right"/>
              <w:rPr>
                <w:b/>
                <w:bCs/>
                <w:lang w:val="en-PH" w:eastAsia="en-PH"/>
              </w:rPr>
            </w:pPr>
            <w:r>
              <w:rPr>
                <w:b/>
                <w:bCs/>
                <w:lang w:val="en-PH" w:eastAsia="en-PH"/>
              </w:rPr>
              <w:t>200,025,589.69</w:t>
            </w:r>
          </w:p>
        </w:tc>
        <w:tc>
          <w:tcPr>
            <w:tcW w:w="1818" w:type="dxa"/>
            <w:shd w:val="clear" w:color="auto" w:fill="auto"/>
            <w:noWrap/>
            <w:vAlign w:val="center"/>
            <w:hideMark/>
          </w:tcPr>
          <w:p>
            <w:pPr>
              <w:ind w:firstLineChars="200" w:firstLine="402"/>
              <w:jc w:val="right"/>
              <w:rPr>
                <w:b/>
                <w:bCs/>
                <w:lang w:val="en-PH" w:eastAsia="en-PH"/>
              </w:rPr>
            </w:pPr>
            <w:r>
              <w:rPr>
                <w:b/>
                <w:bCs/>
                <w:lang w:val="en-PH" w:eastAsia="en-PH"/>
              </w:rPr>
              <w:t>35,002,647.29</w:t>
            </w:r>
          </w:p>
        </w:tc>
        <w:tc>
          <w:tcPr>
            <w:tcW w:w="1954" w:type="dxa"/>
            <w:shd w:val="clear" w:color="auto" w:fill="auto"/>
            <w:noWrap/>
            <w:vAlign w:val="center"/>
            <w:hideMark/>
          </w:tcPr>
          <w:p>
            <w:pPr>
              <w:ind w:firstLineChars="200" w:firstLine="402"/>
              <w:jc w:val="right"/>
              <w:rPr>
                <w:b/>
                <w:bCs/>
                <w:lang w:val="en-PH" w:eastAsia="en-PH"/>
              </w:rPr>
            </w:pPr>
            <w:r>
              <w:rPr>
                <w:b/>
                <w:bCs/>
                <w:lang w:val="en-PH" w:eastAsia="en-PH"/>
              </w:rPr>
              <w:t>(22,154,263.16)</w:t>
            </w:r>
          </w:p>
        </w:tc>
        <w:tc>
          <w:tcPr>
            <w:tcW w:w="1920" w:type="dxa"/>
            <w:shd w:val="clear" w:color="auto" w:fill="auto"/>
            <w:noWrap/>
            <w:vAlign w:val="center"/>
            <w:hideMark/>
          </w:tcPr>
          <w:p>
            <w:pPr>
              <w:ind w:firstLineChars="200" w:firstLine="402"/>
              <w:jc w:val="right"/>
              <w:rPr>
                <w:b/>
                <w:bCs/>
                <w:lang w:val="en-PH" w:eastAsia="en-PH"/>
              </w:rPr>
            </w:pPr>
            <w:r>
              <w:rPr>
                <w:b/>
                <w:bCs/>
                <w:lang w:val="en-PH" w:eastAsia="en-PH"/>
              </w:rPr>
              <w:t>212,873,973.82</w:t>
            </w:r>
          </w:p>
        </w:tc>
      </w:tr>
    </w:tbl>
    <w:p>
      <w:pPr>
        <w:jc w:val="both"/>
        <w:rPr>
          <w:sz w:val="24"/>
          <w:szCs w:val="24"/>
        </w:rPr>
      </w:pPr>
    </w:p>
    <w:p>
      <w:pPr>
        <w:jc w:val="both"/>
        <w:rPr>
          <w:sz w:val="24"/>
          <w:szCs w:val="24"/>
        </w:rPr>
      </w:pPr>
    </w:p>
    <w:p>
      <w:pPr>
        <w:ind w:left="1418" w:hanging="284"/>
        <w:jc w:val="both"/>
        <w:rPr>
          <w:b/>
          <w:bCs/>
          <w:sz w:val="24"/>
          <w:szCs w:val="24"/>
        </w:rPr>
      </w:pPr>
      <w:r>
        <w:rPr>
          <w:b/>
          <w:bCs/>
          <w:sz w:val="24"/>
          <w:szCs w:val="24"/>
        </w:rPr>
        <w:lastRenderedPageBreak/>
        <w:t>10.6 Transportation Equipment</w:t>
      </w:r>
    </w:p>
    <w:p>
      <w:pPr>
        <w:jc w:val="both"/>
        <w:rPr>
          <w:sz w:val="24"/>
          <w:szCs w:val="24"/>
        </w:rPr>
      </w:pPr>
    </w:p>
    <w:p>
      <w:pPr>
        <w:spacing w:line="276" w:lineRule="auto"/>
        <w:ind w:left="1418"/>
        <w:jc w:val="both"/>
        <w:rPr>
          <w:sz w:val="24"/>
          <w:szCs w:val="24"/>
        </w:rPr>
      </w:pPr>
      <w:r>
        <w:rPr>
          <w:sz w:val="24"/>
          <w:szCs w:val="24"/>
        </w:rPr>
        <w:t>This comprised of the following accounts with their comparative figure for the years ended 2022 and 2021.</w:t>
      </w:r>
    </w:p>
    <w:p>
      <w:pPr>
        <w:jc w:val="both"/>
        <w:rPr>
          <w:sz w:val="24"/>
          <w:szCs w:val="24"/>
        </w:rPr>
      </w:pPr>
    </w:p>
    <w:tbl>
      <w:tblPr>
        <w:tblW w:w="8505"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2500"/>
        <w:gridCol w:w="2500"/>
      </w:tblGrid>
      <w:tr>
        <w:trPr>
          <w:trHeight w:val="284"/>
        </w:trPr>
        <w:tc>
          <w:tcPr>
            <w:tcW w:w="3505" w:type="dxa"/>
            <w:shd w:val="clear" w:color="auto" w:fill="auto"/>
            <w:vAlign w:val="center"/>
            <w:hideMark/>
          </w:tcPr>
          <w:p>
            <w:pPr>
              <w:jc w:val="center"/>
              <w:rPr>
                <w:b/>
                <w:bCs/>
                <w:sz w:val="24"/>
                <w:szCs w:val="24"/>
                <w:lang w:val="en-PH" w:eastAsia="en-PH"/>
              </w:rPr>
            </w:pPr>
            <w:r>
              <w:rPr>
                <w:b/>
                <w:bCs/>
                <w:sz w:val="24"/>
                <w:szCs w:val="24"/>
                <w:lang w:val="en-PH" w:eastAsia="en-PH"/>
              </w:rPr>
              <w:t>Transportation Equipment</w:t>
            </w:r>
          </w:p>
        </w:tc>
        <w:tc>
          <w:tcPr>
            <w:tcW w:w="2500" w:type="dxa"/>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500" w:type="dxa"/>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Motor Vehicles</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147,109,542.90 </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140,963,753.37 </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AD- Motor Vehicles</w:t>
            </w:r>
          </w:p>
        </w:tc>
        <w:tc>
          <w:tcPr>
            <w:tcW w:w="2500" w:type="dxa"/>
            <w:shd w:val="clear" w:color="auto" w:fill="auto"/>
            <w:vAlign w:val="center"/>
            <w:hideMark/>
          </w:tcPr>
          <w:p>
            <w:pPr>
              <w:jc w:val="right"/>
              <w:rPr>
                <w:sz w:val="24"/>
                <w:szCs w:val="24"/>
                <w:lang w:val="en-PH" w:eastAsia="en-PH"/>
              </w:rPr>
            </w:pPr>
            <w:r>
              <w:rPr>
                <w:sz w:val="24"/>
                <w:szCs w:val="24"/>
                <w:lang w:val="en-PH" w:eastAsia="en-PH"/>
              </w:rPr>
              <w:t>(97,536,815.61)</w:t>
            </w:r>
          </w:p>
        </w:tc>
        <w:tc>
          <w:tcPr>
            <w:tcW w:w="2500" w:type="dxa"/>
            <w:shd w:val="clear" w:color="auto" w:fill="auto"/>
            <w:vAlign w:val="center"/>
            <w:hideMark/>
          </w:tcPr>
          <w:p>
            <w:pPr>
              <w:jc w:val="right"/>
              <w:rPr>
                <w:sz w:val="24"/>
                <w:szCs w:val="24"/>
                <w:lang w:val="en-PH" w:eastAsia="en-PH"/>
              </w:rPr>
            </w:pPr>
            <w:r>
              <w:rPr>
                <w:sz w:val="24"/>
                <w:szCs w:val="24"/>
                <w:lang w:val="en-PH" w:eastAsia="en-PH"/>
              </w:rPr>
              <w:t>(88,272,097.16)</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Watercrafts</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4,174,454.40 </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4,477,503.40 </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AD - Watercrafts</w:t>
            </w:r>
          </w:p>
        </w:tc>
        <w:tc>
          <w:tcPr>
            <w:tcW w:w="2500" w:type="dxa"/>
            <w:shd w:val="clear" w:color="auto" w:fill="auto"/>
            <w:vAlign w:val="center"/>
            <w:hideMark/>
          </w:tcPr>
          <w:p>
            <w:pPr>
              <w:jc w:val="right"/>
              <w:rPr>
                <w:sz w:val="24"/>
                <w:szCs w:val="24"/>
                <w:lang w:val="en-PH" w:eastAsia="en-PH"/>
              </w:rPr>
            </w:pPr>
            <w:r>
              <w:rPr>
                <w:sz w:val="24"/>
                <w:szCs w:val="24"/>
                <w:lang w:val="en-PH" w:eastAsia="en-PH"/>
              </w:rPr>
              <w:t>(2,767,149.07)</w:t>
            </w:r>
          </w:p>
        </w:tc>
        <w:tc>
          <w:tcPr>
            <w:tcW w:w="2500" w:type="dxa"/>
            <w:shd w:val="clear" w:color="auto" w:fill="auto"/>
            <w:vAlign w:val="center"/>
            <w:hideMark/>
          </w:tcPr>
          <w:p>
            <w:pPr>
              <w:jc w:val="right"/>
              <w:rPr>
                <w:sz w:val="24"/>
                <w:szCs w:val="24"/>
                <w:lang w:val="en-PH" w:eastAsia="en-PH"/>
              </w:rPr>
            </w:pPr>
            <w:r>
              <w:rPr>
                <w:sz w:val="24"/>
                <w:szCs w:val="24"/>
                <w:lang w:val="en-PH" w:eastAsia="en-PH"/>
              </w:rPr>
              <w:t>(2,754,117.67)</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Other Transportation Equipment</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1,426,849.01 </w:t>
            </w:r>
          </w:p>
        </w:tc>
        <w:tc>
          <w:tcPr>
            <w:tcW w:w="2500" w:type="dxa"/>
            <w:shd w:val="clear" w:color="auto" w:fill="auto"/>
            <w:vAlign w:val="center"/>
            <w:hideMark/>
          </w:tcPr>
          <w:p>
            <w:pPr>
              <w:jc w:val="right"/>
              <w:rPr>
                <w:sz w:val="24"/>
                <w:szCs w:val="24"/>
                <w:lang w:val="en-PH" w:eastAsia="en-PH"/>
              </w:rPr>
            </w:pPr>
            <w:r>
              <w:rPr>
                <w:sz w:val="24"/>
                <w:szCs w:val="24"/>
                <w:lang w:val="en-PH" w:eastAsia="en-PH"/>
              </w:rPr>
              <w:t xml:space="preserve">                   397,370.00 </w:t>
            </w:r>
          </w:p>
        </w:tc>
      </w:tr>
      <w:tr>
        <w:trPr>
          <w:trHeight w:val="284"/>
        </w:trPr>
        <w:tc>
          <w:tcPr>
            <w:tcW w:w="3505" w:type="dxa"/>
            <w:shd w:val="clear" w:color="auto" w:fill="auto"/>
            <w:vAlign w:val="center"/>
            <w:hideMark/>
          </w:tcPr>
          <w:p>
            <w:pPr>
              <w:rPr>
                <w:sz w:val="24"/>
                <w:szCs w:val="24"/>
                <w:lang w:val="en-PH" w:eastAsia="en-PH"/>
              </w:rPr>
            </w:pPr>
            <w:r>
              <w:rPr>
                <w:sz w:val="24"/>
                <w:szCs w:val="24"/>
                <w:lang w:val="en-PH" w:eastAsia="en-PH"/>
              </w:rPr>
              <w:t>AD- Other Transportation Equipment</w:t>
            </w:r>
          </w:p>
        </w:tc>
        <w:tc>
          <w:tcPr>
            <w:tcW w:w="2500" w:type="dxa"/>
            <w:shd w:val="clear" w:color="auto" w:fill="auto"/>
            <w:vAlign w:val="center"/>
            <w:hideMark/>
          </w:tcPr>
          <w:p>
            <w:pPr>
              <w:jc w:val="right"/>
              <w:rPr>
                <w:sz w:val="24"/>
                <w:szCs w:val="24"/>
                <w:lang w:val="en-PH" w:eastAsia="en-PH"/>
              </w:rPr>
            </w:pPr>
            <w:r>
              <w:rPr>
                <w:sz w:val="24"/>
                <w:szCs w:val="24"/>
                <w:lang w:val="en-PH" w:eastAsia="en-PH"/>
              </w:rPr>
              <w:t>(134,662.50)</w:t>
            </w:r>
          </w:p>
        </w:tc>
        <w:tc>
          <w:tcPr>
            <w:tcW w:w="2500" w:type="dxa"/>
            <w:shd w:val="clear" w:color="auto" w:fill="auto"/>
            <w:vAlign w:val="center"/>
            <w:hideMark/>
          </w:tcPr>
          <w:p>
            <w:pPr>
              <w:jc w:val="right"/>
              <w:rPr>
                <w:sz w:val="24"/>
                <w:szCs w:val="24"/>
                <w:lang w:val="en-PH" w:eastAsia="en-PH"/>
              </w:rPr>
            </w:pPr>
            <w:r>
              <w:rPr>
                <w:sz w:val="24"/>
                <w:szCs w:val="24"/>
                <w:lang w:val="en-PH" w:eastAsia="en-PH"/>
              </w:rPr>
              <w:t>(183,949.80)</w:t>
            </w:r>
          </w:p>
        </w:tc>
      </w:tr>
      <w:tr>
        <w:trPr>
          <w:trHeight w:val="284"/>
        </w:trPr>
        <w:tc>
          <w:tcPr>
            <w:tcW w:w="3505" w:type="dxa"/>
            <w:shd w:val="clear" w:color="auto" w:fill="auto"/>
            <w:vAlign w:val="center"/>
            <w:hideMark/>
          </w:tcPr>
          <w:p>
            <w:pPr>
              <w:rPr>
                <w:b/>
                <w:bCs/>
                <w:sz w:val="24"/>
                <w:szCs w:val="24"/>
                <w:lang w:val="en-PH" w:eastAsia="en-PH"/>
              </w:rPr>
            </w:pPr>
            <w:r>
              <w:rPr>
                <w:b/>
                <w:bCs/>
                <w:sz w:val="24"/>
                <w:szCs w:val="24"/>
                <w:lang w:val="en-PH" w:eastAsia="en-PH"/>
              </w:rPr>
              <w:t>Net Book Value</w:t>
            </w:r>
          </w:p>
        </w:tc>
        <w:tc>
          <w:tcPr>
            <w:tcW w:w="2500" w:type="dxa"/>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52,272,219.13 </w:t>
            </w:r>
          </w:p>
        </w:tc>
        <w:tc>
          <w:tcPr>
            <w:tcW w:w="2500" w:type="dxa"/>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54,628,462.14 </w:t>
            </w:r>
          </w:p>
        </w:tc>
      </w:tr>
    </w:tbl>
    <w:p>
      <w:pPr>
        <w:jc w:val="both"/>
        <w:rPr>
          <w:sz w:val="24"/>
          <w:szCs w:val="24"/>
        </w:rPr>
      </w:pPr>
    </w:p>
    <w:p>
      <w:pPr>
        <w:ind w:left="1418"/>
        <w:jc w:val="both"/>
        <w:rPr>
          <w:sz w:val="24"/>
          <w:szCs w:val="24"/>
        </w:rPr>
      </w:pPr>
      <w:r>
        <w:rPr>
          <w:sz w:val="24"/>
          <w:szCs w:val="24"/>
        </w:rPr>
        <w:t>The movement of this account during the year is as per below table:</w:t>
      </w:r>
    </w:p>
    <w:p>
      <w:pPr>
        <w:jc w:val="both"/>
        <w:rPr>
          <w:sz w:val="24"/>
          <w:szCs w:val="24"/>
        </w:rPr>
      </w:pPr>
    </w:p>
    <w:tbl>
      <w:tblPr>
        <w:tblW w:w="8626"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980"/>
        <w:gridCol w:w="1752"/>
        <w:gridCol w:w="1539"/>
        <w:gridCol w:w="1843"/>
      </w:tblGrid>
      <w:tr>
        <w:trPr>
          <w:trHeight w:val="283"/>
        </w:trPr>
        <w:tc>
          <w:tcPr>
            <w:tcW w:w="1512" w:type="dxa"/>
            <w:shd w:val="clear" w:color="auto" w:fill="auto"/>
            <w:vAlign w:val="center"/>
            <w:hideMark/>
          </w:tcPr>
          <w:p>
            <w:pPr>
              <w:jc w:val="center"/>
              <w:rPr>
                <w:b/>
                <w:bCs/>
                <w:sz w:val="22"/>
                <w:szCs w:val="22"/>
                <w:lang w:val="en-PH" w:eastAsia="en-PH"/>
              </w:rPr>
            </w:pPr>
            <w:r>
              <w:rPr>
                <w:b/>
                <w:bCs/>
                <w:sz w:val="22"/>
                <w:szCs w:val="22"/>
                <w:lang w:val="en-PH" w:eastAsia="en-PH"/>
              </w:rPr>
              <w:t>PPE Accounts</w:t>
            </w:r>
          </w:p>
        </w:tc>
        <w:tc>
          <w:tcPr>
            <w:tcW w:w="1980" w:type="dxa"/>
            <w:shd w:val="clear" w:color="auto" w:fill="auto"/>
            <w:noWrap/>
            <w:vAlign w:val="center"/>
            <w:hideMark/>
          </w:tcPr>
          <w:p>
            <w:pPr>
              <w:jc w:val="center"/>
              <w:rPr>
                <w:b/>
                <w:bCs/>
                <w:sz w:val="22"/>
                <w:szCs w:val="22"/>
                <w:lang w:val="en-PH" w:eastAsia="en-PH"/>
              </w:rPr>
            </w:pPr>
            <w:r>
              <w:rPr>
                <w:b/>
                <w:bCs/>
                <w:sz w:val="22"/>
                <w:szCs w:val="22"/>
                <w:lang w:val="en-PH" w:eastAsia="en-PH"/>
              </w:rPr>
              <w:t>Beginning Balance</w:t>
            </w:r>
          </w:p>
        </w:tc>
        <w:tc>
          <w:tcPr>
            <w:tcW w:w="1752" w:type="dxa"/>
            <w:shd w:val="clear" w:color="auto" w:fill="auto"/>
            <w:vAlign w:val="center"/>
            <w:hideMark/>
          </w:tcPr>
          <w:p>
            <w:pPr>
              <w:jc w:val="center"/>
              <w:rPr>
                <w:b/>
                <w:bCs/>
                <w:sz w:val="22"/>
                <w:szCs w:val="22"/>
                <w:lang w:val="en-PH" w:eastAsia="en-PH"/>
              </w:rPr>
            </w:pPr>
            <w:r>
              <w:rPr>
                <w:b/>
                <w:bCs/>
                <w:sz w:val="22"/>
                <w:szCs w:val="22"/>
                <w:lang w:val="en-PH" w:eastAsia="en-PH"/>
              </w:rPr>
              <w:t>Additions</w:t>
            </w:r>
            <w:r>
              <w:rPr>
                <w:b/>
                <w:bCs/>
                <w:sz w:val="22"/>
                <w:szCs w:val="22"/>
                <w:lang w:val="en-PH" w:eastAsia="en-PH"/>
              </w:rPr>
              <w:br/>
              <w:t>(Depreciation)</w:t>
            </w:r>
          </w:p>
        </w:tc>
        <w:tc>
          <w:tcPr>
            <w:tcW w:w="1539" w:type="dxa"/>
            <w:shd w:val="clear" w:color="auto" w:fill="auto"/>
            <w:noWrap/>
            <w:vAlign w:val="center"/>
            <w:hideMark/>
          </w:tcPr>
          <w:p>
            <w:pPr>
              <w:jc w:val="center"/>
              <w:rPr>
                <w:b/>
                <w:bCs/>
                <w:sz w:val="22"/>
                <w:szCs w:val="22"/>
                <w:lang w:val="en-PH" w:eastAsia="en-PH"/>
              </w:rPr>
            </w:pPr>
            <w:r>
              <w:rPr>
                <w:b/>
                <w:bCs/>
                <w:sz w:val="22"/>
                <w:szCs w:val="22"/>
                <w:lang w:val="en-PH" w:eastAsia="en-PH"/>
              </w:rPr>
              <w:t>Adjustments</w:t>
            </w:r>
          </w:p>
        </w:tc>
        <w:tc>
          <w:tcPr>
            <w:tcW w:w="1843" w:type="dxa"/>
            <w:shd w:val="clear" w:color="auto" w:fill="auto"/>
            <w:noWrap/>
            <w:vAlign w:val="center"/>
            <w:hideMark/>
          </w:tcPr>
          <w:p>
            <w:pPr>
              <w:jc w:val="center"/>
              <w:rPr>
                <w:b/>
                <w:bCs/>
                <w:sz w:val="22"/>
                <w:szCs w:val="22"/>
                <w:lang w:val="en-PH" w:eastAsia="en-PH"/>
              </w:rPr>
            </w:pPr>
            <w:r>
              <w:rPr>
                <w:b/>
                <w:bCs/>
                <w:sz w:val="22"/>
                <w:szCs w:val="22"/>
                <w:lang w:val="en-PH" w:eastAsia="en-PH"/>
              </w:rPr>
              <w:t>Ending Balance</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Motor Vehicles</w:t>
            </w:r>
          </w:p>
        </w:tc>
        <w:tc>
          <w:tcPr>
            <w:tcW w:w="1980" w:type="dxa"/>
            <w:shd w:val="clear" w:color="auto" w:fill="auto"/>
            <w:vAlign w:val="center"/>
            <w:hideMark/>
          </w:tcPr>
          <w:p>
            <w:pPr>
              <w:jc w:val="right"/>
              <w:rPr>
                <w:sz w:val="22"/>
                <w:szCs w:val="22"/>
                <w:lang w:val="en-PH" w:eastAsia="en-PH"/>
              </w:rPr>
            </w:pPr>
            <w:r>
              <w:rPr>
                <w:sz w:val="22"/>
                <w:szCs w:val="22"/>
                <w:lang w:val="en-PH" w:eastAsia="en-PH"/>
              </w:rPr>
              <w:t>140,963,753.37</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7,775,222.08</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(1,629,432.55)</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147,109,542.90</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AD- Motor Vehicles</w:t>
            </w:r>
          </w:p>
        </w:tc>
        <w:tc>
          <w:tcPr>
            <w:tcW w:w="1980" w:type="dxa"/>
            <w:shd w:val="clear" w:color="auto" w:fill="auto"/>
            <w:vAlign w:val="center"/>
            <w:hideMark/>
          </w:tcPr>
          <w:p>
            <w:pPr>
              <w:jc w:val="right"/>
              <w:rPr>
                <w:sz w:val="22"/>
                <w:szCs w:val="22"/>
                <w:lang w:val="en-PH" w:eastAsia="en-PH"/>
              </w:rPr>
            </w:pPr>
            <w:r>
              <w:rPr>
                <w:sz w:val="22"/>
                <w:szCs w:val="22"/>
                <w:lang w:val="en-PH" w:eastAsia="en-PH"/>
              </w:rPr>
              <w:t>(88,272,097.16)</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(9,471,266.44)</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206,547.99</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(97,536,815.61)</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Watercrafts</w:t>
            </w:r>
          </w:p>
        </w:tc>
        <w:tc>
          <w:tcPr>
            <w:tcW w:w="1980" w:type="dxa"/>
            <w:shd w:val="clear" w:color="auto" w:fill="auto"/>
            <w:vAlign w:val="center"/>
            <w:hideMark/>
          </w:tcPr>
          <w:p>
            <w:pPr>
              <w:jc w:val="right"/>
              <w:rPr>
                <w:sz w:val="22"/>
                <w:szCs w:val="22"/>
                <w:lang w:val="en-PH" w:eastAsia="en-PH"/>
              </w:rPr>
            </w:pPr>
            <w:r>
              <w:rPr>
                <w:sz w:val="22"/>
                <w:szCs w:val="22"/>
                <w:lang w:val="en-PH" w:eastAsia="en-PH"/>
              </w:rPr>
              <w:t>4,477,503.40</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43,000.00</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(346,049.00)</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4,174,454.40</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AD-Watercrafts</w:t>
            </w:r>
          </w:p>
        </w:tc>
        <w:tc>
          <w:tcPr>
            <w:tcW w:w="1980" w:type="dxa"/>
            <w:shd w:val="clear" w:color="auto" w:fill="auto"/>
            <w:vAlign w:val="center"/>
            <w:hideMark/>
          </w:tcPr>
          <w:p>
            <w:pPr>
              <w:jc w:val="right"/>
              <w:rPr>
                <w:sz w:val="22"/>
                <w:szCs w:val="22"/>
                <w:lang w:val="en-PH" w:eastAsia="en-PH"/>
              </w:rPr>
            </w:pPr>
            <w:r>
              <w:rPr>
                <w:sz w:val="22"/>
                <w:szCs w:val="22"/>
                <w:lang w:val="en-PH" w:eastAsia="en-PH"/>
              </w:rPr>
              <w:t>(2,754,117.67)</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(262,478.90)</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249,447.50</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(2,767,149.07)</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Other Transportation Equipment</w:t>
            </w:r>
          </w:p>
        </w:tc>
        <w:tc>
          <w:tcPr>
            <w:tcW w:w="1980" w:type="dxa"/>
            <w:shd w:val="clear" w:color="auto" w:fill="auto"/>
            <w:vAlign w:val="center"/>
            <w:hideMark/>
          </w:tcPr>
          <w:p>
            <w:pPr>
              <w:jc w:val="right"/>
              <w:rPr>
                <w:sz w:val="22"/>
                <w:szCs w:val="22"/>
                <w:lang w:val="en-PH" w:eastAsia="en-PH"/>
              </w:rPr>
            </w:pPr>
            <w:r>
              <w:rPr>
                <w:sz w:val="22"/>
                <w:szCs w:val="22"/>
                <w:lang w:val="en-PH" w:eastAsia="en-PH"/>
              </w:rPr>
              <w:t>397,370.00</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0.00</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1,029,479.01</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1,426,849.01</w:t>
            </w:r>
          </w:p>
        </w:tc>
      </w:tr>
      <w:tr>
        <w:trPr>
          <w:trHeight w:val="283"/>
        </w:trPr>
        <w:tc>
          <w:tcPr>
            <w:tcW w:w="1512" w:type="dxa"/>
            <w:shd w:val="clear" w:color="auto" w:fill="auto"/>
            <w:vAlign w:val="center"/>
            <w:hideMark/>
          </w:tcPr>
          <w:p>
            <w:pPr>
              <w:rPr>
                <w:sz w:val="22"/>
                <w:szCs w:val="22"/>
                <w:lang w:val="en-PH" w:eastAsia="en-PH"/>
              </w:rPr>
            </w:pPr>
            <w:r>
              <w:rPr>
                <w:sz w:val="22"/>
                <w:szCs w:val="22"/>
                <w:lang w:val="en-PH" w:eastAsia="en-PH"/>
              </w:rPr>
              <w:t>AD-Other Trans</w:t>
            </w:r>
          </w:p>
        </w:tc>
        <w:tc>
          <w:tcPr>
            <w:tcW w:w="1980" w:type="dxa"/>
            <w:shd w:val="clear" w:color="auto" w:fill="auto"/>
            <w:vAlign w:val="center"/>
            <w:hideMark/>
          </w:tcPr>
          <w:p>
            <w:pPr>
              <w:jc w:val="right"/>
              <w:rPr>
                <w:sz w:val="22"/>
                <w:szCs w:val="22"/>
                <w:lang w:val="en-PH" w:eastAsia="en-PH"/>
              </w:rPr>
            </w:pPr>
            <w:r>
              <w:rPr>
                <w:sz w:val="22"/>
                <w:szCs w:val="22"/>
                <w:lang w:val="en-PH" w:eastAsia="en-PH"/>
              </w:rPr>
              <w:t>(183,949.80)</w:t>
            </w:r>
          </w:p>
        </w:tc>
        <w:tc>
          <w:tcPr>
            <w:tcW w:w="1752" w:type="dxa"/>
            <w:shd w:val="clear" w:color="auto" w:fill="auto"/>
            <w:noWrap/>
            <w:vAlign w:val="center"/>
            <w:hideMark/>
          </w:tcPr>
          <w:p>
            <w:pPr>
              <w:jc w:val="right"/>
              <w:rPr>
                <w:sz w:val="22"/>
                <w:szCs w:val="22"/>
                <w:lang w:val="en-PH" w:eastAsia="en-PH"/>
              </w:rPr>
            </w:pPr>
            <w:r>
              <w:rPr>
                <w:sz w:val="22"/>
                <w:szCs w:val="22"/>
                <w:lang w:val="en-PH" w:eastAsia="en-PH"/>
              </w:rPr>
              <w:t>(14,962.50)</w:t>
            </w:r>
          </w:p>
        </w:tc>
        <w:tc>
          <w:tcPr>
            <w:tcW w:w="1539" w:type="dxa"/>
            <w:shd w:val="clear" w:color="auto" w:fill="auto"/>
            <w:noWrap/>
            <w:vAlign w:val="center"/>
            <w:hideMark/>
          </w:tcPr>
          <w:p>
            <w:pPr>
              <w:jc w:val="right"/>
              <w:rPr>
                <w:sz w:val="22"/>
                <w:szCs w:val="22"/>
                <w:lang w:val="en-PH" w:eastAsia="en-PH"/>
              </w:rPr>
            </w:pPr>
            <w:r>
              <w:rPr>
                <w:sz w:val="22"/>
                <w:szCs w:val="22"/>
                <w:lang w:val="en-PH" w:eastAsia="en-PH"/>
              </w:rPr>
              <w:t>64,249.80</w:t>
            </w:r>
          </w:p>
        </w:tc>
        <w:tc>
          <w:tcPr>
            <w:tcW w:w="1843" w:type="dxa"/>
            <w:shd w:val="clear" w:color="auto" w:fill="auto"/>
            <w:noWrap/>
            <w:vAlign w:val="center"/>
            <w:hideMark/>
          </w:tcPr>
          <w:p>
            <w:pPr>
              <w:jc w:val="right"/>
              <w:rPr>
                <w:sz w:val="22"/>
                <w:szCs w:val="22"/>
                <w:lang w:val="en-PH" w:eastAsia="en-PH"/>
              </w:rPr>
            </w:pPr>
            <w:r>
              <w:rPr>
                <w:sz w:val="22"/>
                <w:szCs w:val="22"/>
                <w:lang w:val="en-PH" w:eastAsia="en-PH"/>
              </w:rPr>
              <w:t>(134,662.50)</w:t>
            </w:r>
          </w:p>
        </w:tc>
      </w:tr>
      <w:tr>
        <w:trPr>
          <w:trHeight w:val="283"/>
        </w:trPr>
        <w:tc>
          <w:tcPr>
            <w:tcW w:w="1512" w:type="dxa"/>
            <w:shd w:val="clear" w:color="auto" w:fill="auto"/>
            <w:vAlign w:val="center"/>
            <w:hideMark/>
          </w:tcPr>
          <w:p>
            <w:pPr>
              <w:rPr>
                <w:b/>
                <w:bCs/>
                <w:sz w:val="22"/>
                <w:szCs w:val="22"/>
                <w:lang w:val="en-PH" w:eastAsia="en-PH"/>
              </w:rPr>
            </w:pPr>
            <w:r>
              <w:rPr>
                <w:b/>
                <w:bCs/>
                <w:sz w:val="22"/>
                <w:szCs w:val="22"/>
                <w:lang w:val="en-PH" w:eastAsia="en-PH"/>
              </w:rPr>
              <w:t>Net Book Value</w:t>
            </w:r>
          </w:p>
        </w:tc>
        <w:tc>
          <w:tcPr>
            <w:tcW w:w="1980" w:type="dxa"/>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54,628,462.14</w:t>
            </w:r>
          </w:p>
        </w:tc>
        <w:tc>
          <w:tcPr>
            <w:tcW w:w="1752" w:type="dxa"/>
            <w:shd w:val="clear" w:color="auto" w:fill="auto"/>
            <w:noWrap/>
            <w:vAlign w:val="center"/>
            <w:hideMark/>
          </w:tcPr>
          <w:p>
            <w:pPr>
              <w:jc w:val="right"/>
              <w:rPr>
                <w:b/>
                <w:bCs/>
                <w:sz w:val="22"/>
                <w:szCs w:val="22"/>
                <w:lang w:val="en-PH" w:eastAsia="en-PH"/>
              </w:rPr>
            </w:pPr>
            <w:r>
              <w:rPr>
                <w:b/>
                <w:bCs/>
                <w:sz w:val="22"/>
                <w:szCs w:val="22"/>
                <w:lang w:val="en-PH" w:eastAsia="en-PH"/>
              </w:rPr>
              <w:t>(1,930,485.76)</w:t>
            </w:r>
          </w:p>
        </w:tc>
        <w:tc>
          <w:tcPr>
            <w:tcW w:w="1539" w:type="dxa"/>
            <w:shd w:val="clear" w:color="auto" w:fill="auto"/>
            <w:noWrap/>
            <w:vAlign w:val="center"/>
            <w:hideMark/>
          </w:tcPr>
          <w:p>
            <w:pPr>
              <w:ind w:firstLineChars="6" w:firstLine="13"/>
              <w:jc w:val="right"/>
              <w:rPr>
                <w:b/>
                <w:bCs/>
                <w:sz w:val="22"/>
                <w:szCs w:val="22"/>
                <w:lang w:val="en-PH" w:eastAsia="en-PH"/>
              </w:rPr>
            </w:pPr>
            <w:r>
              <w:rPr>
                <w:b/>
                <w:bCs/>
                <w:sz w:val="22"/>
                <w:szCs w:val="22"/>
                <w:lang w:val="en-PH" w:eastAsia="en-PH"/>
              </w:rPr>
              <w:t>(425,757.25)</w:t>
            </w:r>
          </w:p>
        </w:tc>
        <w:tc>
          <w:tcPr>
            <w:tcW w:w="1843" w:type="dxa"/>
            <w:shd w:val="clear" w:color="auto" w:fill="auto"/>
            <w:noWrap/>
            <w:vAlign w:val="center"/>
            <w:hideMark/>
          </w:tcPr>
          <w:p>
            <w:pPr>
              <w:ind w:firstLineChars="15" w:firstLine="33"/>
              <w:jc w:val="right"/>
              <w:rPr>
                <w:b/>
                <w:bCs/>
                <w:sz w:val="22"/>
                <w:szCs w:val="22"/>
                <w:lang w:val="en-PH" w:eastAsia="en-PH"/>
              </w:rPr>
            </w:pPr>
            <w:r>
              <w:rPr>
                <w:b/>
                <w:bCs/>
                <w:sz w:val="22"/>
                <w:szCs w:val="22"/>
                <w:lang w:val="en-PH" w:eastAsia="en-PH"/>
              </w:rPr>
              <w:t>52,272,219.13</w:t>
            </w:r>
          </w:p>
        </w:tc>
      </w:tr>
    </w:tbl>
    <w:p>
      <w:pPr>
        <w:jc w:val="both"/>
        <w:rPr>
          <w:sz w:val="24"/>
          <w:szCs w:val="24"/>
        </w:rPr>
      </w:pPr>
    </w:p>
    <w:p>
      <w:pPr>
        <w:ind w:left="1418" w:hanging="284"/>
        <w:jc w:val="both"/>
        <w:rPr>
          <w:b/>
          <w:bCs/>
          <w:sz w:val="24"/>
          <w:szCs w:val="24"/>
          <w:lang w:val="en-PH" w:eastAsia="en-PH"/>
        </w:rPr>
      </w:pPr>
      <w:r>
        <w:rPr>
          <w:b/>
          <w:bCs/>
          <w:sz w:val="24"/>
          <w:szCs w:val="24"/>
        </w:rPr>
        <w:t xml:space="preserve">10.7 </w:t>
      </w:r>
      <w:r>
        <w:rPr>
          <w:b/>
          <w:bCs/>
          <w:sz w:val="24"/>
          <w:szCs w:val="24"/>
          <w:lang w:val="en-PH" w:eastAsia="en-PH"/>
        </w:rPr>
        <w:t>Furniture, Fixtures &amp; Books</w:t>
      </w:r>
    </w:p>
    <w:p>
      <w:pPr>
        <w:ind w:left="720"/>
        <w:jc w:val="both"/>
        <w:rPr>
          <w:b/>
          <w:bCs/>
          <w:sz w:val="24"/>
          <w:szCs w:val="24"/>
        </w:rPr>
      </w:pPr>
    </w:p>
    <w:p>
      <w:pPr>
        <w:spacing w:line="276" w:lineRule="auto"/>
        <w:ind w:left="1418"/>
        <w:jc w:val="both"/>
        <w:rPr>
          <w:sz w:val="24"/>
          <w:szCs w:val="24"/>
        </w:rPr>
      </w:pPr>
      <w:r>
        <w:rPr>
          <w:sz w:val="24"/>
          <w:szCs w:val="24"/>
        </w:rPr>
        <w:t>This comprised of the following accounts with their comparative figure for the years ended 2022 and 2021.</w:t>
      </w:r>
    </w:p>
    <w:p>
      <w:pPr>
        <w:jc w:val="both"/>
        <w:rPr>
          <w:b/>
          <w:bCs/>
          <w:sz w:val="24"/>
          <w:szCs w:val="24"/>
        </w:rPr>
      </w:pPr>
    </w:p>
    <w:tbl>
      <w:tblPr>
        <w:tblW w:w="8203" w:type="dxa"/>
        <w:tblInd w:w="1526" w:type="dxa"/>
        <w:tblLayout w:type="fixed"/>
        <w:tblLook w:val="04A0" w:firstRow="1" w:lastRow="0" w:firstColumn="1" w:lastColumn="0" w:noHBand="0" w:noVBand="1"/>
      </w:tblPr>
      <w:tblGrid>
        <w:gridCol w:w="3654"/>
        <w:gridCol w:w="2274"/>
        <w:gridCol w:w="2275"/>
      </w:tblGrid>
      <w:tr>
        <w:trPr>
          <w:trHeight w:val="281"/>
        </w:trPr>
        <w:tc>
          <w:tcPr>
            <w:tcW w:w="365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Furniture, Fixtures &amp; Books</w:t>
            </w:r>
          </w:p>
        </w:tc>
        <w:tc>
          <w:tcPr>
            <w:tcW w:w="227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7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1"/>
        </w:trPr>
        <w:tc>
          <w:tcPr>
            <w:tcW w:w="365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Furniture &amp; Fixtures</w:t>
            </w:r>
          </w:p>
        </w:tc>
        <w:tc>
          <w:tcPr>
            <w:tcW w:w="227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14,009,188.30 </w:t>
            </w:r>
          </w:p>
        </w:tc>
        <w:tc>
          <w:tcPr>
            <w:tcW w:w="227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22,885,703.14 </w:t>
            </w:r>
          </w:p>
        </w:tc>
      </w:tr>
      <w:tr>
        <w:trPr>
          <w:trHeight w:val="281"/>
        </w:trPr>
        <w:tc>
          <w:tcPr>
            <w:tcW w:w="365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 Furniture &amp; Fixtures</w:t>
            </w:r>
          </w:p>
        </w:tc>
        <w:tc>
          <w:tcPr>
            <w:tcW w:w="227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(6,276,709.51)</w:t>
            </w:r>
          </w:p>
        </w:tc>
        <w:tc>
          <w:tcPr>
            <w:tcW w:w="227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(11,313,113.12)</w:t>
            </w:r>
          </w:p>
        </w:tc>
      </w:tr>
      <w:tr>
        <w:trPr>
          <w:trHeight w:val="281"/>
        </w:trPr>
        <w:tc>
          <w:tcPr>
            <w:tcW w:w="365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Books</w:t>
            </w:r>
          </w:p>
        </w:tc>
        <w:tc>
          <w:tcPr>
            <w:tcW w:w="227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63,198.60 </w:t>
            </w:r>
          </w:p>
        </w:tc>
        <w:tc>
          <w:tcPr>
            <w:tcW w:w="227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2,653,061.00 </w:t>
            </w:r>
          </w:p>
        </w:tc>
      </w:tr>
      <w:tr>
        <w:trPr>
          <w:trHeight w:val="281"/>
        </w:trPr>
        <w:tc>
          <w:tcPr>
            <w:tcW w:w="365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AD-Books</w:t>
            </w:r>
          </w:p>
        </w:tc>
        <w:tc>
          <w:tcPr>
            <w:tcW w:w="227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(1,000.64)</w:t>
            </w:r>
          </w:p>
        </w:tc>
        <w:tc>
          <w:tcPr>
            <w:tcW w:w="227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(2,452,003.53)</w:t>
            </w:r>
          </w:p>
        </w:tc>
      </w:tr>
      <w:tr>
        <w:trPr>
          <w:trHeight w:val="281"/>
        </w:trPr>
        <w:tc>
          <w:tcPr>
            <w:tcW w:w="365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2274"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7,794,676.75 </w:t>
            </w:r>
          </w:p>
        </w:tc>
        <w:tc>
          <w:tcPr>
            <w:tcW w:w="227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11,773,647.49 </w:t>
            </w:r>
          </w:p>
        </w:tc>
      </w:tr>
    </w:tbl>
    <w:p>
      <w:pPr>
        <w:jc w:val="both"/>
        <w:rPr>
          <w:b/>
          <w:bCs/>
          <w:sz w:val="24"/>
          <w:szCs w:val="24"/>
        </w:rPr>
      </w:pPr>
    </w:p>
    <w:p>
      <w:pPr>
        <w:ind w:left="1418"/>
        <w:jc w:val="both"/>
        <w:rPr>
          <w:sz w:val="24"/>
          <w:szCs w:val="24"/>
        </w:rPr>
      </w:pPr>
      <w:r>
        <w:rPr>
          <w:sz w:val="24"/>
          <w:szCs w:val="24"/>
        </w:rPr>
        <w:lastRenderedPageBreak/>
        <w:t>The movement of this account during the year is as per below table:</w:t>
      </w:r>
    </w:p>
    <w:p>
      <w:pPr>
        <w:jc w:val="both"/>
        <w:rPr>
          <w:sz w:val="24"/>
          <w:szCs w:val="24"/>
        </w:rPr>
      </w:pPr>
    </w:p>
    <w:tbl>
      <w:tblPr>
        <w:tblW w:w="8646"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756"/>
        <w:gridCol w:w="1696"/>
        <w:gridCol w:w="1756"/>
        <w:gridCol w:w="1879"/>
      </w:tblGrid>
      <w:tr>
        <w:trPr>
          <w:trHeight w:val="283"/>
        </w:trPr>
        <w:tc>
          <w:tcPr>
            <w:tcW w:w="1559" w:type="dxa"/>
            <w:shd w:val="clear" w:color="auto" w:fill="auto"/>
            <w:vAlign w:val="center"/>
            <w:hideMark/>
          </w:tcPr>
          <w:p>
            <w:pPr>
              <w:jc w:val="center"/>
              <w:rPr>
                <w:b/>
                <w:bCs/>
                <w:sz w:val="24"/>
                <w:szCs w:val="24"/>
                <w:lang w:val="en-PH" w:eastAsia="en-PH"/>
              </w:rPr>
            </w:pPr>
            <w:r>
              <w:rPr>
                <w:b/>
                <w:bCs/>
                <w:sz w:val="24"/>
                <w:szCs w:val="24"/>
                <w:lang w:val="en-PH" w:eastAsia="en-PH"/>
              </w:rPr>
              <w:t>PPE Accounts</w:t>
            </w:r>
          </w:p>
        </w:tc>
        <w:tc>
          <w:tcPr>
            <w:tcW w:w="1756" w:type="dxa"/>
            <w:shd w:val="clear" w:color="auto" w:fill="auto"/>
            <w:noWrap/>
            <w:vAlign w:val="center"/>
            <w:hideMark/>
          </w:tcPr>
          <w:p>
            <w:pPr>
              <w:jc w:val="center"/>
              <w:rPr>
                <w:b/>
                <w:bCs/>
                <w:sz w:val="24"/>
                <w:szCs w:val="24"/>
                <w:lang w:val="en-PH" w:eastAsia="en-PH"/>
              </w:rPr>
            </w:pPr>
            <w:r>
              <w:rPr>
                <w:b/>
                <w:bCs/>
                <w:sz w:val="24"/>
                <w:szCs w:val="24"/>
                <w:lang w:val="en-PH" w:eastAsia="en-PH"/>
              </w:rPr>
              <w:t>Beginning Balance</w:t>
            </w:r>
          </w:p>
        </w:tc>
        <w:tc>
          <w:tcPr>
            <w:tcW w:w="1696" w:type="dxa"/>
            <w:shd w:val="clear" w:color="auto" w:fill="auto"/>
            <w:vAlign w:val="center"/>
            <w:hideMark/>
          </w:tcPr>
          <w:p>
            <w:pPr>
              <w:jc w:val="center"/>
              <w:rPr>
                <w:b/>
                <w:bCs/>
                <w:sz w:val="24"/>
                <w:szCs w:val="24"/>
                <w:lang w:val="en-PH" w:eastAsia="en-PH"/>
              </w:rPr>
            </w:pPr>
            <w:r>
              <w:rPr>
                <w:b/>
                <w:bCs/>
                <w:sz w:val="24"/>
                <w:szCs w:val="24"/>
                <w:lang w:val="en-PH" w:eastAsia="en-PH"/>
              </w:rPr>
              <w:t>Additions</w:t>
            </w:r>
            <w:r>
              <w:rPr>
                <w:b/>
                <w:bCs/>
                <w:sz w:val="24"/>
                <w:szCs w:val="24"/>
                <w:lang w:val="en-PH" w:eastAsia="en-PH"/>
              </w:rPr>
              <w:br/>
              <w:t>(Depreciation)</w:t>
            </w:r>
          </w:p>
        </w:tc>
        <w:tc>
          <w:tcPr>
            <w:tcW w:w="1756" w:type="dxa"/>
            <w:shd w:val="clear" w:color="auto" w:fill="auto"/>
            <w:noWrap/>
            <w:vAlign w:val="center"/>
            <w:hideMark/>
          </w:tcPr>
          <w:p>
            <w:pPr>
              <w:jc w:val="center"/>
              <w:rPr>
                <w:b/>
                <w:bCs/>
                <w:sz w:val="24"/>
                <w:szCs w:val="24"/>
                <w:lang w:val="en-PH" w:eastAsia="en-PH"/>
              </w:rPr>
            </w:pPr>
            <w:r>
              <w:rPr>
                <w:b/>
                <w:bCs/>
                <w:sz w:val="24"/>
                <w:szCs w:val="24"/>
                <w:lang w:val="en-PH" w:eastAsia="en-PH"/>
              </w:rPr>
              <w:t>Adjustments</w:t>
            </w:r>
          </w:p>
        </w:tc>
        <w:tc>
          <w:tcPr>
            <w:tcW w:w="1879" w:type="dxa"/>
            <w:shd w:val="clear" w:color="auto" w:fill="auto"/>
            <w:noWrap/>
            <w:vAlign w:val="center"/>
            <w:hideMark/>
          </w:tcPr>
          <w:p>
            <w:pPr>
              <w:jc w:val="center"/>
              <w:rPr>
                <w:b/>
                <w:bCs/>
                <w:sz w:val="24"/>
                <w:szCs w:val="24"/>
                <w:lang w:val="en-PH" w:eastAsia="en-PH"/>
              </w:rPr>
            </w:pPr>
            <w:r>
              <w:rPr>
                <w:b/>
                <w:bCs/>
                <w:sz w:val="24"/>
                <w:szCs w:val="24"/>
                <w:lang w:val="en-PH" w:eastAsia="en-PH"/>
              </w:rPr>
              <w:t>Ending Balance</w:t>
            </w:r>
          </w:p>
        </w:tc>
      </w:tr>
      <w:tr>
        <w:trPr>
          <w:trHeight w:val="283"/>
        </w:trPr>
        <w:tc>
          <w:tcPr>
            <w:tcW w:w="1559" w:type="dxa"/>
            <w:shd w:val="clear" w:color="auto" w:fill="auto"/>
            <w:vAlign w:val="center"/>
            <w:hideMark/>
          </w:tcPr>
          <w:p>
            <w:pPr>
              <w:rPr>
                <w:sz w:val="24"/>
                <w:szCs w:val="24"/>
                <w:lang w:val="en-PH" w:eastAsia="en-PH"/>
              </w:rPr>
            </w:pPr>
            <w:r>
              <w:rPr>
                <w:sz w:val="24"/>
                <w:szCs w:val="24"/>
                <w:lang w:val="en-PH" w:eastAsia="en-PH"/>
              </w:rPr>
              <w:t>Furniture &amp; Fixtures</w:t>
            </w:r>
          </w:p>
        </w:tc>
        <w:tc>
          <w:tcPr>
            <w:tcW w:w="1756" w:type="dxa"/>
            <w:shd w:val="clear" w:color="auto" w:fill="auto"/>
            <w:vAlign w:val="center"/>
            <w:hideMark/>
          </w:tcPr>
          <w:p>
            <w:pPr>
              <w:jc w:val="right"/>
              <w:rPr>
                <w:sz w:val="24"/>
                <w:szCs w:val="24"/>
                <w:lang w:val="en-PH" w:eastAsia="en-PH"/>
              </w:rPr>
            </w:pPr>
            <w:r>
              <w:rPr>
                <w:sz w:val="24"/>
                <w:szCs w:val="24"/>
                <w:lang w:val="en-PH" w:eastAsia="en-PH"/>
              </w:rPr>
              <w:t>22,885,703.14</w:t>
            </w:r>
          </w:p>
        </w:tc>
        <w:tc>
          <w:tcPr>
            <w:tcW w:w="1696" w:type="dxa"/>
            <w:shd w:val="clear" w:color="auto" w:fill="auto"/>
            <w:noWrap/>
            <w:vAlign w:val="bottom"/>
            <w:hideMark/>
          </w:tcPr>
          <w:p>
            <w:pPr>
              <w:jc w:val="right"/>
              <w:rPr>
                <w:sz w:val="24"/>
                <w:szCs w:val="24"/>
                <w:lang w:val="en-PH" w:eastAsia="en-PH"/>
              </w:rPr>
            </w:pPr>
            <w:r>
              <w:rPr>
                <w:sz w:val="24"/>
                <w:szCs w:val="24"/>
                <w:lang w:val="en-PH" w:eastAsia="en-PH"/>
              </w:rPr>
              <w:t>2,497,657.00</w:t>
            </w:r>
          </w:p>
        </w:tc>
        <w:tc>
          <w:tcPr>
            <w:tcW w:w="1756" w:type="dxa"/>
            <w:shd w:val="clear" w:color="auto" w:fill="auto"/>
            <w:noWrap/>
            <w:vAlign w:val="bottom"/>
            <w:hideMark/>
          </w:tcPr>
          <w:p>
            <w:pPr>
              <w:jc w:val="right"/>
              <w:rPr>
                <w:sz w:val="24"/>
                <w:szCs w:val="24"/>
                <w:lang w:val="en-PH" w:eastAsia="en-PH"/>
              </w:rPr>
            </w:pPr>
            <w:r>
              <w:rPr>
                <w:sz w:val="24"/>
                <w:szCs w:val="24"/>
                <w:lang w:val="en-PH" w:eastAsia="en-PH"/>
              </w:rPr>
              <w:t>(11,374,171.84)</w:t>
            </w:r>
          </w:p>
        </w:tc>
        <w:tc>
          <w:tcPr>
            <w:tcW w:w="1879" w:type="dxa"/>
            <w:shd w:val="clear" w:color="auto" w:fill="auto"/>
            <w:noWrap/>
            <w:vAlign w:val="bottom"/>
            <w:hideMark/>
          </w:tcPr>
          <w:p>
            <w:pPr>
              <w:jc w:val="right"/>
              <w:rPr>
                <w:sz w:val="24"/>
                <w:szCs w:val="24"/>
                <w:lang w:val="en-PH" w:eastAsia="en-PH"/>
              </w:rPr>
            </w:pPr>
            <w:r>
              <w:rPr>
                <w:sz w:val="24"/>
                <w:szCs w:val="24"/>
                <w:lang w:val="en-PH" w:eastAsia="en-PH"/>
              </w:rPr>
              <w:t>14,009,188.30</w:t>
            </w:r>
          </w:p>
        </w:tc>
      </w:tr>
      <w:tr>
        <w:trPr>
          <w:trHeight w:val="283"/>
        </w:trPr>
        <w:tc>
          <w:tcPr>
            <w:tcW w:w="1559" w:type="dxa"/>
            <w:shd w:val="clear" w:color="auto" w:fill="auto"/>
            <w:vAlign w:val="center"/>
            <w:hideMark/>
          </w:tcPr>
          <w:p>
            <w:pPr>
              <w:rPr>
                <w:sz w:val="24"/>
                <w:szCs w:val="24"/>
                <w:lang w:val="en-PH" w:eastAsia="en-PH"/>
              </w:rPr>
            </w:pPr>
            <w:r>
              <w:rPr>
                <w:sz w:val="24"/>
                <w:szCs w:val="24"/>
                <w:lang w:val="en-PH" w:eastAsia="en-PH"/>
              </w:rPr>
              <w:t>AD-Furniture &amp; Fixtures</w:t>
            </w:r>
          </w:p>
        </w:tc>
        <w:tc>
          <w:tcPr>
            <w:tcW w:w="1756" w:type="dxa"/>
            <w:shd w:val="clear" w:color="auto" w:fill="auto"/>
            <w:vAlign w:val="center"/>
            <w:hideMark/>
          </w:tcPr>
          <w:p>
            <w:pPr>
              <w:jc w:val="right"/>
              <w:rPr>
                <w:sz w:val="24"/>
                <w:szCs w:val="24"/>
                <w:lang w:val="en-PH" w:eastAsia="en-PH"/>
              </w:rPr>
            </w:pPr>
            <w:r>
              <w:rPr>
                <w:sz w:val="24"/>
                <w:szCs w:val="24"/>
                <w:lang w:val="en-PH" w:eastAsia="en-PH"/>
              </w:rPr>
              <w:t>(11,313,113.12)</w:t>
            </w:r>
          </w:p>
        </w:tc>
        <w:tc>
          <w:tcPr>
            <w:tcW w:w="1696" w:type="dxa"/>
            <w:shd w:val="clear" w:color="auto" w:fill="auto"/>
            <w:noWrap/>
            <w:vAlign w:val="bottom"/>
            <w:hideMark/>
          </w:tcPr>
          <w:p>
            <w:pPr>
              <w:jc w:val="right"/>
              <w:rPr>
                <w:sz w:val="24"/>
                <w:szCs w:val="24"/>
                <w:lang w:val="en-PH" w:eastAsia="en-PH"/>
              </w:rPr>
            </w:pPr>
            <w:r>
              <w:rPr>
                <w:sz w:val="24"/>
                <w:szCs w:val="24"/>
                <w:lang w:val="en-PH" w:eastAsia="en-PH"/>
              </w:rPr>
              <w:t>(1,005,130.80)</w:t>
            </w:r>
          </w:p>
        </w:tc>
        <w:tc>
          <w:tcPr>
            <w:tcW w:w="1756" w:type="dxa"/>
            <w:shd w:val="clear" w:color="auto" w:fill="auto"/>
            <w:noWrap/>
            <w:vAlign w:val="bottom"/>
            <w:hideMark/>
          </w:tcPr>
          <w:p>
            <w:pPr>
              <w:jc w:val="right"/>
              <w:rPr>
                <w:sz w:val="24"/>
                <w:szCs w:val="24"/>
                <w:lang w:val="en-PH" w:eastAsia="en-PH"/>
              </w:rPr>
            </w:pPr>
            <w:r>
              <w:rPr>
                <w:sz w:val="24"/>
                <w:szCs w:val="24"/>
                <w:lang w:val="en-PH" w:eastAsia="en-PH"/>
              </w:rPr>
              <w:t>6,041,534.41</w:t>
            </w:r>
          </w:p>
        </w:tc>
        <w:tc>
          <w:tcPr>
            <w:tcW w:w="1879" w:type="dxa"/>
            <w:shd w:val="clear" w:color="auto" w:fill="auto"/>
            <w:noWrap/>
            <w:vAlign w:val="bottom"/>
            <w:hideMark/>
          </w:tcPr>
          <w:p>
            <w:pPr>
              <w:jc w:val="right"/>
              <w:rPr>
                <w:sz w:val="24"/>
                <w:szCs w:val="24"/>
                <w:lang w:val="en-PH" w:eastAsia="en-PH"/>
              </w:rPr>
            </w:pPr>
            <w:r>
              <w:rPr>
                <w:sz w:val="24"/>
                <w:szCs w:val="24"/>
                <w:lang w:val="en-PH" w:eastAsia="en-PH"/>
              </w:rPr>
              <w:t>(6,276,709.51)</w:t>
            </w:r>
          </w:p>
        </w:tc>
      </w:tr>
      <w:tr>
        <w:trPr>
          <w:trHeight w:val="283"/>
        </w:trPr>
        <w:tc>
          <w:tcPr>
            <w:tcW w:w="1559" w:type="dxa"/>
            <w:shd w:val="clear" w:color="auto" w:fill="auto"/>
            <w:vAlign w:val="center"/>
            <w:hideMark/>
          </w:tcPr>
          <w:p>
            <w:pPr>
              <w:rPr>
                <w:sz w:val="24"/>
                <w:szCs w:val="24"/>
                <w:lang w:val="en-PH" w:eastAsia="en-PH"/>
              </w:rPr>
            </w:pPr>
            <w:r>
              <w:rPr>
                <w:sz w:val="24"/>
                <w:szCs w:val="24"/>
                <w:lang w:val="en-PH" w:eastAsia="en-PH"/>
              </w:rPr>
              <w:t>Books</w:t>
            </w:r>
          </w:p>
        </w:tc>
        <w:tc>
          <w:tcPr>
            <w:tcW w:w="1756" w:type="dxa"/>
            <w:shd w:val="clear" w:color="auto" w:fill="auto"/>
            <w:vAlign w:val="center"/>
            <w:hideMark/>
          </w:tcPr>
          <w:p>
            <w:pPr>
              <w:jc w:val="right"/>
              <w:rPr>
                <w:sz w:val="24"/>
                <w:szCs w:val="24"/>
                <w:lang w:val="en-PH" w:eastAsia="en-PH"/>
              </w:rPr>
            </w:pPr>
            <w:r>
              <w:rPr>
                <w:sz w:val="24"/>
                <w:szCs w:val="24"/>
                <w:lang w:val="en-PH" w:eastAsia="en-PH"/>
              </w:rPr>
              <w:t>2,653,061.00</w:t>
            </w:r>
          </w:p>
        </w:tc>
        <w:tc>
          <w:tcPr>
            <w:tcW w:w="1696" w:type="dxa"/>
            <w:shd w:val="clear" w:color="auto" w:fill="auto"/>
            <w:noWrap/>
            <w:vAlign w:val="bottom"/>
            <w:hideMark/>
          </w:tcPr>
          <w:p>
            <w:pPr>
              <w:jc w:val="right"/>
              <w:rPr>
                <w:sz w:val="24"/>
                <w:szCs w:val="24"/>
                <w:lang w:val="en-PH" w:eastAsia="en-PH"/>
              </w:rPr>
            </w:pPr>
            <w:r>
              <w:rPr>
                <w:sz w:val="24"/>
                <w:szCs w:val="24"/>
                <w:lang w:val="en-PH" w:eastAsia="en-PH"/>
              </w:rPr>
              <w:t>63,198.60</w:t>
            </w:r>
          </w:p>
        </w:tc>
        <w:tc>
          <w:tcPr>
            <w:tcW w:w="1756" w:type="dxa"/>
            <w:shd w:val="clear" w:color="auto" w:fill="auto"/>
            <w:noWrap/>
            <w:vAlign w:val="bottom"/>
            <w:hideMark/>
          </w:tcPr>
          <w:p>
            <w:pPr>
              <w:jc w:val="right"/>
              <w:rPr>
                <w:sz w:val="24"/>
                <w:szCs w:val="24"/>
                <w:lang w:val="en-PH" w:eastAsia="en-PH"/>
              </w:rPr>
            </w:pPr>
            <w:r>
              <w:rPr>
                <w:sz w:val="24"/>
                <w:szCs w:val="24"/>
                <w:lang w:val="en-PH" w:eastAsia="en-PH"/>
              </w:rPr>
              <w:t>(2,653,061.00)</w:t>
            </w:r>
          </w:p>
        </w:tc>
        <w:tc>
          <w:tcPr>
            <w:tcW w:w="1879" w:type="dxa"/>
            <w:shd w:val="clear" w:color="auto" w:fill="auto"/>
            <w:noWrap/>
            <w:vAlign w:val="bottom"/>
            <w:hideMark/>
          </w:tcPr>
          <w:p>
            <w:pPr>
              <w:jc w:val="right"/>
              <w:rPr>
                <w:sz w:val="24"/>
                <w:szCs w:val="24"/>
                <w:lang w:val="en-PH" w:eastAsia="en-PH"/>
              </w:rPr>
            </w:pPr>
            <w:r>
              <w:rPr>
                <w:sz w:val="24"/>
                <w:szCs w:val="24"/>
                <w:lang w:val="en-PH" w:eastAsia="en-PH"/>
              </w:rPr>
              <w:t>63,198.60</w:t>
            </w:r>
          </w:p>
        </w:tc>
      </w:tr>
      <w:tr>
        <w:trPr>
          <w:trHeight w:val="283"/>
        </w:trPr>
        <w:tc>
          <w:tcPr>
            <w:tcW w:w="1559" w:type="dxa"/>
            <w:shd w:val="clear" w:color="auto" w:fill="auto"/>
            <w:vAlign w:val="center"/>
            <w:hideMark/>
          </w:tcPr>
          <w:p>
            <w:pPr>
              <w:rPr>
                <w:sz w:val="24"/>
                <w:szCs w:val="24"/>
                <w:lang w:val="en-PH" w:eastAsia="en-PH"/>
              </w:rPr>
            </w:pPr>
            <w:r>
              <w:rPr>
                <w:sz w:val="24"/>
                <w:szCs w:val="24"/>
                <w:lang w:val="en-PH" w:eastAsia="en-PH"/>
              </w:rPr>
              <w:t>AD-Books</w:t>
            </w:r>
          </w:p>
        </w:tc>
        <w:tc>
          <w:tcPr>
            <w:tcW w:w="1756" w:type="dxa"/>
            <w:shd w:val="clear" w:color="auto" w:fill="auto"/>
            <w:vAlign w:val="center"/>
            <w:hideMark/>
          </w:tcPr>
          <w:p>
            <w:pPr>
              <w:jc w:val="right"/>
              <w:rPr>
                <w:sz w:val="24"/>
                <w:szCs w:val="24"/>
                <w:lang w:val="en-PH" w:eastAsia="en-PH"/>
              </w:rPr>
            </w:pPr>
            <w:r>
              <w:rPr>
                <w:sz w:val="24"/>
                <w:szCs w:val="24"/>
                <w:lang w:val="en-PH" w:eastAsia="en-PH"/>
              </w:rPr>
              <w:t>(2,452,003.53)</w:t>
            </w:r>
          </w:p>
        </w:tc>
        <w:tc>
          <w:tcPr>
            <w:tcW w:w="1696" w:type="dxa"/>
            <w:shd w:val="clear" w:color="auto" w:fill="auto"/>
            <w:noWrap/>
            <w:vAlign w:val="bottom"/>
            <w:hideMark/>
          </w:tcPr>
          <w:p>
            <w:pPr>
              <w:jc w:val="right"/>
              <w:rPr>
                <w:sz w:val="24"/>
                <w:szCs w:val="24"/>
                <w:lang w:val="en-PH" w:eastAsia="en-PH"/>
              </w:rPr>
            </w:pPr>
            <w:r>
              <w:rPr>
                <w:sz w:val="24"/>
                <w:szCs w:val="24"/>
                <w:lang w:val="en-PH" w:eastAsia="en-PH"/>
              </w:rPr>
              <w:t>(1,000.64)</w:t>
            </w:r>
          </w:p>
        </w:tc>
        <w:tc>
          <w:tcPr>
            <w:tcW w:w="1756" w:type="dxa"/>
            <w:shd w:val="clear" w:color="auto" w:fill="auto"/>
            <w:noWrap/>
            <w:vAlign w:val="bottom"/>
            <w:hideMark/>
          </w:tcPr>
          <w:p>
            <w:pPr>
              <w:jc w:val="right"/>
              <w:rPr>
                <w:sz w:val="24"/>
                <w:szCs w:val="24"/>
                <w:lang w:val="en-PH" w:eastAsia="en-PH"/>
              </w:rPr>
            </w:pPr>
            <w:r>
              <w:rPr>
                <w:sz w:val="24"/>
                <w:szCs w:val="24"/>
                <w:lang w:val="en-PH" w:eastAsia="en-PH"/>
              </w:rPr>
              <w:t>2,452,003.53</w:t>
            </w:r>
          </w:p>
        </w:tc>
        <w:tc>
          <w:tcPr>
            <w:tcW w:w="1879" w:type="dxa"/>
            <w:shd w:val="clear" w:color="auto" w:fill="auto"/>
            <w:noWrap/>
            <w:vAlign w:val="bottom"/>
            <w:hideMark/>
          </w:tcPr>
          <w:p>
            <w:pPr>
              <w:jc w:val="right"/>
              <w:rPr>
                <w:sz w:val="24"/>
                <w:szCs w:val="24"/>
                <w:lang w:val="en-PH" w:eastAsia="en-PH"/>
              </w:rPr>
            </w:pPr>
            <w:r>
              <w:rPr>
                <w:sz w:val="24"/>
                <w:szCs w:val="24"/>
                <w:lang w:val="en-PH" w:eastAsia="en-PH"/>
              </w:rPr>
              <w:t>(1,000.64)</w:t>
            </w:r>
          </w:p>
        </w:tc>
      </w:tr>
      <w:tr>
        <w:trPr>
          <w:trHeight w:val="283"/>
        </w:trPr>
        <w:tc>
          <w:tcPr>
            <w:tcW w:w="1559" w:type="dxa"/>
            <w:shd w:val="clear" w:color="auto" w:fill="auto"/>
            <w:vAlign w:val="center"/>
            <w:hideMark/>
          </w:tcPr>
          <w:p>
            <w:pPr>
              <w:rPr>
                <w:b/>
                <w:bCs/>
                <w:sz w:val="24"/>
                <w:szCs w:val="24"/>
                <w:lang w:val="en-PH" w:eastAsia="en-PH"/>
              </w:rPr>
            </w:pPr>
            <w:r>
              <w:rPr>
                <w:b/>
                <w:bCs/>
                <w:sz w:val="24"/>
                <w:szCs w:val="24"/>
                <w:lang w:val="en-PH" w:eastAsia="en-PH"/>
              </w:rPr>
              <w:t>Net Book Value</w:t>
            </w:r>
          </w:p>
        </w:tc>
        <w:tc>
          <w:tcPr>
            <w:tcW w:w="1756" w:type="dxa"/>
            <w:shd w:val="clear" w:color="auto" w:fill="auto"/>
            <w:noWrap/>
            <w:vAlign w:val="center"/>
            <w:hideMark/>
          </w:tcPr>
          <w:p>
            <w:pPr>
              <w:jc w:val="right"/>
              <w:rPr>
                <w:b/>
                <w:bCs/>
                <w:sz w:val="24"/>
                <w:szCs w:val="24"/>
                <w:lang w:val="en-PH" w:eastAsia="en-PH"/>
              </w:rPr>
            </w:pPr>
            <w:r>
              <w:rPr>
                <w:b/>
                <w:bCs/>
                <w:sz w:val="24"/>
                <w:szCs w:val="24"/>
                <w:lang w:val="en-PH" w:eastAsia="en-PH"/>
              </w:rPr>
              <w:t>11,773,647.49</w:t>
            </w:r>
          </w:p>
        </w:tc>
        <w:tc>
          <w:tcPr>
            <w:tcW w:w="1696" w:type="dxa"/>
            <w:shd w:val="clear" w:color="auto" w:fill="auto"/>
            <w:noWrap/>
            <w:vAlign w:val="center"/>
            <w:hideMark/>
          </w:tcPr>
          <w:p>
            <w:pPr>
              <w:jc w:val="right"/>
              <w:rPr>
                <w:b/>
                <w:bCs/>
                <w:sz w:val="24"/>
                <w:szCs w:val="24"/>
                <w:lang w:val="en-PH" w:eastAsia="en-PH"/>
              </w:rPr>
            </w:pPr>
            <w:r>
              <w:rPr>
                <w:b/>
                <w:bCs/>
                <w:sz w:val="24"/>
                <w:szCs w:val="24"/>
                <w:lang w:val="en-PH" w:eastAsia="en-PH"/>
              </w:rPr>
              <w:t>1,554,724.16</w:t>
            </w:r>
          </w:p>
        </w:tc>
        <w:tc>
          <w:tcPr>
            <w:tcW w:w="1756" w:type="dxa"/>
            <w:shd w:val="clear" w:color="auto" w:fill="auto"/>
            <w:noWrap/>
            <w:vAlign w:val="center"/>
            <w:hideMark/>
          </w:tcPr>
          <w:p>
            <w:pPr>
              <w:jc w:val="right"/>
              <w:rPr>
                <w:b/>
                <w:bCs/>
                <w:sz w:val="24"/>
                <w:szCs w:val="24"/>
                <w:lang w:val="en-PH" w:eastAsia="en-PH"/>
              </w:rPr>
            </w:pPr>
            <w:r>
              <w:rPr>
                <w:b/>
                <w:bCs/>
                <w:sz w:val="24"/>
                <w:szCs w:val="24"/>
                <w:lang w:val="en-PH" w:eastAsia="en-PH"/>
              </w:rPr>
              <w:t>(5,533,694.90)</w:t>
            </w:r>
          </w:p>
        </w:tc>
        <w:tc>
          <w:tcPr>
            <w:tcW w:w="1879" w:type="dxa"/>
            <w:shd w:val="clear" w:color="auto" w:fill="auto"/>
            <w:noWrap/>
            <w:vAlign w:val="center"/>
            <w:hideMark/>
          </w:tcPr>
          <w:p>
            <w:pPr>
              <w:jc w:val="right"/>
              <w:rPr>
                <w:b/>
                <w:bCs/>
                <w:sz w:val="24"/>
                <w:szCs w:val="24"/>
                <w:lang w:val="en-PH" w:eastAsia="en-PH"/>
              </w:rPr>
            </w:pPr>
            <w:r>
              <w:rPr>
                <w:b/>
                <w:bCs/>
                <w:sz w:val="24"/>
                <w:szCs w:val="24"/>
                <w:lang w:val="en-PH" w:eastAsia="en-PH"/>
              </w:rPr>
              <w:t>7,794,676.75</w:t>
            </w:r>
          </w:p>
        </w:tc>
      </w:tr>
    </w:tbl>
    <w:p>
      <w:pPr>
        <w:jc w:val="both"/>
        <w:rPr>
          <w:sz w:val="24"/>
          <w:szCs w:val="24"/>
        </w:rPr>
      </w:pPr>
    </w:p>
    <w:p>
      <w:pPr>
        <w:spacing w:line="276" w:lineRule="auto"/>
        <w:ind w:left="1418"/>
        <w:jc w:val="both"/>
        <w:rPr>
          <w:sz w:val="24"/>
          <w:szCs w:val="24"/>
        </w:rPr>
      </w:pPr>
      <w:r>
        <w:rPr>
          <w:sz w:val="24"/>
          <w:szCs w:val="24"/>
        </w:rPr>
        <w:t>The adjustment made during the year is complying of COA Circular 2022-004 dated May 31, 2022 relative to the increase in the capitalization threshold from 15,000.00 to 50,000.00</w:t>
      </w:r>
    </w:p>
    <w:p>
      <w:pPr>
        <w:jc w:val="both"/>
        <w:rPr>
          <w:sz w:val="24"/>
          <w:szCs w:val="24"/>
        </w:rPr>
      </w:pPr>
      <w:r>
        <w:rPr>
          <w:sz w:val="24"/>
          <w:szCs w:val="24"/>
        </w:rPr>
        <w:tab/>
      </w:r>
    </w:p>
    <w:p>
      <w:pPr>
        <w:ind w:left="1134"/>
        <w:jc w:val="both"/>
        <w:rPr>
          <w:b/>
          <w:bCs/>
          <w:sz w:val="24"/>
          <w:szCs w:val="24"/>
        </w:rPr>
      </w:pPr>
      <w:r>
        <w:rPr>
          <w:b/>
          <w:bCs/>
          <w:sz w:val="24"/>
          <w:szCs w:val="24"/>
        </w:rPr>
        <w:t>10.8 Construction in Progress</w:t>
      </w:r>
    </w:p>
    <w:p>
      <w:pPr>
        <w:jc w:val="both"/>
        <w:rPr>
          <w:b/>
          <w:bCs/>
          <w:sz w:val="24"/>
          <w:szCs w:val="24"/>
        </w:rPr>
      </w:pPr>
    </w:p>
    <w:p>
      <w:pPr>
        <w:spacing w:line="276" w:lineRule="auto"/>
        <w:ind w:left="1418"/>
        <w:jc w:val="both"/>
        <w:rPr>
          <w:sz w:val="24"/>
          <w:szCs w:val="24"/>
        </w:rPr>
      </w:pPr>
      <w:r>
        <w:rPr>
          <w:sz w:val="24"/>
          <w:szCs w:val="24"/>
        </w:rPr>
        <w:t>The balance of Construction in progress accounts with its comparative figure for the year ended 2021 and 2022 are as follows:</w:t>
      </w:r>
    </w:p>
    <w:p>
      <w:pPr>
        <w:spacing w:line="276" w:lineRule="auto"/>
        <w:ind w:left="1418"/>
        <w:jc w:val="both"/>
        <w:rPr>
          <w:sz w:val="24"/>
          <w:szCs w:val="24"/>
        </w:rPr>
      </w:pPr>
    </w:p>
    <w:tbl>
      <w:tblPr>
        <w:tblW w:w="8315" w:type="dxa"/>
        <w:tblInd w:w="1526" w:type="dxa"/>
        <w:tblLayout w:type="fixed"/>
        <w:tblLook w:val="04A0" w:firstRow="1" w:lastRow="0" w:firstColumn="1" w:lastColumn="0" w:noHBand="0" w:noVBand="1"/>
      </w:tblPr>
      <w:tblGrid>
        <w:gridCol w:w="3544"/>
        <w:gridCol w:w="2385"/>
        <w:gridCol w:w="2386"/>
      </w:tblGrid>
      <w:tr>
        <w:trPr>
          <w:trHeight w:val="227"/>
        </w:trPr>
        <w:tc>
          <w:tcPr>
            <w:tcW w:w="354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Construction in Progress</w:t>
            </w:r>
          </w:p>
        </w:tc>
        <w:tc>
          <w:tcPr>
            <w:tcW w:w="23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38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27"/>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CIP- Land Improvements</w:t>
            </w:r>
          </w:p>
        </w:tc>
        <w:tc>
          <w:tcPr>
            <w:tcW w:w="23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7,621,380.23 </w:t>
            </w:r>
          </w:p>
        </w:tc>
        <w:tc>
          <w:tcPr>
            <w:tcW w:w="238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1,409,337.41 </w:t>
            </w:r>
          </w:p>
        </w:tc>
      </w:tr>
      <w:tr>
        <w:trPr>
          <w:trHeight w:val="227"/>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CIP – Infrastructure Assets</w:t>
            </w:r>
          </w:p>
        </w:tc>
        <w:tc>
          <w:tcPr>
            <w:tcW w:w="23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260,263,438.02</w:t>
            </w:r>
          </w:p>
        </w:tc>
        <w:tc>
          <w:tcPr>
            <w:tcW w:w="238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262,637,061.47</w:t>
            </w:r>
          </w:p>
        </w:tc>
      </w:tr>
      <w:tr>
        <w:trPr>
          <w:trHeight w:val="227"/>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CIP – Bldgs. &amp; Other Structures</w:t>
            </w:r>
          </w:p>
        </w:tc>
        <w:tc>
          <w:tcPr>
            <w:tcW w:w="23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249,522,009.52 </w:t>
            </w:r>
          </w:p>
        </w:tc>
        <w:tc>
          <w:tcPr>
            <w:tcW w:w="238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31,029,988.84 </w:t>
            </w:r>
          </w:p>
        </w:tc>
      </w:tr>
      <w:tr>
        <w:trPr>
          <w:trHeight w:val="227"/>
        </w:trPr>
        <w:tc>
          <w:tcPr>
            <w:tcW w:w="354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38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517,406,827.77 </w:t>
            </w:r>
          </w:p>
        </w:tc>
        <w:tc>
          <w:tcPr>
            <w:tcW w:w="238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295,076,387.72 </w:t>
            </w:r>
          </w:p>
        </w:tc>
      </w:tr>
    </w:tbl>
    <w:p>
      <w:pPr>
        <w:jc w:val="both"/>
        <w:rPr>
          <w:sz w:val="24"/>
          <w:szCs w:val="24"/>
        </w:rPr>
      </w:pPr>
    </w:p>
    <w:p>
      <w:pPr>
        <w:spacing w:line="276" w:lineRule="auto"/>
        <w:ind w:left="1418"/>
        <w:jc w:val="both"/>
        <w:rPr>
          <w:sz w:val="24"/>
          <w:szCs w:val="24"/>
        </w:rPr>
      </w:pPr>
      <w:r>
        <w:rPr>
          <w:sz w:val="24"/>
          <w:szCs w:val="24"/>
        </w:rPr>
        <w:t xml:space="preserve">The </w:t>
      </w:r>
      <w:r>
        <w:rPr>
          <w:i/>
          <w:iCs/>
          <w:sz w:val="24"/>
          <w:szCs w:val="24"/>
        </w:rPr>
        <w:t>CIP-Land Improvement i</w:t>
      </w:r>
      <w:r>
        <w:rPr>
          <w:sz w:val="24"/>
          <w:szCs w:val="24"/>
        </w:rPr>
        <w:t xml:space="preserve">s mainly comprised of Site Development Projects, </w:t>
      </w:r>
      <w:r>
        <w:rPr>
          <w:i/>
          <w:iCs/>
          <w:sz w:val="24"/>
          <w:szCs w:val="24"/>
        </w:rPr>
        <w:t>CIP-Infrastructure Assets</w:t>
      </w:r>
      <w:r>
        <w:rPr>
          <w:sz w:val="24"/>
          <w:szCs w:val="24"/>
        </w:rPr>
        <w:t xml:space="preserve"> are mainly road network projects funded thru grants from the National Agency under the Support to Barangay Development Program of the National Task Force to End Local Communist Armed Conflict (ELCAC) and the </w:t>
      </w:r>
      <w:r>
        <w:rPr>
          <w:i/>
          <w:iCs/>
          <w:sz w:val="24"/>
          <w:szCs w:val="24"/>
        </w:rPr>
        <w:t>CIP-Buildings &amp; Other structures</w:t>
      </w:r>
      <w:r>
        <w:rPr>
          <w:sz w:val="24"/>
          <w:szCs w:val="24"/>
        </w:rPr>
        <w:t xml:space="preserve"> are mainly comprised of the construction of school buildings, multipurpose buildings, and Panabo Market Complex. </w:t>
      </w:r>
    </w:p>
    <w:p>
      <w:pPr>
        <w:jc w:val="both"/>
        <w:rPr>
          <w:sz w:val="24"/>
          <w:szCs w:val="24"/>
        </w:rPr>
      </w:pPr>
    </w:p>
    <w:p>
      <w:pPr>
        <w:ind w:left="1134"/>
        <w:jc w:val="both"/>
        <w:rPr>
          <w:b/>
          <w:bCs/>
          <w:sz w:val="24"/>
          <w:szCs w:val="24"/>
        </w:rPr>
      </w:pPr>
      <w:r>
        <w:rPr>
          <w:b/>
          <w:bCs/>
          <w:sz w:val="24"/>
          <w:szCs w:val="24"/>
        </w:rPr>
        <w:t>10.9 Other Property, Plant, and Equipment</w:t>
      </w:r>
    </w:p>
    <w:p>
      <w:pPr>
        <w:ind w:left="720"/>
        <w:jc w:val="both"/>
        <w:rPr>
          <w:b/>
          <w:bCs/>
          <w:sz w:val="24"/>
          <w:szCs w:val="24"/>
        </w:rPr>
      </w:pPr>
    </w:p>
    <w:tbl>
      <w:tblPr>
        <w:tblW w:w="8363" w:type="dxa"/>
        <w:tblInd w:w="1526" w:type="dxa"/>
        <w:tblLayout w:type="fixed"/>
        <w:tblLook w:val="04A0" w:firstRow="1" w:lastRow="0" w:firstColumn="1" w:lastColumn="0" w:noHBand="0" w:noVBand="1"/>
      </w:tblPr>
      <w:tblGrid>
        <w:gridCol w:w="3685"/>
        <w:gridCol w:w="2339"/>
        <w:gridCol w:w="2339"/>
      </w:tblGrid>
      <w:tr>
        <w:trPr>
          <w:trHeight w:val="283"/>
        </w:trPr>
        <w:tc>
          <w:tcPr>
            <w:tcW w:w="36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Other PPE</w:t>
            </w:r>
          </w:p>
        </w:tc>
        <w:tc>
          <w:tcPr>
            <w:tcW w:w="233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33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68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Property, Plant &amp; Equip.</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55,668,671.11 </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53,484,995.28 </w:t>
            </w:r>
          </w:p>
        </w:tc>
      </w:tr>
      <w:tr>
        <w:trPr>
          <w:trHeight w:val="283"/>
        </w:trPr>
        <w:tc>
          <w:tcPr>
            <w:tcW w:w="368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AD-Other PPE</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(32,770,494.16)</w:t>
            </w:r>
          </w:p>
        </w:tc>
        <w:tc>
          <w:tcPr>
            <w:tcW w:w="233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(24,918,334.49)</w:t>
            </w:r>
          </w:p>
        </w:tc>
      </w:tr>
      <w:tr>
        <w:trPr>
          <w:trHeight w:val="283"/>
        </w:trPr>
        <w:tc>
          <w:tcPr>
            <w:tcW w:w="368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233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22,898,176.95 </w:t>
            </w:r>
          </w:p>
        </w:tc>
        <w:tc>
          <w:tcPr>
            <w:tcW w:w="233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28,566,660.79 </w:t>
            </w:r>
          </w:p>
        </w:tc>
      </w:tr>
    </w:tbl>
    <w:p>
      <w:pPr>
        <w:ind w:left="720"/>
        <w:jc w:val="both"/>
        <w:rPr>
          <w:b/>
          <w:bCs/>
          <w:sz w:val="24"/>
          <w:szCs w:val="24"/>
        </w:rPr>
      </w:pPr>
    </w:p>
    <w:p>
      <w:pPr>
        <w:spacing w:line="276" w:lineRule="auto"/>
        <w:ind w:left="1418"/>
        <w:jc w:val="both"/>
        <w:rPr>
          <w:sz w:val="24"/>
          <w:szCs w:val="24"/>
        </w:rPr>
      </w:pPr>
      <w:r>
        <w:rPr>
          <w:sz w:val="24"/>
          <w:szCs w:val="24"/>
        </w:rPr>
        <w:t>The increase of the amount of Other PPE account is mainly due to purchases of submersible pumps, solar pumps, and mist blowers during the year.</w:t>
      </w:r>
    </w:p>
    <w:p>
      <w:pPr>
        <w:ind w:left="1134"/>
        <w:jc w:val="both"/>
        <w:rPr>
          <w:b/>
          <w:bCs/>
          <w:sz w:val="24"/>
          <w:szCs w:val="24"/>
        </w:rPr>
      </w:pPr>
      <w:r>
        <w:rPr>
          <w:b/>
          <w:bCs/>
          <w:sz w:val="24"/>
          <w:szCs w:val="24"/>
        </w:rPr>
        <w:lastRenderedPageBreak/>
        <w:t>10.10 Intangible Assets</w:t>
      </w:r>
    </w:p>
    <w:p>
      <w:pPr>
        <w:ind w:left="720"/>
        <w:jc w:val="both"/>
        <w:rPr>
          <w:b/>
          <w:bCs/>
          <w:sz w:val="24"/>
          <w:szCs w:val="24"/>
        </w:rPr>
      </w:pPr>
    </w:p>
    <w:p>
      <w:pPr>
        <w:spacing w:line="276" w:lineRule="auto"/>
        <w:ind w:left="1418"/>
        <w:jc w:val="both"/>
        <w:rPr>
          <w:sz w:val="24"/>
          <w:szCs w:val="24"/>
        </w:rPr>
      </w:pPr>
      <w:r>
        <w:rPr>
          <w:sz w:val="24"/>
          <w:szCs w:val="24"/>
          <w:lang w:val="en-PH" w:eastAsia="en-PH"/>
        </w:rPr>
        <w:t xml:space="preserve">This comprised the following account with </w:t>
      </w:r>
      <w:r>
        <w:rPr>
          <w:sz w:val="24"/>
          <w:szCs w:val="24"/>
        </w:rPr>
        <w:t>the comparative figure for the year ended 2022 and 2021.</w:t>
      </w:r>
    </w:p>
    <w:p>
      <w:pPr>
        <w:ind w:left="720"/>
        <w:jc w:val="both"/>
        <w:rPr>
          <w:b/>
          <w:bCs/>
          <w:sz w:val="24"/>
          <w:szCs w:val="24"/>
        </w:rPr>
      </w:pPr>
    </w:p>
    <w:tbl>
      <w:tblPr>
        <w:tblW w:w="8363" w:type="dxa"/>
        <w:tblInd w:w="1526" w:type="dxa"/>
        <w:tblLayout w:type="fixed"/>
        <w:tblLook w:val="04A0" w:firstRow="1" w:lastRow="0" w:firstColumn="1" w:lastColumn="0" w:noHBand="0" w:noVBand="1"/>
      </w:tblPr>
      <w:tblGrid>
        <w:gridCol w:w="3985"/>
        <w:gridCol w:w="2189"/>
        <w:gridCol w:w="2189"/>
      </w:tblGrid>
      <w:tr>
        <w:trPr>
          <w:trHeight w:val="283"/>
        </w:trPr>
        <w:tc>
          <w:tcPr>
            <w:tcW w:w="3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Intangible Assets</w:t>
            </w:r>
          </w:p>
        </w:tc>
        <w:tc>
          <w:tcPr>
            <w:tcW w:w="218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8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8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Computer Software</w:t>
            </w:r>
          </w:p>
        </w:tc>
        <w:tc>
          <w:tcPr>
            <w:tcW w:w="218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170,000.00 </w:t>
            </w:r>
          </w:p>
        </w:tc>
        <w:tc>
          <w:tcPr>
            <w:tcW w:w="218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2,072,352.00</w:t>
            </w:r>
          </w:p>
        </w:tc>
      </w:tr>
      <w:tr>
        <w:trPr>
          <w:trHeight w:val="283"/>
        </w:trPr>
        <w:tc>
          <w:tcPr>
            <w:tcW w:w="398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Accumulated Amortization - CS</w:t>
            </w:r>
          </w:p>
        </w:tc>
        <w:tc>
          <w:tcPr>
            <w:tcW w:w="218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(127,216.67)</w:t>
            </w:r>
          </w:p>
        </w:tc>
        <w:tc>
          <w:tcPr>
            <w:tcW w:w="218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(1,641,678.97)</w:t>
            </w:r>
          </w:p>
        </w:tc>
      </w:tr>
      <w:tr>
        <w:trPr>
          <w:trHeight w:val="283"/>
        </w:trPr>
        <w:tc>
          <w:tcPr>
            <w:tcW w:w="398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Net Book Value</w:t>
            </w:r>
          </w:p>
        </w:tc>
        <w:tc>
          <w:tcPr>
            <w:tcW w:w="218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42,783.33 </w:t>
            </w:r>
          </w:p>
        </w:tc>
        <w:tc>
          <w:tcPr>
            <w:tcW w:w="218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430,673.03</w:t>
            </w:r>
          </w:p>
        </w:tc>
      </w:tr>
    </w:tbl>
    <w:p>
      <w:pPr>
        <w:jc w:val="both"/>
        <w:rPr>
          <w:sz w:val="24"/>
          <w:szCs w:val="24"/>
        </w:rPr>
      </w:pPr>
    </w:p>
    <w:p>
      <w:pPr>
        <w:spacing w:line="276" w:lineRule="auto"/>
        <w:ind w:left="1418"/>
        <w:jc w:val="both"/>
        <w:rPr>
          <w:rFonts w:eastAsia="Calibri"/>
          <w:bCs/>
          <w:sz w:val="24"/>
          <w:szCs w:val="24"/>
          <w:lang w:val="en-PH"/>
        </w:rPr>
      </w:pPr>
      <w:r>
        <w:rPr>
          <w:sz w:val="24"/>
          <w:szCs w:val="24"/>
        </w:rPr>
        <w:t xml:space="preserve">The decrease was mainly due to the erroneous conversion of </w:t>
      </w:r>
      <w:r>
        <w:rPr>
          <w:rFonts w:eastAsia="Calibri"/>
          <w:bCs/>
          <w:sz w:val="24"/>
          <w:szCs w:val="24"/>
          <w:lang w:val="en-PH"/>
        </w:rPr>
        <w:t>Enhanced Tax Revenue Assessment and Collection System (ETRACS) version 2.5 computer software which was accounted for under Information and Communication Technology Equipment.</w:t>
      </w:r>
    </w:p>
    <w:p>
      <w:pPr>
        <w:jc w:val="both"/>
        <w:rPr>
          <w:rFonts w:eastAsia="Calibri"/>
          <w:bCs/>
          <w:sz w:val="24"/>
          <w:szCs w:val="24"/>
          <w:lang w:val="en-PH"/>
        </w:rPr>
      </w:pPr>
    </w:p>
    <w:p>
      <w:pPr>
        <w:jc w:val="both"/>
        <w:rPr>
          <w:b/>
          <w:bCs/>
          <w:sz w:val="24"/>
          <w:szCs w:val="24"/>
        </w:rPr>
      </w:pPr>
      <w:r>
        <w:rPr>
          <w:b/>
          <w:bCs/>
          <w:sz w:val="24"/>
          <w:szCs w:val="24"/>
        </w:rPr>
        <w:t>Note 11 – Financial Liabilities</w:t>
      </w:r>
    </w:p>
    <w:p>
      <w:pPr>
        <w:rPr>
          <w:b/>
          <w:bCs/>
          <w:sz w:val="24"/>
          <w:szCs w:val="24"/>
        </w:rPr>
      </w:pPr>
    </w:p>
    <w:p>
      <w:pPr>
        <w:spacing w:line="276" w:lineRule="auto"/>
        <w:ind w:left="720"/>
        <w:jc w:val="both"/>
        <w:rPr>
          <w:sz w:val="24"/>
          <w:szCs w:val="24"/>
        </w:rPr>
      </w:pPr>
      <w:r>
        <w:rPr>
          <w:sz w:val="24"/>
          <w:szCs w:val="24"/>
          <w:lang w:val="en-PH" w:eastAsia="en-PH"/>
        </w:rPr>
        <w:t xml:space="preserve">This comprised the following account with </w:t>
      </w:r>
      <w:r>
        <w:rPr>
          <w:sz w:val="24"/>
          <w:szCs w:val="24"/>
        </w:rPr>
        <w:t>the comparative figure for the year ended 2022 and 2021.</w:t>
      </w:r>
    </w:p>
    <w:p>
      <w:pPr>
        <w:ind w:left="720"/>
        <w:jc w:val="both"/>
        <w:rPr>
          <w:b/>
          <w:bCs/>
          <w:sz w:val="24"/>
          <w:szCs w:val="24"/>
        </w:rPr>
      </w:pPr>
    </w:p>
    <w:tbl>
      <w:tblPr>
        <w:tblW w:w="9144" w:type="dxa"/>
        <w:tblInd w:w="709" w:type="dxa"/>
        <w:tblLook w:val="04A0" w:firstRow="1" w:lastRow="0" w:firstColumn="1" w:lastColumn="0" w:noHBand="0" w:noVBand="1"/>
      </w:tblPr>
      <w:tblGrid>
        <w:gridCol w:w="4361"/>
        <w:gridCol w:w="2553"/>
        <w:gridCol w:w="2230"/>
      </w:tblGrid>
      <w:tr>
        <w:trPr>
          <w:trHeight w:val="340"/>
        </w:trPr>
        <w:tc>
          <w:tcPr>
            <w:tcW w:w="436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Financial Liabilities</w:t>
            </w:r>
          </w:p>
        </w:tc>
        <w:tc>
          <w:tcPr>
            <w:tcW w:w="255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3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36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Accounts Payable</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127,625,096.61 </w:t>
            </w:r>
          </w:p>
        </w:tc>
        <w:tc>
          <w:tcPr>
            <w:tcW w:w="223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 xml:space="preserve">90,186,826.26 </w:t>
            </w:r>
          </w:p>
        </w:tc>
      </w:tr>
      <w:tr>
        <w:trPr>
          <w:trHeight w:val="340"/>
        </w:trPr>
        <w:tc>
          <w:tcPr>
            <w:tcW w:w="436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Officers and Employees</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7,077,183.84 </w:t>
            </w:r>
          </w:p>
        </w:tc>
        <w:tc>
          <w:tcPr>
            <w:tcW w:w="223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6,605,251.47 </w:t>
            </w:r>
          </w:p>
        </w:tc>
      </w:tr>
      <w:tr>
        <w:trPr>
          <w:trHeight w:val="340"/>
        </w:trPr>
        <w:tc>
          <w:tcPr>
            <w:tcW w:w="436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Interest Payable</w:t>
            </w:r>
          </w:p>
        </w:tc>
        <w:tc>
          <w:tcPr>
            <w:tcW w:w="255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3,164,573.84 </w:t>
            </w:r>
          </w:p>
        </w:tc>
        <w:tc>
          <w:tcPr>
            <w:tcW w:w="223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340"/>
        </w:trPr>
        <w:tc>
          <w:tcPr>
            <w:tcW w:w="4361"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553"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137,866,854.29</w:t>
            </w:r>
          </w:p>
        </w:tc>
        <w:tc>
          <w:tcPr>
            <w:tcW w:w="2230"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96,792,077.73 </w:t>
            </w:r>
          </w:p>
        </w:tc>
      </w:tr>
    </w:tbl>
    <w:p>
      <w:pPr>
        <w:rPr>
          <w:b/>
          <w:bCs/>
          <w:sz w:val="24"/>
          <w:szCs w:val="24"/>
        </w:rPr>
      </w:pPr>
    </w:p>
    <w:p>
      <w:pPr>
        <w:ind w:left="1134"/>
        <w:rPr>
          <w:b/>
          <w:bCs/>
          <w:sz w:val="24"/>
          <w:szCs w:val="24"/>
        </w:rPr>
      </w:pPr>
      <w:r>
        <w:rPr>
          <w:b/>
          <w:bCs/>
          <w:sz w:val="24"/>
          <w:szCs w:val="24"/>
        </w:rPr>
        <w:t>11.1 Accounts Payable</w:t>
      </w:r>
    </w:p>
    <w:p>
      <w:pPr>
        <w:rPr>
          <w:b/>
          <w:bCs/>
          <w:sz w:val="24"/>
          <w:szCs w:val="24"/>
        </w:rPr>
      </w:pPr>
    </w:p>
    <w:p>
      <w:pPr>
        <w:spacing w:line="276" w:lineRule="auto"/>
        <w:ind w:left="1418"/>
        <w:jc w:val="both"/>
        <w:rPr>
          <w:sz w:val="24"/>
          <w:szCs w:val="24"/>
        </w:rPr>
      </w:pPr>
      <w:r>
        <w:rPr>
          <w:sz w:val="24"/>
          <w:szCs w:val="24"/>
        </w:rPr>
        <w:t>The liabilities recognized and accounted for in this account are those items delivered as indicated in the Purchase Order duly supported and accepted, expenses have been incurred and services have been rendered as of the year ended December 31, 2022. Below is the movement of this account during the year.</w:t>
      </w:r>
    </w:p>
    <w:p>
      <w:pPr>
        <w:ind w:left="720"/>
        <w:rPr>
          <w:b/>
          <w:bCs/>
          <w:sz w:val="24"/>
          <w:szCs w:val="24"/>
        </w:rPr>
      </w:pPr>
      <w:r>
        <w:rPr>
          <w:b/>
          <w:bCs/>
          <w:sz w:val="24"/>
          <w:szCs w:val="24"/>
        </w:rPr>
        <w:tab/>
      </w:r>
    </w:p>
    <w:tbl>
      <w:tblPr>
        <w:tblW w:w="7389" w:type="dxa"/>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1"/>
        <w:gridCol w:w="2148"/>
      </w:tblGrid>
      <w:tr>
        <w:trPr>
          <w:trHeight w:val="283"/>
        </w:trPr>
        <w:tc>
          <w:tcPr>
            <w:tcW w:w="5241" w:type="dxa"/>
            <w:shd w:val="clear" w:color="auto" w:fill="auto"/>
            <w:vAlign w:val="center"/>
            <w:hideMark/>
          </w:tcPr>
          <w:p>
            <w:pPr>
              <w:jc w:val="center"/>
              <w:rPr>
                <w:b/>
                <w:bCs/>
                <w:sz w:val="24"/>
                <w:szCs w:val="24"/>
                <w:lang w:val="en-PH" w:eastAsia="en-PH"/>
              </w:rPr>
            </w:pPr>
            <w:r>
              <w:rPr>
                <w:b/>
                <w:bCs/>
                <w:sz w:val="24"/>
                <w:szCs w:val="24"/>
                <w:lang w:val="en-PH" w:eastAsia="en-PH"/>
              </w:rPr>
              <w:t>Accounts Payable</w:t>
            </w:r>
          </w:p>
        </w:tc>
        <w:tc>
          <w:tcPr>
            <w:tcW w:w="2148" w:type="dxa"/>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Beginning Balance</w:t>
            </w:r>
          </w:p>
        </w:tc>
        <w:tc>
          <w:tcPr>
            <w:tcW w:w="2148" w:type="dxa"/>
            <w:shd w:val="clear" w:color="auto" w:fill="auto"/>
            <w:noWrap/>
            <w:vAlign w:val="center"/>
            <w:hideMark/>
          </w:tcPr>
          <w:p>
            <w:pPr>
              <w:jc w:val="right"/>
              <w:rPr>
                <w:sz w:val="24"/>
                <w:szCs w:val="24"/>
                <w:lang w:val="en-PH" w:eastAsia="en-PH"/>
              </w:rPr>
            </w:pPr>
            <w:r>
              <w:rPr>
                <w:sz w:val="24"/>
                <w:szCs w:val="24"/>
                <w:lang w:eastAsia="en-PH"/>
              </w:rPr>
              <w:t>90,186,826.26</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Payment during the year</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(89,869,069.19)</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Adjustments during the year</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(317,757.07)</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For reconciliation old balances</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2,436,982.87</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Payables to Goods Supplier</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76,665,649.24</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Payables to Services Provide</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10,922,804.37</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Payables to Contractors</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37,144,760.13</w:t>
            </w:r>
          </w:p>
        </w:tc>
      </w:tr>
      <w:tr>
        <w:trPr>
          <w:trHeight w:val="283"/>
        </w:trPr>
        <w:tc>
          <w:tcPr>
            <w:tcW w:w="5241" w:type="dxa"/>
            <w:shd w:val="clear" w:color="auto" w:fill="auto"/>
            <w:vAlign w:val="center"/>
            <w:hideMark/>
          </w:tcPr>
          <w:p>
            <w:pPr>
              <w:rPr>
                <w:sz w:val="24"/>
                <w:szCs w:val="24"/>
                <w:lang w:val="en-PH" w:eastAsia="en-PH"/>
              </w:rPr>
            </w:pPr>
            <w:r>
              <w:rPr>
                <w:sz w:val="24"/>
                <w:szCs w:val="24"/>
                <w:lang w:val="en-PH" w:eastAsia="en-PH"/>
              </w:rPr>
              <w:t>Payables not classified as per above</w:t>
            </w:r>
          </w:p>
        </w:tc>
        <w:tc>
          <w:tcPr>
            <w:tcW w:w="2148" w:type="dxa"/>
            <w:shd w:val="clear" w:color="auto" w:fill="auto"/>
            <w:noWrap/>
            <w:vAlign w:val="center"/>
            <w:hideMark/>
          </w:tcPr>
          <w:p>
            <w:pPr>
              <w:jc w:val="right"/>
              <w:rPr>
                <w:sz w:val="24"/>
                <w:szCs w:val="24"/>
                <w:lang w:val="en-PH" w:eastAsia="en-PH"/>
              </w:rPr>
            </w:pPr>
            <w:r>
              <w:rPr>
                <w:sz w:val="24"/>
                <w:szCs w:val="24"/>
                <w:lang w:val="en-PH" w:eastAsia="en-PH"/>
              </w:rPr>
              <w:t>454,900.00</w:t>
            </w:r>
          </w:p>
        </w:tc>
      </w:tr>
      <w:tr>
        <w:trPr>
          <w:trHeight w:val="283"/>
        </w:trPr>
        <w:tc>
          <w:tcPr>
            <w:tcW w:w="5241" w:type="dxa"/>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2148" w:type="dxa"/>
            <w:shd w:val="clear" w:color="auto" w:fill="auto"/>
            <w:noWrap/>
            <w:vAlign w:val="center"/>
            <w:hideMark/>
          </w:tcPr>
          <w:p>
            <w:pPr>
              <w:jc w:val="right"/>
              <w:rPr>
                <w:b/>
                <w:bCs/>
                <w:sz w:val="24"/>
                <w:szCs w:val="24"/>
                <w:lang w:val="en-PH" w:eastAsia="en-PH"/>
              </w:rPr>
            </w:pPr>
            <w:r>
              <w:rPr>
                <w:b/>
                <w:bCs/>
                <w:sz w:val="24"/>
                <w:szCs w:val="24"/>
                <w:lang w:val="en-PH" w:eastAsia="en-PH"/>
              </w:rPr>
              <w:t>127,625,096.61</w:t>
            </w:r>
          </w:p>
        </w:tc>
      </w:tr>
    </w:tbl>
    <w:p>
      <w:pPr>
        <w:ind w:left="720"/>
        <w:jc w:val="both"/>
        <w:rPr>
          <w:sz w:val="24"/>
          <w:szCs w:val="24"/>
        </w:rPr>
      </w:pPr>
    </w:p>
    <w:p>
      <w:pPr>
        <w:ind w:left="1134"/>
        <w:jc w:val="both"/>
        <w:rPr>
          <w:b/>
          <w:bCs/>
          <w:sz w:val="24"/>
          <w:szCs w:val="24"/>
        </w:rPr>
      </w:pPr>
      <w:r>
        <w:rPr>
          <w:b/>
          <w:bCs/>
          <w:sz w:val="24"/>
          <w:szCs w:val="24"/>
        </w:rPr>
        <w:lastRenderedPageBreak/>
        <w:t>11.2 Due to Officers and Employees</w:t>
      </w:r>
    </w:p>
    <w:p>
      <w:pPr>
        <w:ind w:firstLine="720"/>
        <w:jc w:val="both"/>
        <w:rPr>
          <w:b/>
          <w:bCs/>
          <w:sz w:val="24"/>
          <w:szCs w:val="24"/>
        </w:rPr>
      </w:pPr>
    </w:p>
    <w:p>
      <w:pPr>
        <w:spacing w:line="276" w:lineRule="auto"/>
        <w:ind w:left="1418"/>
        <w:jc w:val="both"/>
        <w:rPr>
          <w:sz w:val="24"/>
          <w:szCs w:val="24"/>
        </w:rPr>
      </w:pPr>
      <w:r>
        <w:rPr>
          <w:sz w:val="24"/>
          <w:szCs w:val="24"/>
        </w:rPr>
        <w:t xml:space="preserve">The liabilities recognized and accounted for in this account are salaries and wages and other reimbursements to employees during the year end. </w:t>
      </w:r>
    </w:p>
    <w:p>
      <w:pPr>
        <w:ind w:left="720"/>
        <w:jc w:val="both"/>
        <w:rPr>
          <w:sz w:val="24"/>
          <w:szCs w:val="24"/>
        </w:rPr>
      </w:pPr>
    </w:p>
    <w:p>
      <w:pPr>
        <w:ind w:left="1134"/>
        <w:jc w:val="both"/>
        <w:rPr>
          <w:b/>
          <w:bCs/>
          <w:sz w:val="24"/>
          <w:szCs w:val="24"/>
        </w:rPr>
      </w:pPr>
      <w:r>
        <w:rPr>
          <w:b/>
          <w:bCs/>
          <w:sz w:val="24"/>
          <w:szCs w:val="24"/>
        </w:rPr>
        <w:t>11.3 Interest Payable</w:t>
      </w:r>
    </w:p>
    <w:p>
      <w:pPr>
        <w:ind w:left="720"/>
        <w:jc w:val="both"/>
        <w:rPr>
          <w:b/>
          <w:bCs/>
          <w:sz w:val="24"/>
          <w:szCs w:val="24"/>
        </w:rPr>
      </w:pPr>
    </w:p>
    <w:p>
      <w:pPr>
        <w:spacing w:line="276" w:lineRule="auto"/>
        <w:ind w:left="1418"/>
        <w:jc w:val="both"/>
        <w:rPr>
          <w:sz w:val="24"/>
          <w:szCs w:val="24"/>
        </w:rPr>
      </w:pPr>
      <w:r>
        <w:rPr>
          <w:sz w:val="24"/>
          <w:szCs w:val="24"/>
        </w:rPr>
        <w:t>The liabilities recognized and accounted for in this account are the accrual of interest of various types of loans of the city as per the below details:</w:t>
      </w:r>
    </w:p>
    <w:p>
      <w:pPr>
        <w:ind w:left="720"/>
        <w:jc w:val="both"/>
        <w:rPr>
          <w:sz w:val="24"/>
          <w:szCs w:val="24"/>
        </w:rPr>
      </w:pPr>
    </w:p>
    <w:tbl>
      <w:tblPr>
        <w:tblW w:w="8221"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8"/>
        <w:gridCol w:w="2233"/>
      </w:tblGrid>
      <w:tr>
        <w:trPr>
          <w:trHeight w:val="283"/>
          <w:tblHeader/>
        </w:trPr>
        <w:tc>
          <w:tcPr>
            <w:tcW w:w="5988" w:type="dxa"/>
            <w:shd w:val="clear" w:color="auto" w:fill="auto"/>
            <w:vAlign w:val="center"/>
            <w:hideMark/>
          </w:tcPr>
          <w:p>
            <w:pPr>
              <w:jc w:val="center"/>
              <w:rPr>
                <w:b/>
                <w:bCs/>
                <w:sz w:val="24"/>
                <w:szCs w:val="24"/>
                <w:lang w:val="en-PH" w:eastAsia="en-PH"/>
              </w:rPr>
            </w:pPr>
            <w:r>
              <w:rPr>
                <w:b/>
                <w:bCs/>
                <w:sz w:val="24"/>
                <w:szCs w:val="24"/>
                <w:lang w:val="en-PH" w:eastAsia="en-PH"/>
              </w:rPr>
              <w:t>Interest Payable</w:t>
            </w:r>
          </w:p>
        </w:tc>
        <w:tc>
          <w:tcPr>
            <w:tcW w:w="2233" w:type="dxa"/>
            <w:shd w:val="clear" w:color="auto" w:fill="auto"/>
            <w:vAlign w:val="center"/>
            <w:hideMark/>
          </w:tcPr>
          <w:p>
            <w:pPr>
              <w:jc w:val="center"/>
              <w:rPr>
                <w:b/>
                <w:bCs/>
                <w:sz w:val="24"/>
                <w:szCs w:val="24"/>
                <w:lang w:val="en-PH" w:eastAsia="en-PH"/>
              </w:rPr>
            </w:pPr>
            <w:r>
              <w:rPr>
                <w:b/>
                <w:bCs/>
                <w:sz w:val="24"/>
                <w:szCs w:val="24"/>
                <w:lang w:val="en-PH" w:eastAsia="en-PH"/>
              </w:rPr>
              <w:t>Current</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BP-Procurement of Heavy Equipment (SLF)- Oct. 9, 2020- Oct. 9, 2030, 4.75%</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424,445.82</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DBP_Establishment of Sanitary Landfill</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69,614.93</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Concreting of Farm-to-Market Roads- 4.0 %- Maturity Date: 12/29/2036</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939,462.27</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Construction of Legislative Building - March 12, 2018 to March 11, 203</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102,670.25</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Heavy Equipment IV - Purchase of Heavy Equipment, 7 yrs. inclusive of</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127,312.54</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Improvement of MPTCSC (Gym) - May 21, 2018 to May 19, 2028 - 3.96%</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172,918.19</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Construction of Panabo Market Complex- 4% - Maturity date: 02/18/</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980,693.57</w:t>
            </w:r>
          </w:p>
        </w:tc>
      </w:tr>
      <w:tr>
        <w:trPr>
          <w:trHeight w:val="283"/>
        </w:trPr>
        <w:tc>
          <w:tcPr>
            <w:tcW w:w="5988" w:type="dxa"/>
            <w:shd w:val="clear" w:color="auto" w:fill="auto"/>
            <w:vAlign w:val="center"/>
            <w:hideMark/>
          </w:tcPr>
          <w:p>
            <w:pPr>
              <w:rPr>
                <w:sz w:val="24"/>
                <w:szCs w:val="24"/>
                <w:lang w:val="en-PH" w:eastAsia="en-PH"/>
              </w:rPr>
            </w:pPr>
            <w:r>
              <w:rPr>
                <w:sz w:val="24"/>
                <w:szCs w:val="24"/>
                <w:lang w:val="en-PH" w:eastAsia="en-PH"/>
              </w:rPr>
              <w:t>LBP - Acquisition of Heavy Equipment (1 unit Vacuum Tanker; 3 units 6</w:t>
            </w:r>
          </w:p>
        </w:tc>
        <w:tc>
          <w:tcPr>
            <w:tcW w:w="2233" w:type="dxa"/>
            <w:shd w:val="clear" w:color="auto" w:fill="auto"/>
            <w:noWrap/>
            <w:vAlign w:val="center"/>
            <w:hideMark/>
          </w:tcPr>
          <w:p>
            <w:pPr>
              <w:jc w:val="right"/>
              <w:rPr>
                <w:sz w:val="24"/>
                <w:szCs w:val="24"/>
                <w:lang w:val="en-PH" w:eastAsia="en-PH"/>
              </w:rPr>
            </w:pPr>
            <w:r>
              <w:rPr>
                <w:sz w:val="24"/>
                <w:szCs w:val="24"/>
                <w:lang w:val="en-PH" w:eastAsia="en-PH"/>
              </w:rPr>
              <w:t>347,456.27</w:t>
            </w:r>
          </w:p>
        </w:tc>
      </w:tr>
      <w:tr>
        <w:trPr>
          <w:trHeight w:val="283"/>
        </w:trPr>
        <w:tc>
          <w:tcPr>
            <w:tcW w:w="5988" w:type="dxa"/>
            <w:shd w:val="clear" w:color="auto" w:fill="auto"/>
            <w:noWrap/>
            <w:vAlign w:val="center"/>
            <w:hideMark/>
          </w:tcPr>
          <w:p>
            <w:pPr>
              <w:rPr>
                <w:b/>
                <w:bCs/>
                <w:sz w:val="24"/>
                <w:szCs w:val="24"/>
                <w:lang w:val="en-PH" w:eastAsia="en-PH"/>
              </w:rPr>
            </w:pPr>
            <w:r>
              <w:rPr>
                <w:b/>
                <w:bCs/>
                <w:sz w:val="24"/>
                <w:szCs w:val="24"/>
                <w:lang w:val="en-PH" w:eastAsia="en-PH"/>
              </w:rPr>
              <w:t>Total</w:t>
            </w:r>
          </w:p>
        </w:tc>
        <w:tc>
          <w:tcPr>
            <w:tcW w:w="2233" w:type="dxa"/>
            <w:shd w:val="clear" w:color="auto" w:fill="auto"/>
            <w:noWrap/>
            <w:vAlign w:val="center"/>
            <w:hideMark/>
          </w:tcPr>
          <w:p>
            <w:pPr>
              <w:jc w:val="right"/>
              <w:rPr>
                <w:b/>
                <w:bCs/>
                <w:sz w:val="24"/>
                <w:szCs w:val="24"/>
                <w:lang w:val="en-PH" w:eastAsia="en-PH"/>
              </w:rPr>
            </w:pPr>
            <w:r>
              <w:rPr>
                <w:b/>
                <w:bCs/>
                <w:sz w:val="24"/>
                <w:szCs w:val="24"/>
                <w:lang w:val="en-PH" w:eastAsia="en-PH"/>
              </w:rPr>
              <w:t>3,164,573.84</w:t>
            </w:r>
          </w:p>
        </w:tc>
      </w:tr>
    </w:tbl>
    <w:p>
      <w:pPr>
        <w:jc w:val="both"/>
        <w:rPr>
          <w:sz w:val="24"/>
          <w:szCs w:val="24"/>
        </w:rPr>
      </w:pPr>
    </w:p>
    <w:p>
      <w:pPr>
        <w:jc w:val="both"/>
        <w:rPr>
          <w:b/>
          <w:bCs/>
          <w:sz w:val="24"/>
          <w:szCs w:val="24"/>
        </w:rPr>
      </w:pPr>
      <w:r>
        <w:rPr>
          <w:b/>
          <w:bCs/>
          <w:sz w:val="24"/>
          <w:szCs w:val="24"/>
        </w:rPr>
        <w:t>Note 12 – Loan Payable</w:t>
      </w:r>
    </w:p>
    <w:p>
      <w:pPr>
        <w:jc w:val="both"/>
        <w:rPr>
          <w:b/>
          <w:bCs/>
          <w:sz w:val="24"/>
          <w:szCs w:val="24"/>
        </w:rPr>
      </w:pPr>
    </w:p>
    <w:p>
      <w:pPr>
        <w:spacing w:line="276" w:lineRule="auto"/>
        <w:ind w:left="720"/>
        <w:jc w:val="both"/>
        <w:rPr>
          <w:sz w:val="24"/>
          <w:szCs w:val="24"/>
        </w:rPr>
      </w:pPr>
      <w:r>
        <w:rPr>
          <w:sz w:val="24"/>
          <w:szCs w:val="24"/>
          <w:lang w:val="en-PH" w:eastAsia="en-PH"/>
        </w:rPr>
        <w:t xml:space="preserve">This comprised the following account with </w:t>
      </w:r>
      <w:r>
        <w:rPr>
          <w:sz w:val="24"/>
          <w:szCs w:val="24"/>
        </w:rPr>
        <w:t>the comparative figure for the year ended 2022 and 2021.</w:t>
      </w:r>
    </w:p>
    <w:p>
      <w:pPr>
        <w:spacing w:line="276" w:lineRule="auto"/>
        <w:ind w:left="720"/>
        <w:jc w:val="both"/>
        <w:rPr>
          <w:sz w:val="24"/>
          <w:szCs w:val="24"/>
        </w:rPr>
      </w:pPr>
    </w:p>
    <w:tbl>
      <w:tblPr>
        <w:tblW w:w="9003" w:type="dxa"/>
        <w:tblInd w:w="817" w:type="dxa"/>
        <w:tblLook w:val="04A0" w:firstRow="1" w:lastRow="0" w:firstColumn="1" w:lastColumn="0" w:noHBand="0" w:noVBand="1"/>
      </w:tblPr>
      <w:tblGrid>
        <w:gridCol w:w="3827"/>
        <w:gridCol w:w="2730"/>
        <w:gridCol w:w="2446"/>
      </w:tblGrid>
      <w:tr>
        <w:trPr>
          <w:trHeight w:val="340"/>
        </w:trPr>
        <w:tc>
          <w:tcPr>
            <w:tcW w:w="38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Loan Payable</w:t>
            </w:r>
          </w:p>
        </w:tc>
        <w:tc>
          <w:tcPr>
            <w:tcW w:w="273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4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Loan Payable</w:t>
            </w:r>
          </w:p>
        </w:tc>
        <w:tc>
          <w:tcPr>
            <w:tcW w:w="273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647,175,292.71 </w:t>
            </w:r>
          </w:p>
        </w:tc>
        <w:tc>
          <w:tcPr>
            <w:tcW w:w="24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278,788,263.07 </w:t>
            </w:r>
          </w:p>
        </w:tc>
      </w:tr>
      <w:tr>
        <w:trPr>
          <w:trHeight w:val="340"/>
        </w:trPr>
        <w:tc>
          <w:tcPr>
            <w:tcW w:w="382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730"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647,175,292.71 </w:t>
            </w:r>
          </w:p>
        </w:tc>
        <w:tc>
          <w:tcPr>
            <w:tcW w:w="244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278,788,263.07 </w:t>
            </w:r>
          </w:p>
        </w:tc>
      </w:tr>
    </w:tbl>
    <w:p>
      <w:pPr>
        <w:jc w:val="both"/>
        <w:rPr>
          <w:sz w:val="24"/>
          <w:szCs w:val="24"/>
        </w:rPr>
      </w:pPr>
    </w:p>
    <w:p>
      <w:pPr>
        <w:spacing w:line="276" w:lineRule="auto"/>
        <w:ind w:left="720"/>
        <w:jc w:val="both"/>
        <w:rPr>
          <w:sz w:val="24"/>
          <w:szCs w:val="24"/>
        </w:rPr>
      </w:pPr>
      <w:r>
        <w:rPr>
          <w:sz w:val="24"/>
          <w:szCs w:val="24"/>
        </w:rPr>
        <w:t>This comprised various loans availed by the city government from the Land Bank of the Philippines (LBP) and the Development Bank of the Philippines (DBP). The following is the details of loan payables of the city government as of December 31, 2022.</w:t>
      </w:r>
    </w:p>
    <w:p>
      <w:pPr>
        <w:jc w:val="both"/>
        <w:rPr>
          <w:sz w:val="24"/>
          <w:szCs w:val="24"/>
        </w:rPr>
      </w:pPr>
    </w:p>
    <w:p>
      <w:pPr>
        <w:ind w:left="720"/>
        <w:jc w:val="both"/>
        <w:rPr>
          <w:sz w:val="24"/>
          <w:szCs w:val="24"/>
        </w:rPr>
      </w:pPr>
    </w:p>
    <w:p>
      <w:pPr>
        <w:rPr>
          <w:b/>
          <w:bCs/>
          <w:sz w:val="24"/>
          <w:szCs w:val="24"/>
          <w:lang w:val="en-PH" w:eastAsia="en-PH"/>
        </w:rPr>
        <w:sectPr>
          <w:headerReference w:type="default" r:id="rId9"/>
          <w:footerReference w:type="default" r:id="rId10"/>
          <w:pgSz w:w="12240" w:h="15840" w:code="1"/>
          <w:pgMar w:top="1440" w:right="1077" w:bottom="1276" w:left="1418" w:header="709" w:footer="709" w:gutter="0"/>
          <w:pgNumType w:start="14"/>
          <w:cols w:space="708"/>
          <w:docGrid w:linePitch="360"/>
        </w:sectPr>
      </w:pPr>
    </w:p>
    <w:tbl>
      <w:tblPr>
        <w:tblpPr w:leftFromText="180" w:rightFromText="180" w:horzAnchor="margin" w:tblpY="510"/>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709"/>
        <w:gridCol w:w="1417"/>
        <w:gridCol w:w="1134"/>
        <w:gridCol w:w="1418"/>
        <w:gridCol w:w="1716"/>
        <w:gridCol w:w="1827"/>
        <w:gridCol w:w="1596"/>
        <w:gridCol w:w="1716"/>
      </w:tblGrid>
      <w:tr>
        <w:trPr>
          <w:trHeight w:val="982"/>
        </w:trPr>
        <w:tc>
          <w:tcPr>
            <w:tcW w:w="3681" w:type="dxa"/>
            <w:shd w:val="clear" w:color="auto" w:fill="auto"/>
            <w:vAlign w:val="center"/>
            <w:hideMark/>
          </w:tcPr>
          <w:p>
            <w:pPr>
              <w:jc w:val="center"/>
              <w:rPr>
                <w:b/>
                <w:bCs/>
                <w:sz w:val="24"/>
                <w:szCs w:val="24"/>
                <w:lang w:val="en-PH" w:eastAsia="en-PH"/>
              </w:rPr>
            </w:pPr>
            <w:r>
              <w:rPr>
                <w:b/>
                <w:bCs/>
                <w:sz w:val="24"/>
                <w:szCs w:val="24"/>
                <w:lang w:val="en-PH" w:eastAsia="en-PH"/>
              </w:rPr>
              <w:lastRenderedPageBreak/>
              <w:t>Type/Purpose of Loans</w:t>
            </w:r>
          </w:p>
        </w:tc>
        <w:tc>
          <w:tcPr>
            <w:tcW w:w="709" w:type="dxa"/>
            <w:shd w:val="clear" w:color="auto" w:fill="auto"/>
            <w:vAlign w:val="center"/>
            <w:hideMark/>
          </w:tcPr>
          <w:p>
            <w:pPr>
              <w:jc w:val="center"/>
              <w:rPr>
                <w:b/>
                <w:bCs/>
                <w:sz w:val="24"/>
                <w:szCs w:val="24"/>
                <w:lang w:val="en-PH" w:eastAsia="en-PH"/>
              </w:rPr>
            </w:pPr>
            <w:r>
              <w:rPr>
                <w:b/>
                <w:bCs/>
                <w:sz w:val="24"/>
                <w:szCs w:val="24"/>
                <w:lang w:val="en-PH" w:eastAsia="en-PH"/>
              </w:rPr>
              <w:t>LI</w:t>
            </w:r>
          </w:p>
        </w:tc>
        <w:tc>
          <w:tcPr>
            <w:tcW w:w="1417" w:type="dxa"/>
            <w:shd w:val="clear" w:color="auto" w:fill="auto"/>
            <w:vAlign w:val="center"/>
            <w:hideMark/>
          </w:tcPr>
          <w:p>
            <w:pPr>
              <w:jc w:val="center"/>
              <w:rPr>
                <w:b/>
                <w:bCs/>
                <w:sz w:val="24"/>
                <w:szCs w:val="24"/>
                <w:lang w:val="en-PH" w:eastAsia="en-PH"/>
              </w:rPr>
            </w:pPr>
            <w:r>
              <w:rPr>
                <w:b/>
                <w:bCs/>
                <w:sz w:val="24"/>
                <w:szCs w:val="24"/>
                <w:lang w:val="en-PH" w:eastAsia="en-PH"/>
              </w:rPr>
              <w:t>Date Contracted</w:t>
            </w:r>
          </w:p>
        </w:tc>
        <w:tc>
          <w:tcPr>
            <w:tcW w:w="1134" w:type="dxa"/>
            <w:shd w:val="clear" w:color="auto" w:fill="auto"/>
            <w:vAlign w:val="center"/>
            <w:hideMark/>
          </w:tcPr>
          <w:p>
            <w:pPr>
              <w:jc w:val="center"/>
              <w:rPr>
                <w:b/>
                <w:bCs/>
                <w:sz w:val="24"/>
                <w:szCs w:val="24"/>
                <w:lang w:val="en-PH" w:eastAsia="en-PH"/>
              </w:rPr>
            </w:pPr>
            <w:r>
              <w:rPr>
                <w:b/>
                <w:bCs/>
                <w:sz w:val="24"/>
                <w:szCs w:val="24"/>
                <w:lang w:val="en-PH" w:eastAsia="en-PH"/>
              </w:rPr>
              <w:t xml:space="preserve">Term </w:t>
            </w:r>
            <w:r>
              <w:rPr>
                <w:b/>
                <w:bCs/>
                <w:sz w:val="24"/>
                <w:szCs w:val="24"/>
                <w:lang w:val="en-PH" w:eastAsia="en-PH"/>
              </w:rPr>
              <w:br/>
              <w:t>(in years)</w:t>
            </w:r>
          </w:p>
        </w:tc>
        <w:tc>
          <w:tcPr>
            <w:tcW w:w="1418" w:type="dxa"/>
            <w:shd w:val="clear" w:color="auto" w:fill="auto"/>
            <w:vAlign w:val="center"/>
            <w:hideMark/>
          </w:tcPr>
          <w:p>
            <w:pPr>
              <w:jc w:val="center"/>
              <w:rPr>
                <w:b/>
                <w:bCs/>
                <w:sz w:val="24"/>
                <w:szCs w:val="24"/>
                <w:lang w:val="en-PH" w:eastAsia="en-PH"/>
              </w:rPr>
            </w:pPr>
            <w:r>
              <w:rPr>
                <w:b/>
                <w:bCs/>
                <w:sz w:val="24"/>
                <w:szCs w:val="24"/>
                <w:lang w:val="en-PH" w:eastAsia="en-PH"/>
              </w:rPr>
              <w:t xml:space="preserve">Maturity </w:t>
            </w:r>
            <w:r>
              <w:rPr>
                <w:b/>
                <w:bCs/>
                <w:sz w:val="24"/>
                <w:szCs w:val="24"/>
                <w:lang w:val="en-PH" w:eastAsia="en-PH"/>
              </w:rPr>
              <w:br/>
              <w:t>Date</w:t>
            </w:r>
          </w:p>
        </w:tc>
        <w:tc>
          <w:tcPr>
            <w:tcW w:w="1716" w:type="dxa"/>
            <w:shd w:val="clear" w:color="auto" w:fill="auto"/>
            <w:vAlign w:val="center"/>
            <w:hideMark/>
          </w:tcPr>
          <w:p>
            <w:pPr>
              <w:jc w:val="center"/>
              <w:rPr>
                <w:b/>
                <w:bCs/>
                <w:sz w:val="24"/>
                <w:szCs w:val="24"/>
                <w:lang w:val="en-PH" w:eastAsia="en-PH"/>
              </w:rPr>
            </w:pPr>
            <w:r>
              <w:rPr>
                <w:b/>
                <w:bCs/>
                <w:sz w:val="24"/>
                <w:szCs w:val="24"/>
                <w:lang w:val="en-PH" w:eastAsia="en-PH"/>
              </w:rPr>
              <w:t xml:space="preserve">Approved </w:t>
            </w:r>
            <w:r>
              <w:rPr>
                <w:b/>
                <w:bCs/>
                <w:sz w:val="24"/>
                <w:szCs w:val="24"/>
                <w:lang w:val="en-PH" w:eastAsia="en-PH"/>
              </w:rPr>
              <w:br/>
              <w:t>Amount</w:t>
            </w:r>
          </w:p>
        </w:tc>
        <w:tc>
          <w:tcPr>
            <w:tcW w:w="1827" w:type="dxa"/>
            <w:shd w:val="clear" w:color="auto" w:fill="auto"/>
            <w:vAlign w:val="center"/>
            <w:hideMark/>
          </w:tcPr>
          <w:p>
            <w:pPr>
              <w:jc w:val="center"/>
              <w:rPr>
                <w:b/>
                <w:bCs/>
                <w:sz w:val="24"/>
                <w:szCs w:val="24"/>
                <w:lang w:val="en-PH" w:eastAsia="en-PH"/>
              </w:rPr>
            </w:pPr>
            <w:r>
              <w:rPr>
                <w:b/>
                <w:bCs/>
                <w:sz w:val="24"/>
                <w:szCs w:val="24"/>
                <w:lang w:val="en-PH" w:eastAsia="en-PH"/>
              </w:rPr>
              <w:t>Total Balance per Book</w:t>
            </w:r>
          </w:p>
        </w:tc>
        <w:tc>
          <w:tcPr>
            <w:tcW w:w="1596" w:type="dxa"/>
            <w:shd w:val="clear" w:color="auto" w:fill="auto"/>
            <w:vAlign w:val="center"/>
            <w:hideMark/>
          </w:tcPr>
          <w:p>
            <w:pPr>
              <w:jc w:val="center"/>
              <w:rPr>
                <w:b/>
                <w:bCs/>
                <w:sz w:val="24"/>
                <w:szCs w:val="24"/>
                <w:lang w:val="en-PH" w:eastAsia="en-PH"/>
              </w:rPr>
            </w:pPr>
            <w:r>
              <w:rPr>
                <w:b/>
                <w:bCs/>
                <w:sz w:val="24"/>
                <w:szCs w:val="24"/>
                <w:lang w:val="en-PH" w:eastAsia="en-PH"/>
              </w:rPr>
              <w:t>Current</w:t>
            </w:r>
          </w:p>
        </w:tc>
        <w:tc>
          <w:tcPr>
            <w:tcW w:w="1523" w:type="dxa"/>
            <w:shd w:val="clear" w:color="auto" w:fill="auto"/>
            <w:vAlign w:val="center"/>
            <w:hideMark/>
          </w:tcPr>
          <w:p>
            <w:pPr>
              <w:jc w:val="center"/>
              <w:rPr>
                <w:b/>
                <w:bCs/>
                <w:sz w:val="24"/>
                <w:szCs w:val="24"/>
                <w:lang w:val="en-PH" w:eastAsia="en-PH"/>
              </w:rPr>
            </w:pPr>
            <w:r>
              <w:rPr>
                <w:b/>
                <w:bCs/>
                <w:sz w:val="24"/>
                <w:szCs w:val="24"/>
                <w:lang w:val="en-PH" w:eastAsia="en-PH"/>
              </w:rPr>
              <w:t>Non-Current</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Acquisition of Heavy Equipment IV</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11-Jul-18</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7</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11-Jul-25</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33,900,000.00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15,645,491.64</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5,215,384.60</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10,430,107.04</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Construction of Legislative Building</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12-Mar-18</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15</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12-Mar-33</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63,000,000.00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49,941,019.37</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4,872,294.56</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45,068,724.81</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Improvement of PMPTCSC</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21-May-18</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10</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21-May-28</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62,000,000.00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37,888,888.64</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6,888,888.88</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30,999,999.76</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Concreting of Farm-to-Market Roads</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18-Oct-21</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15</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18-Oct-36</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100,000,000.00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96,365,359.12</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5,162,997.81</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91,202,361.31</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Construction of Food Centrum</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29-Feb-12</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10</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1-Mar-22</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28,000,000.00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                        0.01</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                    0.01</w:t>
            </w:r>
          </w:p>
        </w:tc>
        <w:tc>
          <w:tcPr>
            <w:tcW w:w="1523" w:type="dxa"/>
            <w:shd w:val="clear" w:color="auto" w:fill="auto"/>
            <w:noWrap/>
            <w:vAlign w:val="center"/>
            <w:hideMark/>
          </w:tcPr>
          <w:p>
            <w:pPr>
              <w:jc w:val="center"/>
              <w:rPr>
                <w:sz w:val="24"/>
                <w:szCs w:val="24"/>
                <w:lang w:val="en-PH" w:eastAsia="en-PH"/>
              </w:rPr>
            </w:pP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Construction of Memorial Park</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22-May-13</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15</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22-May-28</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49,885,326.96</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21,105,330.64</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3,837,332.84</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17,267,997.80</w:t>
            </w:r>
          </w:p>
        </w:tc>
      </w:tr>
      <w:tr>
        <w:trPr>
          <w:trHeight w:val="982"/>
        </w:trPr>
        <w:tc>
          <w:tcPr>
            <w:tcW w:w="3681" w:type="dxa"/>
            <w:shd w:val="clear" w:color="auto" w:fill="auto"/>
            <w:vAlign w:val="center"/>
            <w:hideMark/>
          </w:tcPr>
          <w:p>
            <w:pPr>
              <w:rPr>
                <w:sz w:val="24"/>
                <w:szCs w:val="24"/>
                <w:lang w:val="en-PH" w:eastAsia="en-PH"/>
              </w:rPr>
            </w:pPr>
            <w:r>
              <w:rPr>
                <w:sz w:val="24"/>
                <w:szCs w:val="24"/>
                <w:lang w:val="en-PH" w:eastAsia="en-PH"/>
              </w:rPr>
              <w:t>Acquisition of Heavy Equipment - 1 unit Vacuum Tanker &amp; 3 units 6 Wheeler Dumptrucks</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26-Jan-22</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7</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26-Jan-29</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50,000,000.00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48,038,461.54</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7,686,153.84</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40,352,307.70</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Construction of Panabo Market Complex</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LBP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18-Feb-22</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15</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18-Feb-37</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450,000,000.00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256,719,581.00</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13,752,866.84</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242,966,714.16</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Construction of Sanitary Landfill Failities</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DBP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25-Jun-19</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15</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25-Jun-34</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75,800,000.00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72,641,666.66</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6,949,035.26</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65,692,631.40</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Procurement of Heavy Equipment (SLF)</w:t>
            </w:r>
          </w:p>
        </w:tc>
        <w:tc>
          <w:tcPr>
            <w:tcW w:w="709" w:type="dxa"/>
            <w:shd w:val="clear" w:color="auto" w:fill="auto"/>
            <w:noWrap/>
            <w:vAlign w:val="center"/>
            <w:hideMark/>
          </w:tcPr>
          <w:p>
            <w:pPr>
              <w:jc w:val="center"/>
              <w:rPr>
                <w:sz w:val="24"/>
                <w:szCs w:val="24"/>
                <w:lang w:val="en-PH" w:eastAsia="en-PH"/>
              </w:rPr>
            </w:pPr>
            <w:r>
              <w:rPr>
                <w:sz w:val="24"/>
                <w:szCs w:val="24"/>
                <w:lang w:val="en-PH" w:eastAsia="en-PH"/>
              </w:rPr>
              <w:t>DBP</w:t>
            </w:r>
          </w:p>
        </w:tc>
        <w:tc>
          <w:tcPr>
            <w:tcW w:w="1417" w:type="dxa"/>
            <w:shd w:val="clear" w:color="auto" w:fill="auto"/>
            <w:noWrap/>
            <w:vAlign w:val="center"/>
            <w:hideMark/>
          </w:tcPr>
          <w:p>
            <w:pPr>
              <w:jc w:val="center"/>
              <w:rPr>
                <w:sz w:val="24"/>
                <w:szCs w:val="24"/>
                <w:lang w:val="en-PH" w:eastAsia="en-PH"/>
              </w:rPr>
            </w:pPr>
            <w:r>
              <w:rPr>
                <w:sz w:val="24"/>
                <w:szCs w:val="24"/>
                <w:lang w:val="en-PH" w:eastAsia="en-PH"/>
              </w:rPr>
              <w:t>25-Jun-19</w:t>
            </w:r>
          </w:p>
        </w:tc>
        <w:tc>
          <w:tcPr>
            <w:tcW w:w="1134" w:type="dxa"/>
            <w:shd w:val="clear" w:color="auto" w:fill="auto"/>
            <w:noWrap/>
            <w:vAlign w:val="center"/>
            <w:hideMark/>
          </w:tcPr>
          <w:p>
            <w:pPr>
              <w:jc w:val="center"/>
              <w:rPr>
                <w:sz w:val="24"/>
                <w:szCs w:val="24"/>
                <w:lang w:val="en-PH" w:eastAsia="en-PH"/>
              </w:rPr>
            </w:pPr>
            <w:r>
              <w:rPr>
                <w:sz w:val="24"/>
                <w:szCs w:val="24"/>
                <w:lang w:val="en-PH" w:eastAsia="en-PH"/>
              </w:rPr>
              <w:t>10</w:t>
            </w:r>
          </w:p>
        </w:tc>
        <w:tc>
          <w:tcPr>
            <w:tcW w:w="1418" w:type="dxa"/>
            <w:shd w:val="clear" w:color="auto" w:fill="auto"/>
            <w:noWrap/>
            <w:vAlign w:val="center"/>
            <w:hideMark/>
          </w:tcPr>
          <w:p>
            <w:pPr>
              <w:jc w:val="center"/>
              <w:rPr>
                <w:sz w:val="24"/>
                <w:szCs w:val="24"/>
                <w:lang w:val="en-PH" w:eastAsia="en-PH"/>
              </w:rPr>
            </w:pPr>
            <w:r>
              <w:rPr>
                <w:sz w:val="24"/>
                <w:szCs w:val="24"/>
                <w:lang w:val="en-PH" w:eastAsia="en-PH"/>
              </w:rPr>
              <w:t>25-Jun-29</w:t>
            </w:r>
          </w:p>
        </w:tc>
        <w:tc>
          <w:tcPr>
            <w:tcW w:w="1716" w:type="dxa"/>
            <w:shd w:val="clear" w:color="auto" w:fill="auto"/>
            <w:noWrap/>
            <w:vAlign w:val="center"/>
            <w:hideMark/>
          </w:tcPr>
          <w:p>
            <w:pPr>
              <w:jc w:val="center"/>
              <w:rPr>
                <w:sz w:val="24"/>
                <w:szCs w:val="24"/>
                <w:lang w:val="en-PH" w:eastAsia="en-PH"/>
              </w:rPr>
            </w:pPr>
            <w:r>
              <w:rPr>
                <w:sz w:val="24"/>
                <w:szCs w:val="24"/>
                <w:lang w:val="en-PH" w:eastAsia="en-PH"/>
              </w:rPr>
              <w:t>54,090,000.00</w:t>
            </w:r>
          </w:p>
        </w:tc>
        <w:tc>
          <w:tcPr>
            <w:tcW w:w="1827" w:type="dxa"/>
            <w:shd w:val="clear" w:color="auto" w:fill="auto"/>
            <w:noWrap/>
            <w:vAlign w:val="center"/>
            <w:hideMark/>
          </w:tcPr>
          <w:p>
            <w:pPr>
              <w:jc w:val="center"/>
              <w:rPr>
                <w:sz w:val="24"/>
                <w:szCs w:val="24"/>
                <w:lang w:val="en-PH" w:eastAsia="en-PH"/>
              </w:rPr>
            </w:pPr>
            <w:r>
              <w:rPr>
                <w:sz w:val="24"/>
                <w:szCs w:val="24"/>
                <w:lang w:val="en-PH" w:eastAsia="en-PH"/>
              </w:rPr>
              <w:t>48,080,000.00</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6,010,000.00</w:t>
            </w:r>
          </w:p>
        </w:tc>
        <w:tc>
          <w:tcPr>
            <w:tcW w:w="1523" w:type="dxa"/>
            <w:shd w:val="clear" w:color="auto" w:fill="auto"/>
            <w:noWrap/>
            <w:vAlign w:val="center"/>
            <w:hideMark/>
          </w:tcPr>
          <w:p>
            <w:pPr>
              <w:jc w:val="center"/>
              <w:rPr>
                <w:sz w:val="24"/>
                <w:szCs w:val="24"/>
                <w:lang w:val="en-PH" w:eastAsia="en-PH"/>
              </w:rPr>
            </w:pPr>
            <w:r>
              <w:rPr>
                <w:sz w:val="24"/>
                <w:szCs w:val="24"/>
                <w:lang w:val="en-PH" w:eastAsia="en-PH"/>
              </w:rPr>
              <w:t>42,070,000.00</w:t>
            </w: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For Recon- 2014 Loans for Heavy Equipment</w:t>
            </w:r>
          </w:p>
        </w:tc>
        <w:tc>
          <w:tcPr>
            <w:tcW w:w="709" w:type="dxa"/>
            <w:shd w:val="clear" w:color="auto" w:fill="auto"/>
            <w:noWrap/>
            <w:vAlign w:val="center"/>
            <w:hideMark/>
          </w:tcPr>
          <w:p>
            <w:pPr>
              <w:jc w:val="center"/>
              <w:rPr>
                <w:sz w:val="24"/>
                <w:szCs w:val="24"/>
                <w:lang w:val="en-PH" w:eastAsia="en-PH"/>
              </w:rPr>
            </w:pPr>
          </w:p>
        </w:tc>
        <w:tc>
          <w:tcPr>
            <w:tcW w:w="1417" w:type="dxa"/>
            <w:shd w:val="clear" w:color="auto" w:fill="auto"/>
            <w:noWrap/>
            <w:vAlign w:val="center"/>
            <w:hideMark/>
          </w:tcPr>
          <w:p>
            <w:pPr>
              <w:jc w:val="center"/>
              <w:rPr>
                <w:sz w:val="24"/>
                <w:szCs w:val="24"/>
                <w:lang w:val="en-PH" w:eastAsia="en-PH"/>
              </w:rPr>
            </w:pPr>
          </w:p>
        </w:tc>
        <w:tc>
          <w:tcPr>
            <w:tcW w:w="1134" w:type="dxa"/>
            <w:shd w:val="clear" w:color="auto" w:fill="auto"/>
            <w:noWrap/>
            <w:vAlign w:val="center"/>
            <w:hideMark/>
          </w:tcPr>
          <w:p>
            <w:pPr>
              <w:jc w:val="center"/>
              <w:rPr>
                <w:sz w:val="24"/>
                <w:szCs w:val="24"/>
                <w:lang w:val="en-PH" w:eastAsia="en-PH"/>
              </w:rPr>
            </w:pPr>
          </w:p>
        </w:tc>
        <w:tc>
          <w:tcPr>
            <w:tcW w:w="1418" w:type="dxa"/>
            <w:shd w:val="clear" w:color="auto" w:fill="auto"/>
            <w:noWrap/>
            <w:vAlign w:val="center"/>
            <w:hideMark/>
          </w:tcPr>
          <w:p>
            <w:pPr>
              <w:jc w:val="center"/>
              <w:rPr>
                <w:sz w:val="24"/>
                <w:szCs w:val="24"/>
                <w:lang w:val="en-PH" w:eastAsia="en-PH"/>
              </w:rPr>
            </w:pPr>
          </w:p>
        </w:tc>
        <w:tc>
          <w:tcPr>
            <w:tcW w:w="1716" w:type="dxa"/>
            <w:shd w:val="clear" w:color="auto" w:fill="auto"/>
            <w:noWrap/>
            <w:vAlign w:val="center"/>
            <w:hideMark/>
          </w:tcPr>
          <w:p>
            <w:pPr>
              <w:jc w:val="center"/>
              <w:rPr>
                <w:sz w:val="24"/>
                <w:szCs w:val="24"/>
                <w:lang w:val="en-PH" w:eastAsia="en-PH"/>
              </w:rPr>
            </w:pPr>
          </w:p>
        </w:tc>
        <w:tc>
          <w:tcPr>
            <w:tcW w:w="1827" w:type="dxa"/>
            <w:shd w:val="clear" w:color="auto" w:fill="auto"/>
            <w:noWrap/>
            <w:vAlign w:val="center"/>
            <w:hideMark/>
          </w:tcPr>
          <w:p>
            <w:pPr>
              <w:jc w:val="center"/>
              <w:rPr>
                <w:sz w:val="24"/>
                <w:szCs w:val="24"/>
                <w:lang w:val="en-PH" w:eastAsia="en-PH"/>
              </w:rPr>
            </w:pPr>
            <w:r>
              <w:rPr>
                <w:sz w:val="24"/>
                <w:szCs w:val="24"/>
                <w:lang w:val="en-PH" w:eastAsia="en-PH"/>
              </w:rPr>
              <w:t>686,994.11</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686,994.11</w:t>
            </w:r>
          </w:p>
        </w:tc>
        <w:tc>
          <w:tcPr>
            <w:tcW w:w="1523" w:type="dxa"/>
            <w:shd w:val="clear" w:color="auto" w:fill="auto"/>
            <w:noWrap/>
            <w:vAlign w:val="center"/>
            <w:hideMark/>
          </w:tcPr>
          <w:p>
            <w:pPr>
              <w:jc w:val="center"/>
              <w:rPr>
                <w:sz w:val="24"/>
                <w:szCs w:val="24"/>
                <w:lang w:val="en-PH" w:eastAsia="en-PH"/>
              </w:rPr>
            </w:pPr>
          </w:p>
        </w:tc>
      </w:tr>
      <w:tr>
        <w:trPr>
          <w:trHeight w:val="384"/>
        </w:trPr>
        <w:tc>
          <w:tcPr>
            <w:tcW w:w="3681" w:type="dxa"/>
            <w:shd w:val="clear" w:color="auto" w:fill="auto"/>
            <w:vAlign w:val="center"/>
            <w:hideMark/>
          </w:tcPr>
          <w:p>
            <w:pPr>
              <w:rPr>
                <w:sz w:val="24"/>
                <w:szCs w:val="24"/>
                <w:lang w:val="en-PH" w:eastAsia="en-PH"/>
              </w:rPr>
            </w:pPr>
            <w:r>
              <w:rPr>
                <w:sz w:val="24"/>
                <w:szCs w:val="24"/>
                <w:lang w:val="en-PH" w:eastAsia="en-PH"/>
              </w:rPr>
              <w:t>For Recon- Loan PSF</w:t>
            </w:r>
          </w:p>
        </w:tc>
        <w:tc>
          <w:tcPr>
            <w:tcW w:w="709" w:type="dxa"/>
            <w:shd w:val="clear" w:color="auto" w:fill="auto"/>
            <w:noWrap/>
            <w:vAlign w:val="center"/>
            <w:hideMark/>
          </w:tcPr>
          <w:p>
            <w:pPr>
              <w:jc w:val="center"/>
              <w:rPr>
                <w:sz w:val="24"/>
                <w:szCs w:val="24"/>
                <w:lang w:val="en-PH" w:eastAsia="en-PH"/>
              </w:rPr>
            </w:pPr>
          </w:p>
        </w:tc>
        <w:tc>
          <w:tcPr>
            <w:tcW w:w="1417" w:type="dxa"/>
            <w:shd w:val="clear" w:color="auto" w:fill="auto"/>
            <w:noWrap/>
            <w:vAlign w:val="center"/>
            <w:hideMark/>
          </w:tcPr>
          <w:p>
            <w:pPr>
              <w:jc w:val="center"/>
              <w:rPr>
                <w:sz w:val="24"/>
                <w:szCs w:val="24"/>
                <w:lang w:val="en-PH" w:eastAsia="en-PH"/>
              </w:rPr>
            </w:pPr>
          </w:p>
        </w:tc>
        <w:tc>
          <w:tcPr>
            <w:tcW w:w="1134" w:type="dxa"/>
            <w:shd w:val="clear" w:color="auto" w:fill="auto"/>
            <w:noWrap/>
            <w:vAlign w:val="center"/>
            <w:hideMark/>
          </w:tcPr>
          <w:p>
            <w:pPr>
              <w:jc w:val="center"/>
              <w:rPr>
                <w:sz w:val="24"/>
                <w:szCs w:val="24"/>
                <w:lang w:val="en-PH" w:eastAsia="en-PH"/>
              </w:rPr>
            </w:pPr>
          </w:p>
        </w:tc>
        <w:tc>
          <w:tcPr>
            <w:tcW w:w="1418" w:type="dxa"/>
            <w:shd w:val="clear" w:color="auto" w:fill="auto"/>
            <w:noWrap/>
            <w:vAlign w:val="center"/>
            <w:hideMark/>
          </w:tcPr>
          <w:p>
            <w:pPr>
              <w:jc w:val="center"/>
              <w:rPr>
                <w:sz w:val="24"/>
                <w:szCs w:val="24"/>
                <w:lang w:val="en-PH" w:eastAsia="en-PH"/>
              </w:rPr>
            </w:pPr>
          </w:p>
        </w:tc>
        <w:tc>
          <w:tcPr>
            <w:tcW w:w="1716" w:type="dxa"/>
            <w:shd w:val="clear" w:color="auto" w:fill="auto"/>
            <w:noWrap/>
            <w:vAlign w:val="center"/>
            <w:hideMark/>
          </w:tcPr>
          <w:p>
            <w:pPr>
              <w:jc w:val="center"/>
              <w:rPr>
                <w:sz w:val="24"/>
                <w:szCs w:val="24"/>
                <w:lang w:val="en-PH" w:eastAsia="en-PH"/>
              </w:rPr>
            </w:pPr>
          </w:p>
        </w:tc>
        <w:tc>
          <w:tcPr>
            <w:tcW w:w="1827" w:type="dxa"/>
            <w:shd w:val="clear" w:color="auto" w:fill="auto"/>
            <w:noWrap/>
            <w:vAlign w:val="center"/>
            <w:hideMark/>
          </w:tcPr>
          <w:p>
            <w:pPr>
              <w:jc w:val="center"/>
              <w:rPr>
                <w:sz w:val="24"/>
                <w:szCs w:val="24"/>
                <w:lang w:val="en-PH" w:eastAsia="en-PH"/>
              </w:rPr>
            </w:pPr>
            <w:r>
              <w:rPr>
                <w:sz w:val="24"/>
                <w:szCs w:val="24"/>
                <w:lang w:val="en-PH" w:eastAsia="en-PH"/>
              </w:rPr>
              <w:t>62,500.00</w:t>
            </w:r>
          </w:p>
        </w:tc>
        <w:tc>
          <w:tcPr>
            <w:tcW w:w="1596" w:type="dxa"/>
            <w:shd w:val="clear" w:color="auto" w:fill="auto"/>
            <w:noWrap/>
            <w:vAlign w:val="center"/>
            <w:hideMark/>
          </w:tcPr>
          <w:p>
            <w:pPr>
              <w:jc w:val="center"/>
              <w:rPr>
                <w:sz w:val="24"/>
                <w:szCs w:val="24"/>
                <w:lang w:val="en-PH" w:eastAsia="en-PH"/>
              </w:rPr>
            </w:pPr>
            <w:r>
              <w:rPr>
                <w:sz w:val="24"/>
                <w:szCs w:val="24"/>
                <w:lang w:val="en-PH" w:eastAsia="en-PH"/>
              </w:rPr>
              <w:t>62,500.00</w:t>
            </w:r>
          </w:p>
        </w:tc>
        <w:tc>
          <w:tcPr>
            <w:tcW w:w="1523" w:type="dxa"/>
            <w:shd w:val="clear" w:color="auto" w:fill="auto"/>
            <w:noWrap/>
            <w:vAlign w:val="center"/>
            <w:hideMark/>
          </w:tcPr>
          <w:p>
            <w:pPr>
              <w:jc w:val="center"/>
              <w:rPr>
                <w:sz w:val="24"/>
                <w:szCs w:val="24"/>
                <w:lang w:val="en-PH" w:eastAsia="en-PH"/>
              </w:rPr>
            </w:pPr>
          </w:p>
        </w:tc>
      </w:tr>
      <w:tr>
        <w:trPr>
          <w:trHeight w:val="404"/>
        </w:trPr>
        <w:tc>
          <w:tcPr>
            <w:tcW w:w="3681" w:type="dxa"/>
            <w:shd w:val="clear" w:color="auto" w:fill="auto"/>
            <w:noWrap/>
            <w:vAlign w:val="center"/>
            <w:hideMark/>
          </w:tcPr>
          <w:p>
            <w:pPr>
              <w:jc w:val="center"/>
              <w:rPr>
                <w:b/>
                <w:bCs/>
                <w:sz w:val="24"/>
                <w:szCs w:val="24"/>
                <w:lang w:val="en-PH" w:eastAsia="en-PH"/>
              </w:rPr>
            </w:pPr>
          </w:p>
        </w:tc>
        <w:tc>
          <w:tcPr>
            <w:tcW w:w="709" w:type="dxa"/>
            <w:shd w:val="clear" w:color="auto" w:fill="auto"/>
            <w:noWrap/>
            <w:vAlign w:val="center"/>
            <w:hideMark/>
          </w:tcPr>
          <w:p>
            <w:pPr>
              <w:jc w:val="center"/>
              <w:rPr>
                <w:b/>
                <w:bCs/>
                <w:sz w:val="24"/>
                <w:szCs w:val="24"/>
                <w:lang w:val="en-PH" w:eastAsia="en-PH"/>
              </w:rPr>
            </w:pPr>
          </w:p>
        </w:tc>
        <w:tc>
          <w:tcPr>
            <w:tcW w:w="1417" w:type="dxa"/>
            <w:shd w:val="clear" w:color="auto" w:fill="auto"/>
            <w:noWrap/>
            <w:vAlign w:val="center"/>
            <w:hideMark/>
          </w:tcPr>
          <w:p>
            <w:pPr>
              <w:jc w:val="center"/>
              <w:rPr>
                <w:b/>
                <w:bCs/>
                <w:sz w:val="24"/>
                <w:szCs w:val="24"/>
                <w:lang w:val="en-PH" w:eastAsia="en-PH"/>
              </w:rPr>
            </w:pPr>
          </w:p>
        </w:tc>
        <w:tc>
          <w:tcPr>
            <w:tcW w:w="1134" w:type="dxa"/>
            <w:shd w:val="clear" w:color="auto" w:fill="auto"/>
            <w:noWrap/>
            <w:vAlign w:val="center"/>
            <w:hideMark/>
          </w:tcPr>
          <w:p>
            <w:pPr>
              <w:jc w:val="center"/>
              <w:rPr>
                <w:b/>
                <w:bCs/>
                <w:sz w:val="24"/>
                <w:szCs w:val="24"/>
                <w:lang w:val="en-PH" w:eastAsia="en-PH"/>
              </w:rPr>
            </w:pPr>
          </w:p>
        </w:tc>
        <w:tc>
          <w:tcPr>
            <w:tcW w:w="1418" w:type="dxa"/>
            <w:shd w:val="clear" w:color="auto" w:fill="auto"/>
            <w:noWrap/>
            <w:vAlign w:val="center"/>
            <w:hideMark/>
          </w:tcPr>
          <w:p>
            <w:pPr>
              <w:jc w:val="center"/>
              <w:rPr>
                <w:b/>
                <w:bCs/>
                <w:sz w:val="24"/>
                <w:szCs w:val="24"/>
                <w:lang w:val="en-PH" w:eastAsia="en-PH"/>
              </w:rPr>
            </w:pPr>
          </w:p>
        </w:tc>
        <w:tc>
          <w:tcPr>
            <w:tcW w:w="1716" w:type="dxa"/>
            <w:shd w:val="clear" w:color="auto" w:fill="auto"/>
            <w:noWrap/>
            <w:vAlign w:val="center"/>
            <w:hideMark/>
          </w:tcPr>
          <w:p>
            <w:pPr>
              <w:jc w:val="center"/>
              <w:rPr>
                <w:b/>
                <w:bCs/>
                <w:sz w:val="24"/>
                <w:szCs w:val="24"/>
                <w:lang w:val="en-PH" w:eastAsia="en-PH"/>
              </w:rPr>
            </w:pPr>
            <w:r>
              <w:rPr>
                <w:b/>
                <w:bCs/>
                <w:sz w:val="24"/>
                <w:szCs w:val="24"/>
                <w:lang w:val="en-PH" w:eastAsia="en-PH"/>
              </w:rPr>
              <w:t>966,675,326.96</w:t>
            </w:r>
          </w:p>
        </w:tc>
        <w:tc>
          <w:tcPr>
            <w:tcW w:w="1827" w:type="dxa"/>
            <w:shd w:val="clear" w:color="auto" w:fill="auto"/>
            <w:noWrap/>
            <w:vAlign w:val="center"/>
            <w:hideMark/>
          </w:tcPr>
          <w:p>
            <w:pPr>
              <w:jc w:val="center"/>
              <w:rPr>
                <w:b/>
                <w:bCs/>
                <w:sz w:val="24"/>
                <w:szCs w:val="24"/>
                <w:lang w:val="en-PH" w:eastAsia="en-PH"/>
              </w:rPr>
            </w:pPr>
            <w:r>
              <w:rPr>
                <w:b/>
                <w:bCs/>
                <w:sz w:val="24"/>
                <w:szCs w:val="24"/>
                <w:lang w:val="en-PH" w:eastAsia="en-PH"/>
              </w:rPr>
              <w:t>647,175,292.71</w:t>
            </w:r>
          </w:p>
        </w:tc>
        <w:tc>
          <w:tcPr>
            <w:tcW w:w="1596" w:type="dxa"/>
            <w:shd w:val="clear" w:color="auto" w:fill="auto"/>
            <w:noWrap/>
            <w:vAlign w:val="center"/>
            <w:hideMark/>
          </w:tcPr>
          <w:p>
            <w:pPr>
              <w:jc w:val="center"/>
              <w:rPr>
                <w:b/>
                <w:bCs/>
                <w:sz w:val="24"/>
                <w:szCs w:val="24"/>
                <w:lang w:val="en-PH" w:eastAsia="en-PH"/>
              </w:rPr>
            </w:pPr>
            <w:r>
              <w:rPr>
                <w:b/>
                <w:bCs/>
                <w:sz w:val="24"/>
                <w:szCs w:val="24"/>
                <w:lang w:val="en-PH" w:eastAsia="en-PH"/>
              </w:rPr>
              <w:t>61,124,448.73</w:t>
            </w:r>
          </w:p>
        </w:tc>
        <w:tc>
          <w:tcPr>
            <w:tcW w:w="1523" w:type="dxa"/>
            <w:shd w:val="clear" w:color="auto" w:fill="auto"/>
            <w:noWrap/>
            <w:vAlign w:val="center"/>
            <w:hideMark/>
          </w:tcPr>
          <w:p>
            <w:pPr>
              <w:jc w:val="center"/>
              <w:rPr>
                <w:b/>
                <w:bCs/>
                <w:sz w:val="24"/>
                <w:szCs w:val="24"/>
                <w:lang w:val="en-PH" w:eastAsia="en-PH"/>
              </w:rPr>
            </w:pPr>
            <w:r>
              <w:rPr>
                <w:b/>
                <w:bCs/>
                <w:sz w:val="24"/>
                <w:szCs w:val="24"/>
                <w:lang w:val="en-PH" w:eastAsia="en-PH"/>
              </w:rPr>
              <w:t>586,050,843.98</w:t>
            </w:r>
          </w:p>
        </w:tc>
      </w:tr>
    </w:tbl>
    <w:p>
      <w:pPr>
        <w:jc w:val="both"/>
        <w:rPr>
          <w:sz w:val="24"/>
          <w:szCs w:val="24"/>
        </w:rPr>
        <w:sectPr>
          <w:pgSz w:w="16838" w:h="11906" w:orient="landscape" w:code="9"/>
          <w:pgMar w:top="1418" w:right="1440" w:bottom="1077" w:left="1276" w:header="709" w:footer="709" w:gutter="0"/>
          <w:pgNumType w:start="71"/>
          <w:cols w:space="708"/>
          <w:docGrid w:linePitch="360"/>
        </w:sectPr>
      </w:pPr>
    </w:p>
    <w:p>
      <w:pPr>
        <w:jc w:val="both"/>
        <w:rPr>
          <w:b/>
          <w:bCs/>
          <w:sz w:val="24"/>
          <w:szCs w:val="24"/>
        </w:rPr>
      </w:pPr>
    </w:p>
    <w:p>
      <w:pPr>
        <w:jc w:val="both"/>
        <w:rPr>
          <w:b/>
          <w:bCs/>
          <w:sz w:val="24"/>
          <w:szCs w:val="24"/>
        </w:rPr>
      </w:pPr>
      <w:r>
        <w:rPr>
          <w:b/>
          <w:bCs/>
          <w:sz w:val="24"/>
          <w:szCs w:val="24"/>
        </w:rPr>
        <w:t>Note 13 – Inter-Agency Payables</w:t>
      </w:r>
    </w:p>
    <w:p>
      <w:pPr>
        <w:jc w:val="both"/>
        <w:rPr>
          <w:b/>
          <w:bCs/>
          <w:sz w:val="24"/>
          <w:szCs w:val="24"/>
          <w:lang w:val="en-PH" w:eastAsia="en-PH"/>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b/>
          <w:bCs/>
          <w:sz w:val="24"/>
          <w:szCs w:val="24"/>
          <w:lang w:val="en-PH" w:eastAsia="en-PH"/>
        </w:rPr>
      </w:pPr>
    </w:p>
    <w:tbl>
      <w:tblPr>
        <w:tblW w:w="8789" w:type="dxa"/>
        <w:tblInd w:w="675" w:type="dxa"/>
        <w:tblLayout w:type="fixed"/>
        <w:tblLook w:val="04A0" w:firstRow="1" w:lastRow="0" w:firstColumn="1" w:lastColumn="0" w:noHBand="0" w:noVBand="1"/>
      </w:tblPr>
      <w:tblGrid>
        <w:gridCol w:w="4253"/>
        <w:gridCol w:w="2268"/>
        <w:gridCol w:w="2268"/>
      </w:tblGrid>
      <w:tr>
        <w:trPr>
          <w:trHeight w:val="340"/>
        </w:trPr>
        <w:tc>
          <w:tcPr>
            <w:tcW w:w="425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Inter-Agency Payables</w:t>
            </w:r>
          </w:p>
        </w:tc>
        <w:tc>
          <w:tcPr>
            <w:tcW w:w="226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6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BIR</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12,321,273.78</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10,475,358.06</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GSIS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15,152,250.76</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14,447,088.95</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Pag-IBIG</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1,677,188.68</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1,541,750.04</w:t>
            </w:r>
          </w:p>
        </w:tc>
      </w:tr>
      <w:tr>
        <w:trPr>
          <w:trHeight w:val="340"/>
        </w:trPr>
        <w:tc>
          <w:tcPr>
            <w:tcW w:w="4253" w:type="dxa"/>
            <w:tcBorders>
              <w:top w:val="nil"/>
              <w:left w:val="nil"/>
              <w:bottom w:val="nil"/>
              <w:right w:val="nil"/>
            </w:tcBorders>
            <w:shd w:val="clear" w:color="auto" w:fill="auto"/>
            <w:vAlign w:val="center"/>
            <w:hideMark/>
          </w:tcPr>
          <w:p>
            <w:pPr>
              <w:ind w:firstLine="34"/>
              <w:rPr>
                <w:sz w:val="24"/>
                <w:szCs w:val="24"/>
                <w:lang w:val="en-PH" w:eastAsia="en-PH"/>
              </w:rPr>
            </w:pPr>
            <w:r>
              <w:rPr>
                <w:sz w:val="24"/>
                <w:szCs w:val="24"/>
                <w:lang w:val="en-PH" w:eastAsia="en-PH"/>
              </w:rPr>
              <w:t>Due to PhilHealth</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3,167,614.17</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877,630.07</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NGAs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232,087,519.95</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437,666,462.08</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GOCCs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9,914,499.50</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9,914,499.50</w:t>
            </w:r>
          </w:p>
        </w:tc>
      </w:tr>
      <w:tr>
        <w:trPr>
          <w:trHeight w:val="340"/>
        </w:trPr>
        <w:tc>
          <w:tcPr>
            <w:tcW w:w="425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LGUs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20,327,205.17</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14,832,511.99</w:t>
            </w:r>
          </w:p>
        </w:tc>
      </w:tr>
      <w:tr>
        <w:trPr>
          <w:trHeight w:val="340"/>
        </w:trPr>
        <w:tc>
          <w:tcPr>
            <w:tcW w:w="425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6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294,647,552.01</w:t>
            </w:r>
          </w:p>
        </w:tc>
        <w:tc>
          <w:tcPr>
            <w:tcW w:w="226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489,755,300.69</w:t>
            </w:r>
          </w:p>
        </w:tc>
      </w:tr>
    </w:tbl>
    <w:p>
      <w:pPr>
        <w:jc w:val="both"/>
        <w:rPr>
          <w:sz w:val="24"/>
          <w:szCs w:val="24"/>
        </w:rPr>
      </w:pPr>
    </w:p>
    <w:p>
      <w:pPr>
        <w:ind w:left="1134"/>
        <w:jc w:val="both"/>
        <w:rPr>
          <w:b/>
          <w:bCs/>
          <w:sz w:val="24"/>
          <w:szCs w:val="24"/>
        </w:rPr>
      </w:pPr>
      <w:r>
        <w:rPr>
          <w:b/>
          <w:bCs/>
          <w:sz w:val="24"/>
          <w:szCs w:val="24"/>
        </w:rPr>
        <w:t>13.1 Due to BIR</w:t>
      </w:r>
    </w:p>
    <w:p>
      <w:pPr>
        <w:jc w:val="both"/>
        <w:rPr>
          <w:b/>
          <w:bCs/>
          <w:sz w:val="24"/>
          <w:szCs w:val="24"/>
        </w:rPr>
      </w:pPr>
      <w:r>
        <w:rPr>
          <w:b/>
          <w:bCs/>
          <w:sz w:val="24"/>
          <w:szCs w:val="24"/>
        </w:rPr>
        <w:tab/>
      </w:r>
    </w:p>
    <w:p>
      <w:pPr>
        <w:spacing w:line="276" w:lineRule="auto"/>
        <w:ind w:left="1418"/>
        <w:jc w:val="both"/>
        <w:rPr>
          <w:sz w:val="24"/>
          <w:szCs w:val="24"/>
        </w:rPr>
      </w:pPr>
      <w:r>
        <w:rPr>
          <w:sz w:val="24"/>
          <w:szCs w:val="24"/>
        </w:rPr>
        <w:t>These are the amount withheld from the salaries of officials, employees, suppliers, contractors, and service providers. Below is the movement of the account during the year:</w:t>
      </w:r>
    </w:p>
    <w:p>
      <w:pPr>
        <w:ind w:left="720"/>
        <w:jc w:val="both"/>
        <w:rPr>
          <w:sz w:val="24"/>
          <w:szCs w:val="24"/>
        </w:rPr>
      </w:pPr>
    </w:p>
    <w:tbl>
      <w:tblPr>
        <w:tblW w:w="6957" w:type="dxa"/>
        <w:tblInd w:w="1951" w:type="dxa"/>
        <w:tblLook w:val="04A0" w:firstRow="1" w:lastRow="0" w:firstColumn="1" w:lastColumn="0" w:noHBand="0" w:noVBand="1"/>
      </w:tblPr>
      <w:tblGrid>
        <w:gridCol w:w="4833"/>
        <w:gridCol w:w="2124"/>
      </w:tblGrid>
      <w:tr>
        <w:trPr>
          <w:trHeight w:val="283"/>
        </w:trPr>
        <w:tc>
          <w:tcPr>
            <w:tcW w:w="4833"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Due to BIR</w:t>
            </w:r>
          </w:p>
        </w:tc>
        <w:tc>
          <w:tcPr>
            <w:tcW w:w="212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4833" w:type="dxa"/>
            <w:tcBorders>
              <w:top w:val="single" w:sz="4" w:space="0" w:color="A6A6A6"/>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Beginning Balance</w:t>
            </w:r>
          </w:p>
        </w:tc>
        <w:tc>
          <w:tcPr>
            <w:tcW w:w="2124" w:type="dxa"/>
            <w:tcBorders>
              <w:top w:val="single" w:sz="4" w:space="0" w:color="A6A6A6"/>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10,475,358.06</w:t>
            </w:r>
          </w:p>
        </w:tc>
      </w:tr>
      <w:tr>
        <w:trPr>
          <w:trHeight w:val="283"/>
        </w:trPr>
        <w:tc>
          <w:tcPr>
            <w:tcW w:w="4833"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Tax withheld during the year</w:t>
            </w:r>
          </w:p>
        </w:tc>
        <w:tc>
          <w:tcPr>
            <w:tcW w:w="2124"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84,352,888.40</w:t>
            </w:r>
          </w:p>
        </w:tc>
      </w:tr>
      <w:tr>
        <w:trPr>
          <w:trHeight w:val="283"/>
        </w:trPr>
        <w:tc>
          <w:tcPr>
            <w:tcW w:w="4833"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Remittances during the year</w:t>
            </w:r>
          </w:p>
        </w:tc>
        <w:tc>
          <w:tcPr>
            <w:tcW w:w="2124"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(82,608,462.18)</w:t>
            </w:r>
          </w:p>
        </w:tc>
      </w:tr>
      <w:tr>
        <w:trPr>
          <w:trHeight w:val="283"/>
        </w:trPr>
        <w:tc>
          <w:tcPr>
            <w:tcW w:w="4833" w:type="dxa"/>
            <w:tcBorders>
              <w:top w:val="single" w:sz="4" w:space="0" w:color="FFFFFF"/>
              <w:left w:val="nil"/>
              <w:bottom w:val="single" w:sz="4" w:space="0" w:color="A6A6A6"/>
              <w:right w:val="nil"/>
            </w:tcBorders>
            <w:shd w:val="clear" w:color="auto" w:fill="auto"/>
            <w:noWrap/>
            <w:vAlign w:val="center"/>
            <w:hideMark/>
          </w:tcPr>
          <w:p>
            <w:pPr>
              <w:rPr>
                <w:sz w:val="24"/>
                <w:szCs w:val="24"/>
                <w:lang w:val="en-PH" w:eastAsia="en-PH"/>
              </w:rPr>
            </w:pPr>
            <w:r>
              <w:rPr>
                <w:sz w:val="24"/>
                <w:szCs w:val="24"/>
                <w:lang w:val="en-PH" w:eastAsia="en-PH"/>
              </w:rPr>
              <w:t>Refund/Adjustments</w:t>
            </w:r>
          </w:p>
        </w:tc>
        <w:tc>
          <w:tcPr>
            <w:tcW w:w="2124" w:type="dxa"/>
            <w:tcBorders>
              <w:top w:val="single" w:sz="4" w:space="0" w:color="FFFFFF"/>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101,489.50</w:t>
            </w:r>
          </w:p>
        </w:tc>
      </w:tr>
      <w:tr>
        <w:trPr>
          <w:trHeight w:val="283"/>
        </w:trPr>
        <w:tc>
          <w:tcPr>
            <w:tcW w:w="4833" w:type="dxa"/>
            <w:tcBorders>
              <w:top w:val="single" w:sz="4" w:space="0" w:color="A6A6A6"/>
              <w:left w:val="nil"/>
              <w:bottom w:val="double" w:sz="6"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2124"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     12,321,273.78</w:t>
            </w:r>
          </w:p>
        </w:tc>
      </w:tr>
    </w:tbl>
    <w:p>
      <w:pPr>
        <w:ind w:left="720"/>
        <w:jc w:val="both"/>
        <w:rPr>
          <w:sz w:val="24"/>
          <w:szCs w:val="24"/>
        </w:rPr>
      </w:pPr>
    </w:p>
    <w:p>
      <w:pPr>
        <w:ind w:left="1134"/>
        <w:jc w:val="both"/>
        <w:rPr>
          <w:b/>
          <w:bCs/>
          <w:sz w:val="24"/>
          <w:szCs w:val="24"/>
        </w:rPr>
      </w:pPr>
      <w:r>
        <w:rPr>
          <w:b/>
          <w:bCs/>
          <w:sz w:val="24"/>
          <w:szCs w:val="24"/>
        </w:rPr>
        <w:t>13.2 Due to GSIS</w:t>
      </w:r>
    </w:p>
    <w:p>
      <w:pPr>
        <w:jc w:val="both"/>
        <w:rPr>
          <w:b/>
          <w:bCs/>
          <w:sz w:val="24"/>
          <w:szCs w:val="24"/>
        </w:rPr>
      </w:pPr>
      <w:r>
        <w:rPr>
          <w:b/>
          <w:bCs/>
          <w:sz w:val="24"/>
          <w:szCs w:val="24"/>
        </w:rPr>
        <w:tab/>
      </w:r>
    </w:p>
    <w:p>
      <w:pPr>
        <w:spacing w:line="276" w:lineRule="auto"/>
        <w:ind w:left="1418"/>
        <w:jc w:val="both"/>
        <w:rPr>
          <w:sz w:val="24"/>
          <w:szCs w:val="24"/>
        </w:rPr>
      </w:pPr>
      <w:r>
        <w:rPr>
          <w:sz w:val="24"/>
          <w:szCs w:val="24"/>
        </w:rPr>
        <w:t>This is the mandatory retirement and life insurance premium contribution and various loan repayments duly deducted from salaries and wages of officials and employees both regular and casual. Below is the movement of the account during the year:</w:t>
      </w:r>
    </w:p>
    <w:p>
      <w:pPr>
        <w:ind w:left="720"/>
        <w:jc w:val="both"/>
        <w:rPr>
          <w:sz w:val="24"/>
          <w:szCs w:val="24"/>
        </w:rPr>
      </w:pPr>
    </w:p>
    <w:tbl>
      <w:tblPr>
        <w:tblW w:w="6946" w:type="dxa"/>
        <w:tblInd w:w="1951" w:type="dxa"/>
        <w:tblLook w:val="04A0" w:firstRow="1" w:lastRow="0" w:firstColumn="1" w:lastColumn="0" w:noHBand="0" w:noVBand="1"/>
      </w:tblPr>
      <w:tblGrid>
        <w:gridCol w:w="4678"/>
        <w:gridCol w:w="2268"/>
      </w:tblGrid>
      <w:tr>
        <w:trPr>
          <w:trHeight w:val="283"/>
        </w:trPr>
        <w:tc>
          <w:tcPr>
            <w:tcW w:w="467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Due to GSIS</w:t>
            </w:r>
          </w:p>
        </w:tc>
        <w:tc>
          <w:tcPr>
            <w:tcW w:w="226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4678" w:type="dxa"/>
            <w:tcBorders>
              <w:top w:val="single" w:sz="4" w:space="0" w:color="A6A6A6"/>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Beginning Balance</w:t>
            </w:r>
          </w:p>
        </w:tc>
        <w:tc>
          <w:tcPr>
            <w:tcW w:w="2268" w:type="dxa"/>
            <w:tcBorders>
              <w:top w:val="single" w:sz="4" w:space="0" w:color="A6A6A6"/>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14,447,088.95</w:t>
            </w:r>
          </w:p>
        </w:tc>
      </w:tr>
      <w:tr>
        <w:trPr>
          <w:trHeight w:val="283"/>
        </w:trPr>
        <w:tc>
          <w:tcPr>
            <w:tcW w:w="4678"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Contributions and Various Loan Repayments</w:t>
            </w:r>
          </w:p>
        </w:tc>
        <w:tc>
          <w:tcPr>
            <w:tcW w:w="2268"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80,208,533.57</w:t>
            </w:r>
          </w:p>
        </w:tc>
      </w:tr>
      <w:tr>
        <w:trPr>
          <w:trHeight w:val="283"/>
        </w:trPr>
        <w:tc>
          <w:tcPr>
            <w:tcW w:w="4678"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Remittances during the year</w:t>
            </w:r>
          </w:p>
        </w:tc>
        <w:tc>
          <w:tcPr>
            <w:tcW w:w="2268"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(78,749,602.03)</w:t>
            </w:r>
          </w:p>
        </w:tc>
      </w:tr>
      <w:tr>
        <w:trPr>
          <w:trHeight w:val="283"/>
        </w:trPr>
        <w:tc>
          <w:tcPr>
            <w:tcW w:w="4678" w:type="dxa"/>
            <w:tcBorders>
              <w:top w:val="single" w:sz="4" w:space="0" w:color="FFFFFF"/>
              <w:left w:val="nil"/>
              <w:bottom w:val="single" w:sz="4" w:space="0" w:color="A6A6A6"/>
              <w:right w:val="nil"/>
            </w:tcBorders>
            <w:shd w:val="clear" w:color="auto" w:fill="auto"/>
            <w:noWrap/>
            <w:vAlign w:val="center"/>
            <w:hideMark/>
          </w:tcPr>
          <w:p>
            <w:pPr>
              <w:rPr>
                <w:sz w:val="24"/>
                <w:szCs w:val="24"/>
                <w:lang w:val="en-PH" w:eastAsia="en-PH"/>
              </w:rPr>
            </w:pPr>
            <w:r>
              <w:rPr>
                <w:sz w:val="24"/>
                <w:szCs w:val="24"/>
                <w:lang w:val="en-PH" w:eastAsia="en-PH"/>
              </w:rPr>
              <w:t>Refund/Adjustments</w:t>
            </w:r>
          </w:p>
        </w:tc>
        <w:tc>
          <w:tcPr>
            <w:tcW w:w="2268" w:type="dxa"/>
            <w:tcBorders>
              <w:top w:val="single" w:sz="4" w:space="0" w:color="FFFFFF"/>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(753,769.73)</w:t>
            </w:r>
          </w:p>
        </w:tc>
      </w:tr>
      <w:tr>
        <w:trPr>
          <w:trHeight w:val="283"/>
        </w:trPr>
        <w:tc>
          <w:tcPr>
            <w:tcW w:w="4678" w:type="dxa"/>
            <w:tcBorders>
              <w:top w:val="single" w:sz="4" w:space="0" w:color="A6A6A6"/>
              <w:left w:val="nil"/>
              <w:bottom w:val="double" w:sz="6"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2268"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15,152,250.76</w:t>
            </w:r>
          </w:p>
        </w:tc>
      </w:tr>
    </w:tbl>
    <w:p>
      <w:pPr>
        <w:jc w:val="both"/>
        <w:rPr>
          <w:b/>
          <w:bCs/>
          <w:sz w:val="24"/>
          <w:szCs w:val="24"/>
        </w:rPr>
      </w:pPr>
    </w:p>
    <w:p>
      <w:pPr>
        <w:jc w:val="both"/>
        <w:rPr>
          <w:b/>
          <w:bCs/>
          <w:sz w:val="24"/>
          <w:szCs w:val="24"/>
        </w:rPr>
      </w:pPr>
    </w:p>
    <w:p>
      <w:pPr>
        <w:jc w:val="both"/>
        <w:rPr>
          <w:b/>
          <w:bCs/>
          <w:sz w:val="24"/>
          <w:szCs w:val="24"/>
        </w:rPr>
      </w:pPr>
    </w:p>
    <w:p>
      <w:pPr>
        <w:jc w:val="both"/>
        <w:rPr>
          <w:b/>
          <w:bCs/>
          <w:sz w:val="24"/>
          <w:szCs w:val="24"/>
        </w:rPr>
      </w:pPr>
    </w:p>
    <w:p>
      <w:pPr>
        <w:ind w:left="1134"/>
        <w:jc w:val="both"/>
        <w:rPr>
          <w:b/>
          <w:bCs/>
          <w:sz w:val="24"/>
          <w:szCs w:val="24"/>
        </w:rPr>
      </w:pPr>
    </w:p>
    <w:p>
      <w:pPr>
        <w:ind w:left="1134"/>
        <w:jc w:val="both"/>
        <w:rPr>
          <w:b/>
          <w:bCs/>
          <w:sz w:val="24"/>
          <w:szCs w:val="24"/>
        </w:rPr>
      </w:pPr>
      <w:r>
        <w:rPr>
          <w:b/>
          <w:bCs/>
          <w:sz w:val="24"/>
          <w:szCs w:val="24"/>
        </w:rPr>
        <w:t>13.3 Due to Pag-IBIG</w:t>
      </w:r>
    </w:p>
    <w:p>
      <w:pPr>
        <w:jc w:val="both"/>
        <w:rPr>
          <w:b/>
          <w:bCs/>
          <w:sz w:val="24"/>
          <w:szCs w:val="24"/>
        </w:rPr>
      </w:pPr>
      <w:r>
        <w:rPr>
          <w:b/>
          <w:bCs/>
          <w:sz w:val="24"/>
          <w:szCs w:val="24"/>
        </w:rPr>
        <w:tab/>
      </w:r>
    </w:p>
    <w:p>
      <w:pPr>
        <w:spacing w:line="276" w:lineRule="auto"/>
        <w:ind w:left="1418"/>
        <w:jc w:val="both"/>
        <w:rPr>
          <w:b/>
          <w:bCs/>
          <w:sz w:val="24"/>
          <w:szCs w:val="24"/>
        </w:rPr>
      </w:pPr>
      <w:r>
        <w:rPr>
          <w:sz w:val="24"/>
          <w:szCs w:val="24"/>
        </w:rPr>
        <w:t>This is the mandatory premium contribution and various loan repayment duly deducted from salaries and wages of officials, employees, job orders, and honoraria-paid personnel. Below is the movement of the account during the year:</w:t>
      </w:r>
    </w:p>
    <w:p>
      <w:pPr>
        <w:jc w:val="both"/>
        <w:rPr>
          <w:sz w:val="24"/>
          <w:szCs w:val="24"/>
        </w:rPr>
      </w:pPr>
    </w:p>
    <w:tbl>
      <w:tblPr>
        <w:tblW w:w="6946" w:type="dxa"/>
        <w:tblInd w:w="1951" w:type="dxa"/>
        <w:tblLook w:val="04A0" w:firstRow="1" w:lastRow="0" w:firstColumn="1" w:lastColumn="0" w:noHBand="0" w:noVBand="1"/>
      </w:tblPr>
      <w:tblGrid>
        <w:gridCol w:w="5072"/>
        <w:gridCol w:w="1874"/>
      </w:tblGrid>
      <w:tr>
        <w:trPr>
          <w:trHeight w:val="283"/>
        </w:trPr>
        <w:tc>
          <w:tcPr>
            <w:tcW w:w="5072"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Due to Pag-IBIG</w:t>
            </w:r>
          </w:p>
        </w:tc>
        <w:tc>
          <w:tcPr>
            <w:tcW w:w="1874"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072" w:type="dxa"/>
            <w:tcBorders>
              <w:top w:val="single" w:sz="4" w:space="0" w:color="A6A6A6"/>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Beginning Balance</w:t>
            </w:r>
          </w:p>
        </w:tc>
        <w:tc>
          <w:tcPr>
            <w:tcW w:w="1874" w:type="dxa"/>
            <w:tcBorders>
              <w:top w:val="single" w:sz="4" w:space="0" w:color="A6A6A6"/>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1,541,750.04</w:t>
            </w:r>
          </w:p>
        </w:tc>
      </w:tr>
      <w:tr>
        <w:trPr>
          <w:trHeight w:val="283"/>
        </w:trPr>
        <w:tc>
          <w:tcPr>
            <w:tcW w:w="5072"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Contributions and Various Loan Repayments</w:t>
            </w:r>
          </w:p>
        </w:tc>
        <w:tc>
          <w:tcPr>
            <w:tcW w:w="1874"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10,663,614.87</w:t>
            </w:r>
          </w:p>
        </w:tc>
      </w:tr>
      <w:tr>
        <w:trPr>
          <w:trHeight w:val="283"/>
        </w:trPr>
        <w:tc>
          <w:tcPr>
            <w:tcW w:w="5072"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Remittances during the year</w:t>
            </w:r>
          </w:p>
        </w:tc>
        <w:tc>
          <w:tcPr>
            <w:tcW w:w="1874"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(10,445,663.62)</w:t>
            </w:r>
          </w:p>
        </w:tc>
      </w:tr>
      <w:tr>
        <w:trPr>
          <w:trHeight w:val="283"/>
        </w:trPr>
        <w:tc>
          <w:tcPr>
            <w:tcW w:w="5072" w:type="dxa"/>
            <w:tcBorders>
              <w:top w:val="single" w:sz="4" w:space="0" w:color="FFFFFF"/>
              <w:left w:val="nil"/>
              <w:bottom w:val="single" w:sz="4" w:space="0" w:color="A6A6A6"/>
              <w:right w:val="nil"/>
            </w:tcBorders>
            <w:shd w:val="clear" w:color="auto" w:fill="auto"/>
            <w:noWrap/>
            <w:vAlign w:val="center"/>
            <w:hideMark/>
          </w:tcPr>
          <w:p>
            <w:pPr>
              <w:rPr>
                <w:sz w:val="24"/>
                <w:szCs w:val="24"/>
                <w:lang w:val="en-PH" w:eastAsia="en-PH"/>
              </w:rPr>
            </w:pPr>
            <w:r>
              <w:rPr>
                <w:sz w:val="24"/>
                <w:szCs w:val="24"/>
                <w:lang w:val="en-PH" w:eastAsia="en-PH"/>
              </w:rPr>
              <w:t>Refund/Adjustments</w:t>
            </w:r>
          </w:p>
        </w:tc>
        <w:tc>
          <w:tcPr>
            <w:tcW w:w="1874" w:type="dxa"/>
            <w:tcBorders>
              <w:top w:val="single" w:sz="4" w:space="0" w:color="FFFFFF"/>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(82,512.61)</w:t>
            </w:r>
          </w:p>
        </w:tc>
      </w:tr>
      <w:tr>
        <w:trPr>
          <w:trHeight w:val="283"/>
        </w:trPr>
        <w:tc>
          <w:tcPr>
            <w:tcW w:w="5072" w:type="dxa"/>
            <w:tcBorders>
              <w:top w:val="single" w:sz="4" w:space="0" w:color="A6A6A6"/>
              <w:left w:val="nil"/>
              <w:bottom w:val="double" w:sz="6"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1874"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      1,677,188.68</w:t>
            </w:r>
          </w:p>
        </w:tc>
      </w:tr>
    </w:tbl>
    <w:p>
      <w:pPr>
        <w:jc w:val="both"/>
        <w:rPr>
          <w:sz w:val="24"/>
          <w:szCs w:val="24"/>
        </w:rPr>
      </w:pPr>
    </w:p>
    <w:p>
      <w:pPr>
        <w:ind w:left="1134"/>
        <w:jc w:val="both"/>
        <w:rPr>
          <w:b/>
          <w:bCs/>
          <w:sz w:val="24"/>
          <w:szCs w:val="24"/>
        </w:rPr>
      </w:pPr>
      <w:r>
        <w:rPr>
          <w:b/>
          <w:bCs/>
          <w:sz w:val="24"/>
          <w:szCs w:val="24"/>
        </w:rPr>
        <w:t>13.4 Due to PhilHealth</w:t>
      </w:r>
    </w:p>
    <w:p>
      <w:pPr>
        <w:ind w:firstLine="720"/>
        <w:jc w:val="both"/>
        <w:rPr>
          <w:b/>
          <w:bCs/>
          <w:sz w:val="24"/>
          <w:szCs w:val="24"/>
        </w:rPr>
      </w:pPr>
    </w:p>
    <w:p>
      <w:pPr>
        <w:spacing w:line="276" w:lineRule="auto"/>
        <w:ind w:left="1418"/>
        <w:jc w:val="both"/>
        <w:rPr>
          <w:sz w:val="24"/>
          <w:szCs w:val="24"/>
        </w:rPr>
      </w:pPr>
      <w:r>
        <w:rPr>
          <w:sz w:val="24"/>
          <w:szCs w:val="24"/>
        </w:rPr>
        <w:t>This is the mandatory health premium contribution duly deducted from salaries and wages of officials and employees and job orders. Below is the movement of the account during the year:</w:t>
      </w:r>
    </w:p>
    <w:p>
      <w:pPr>
        <w:ind w:left="720"/>
        <w:jc w:val="both"/>
        <w:rPr>
          <w:sz w:val="24"/>
          <w:szCs w:val="24"/>
        </w:rPr>
      </w:pPr>
    </w:p>
    <w:tbl>
      <w:tblPr>
        <w:tblW w:w="6946" w:type="dxa"/>
        <w:tblInd w:w="1951" w:type="dxa"/>
        <w:tblLook w:val="04A0" w:firstRow="1" w:lastRow="0" w:firstColumn="1" w:lastColumn="0" w:noHBand="0" w:noVBand="1"/>
      </w:tblPr>
      <w:tblGrid>
        <w:gridCol w:w="5028"/>
        <w:gridCol w:w="1918"/>
      </w:tblGrid>
      <w:tr>
        <w:trPr>
          <w:trHeight w:val="283"/>
        </w:trPr>
        <w:tc>
          <w:tcPr>
            <w:tcW w:w="502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Due to PhilHealth</w:t>
            </w:r>
          </w:p>
        </w:tc>
        <w:tc>
          <w:tcPr>
            <w:tcW w:w="1918" w:type="dxa"/>
            <w:tcBorders>
              <w:top w:val="nil"/>
              <w:left w:val="nil"/>
              <w:bottom w:val="single" w:sz="4" w:space="0" w:color="A6A6A6"/>
              <w:right w:val="nil"/>
            </w:tcBorders>
            <w:shd w:val="clear" w:color="auto" w:fill="auto"/>
            <w:noWrap/>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028" w:type="dxa"/>
            <w:tcBorders>
              <w:top w:val="single" w:sz="4" w:space="0" w:color="A6A6A6"/>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Beginning Balance</w:t>
            </w:r>
          </w:p>
        </w:tc>
        <w:tc>
          <w:tcPr>
            <w:tcW w:w="1918" w:type="dxa"/>
            <w:tcBorders>
              <w:top w:val="single" w:sz="4" w:space="0" w:color="A6A6A6"/>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877,630.07</w:t>
            </w:r>
          </w:p>
        </w:tc>
      </w:tr>
      <w:tr>
        <w:trPr>
          <w:trHeight w:val="283"/>
        </w:trPr>
        <w:tc>
          <w:tcPr>
            <w:tcW w:w="5028"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Premium Contribution withheld</w:t>
            </w:r>
          </w:p>
        </w:tc>
        <w:tc>
          <w:tcPr>
            <w:tcW w:w="1918"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10,272,030.36</w:t>
            </w:r>
          </w:p>
        </w:tc>
      </w:tr>
      <w:tr>
        <w:trPr>
          <w:trHeight w:val="283"/>
        </w:trPr>
        <w:tc>
          <w:tcPr>
            <w:tcW w:w="5028" w:type="dxa"/>
            <w:tcBorders>
              <w:top w:val="nil"/>
              <w:left w:val="nil"/>
              <w:bottom w:val="single" w:sz="4" w:space="0" w:color="FFFFFF"/>
              <w:right w:val="nil"/>
            </w:tcBorders>
            <w:shd w:val="clear" w:color="auto" w:fill="auto"/>
            <w:noWrap/>
            <w:vAlign w:val="center"/>
            <w:hideMark/>
          </w:tcPr>
          <w:p>
            <w:pPr>
              <w:rPr>
                <w:sz w:val="24"/>
                <w:szCs w:val="24"/>
                <w:lang w:val="en-PH" w:eastAsia="en-PH"/>
              </w:rPr>
            </w:pPr>
            <w:r>
              <w:rPr>
                <w:sz w:val="24"/>
                <w:szCs w:val="24"/>
                <w:lang w:val="en-PH" w:eastAsia="en-PH"/>
              </w:rPr>
              <w:t>Remittances during the year</w:t>
            </w:r>
          </w:p>
        </w:tc>
        <w:tc>
          <w:tcPr>
            <w:tcW w:w="1918" w:type="dxa"/>
            <w:tcBorders>
              <w:top w:val="nil"/>
              <w:left w:val="nil"/>
              <w:bottom w:val="single" w:sz="4" w:space="0" w:color="FFFFFF"/>
              <w:right w:val="nil"/>
            </w:tcBorders>
            <w:shd w:val="clear" w:color="auto" w:fill="auto"/>
            <w:noWrap/>
            <w:vAlign w:val="center"/>
            <w:hideMark/>
          </w:tcPr>
          <w:p>
            <w:pPr>
              <w:jc w:val="right"/>
              <w:rPr>
                <w:sz w:val="24"/>
                <w:szCs w:val="24"/>
                <w:lang w:val="en-PH" w:eastAsia="en-PH"/>
              </w:rPr>
            </w:pPr>
            <w:r>
              <w:rPr>
                <w:sz w:val="24"/>
                <w:szCs w:val="24"/>
                <w:lang w:val="en-PH" w:eastAsia="en-PH"/>
              </w:rPr>
              <w:t>(7,968,702.56)</w:t>
            </w:r>
          </w:p>
        </w:tc>
      </w:tr>
      <w:tr>
        <w:trPr>
          <w:trHeight w:val="283"/>
        </w:trPr>
        <w:tc>
          <w:tcPr>
            <w:tcW w:w="5028" w:type="dxa"/>
            <w:tcBorders>
              <w:top w:val="single" w:sz="4" w:space="0" w:color="FFFFFF"/>
              <w:left w:val="nil"/>
              <w:bottom w:val="single" w:sz="4" w:space="0" w:color="A6A6A6"/>
              <w:right w:val="nil"/>
            </w:tcBorders>
            <w:shd w:val="clear" w:color="auto" w:fill="auto"/>
            <w:noWrap/>
            <w:vAlign w:val="center"/>
            <w:hideMark/>
          </w:tcPr>
          <w:p>
            <w:pPr>
              <w:rPr>
                <w:sz w:val="24"/>
                <w:szCs w:val="24"/>
                <w:lang w:val="en-PH" w:eastAsia="en-PH"/>
              </w:rPr>
            </w:pPr>
            <w:r>
              <w:rPr>
                <w:sz w:val="24"/>
                <w:szCs w:val="24"/>
                <w:lang w:val="en-PH" w:eastAsia="en-PH"/>
              </w:rPr>
              <w:t>Refund/Adjustments</w:t>
            </w:r>
          </w:p>
        </w:tc>
        <w:tc>
          <w:tcPr>
            <w:tcW w:w="1918" w:type="dxa"/>
            <w:tcBorders>
              <w:top w:val="single" w:sz="4" w:space="0" w:color="FFFFFF"/>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(13,343.70)</w:t>
            </w:r>
          </w:p>
        </w:tc>
      </w:tr>
      <w:tr>
        <w:trPr>
          <w:trHeight w:val="283"/>
        </w:trPr>
        <w:tc>
          <w:tcPr>
            <w:tcW w:w="5028" w:type="dxa"/>
            <w:tcBorders>
              <w:top w:val="single" w:sz="4" w:space="0" w:color="A6A6A6"/>
              <w:left w:val="nil"/>
              <w:bottom w:val="double" w:sz="6" w:space="0" w:color="A6A6A6"/>
              <w:right w:val="nil"/>
            </w:tcBorders>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1918" w:type="dxa"/>
            <w:tcBorders>
              <w:top w:val="single" w:sz="4" w:space="0" w:color="A6A6A6"/>
              <w:left w:val="nil"/>
              <w:bottom w:val="double" w:sz="6" w:space="0" w:color="A6A6A6"/>
              <w:right w:val="single" w:sz="4" w:space="0" w:color="FFFFFF"/>
            </w:tcBorders>
            <w:shd w:val="clear" w:color="auto" w:fill="auto"/>
            <w:noWrap/>
            <w:vAlign w:val="center"/>
            <w:hideMark/>
          </w:tcPr>
          <w:p>
            <w:pPr>
              <w:jc w:val="right"/>
              <w:rPr>
                <w:b/>
                <w:bCs/>
                <w:sz w:val="24"/>
                <w:szCs w:val="24"/>
                <w:lang w:val="en-PH" w:eastAsia="en-PH"/>
              </w:rPr>
            </w:pPr>
            <w:r>
              <w:rPr>
                <w:b/>
                <w:bCs/>
                <w:sz w:val="24"/>
                <w:szCs w:val="24"/>
                <w:lang w:val="en-PH" w:eastAsia="en-PH"/>
              </w:rPr>
              <w:t>3,167,614.17</w:t>
            </w:r>
          </w:p>
        </w:tc>
      </w:tr>
    </w:tbl>
    <w:p>
      <w:pPr>
        <w:ind w:left="720"/>
        <w:jc w:val="both"/>
        <w:rPr>
          <w:sz w:val="24"/>
          <w:szCs w:val="24"/>
        </w:rPr>
      </w:pPr>
    </w:p>
    <w:p>
      <w:pPr>
        <w:ind w:left="1134"/>
        <w:jc w:val="both"/>
        <w:rPr>
          <w:b/>
          <w:bCs/>
          <w:sz w:val="24"/>
          <w:szCs w:val="24"/>
        </w:rPr>
      </w:pPr>
      <w:r>
        <w:rPr>
          <w:b/>
          <w:bCs/>
          <w:sz w:val="24"/>
          <w:szCs w:val="24"/>
        </w:rPr>
        <w:t>13.5 Due to NGA’s</w:t>
      </w:r>
    </w:p>
    <w:p>
      <w:pPr>
        <w:jc w:val="both"/>
        <w:rPr>
          <w:sz w:val="24"/>
          <w:szCs w:val="24"/>
        </w:rPr>
      </w:pPr>
    </w:p>
    <w:p>
      <w:pPr>
        <w:spacing w:line="276" w:lineRule="auto"/>
        <w:ind w:left="1418"/>
        <w:jc w:val="both"/>
        <w:rPr>
          <w:rFonts w:eastAsia="Calibri"/>
          <w:sz w:val="24"/>
          <w:szCs w:val="24"/>
          <w:lang w:val="en-PH"/>
        </w:rPr>
      </w:pPr>
      <w:r>
        <w:rPr>
          <w:sz w:val="24"/>
          <w:szCs w:val="24"/>
        </w:rPr>
        <w:t xml:space="preserve">This account is comprised of various funds granted by the various national agencies to the city government with specific purposes. </w:t>
      </w:r>
      <w:r>
        <w:rPr>
          <w:rFonts w:eastAsia="Calibri"/>
          <w:sz w:val="24"/>
          <w:szCs w:val="24"/>
          <w:lang w:val="en-PH"/>
        </w:rPr>
        <w:t>These funds were received on the basis of the approved project budgets submitted. Accordingly, the LGU is legally bound to only utilize this fund exclusively for its purpose. The city government regularly prepared and submit a monthly statement of receipts and disbursement to respective agencies as an update on the status of fund utilization. Upon completion of the projects or purpose of specific grants, this account will be reversed and transferred to the General Fund. Below is the movement of the composition of this account during the year:</w:t>
      </w:r>
    </w:p>
    <w:p>
      <w:pPr>
        <w:ind w:left="900"/>
        <w:jc w:val="both"/>
        <w:rPr>
          <w:rFonts w:eastAsia="Calibri"/>
          <w:sz w:val="24"/>
          <w:szCs w:val="24"/>
          <w:lang w:val="en-PH"/>
        </w:rPr>
      </w:pPr>
    </w:p>
    <w:tbl>
      <w:tblPr>
        <w:tblW w:w="869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2"/>
        <w:gridCol w:w="1251"/>
        <w:gridCol w:w="1161"/>
        <w:gridCol w:w="1251"/>
        <w:gridCol w:w="1281"/>
        <w:gridCol w:w="1496"/>
      </w:tblGrid>
      <w:tr>
        <w:trPr>
          <w:cantSplit/>
          <w:trHeight w:val="283"/>
          <w:tblHeader/>
        </w:trPr>
        <w:tc>
          <w:tcPr>
            <w:tcW w:w="2252" w:type="dxa"/>
            <w:shd w:val="clear" w:color="auto" w:fill="auto"/>
            <w:vAlign w:val="center"/>
            <w:hideMark/>
          </w:tcPr>
          <w:p>
            <w:pPr>
              <w:jc w:val="center"/>
              <w:rPr>
                <w:b/>
                <w:bCs/>
                <w:sz w:val="18"/>
                <w:szCs w:val="18"/>
                <w:lang w:val="en-PH" w:eastAsia="en-PH"/>
              </w:rPr>
            </w:pPr>
            <w:r>
              <w:rPr>
                <w:b/>
                <w:bCs/>
                <w:sz w:val="18"/>
                <w:szCs w:val="18"/>
                <w:lang w:val="en-PH" w:eastAsia="en-PH"/>
              </w:rPr>
              <w:t xml:space="preserve">Purpose </w:t>
            </w:r>
          </w:p>
        </w:tc>
        <w:tc>
          <w:tcPr>
            <w:tcW w:w="1251" w:type="dxa"/>
            <w:shd w:val="clear" w:color="auto" w:fill="auto"/>
            <w:noWrap/>
            <w:vAlign w:val="bottom"/>
            <w:hideMark/>
          </w:tcPr>
          <w:p>
            <w:pPr>
              <w:jc w:val="center"/>
              <w:rPr>
                <w:b/>
                <w:bCs/>
                <w:sz w:val="18"/>
                <w:szCs w:val="18"/>
                <w:lang w:val="en-PH" w:eastAsia="en-PH"/>
              </w:rPr>
            </w:pPr>
            <w:r>
              <w:rPr>
                <w:b/>
                <w:bCs/>
                <w:sz w:val="18"/>
                <w:szCs w:val="18"/>
                <w:lang w:val="en-PH" w:eastAsia="en-PH"/>
              </w:rPr>
              <w:t xml:space="preserve"> Beginning Balance </w:t>
            </w:r>
          </w:p>
        </w:tc>
        <w:tc>
          <w:tcPr>
            <w:tcW w:w="1161" w:type="dxa"/>
            <w:shd w:val="clear" w:color="auto" w:fill="auto"/>
            <w:noWrap/>
            <w:vAlign w:val="bottom"/>
            <w:hideMark/>
          </w:tcPr>
          <w:p>
            <w:pPr>
              <w:jc w:val="center"/>
              <w:rPr>
                <w:b/>
                <w:bCs/>
                <w:sz w:val="18"/>
                <w:szCs w:val="18"/>
                <w:lang w:val="en-PH" w:eastAsia="en-PH"/>
              </w:rPr>
            </w:pPr>
            <w:r>
              <w:rPr>
                <w:b/>
                <w:bCs/>
                <w:sz w:val="18"/>
                <w:szCs w:val="18"/>
                <w:lang w:val="en-PH" w:eastAsia="en-PH"/>
              </w:rPr>
              <w:t xml:space="preserve"> Receipt </w:t>
            </w:r>
          </w:p>
        </w:tc>
        <w:tc>
          <w:tcPr>
            <w:tcW w:w="1251" w:type="dxa"/>
            <w:shd w:val="clear" w:color="auto" w:fill="auto"/>
            <w:noWrap/>
            <w:vAlign w:val="bottom"/>
            <w:hideMark/>
          </w:tcPr>
          <w:p>
            <w:pPr>
              <w:jc w:val="center"/>
              <w:rPr>
                <w:b/>
                <w:bCs/>
                <w:sz w:val="18"/>
                <w:szCs w:val="18"/>
                <w:lang w:val="en-PH" w:eastAsia="en-PH"/>
              </w:rPr>
            </w:pPr>
            <w:r>
              <w:rPr>
                <w:b/>
                <w:bCs/>
                <w:sz w:val="18"/>
                <w:szCs w:val="18"/>
                <w:lang w:val="en-PH" w:eastAsia="en-PH"/>
              </w:rPr>
              <w:t xml:space="preserve"> Utilization </w:t>
            </w:r>
          </w:p>
        </w:tc>
        <w:tc>
          <w:tcPr>
            <w:tcW w:w="1281" w:type="dxa"/>
            <w:shd w:val="clear" w:color="auto" w:fill="auto"/>
            <w:noWrap/>
            <w:vAlign w:val="bottom"/>
            <w:hideMark/>
          </w:tcPr>
          <w:p>
            <w:pPr>
              <w:jc w:val="center"/>
              <w:rPr>
                <w:b/>
                <w:bCs/>
                <w:sz w:val="18"/>
                <w:szCs w:val="18"/>
                <w:lang w:val="en-PH" w:eastAsia="en-PH"/>
              </w:rPr>
            </w:pPr>
            <w:r>
              <w:rPr>
                <w:b/>
                <w:bCs/>
                <w:sz w:val="18"/>
                <w:szCs w:val="18"/>
                <w:lang w:val="en-PH" w:eastAsia="en-PH"/>
              </w:rPr>
              <w:t xml:space="preserve"> Adjustments </w:t>
            </w:r>
          </w:p>
        </w:tc>
        <w:tc>
          <w:tcPr>
            <w:tcW w:w="1496" w:type="dxa"/>
            <w:shd w:val="clear" w:color="auto" w:fill="auto"/>
            <w:noWrap/>
            <w:vAlign w:val="bottom"/>
            <w:hideMark/>
          </w:tcPr>
          <w:p>
            <w:pPr>
              <w:jc w:val="center"/>
              <w:rPr>
                <w:b/>
                <w:bCs/>
                <w:sz w:val="18"/>
                <w:szCs w:val="18"/>
                <w:lang w:val="en-PH" w:eastAsia="en-PH"/>
              </w:rPr>
            </w:pPr>
            <w:r>
              <w:rPr>
                <w:b/>
                <w:bCs/>
                <w:sz w:val="18"/>
                <w:szCs w:val="18"/>
                <w:lang w:val="en-PH" w:eastAsia="en-PH"/>
              </w:rPr>
              <w:t xml:space="preserve"> Ending Balance </w:t>
            </w:r>
          </w:p>
        </w:tc>
      </w:tr>
      <w:tr>
        <w:trPr>
          <w:cantSplit/>
          <w:trHeight w:val="283"/>
        </w:trPr>
        <w:tc>
          <w:tcPr>
            <w:tcW w:w="2252" w:type="dxa"/>
            <w:shd w:val="clear" w:color="auto" w:fill="auto"/>
            <w:vAlign w:val="bottom"/>
            <w:hideMark/>
          </w:tcPr>
          <w:p>
            <w:pPr>
              <w:rPr>
                <w:b/>
                <w:bCs/>
                <w:sz w:val="18"/>
                <w:szCs w:val="18"/>
                <w:lang w:val="en-PH" w:eastAsia="en-PH"/>
              </w:rPr>
            </w:pPr>
            <w:r>
              <w:rPr>
                <w:b/>
                <w:bCs/>
                <w:sz w:val="18"/>
                <w:szCs w:val="18"/>
                <w:lang w:val="en-PH" w:eastAsia="en-PH"/>
              </w:rPr>
              <w:t>Trust Fund:</w:t>
            </w:r>
          </w:p>
        </w:tc>
        <w:tc>
          <w:tcPr>
            <w:tcW w:w="1251" w:type="dxa"/>
            <w:shd w:val="clear" w:color="auto" w:fill="auto"/>
            <w:vAlign w:val="bottom"/>
            <w:hideMark/>
          </w:tcPr>
          <w:p>
            <w:pPr>
              <w:rPr>
                <w:b/>
                <w:bCs/>
                <w:sz w:val="18"/>
                <w:szCs w:val="18"/>
                <w:lang w:val="en-PH" w:eastAsia="en-PH"/>
              </w:rPr>
            </w:pPr>
            <w:r>
              <w:rPr>
                <w:b/>
                <w:bCs/>
                <w:sz w:val="18"/>
                <w:szCs w:val="18"/>
                <w:lang w:val="en-PH" w:eastAsia="en-PH"/>
              </w:rPr>
              <w:t> </w:t>
            </w:r>
          </w:p>
        </w:tc>
        <w:tc>
          <w:tcPr>
            <w:tcW w:w="1161" w:type="dxa"/>
            <w:shd w:val="clear" w:color="auto" w:fill="auto"/>
            <w:vAlign w:val="bottom"/>
            <w:hideMark/>
          </w:tcPr>
          <w:p>
            <w:pPr>
              <w:rPr>
                <w:b/>
                <w:bCs/>
                <w:sz w:val="18"/>
                <w:szCs w:val="18"/>
                <w:lang w:val="en-PH" w:eastAsia="en-PH"/>
              </w:rPr>
            </w:pPr>
            <w:r>
              <w:rPr>
                <w:b/>
                <w:bCs/>
                <w:sz w:val="18"/>
                <w:szCs w:val="18"/>
                <w:lang w:val="en-PH" w:eastAsia="en-PH"/>
              </w:rPr>
              <w:t> </w:t>
            </w:r>
          </w:p>
        </w:tc>
        <w:tc>
          <w:tcPr>
            <w:tcW w:w="1251" w:type="dxa"/>
            <w:shd w:val="clear" w:color="auto" w:fill="auto"/>
            <w:vAlign w:val="bottom"/>
            <w:hideMark/>
          </w:tcPr>
          <w:p>
            <w:pPr>
              <w:rPr>
                <w:b/>
                <w:bCs/>
                <w:sz w:val="18"/>
                <w:szCs w:val="18"/>
                <w:lang w:val="en-PH" w:eastAsia="en-PH"/>
              </w:rPr>
            </w:pPr>
            <w:r>
              <w:rPr>
                <w:b/>
                <w:bCs/>
                <w:sz w:val="18"/>
                <w:szCs w:val="18"/>
                <w:lang w:val="en-PH" w:eastAsia="en-PH"/>
              </w:rPr>
              <w:t> </w:t>
            </w:r>
          </w:p>
        </w:tc>
        <w:tc>
          <w:tcPr>
            <w:tcW w:w="1281" w:type="dxa"/>
            <w:shd w:val="clear" w:color="auto" w:fill="auto"/>
            <w:vAlign w:val="bottom"/>
            <w:hideMark/>
          </w:tcPr>
          <w:p>
            <w:pPr>
              <w:rPr>
                <w:b/>
                <w:bCs/>
                <w:sz w:val="18"/>
                <w:szCs w:val="18"/>
                <w:lang w:val="en-PH" w:eastAsia="en-PH"/>
              </w:rPr>
            </w:pPr>
            <w:r>
              <w:rPr>
                <w:b/>
                <w:bCs/>
                <w:sz w:val="18"/>
                <w:szCs w:val="18"/>
                <w:lang w:val="en-PH" w:eastAsia="en-PH"/>
              </w:rPr>
              <w:t> </w:t>
            </w:r>
          </w:p>
        </w:tc>
        <w:tc>
          <w:tcPr>
            <w:tcW w:w="1496" w:type="dxa"/>
            <w:shd w:val="clear" w:color="auto" w:fill="auto"/>
            <w:vAlign w:val="bottom"/>
            <w:hideMark/>
          </w:tcPr>
          <w:p>
            <w:pPr>
              <w:rPr>
                <w:b/>
                <w:bCs/>
                <w:sz w:val="18"/>
                <w:szCs w:val="18"/>
                <w:lang w:val="en-PH" w:eastAsia="en-PH"/>
              </w:rPr>
            </w:pPr>
            <w:r>
              <w:rPr>
                <w:b/>
                <w:bCs/>
                <w:sz w:val="18"/>
                <w:szCs w:val="18"/>
                <w:lang w:val="en-PH" w:eastAsia="en-PH"/>
              </w:rPr>
              <w:t> </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Safe Closure &amp; Rehabilitation Of Open &amp; Controlled Dumpsite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4,736.18</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4,736.18</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COVID-19 BHW Special Risk Allowance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3,899,072.90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3,899,072.90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National Deployment and Vaccination Plan (NDVP) for COVID-19 vaccines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1,062,853.00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921,511.67</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141,341.33</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lastRenderedPageBreak/>
              <w:t>MAT (Meals, Accommodation and Transportation Benefit as Cash Equivalent to Public and Private Health Care Workers 9/15 to 12/19/20</w:t>
            </w:r>
          </w:p>
        </w:tc>
        <w:tc>
          <w:tcPr>
            <w:tcW w:w="1251" w:type="dxa"/>
            <w:shd w:val="clear" w:color="auto" w:fill="auto"/>
            <w:noWrap/>
            <w:vAlign w:val="center"/>
            <w:hideMark/>
          </w:tcPr>
          <w:p>
            <w:pPr>
              <w:jc w:val="right"/>
              <w:rPr>
                <w:sz w:val="18"/>
                <w:szCs w:val="18"/>
                <w:lang w:val="en-PH" w:eastAsia="en-PH"/>
              </w:rPr>
            </w:pPr>
          </w:p>
        </w:tc>
        <w:tc>
          <w:tcPr>
            <w:tcW w:w="1161" w:type="dxa"/>
            <w:shd w:val="clear" w:color="auto" w:fill="auto"/>
            <w:noWrap/>
            <w:vAlign w:val="center"/>
            <w:hideMark/>
          </w:tcPr>
          <w:p>
            <w:pPr>
              <w:jc w:val="right"/>
              <w:rPr>
                <w:sz w:val="18"/>
                <w:szCs w:val="18"/>
                <w:lang w:val="en-PH" w:eastAsia="en-PH"/>
              </w:rPr>
            </w:pPr>
            <w:r>
              <w:rPr>
                <w:sz w:val="18"/>
                <w:szCs w:val="18"/>
                <w:lang w:val="en-PH" w:eastAsia="en-PH"/>
              </w:rPr>
              <w:t>560,000.00</w:t>
            </w: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560,000.00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One COVID-19 Allowance (OCA)</w:t>
            </w:r>
          </w:p>
        </w:tc>
        <w:tc>
          <w:tcPr>
            <w:tcW w:w="1251" w:type="dxa"/>
            <w:shd w:val="clear" w:color="auto" w:fill="auto"/>
            <w:noWrap/>
            <w:vAlign w:val="center"/>
            <w:hideMark/>
          </w:tcPr>
          <w:p>
            <w:pPr>
              <w:jc w:val="right"/>
              <w:rPr>
                <w:sz w:val="18"/>
                <w:szCs w:val="18"/>
                <w:lang w:val="en-PH" w:eastAsia="en-PH"/>
              </w:rPr>
            </w:pPr>
          </w:p>
        </w:tc>
        <w:tc>
          <w:tcPr>
            <w:tcW w:w="1161" w:type="dxa"/>
            <w:shd w:val="clear" w:color="auto" w:fill="auto"/>
            <w:noWrap/>
            <w:vAlign w:val="center"/>
            <w:hideMark/>
          </w:tcPr>
          <w:p>
            <w:pPr>
              <w:jc w:val="right"/>
              <w:rPr>
                <w:sz w:val="18"/>
                <w:szCs w:val="18"/>
                <w:lang w:val="en-PH" w:eastAsia="en-PH"/>
              </w:rPr>
            </w:pPr>
            <w:r>
              <w:rPr>
                <w:sz w:val="18"/>
                <w:szCs w:val="18"/>
                <w:lang w:val="en-PH" w:eastAsia="en-PH"/>
              </w:rPr>
              <w:t>6,405,250.00</w:t>
            </w: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6,405,250.00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Maternal Care Package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(240,621.72)</w:t>
            </w:r>
          </w:p>
        </w:tc>
        <w:tc>
          <w:tcPr>
            <w:tcW w:w="1161" w:type="dxa"/>
            <w:shd w:val="clear" w:color="auto" w:fill="auto"/>
            <w:noWrap/>
            <w:vAlign w:val="center"/>
            <w:hideMark/>
          </w:tcPr>
          <w:p>
            <w:pPr>
              <w:jc w:val="right"/>
              <w:rPr>
                <w:sz w:val="18"/>
                <w:szCs w:val="18"/>
                <w:lang w:val="en-PH" w:eastAsia="en-PH"/>
              </w:rPr>
            </w:pPr>
            <w:r>
              <w:rPr>
                <w:sz w:val="18"/>
                <w:szCs w:val="18"/>
                <w:lang w:val="en-PH" w:eastAsia="en-PH"/>
              </w:rPr>
              <w:t>128,350.00</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284,515.20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(396,786.92)</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Capitation Fees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273,437.83</w:t>
            </w:r>
          </w:p>
        </w:tc>
        <w:tc>
          <w:tcPr>
            <w:tcW w:w="1161" w:type="dxa"/>
            <w:shd w:val="clear" w:color="auto" w:fill="auto"/>
            <w:noWrap/>
            <w:vAlign w:val="center"/>
            <w:hideMark/>
          </w:tcPr>
          <w:p>
            <w:pPr>
              <w:jc w:val="right"/>
              <w:rPr>
                <w:sz w:val="18"/>
                <w:szCs w:val="18"/>
                <w:lang w:val="en-PH" w:eastAsia="en-PH"/>
              </w:rPr>
            </w:pPr>
            <w:r>
              <w:rPr>
                <w:sz w:val="18"/>
                <w:szCs w:val="18"/>
                <w:lang w:val="en-PH" w:eastAsia="en-PH"/>
              </w:rPr>
              <w:t>110,700.00</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1,029,925.39</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(645,787.56)</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PPM/TB DOTS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(169,397.99)</w:t>
            </w:r>
          </w:p>
        </w:tc>
        <w:tc>
          <w:tcPr>
            <w:tcW w:w="1161" w:type="dxa"/>
            <w:shd w:val="clear" w:color="auto" w:fill="auto"/>
            <w:noWrap/>
            <w:vAlign w:val="center"/>
            <w:hideMark/>
          </w:tcPr>
          <w:p>
            <w:pPr>
              <w:jc w:val="right"/>
              <w:rPr>
                <w:sz w:val="18"/>
                <w:szCs w:val="18"/>
                <w:lang w:val="en-PH" w:eastAsia="en-PH"/>
              </w:rPr>
            </w:pPr>
            <w:r>
              <w:rPr>
                <w:sz w:val="18"/>
                <w:szCs w:val="18"/>
                <w:lang w:val="en-PH" w:eastAsia="en-PH"/>
              </w:rPr>
              <w:t>488,000.00</w:t>
            </w: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318,602.01</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Release of 20% LGU Share from Fire Code Fees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1,366,365.18</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985,099.00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381,266.18</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DSWD-FO XI - Social Pension of Indigent SC</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92,000.00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83,000.00</w:t>
            </w:r>
          </w:p>
        </w:tc>
        <w:tc>
          <w:tcPr>
            <w:tcW w:w="1281" w:type="dxa"/>
            <w:shd w:val="clear" w:color="auto" w:fill="auto"/>
            <w:noWrap/>
            <w:vAlign w:val="center"/>
            <w:hideMark/>
          </w:tcPr>
          <w:p>
            <w:pPr>
              <w:jc w:val="right"/>
              <w:rPr>
                <w:sz w:val="18"/>
                <w:szCs w:val="18"/>
                <w:lang w:val="en-PH" w:eastAsia="en-PH"/>
              </w:rPr>
            </w:pPr>
            <w:r>
              <w:rPr>
                <w:sz w:val="18"/>
                <w:szCs w:val="18"/>
                <w:lang w:val="en-PH" w:eastAsia="en-PH"/>
              </w:rPr>
              <w:t>(9,000.00)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DSWD-  (Supplementary Feeding Program)</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12.18</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(12.18)</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Auditing Services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354,205.92</w:t>
            </w:r>
          </w:p>
        </w:tc>
        <w:tc>
          <w:tcPr>
            <w:tcW w:w="1161" w:type="dxa"/>
            <w:shd w:val="clear" w:color="auto" w:fill="auto"/>
            <w:noWrap/>
            <w:vAlign w:val="center"/>
            <w:hideMark/>
          </w:tcPr>
          <w:p>
            <w:pPr>
              <w:jc w:val="right"/>
              <w:rPr>
                <w:sz w:val="18"/>
                <w:szCs w:val="18"/>
                <w:lang w:val="en-PH" w:eastAsia="en-PH"/>
              </w:rPr>
            </w:pPr>
            <w:r>
              <w:rPr>
                <w:sz w:val="18"/>
                <w:szCs w:val="18"/>
                <w:lang w:val="en-PH" w:eastAsia="en-PH"/>
              </w:rPr>
              <w:t>72,724.19</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65,505.60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361,424.51</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Panabo Public Park Redevelopment In Brgy. New Pandan Phase I</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21,045.78</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21,045.78</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Panabo Public Park Redevelopment In Brgy. New Pandan Phase II</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3,639.32</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3,639.32</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Barangay Development Program - ELCAC</w:t>
            </w:r>
          </w:p>
        </w:tc>
        <w:tc>
          <w:tcPr>
            <w:tcW w:w="1251" w:type="dxa"/>
            <w:shd w:val="clear" w:color="auto" w:fill="auto"/>
            <w:noWrap/>
            <w:vAlign w:val="center"/>
            <w:hideMark/>
          </w:tcPr>
          <w:p>
            <w:pPr>
              <w:rPr>
                <w:sz w:val="18"/>
                <w:szCs w:val="18"/>
                <w:lang w:val="en-PH" w:eastAsia="en-PH"/>
              </w:rPr>
            </w:pPr>
            <w:r>
              <w:rPr>
                <w:sz w:val="18"/>
                <w:szCs w:val="18"/>
                <w:lang w:val="en-PH" w:eastAsia="en-PH"/>
              </w:rPr>
              <w:t>400,000,000.0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rPr>
                <w:sz w:val="18"/>
                <w:szCs w:val="18"/>
                <w:lang w:val="en-PH" w:eastAsia="en-PH"/>
              </w:rPr>
            </w:pPr>
            <w:r>
              <w:rPr>
                <w:sz w:val="18"/>
                <w:szCs w:val="18"/>
                <w:lang w:val="en-PH" w:eastAsia="en-PH"/>
              </w:rPr>
              <w:t xml:space="preserve"> 204,171,840.3</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195,828,159.68</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Panabo Mangrove Forest Park located at Brgy. JP Laurel, Panabo City</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21,071,659.00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6,354,407.75</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14,717,251.25</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Rehabilitation of Road from Manay-Dalisay, Panabo City</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46,604.52</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46,604.52</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SDG-FACES Projects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17,105.00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990.00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16,115.00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 xml:space="preserve">Establishment of Feed Mills in the Local Government Units </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1,763,450.00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1,747,916.67</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15,533.33</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Enchanced Kadiwa Ni Ani At Kita Inclusive Food Supply Claim Prgram</w:t>
            </w:r>
          </w:p>
        </w:tc>
        <w:tc>
          <w:tcPr>
            <w:tcW w:w="1251" w:type="dxa"/>
            <w:shd w:val="clear" w:color="auto" w:fill="auto"/>
            <w:noWrap/>
            <w:vAlign w:val="center"/>
            <w:hideMark/>
          </w:tcPr>
          <w:p>
            <w:pPr>
              <w:jc w:val="right"/>
              <w:rPr>
                <w:sz w:val="18"/>
                <w:szCs w:val="18"/>
                <w:lang w:val="en-PH" w:eastAsia="en-PH"/>
              </w:rPr>
            </w:pPr>
          </w:p>
        </w:tc>
        <w:tc>
          <w:tcPr>
            <w:tcW w:w="1161" w:type="dxa"/>
            <w:shd w:val="clear" w:color="auto" w:fill="auto"/>
            <w:noWrap/>
            <w:vAlign w:val="center"/>
            <w:hideMark/>
          </w:tcPr>
          <w:p>
            <w:pPr>
              <w:jc w:val="right"/>
              <w:rPr>
                <w:sz w:val="18"/>
                <w:szCs w:val="18"/>
                <w:lang w:val="en-PH" w:eastAsia="en-PH"/>
              </w:rPr>
            </w:pPr>
            <w:r>
              <w:rPr>
                <w:sz w:val="18"/>
                <w:szCs w:val="18"/>
                <w:lang w:val="en-PH" w:eastAsia="en-PH"/>
              </w:rPr>
              <w:t>1,500,000.00</w:t>
            </w: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1,500,000.00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DA BUB 2015-Sustainable Agri-Fishery Based Livelihood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226,121.00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111,280.00</w:t>
            </w:r>
          </w:p>
        </w:tc>
        <w:tc>
          <w:tcPr>
            <w:tcW w:w="1281" w:type="dxa"/>
            <w:shd w:val="clear" w:color="auto" w:fill="auto"/>
            <w:noWrap/>
            <w:vAlign w:val="center"/>
            <w:hideMark/>
          </w:tcPr>
          <w:p>
            <w:pPr>
              <w:jc w:val="right"/>
              <w:rPr>
                <w:sz w:val="18"/>
                <w:szCs w:val="18"/>
                <w:lang w:val="en-PH" w:eastAsia="en-PH"/>
              </w:rPr>
            </w:pPr>
            <w:r>
              <w:rPr>
                <w:sz w:val="18"/>
                <w:szCs w:val="18"/>
                <w:lang w:val="en-PH" w:eastAsia="en-PH"/>
              </w:rPr>
              <w:t>22,880.00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137,721.00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DA ROXI-Implementation of Projects on Grassroots Participatory Budgeting Process for CY 2014</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171,339.50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31,090.00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140,249.50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DA - Restocking Project of Panabo City</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245,000.00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245,000.00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DA_ATI- Establishment of FITS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25,080.00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22,666.00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2,414.00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Value Adding Project Cardava and Latundan under BUB</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8,981.00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8,981.00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BNS Travelling Allowance</w:t>
            </w:r>
          </w:p>
        </w:tc>
        <w:tc>
          <w:tcPr>
            <w:tcW w:w="1251" w:type="dxa"/>
            <w:shd w:val="clear" w:color="auto" w:fill="auto"/>
            <w:noWrap/>
            <w:vAlign w:val="center"/>
            <w:hideMark/>
          </w:tcPr>
          <w:p>
            <w:pPr>
              <w:jc w:val="right"/>
              <w:rPr>
                <w:sz w:val="18"/>
                <w:szCs w:val="18"/>
                <w:lang w:val="en-PH" w:eastAsia="en-PH"/>
              </w:rPr>
            </w:pPr>
          </w:p>
        </w:tc>
        <w:tc>
          <w:tcPr>
            <w:tcW w:w="1161" w:type="dxa"/>
            <w:shd w:val="clear" w:color="auto" w:fill="auto"/>
            <w:noWrap/>
            <w:vAlign w:val="center"/>
            <w:hideMark/>
          </w:tcPr>
          <w:p>
            <w:pPr>
              <w:jc w:val="right"/>
              <w:rPr>
                <w:sz w:val="18"/>
                <w:szCs w:val="18"/>
                <w:lang w:val="en-PH" w:eastAsia="en-PH"/>
              </w:rPr>
            </w:pPr>
            <w:r>
              <w:rPr>
                <w:sz w:val="18"/>
                <w:szCs w:val="18"/>
                <w:lang w:val="en-PH" w:eastAsia="en-PH"/>
              </w:rPr>
              <w:t>126,000.00</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62,400.00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63,600.00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DOLE RO XI - Livelihood Assistance for 2015 BUB Project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1,077,955.50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1,077,955.50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DOLE-Department of Labor and Employment  (Joesil Grow Micro Program)</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500,000.00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(500,000.00)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lastRenderedPageBreak/>
              <w:t>National Commission For Culture &amp; The Arts (Ncca) - Enhancement Of The Museo Panabo</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21,731.00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21,731.00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USE THIS - PDAF -  Various Projects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100,000.00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DENR-50% Mobilization of Seeding Program</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20,083.34</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20,083.34</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(DIDP) Fisherfolk Livelihood Enhancement Project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414,870.00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414,870.00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(DIDP) Transfer of Fund UFMVP Project Proposal-UPLAND FARMING</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154,000.00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154,000.00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DIDP Savings -FMR - Malativas to San Roque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31,523.14</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31,523.14</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 Cash Assistance/Performance Grant to City of Panabo</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1,625.25</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1,625.25</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 Garantisadong Pambata</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(907.40)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(907.40)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DOH-Matching Grant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(2,831.90)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(2,831.90)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DOH-Red Orchid Award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(76,033.00)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(76,033.00)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DOH-DCHD - CASH INCENTIVES TO LGU AWARDEES 2018</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100,000.00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PHILHEALTH-BHW-Component Project for Indigent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250.00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250.00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Payment For for Cho/City Government Of Panabo</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557,975.00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557,975.00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PSF FUND-Construction of School Building</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59,515.65</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59,515.65</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PCPS Phil.Centerforpolicystudies-Gofordev Fund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5,600.00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5,600.00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Barangay Kiotoy (BNB) Reimbursement of MS from IPHC to LGU</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7,722.85</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7,722.85</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BFAR XI - BUB Project entitled Infra-support to Agri and fishery Production motorized Fishing boat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22,304.00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22,304.00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Commission On Population - Cash Rpize-Salas Population &amp; Development Award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7,016.60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7,016.60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DALGU Fund-Department of Agriculture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78,420.00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78,420.00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DOH - NVBSP_National Sandugo Performance Grant</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9,754.00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9,754.00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ECCD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374,414.00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374,414.00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LGSEF-LAA Projects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24,610.60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24,610.60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Performance Incentive as LGU Graduate of Municipal Leadership &amp; Governance Program (MLGP)</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250,000.00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250,000.00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Phil. Coconut Authority Coconut Re-planting Program</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397,730.00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397,730.00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lastRenderedPageBreak/>
              <w:t>From TOURISM PROMOTION PROGRAM CY 2006, for IT Equipment acquisition</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10,617.00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10,617.00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Local Enhancement &amp; Dev't for Health ( LEAD )</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106,393.45</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106,393.45</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Council of Women</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46,591.00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46,591.00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DILG Region XI - Aid to Moral Recovery Program</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30,000.00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Kilos Asenso Program SARO # ROCS-09-03641 dated 05-28-09</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680,159.00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680,159.00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Legal Research Fund</w:t>
            </w:r>
          </w:p>
        </w:tc>
        <w:tc>
          <w:tcPr>
            <w:tcW w:w="1251" w:type="dxa"/>
            <w:shd w:val="clear" w:color="auto" w:fill="auto"/>
            <w:noWrap/>
            <w:vAlign w:val="center"/>
            <w:hideMark/>
          </w:tcPr>
          <w:p>
            <w:pPr>
              <w:jc w:val="right"/>
              <w:rPr>
                <w:sz w:val="18"/>
                <w:szCs w:val="18"/>
                <w:lang w:val="en-PH" w:eastAsia="en-PH"/>
              </w:rPr>
            </w:pP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21.00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21.00</w:t>
            </w:r>
          </w:p>
        </w:tc>
      </w:tr>
      <w:tr>
        <w:trPr>
          <w:cantSplit/>
          <w:trHeight w:val="283"/>
        </w:trPr>
        <w:tc>
          <w:tcPr>
            <w:tcW w:w="2252" w:type="dxa"/>
            <w:shd w:val="clear" w:color="auto" w:fill="auto"/>
            <w:vAlign w:val="center"/>
          </w:tcPr>
          <w:p>
            <w:pPr>
              <w:rPr>
                <w:sz w:val="18"/>
                <w:szCs w:val="18"/>
                <w:lang w:val="en-PH" w:eastAsia="en-PH"/>
              </w:rPr>
            </w:pPr>
            <w:r>
              <w:rPr>
                <w:sz w:val="18"/>
                <w:szCs w:val="18"/>
                <w:lang w:val="en-PH" w:eastAsia="en-PH"/>
              </w:rPr>
              <w:t>Rehabilitation /Improvement of Level III Water System at Little Panay, Panabo City</w:t>
            </w:r>
          </w:p>
        </w:tc>
        <w:tc>
          <w:tcPr>
            <w:tcW w:w="1251" w:type="dxa"/>
            <w:shd w:val="clear" w:color="auto" w:fill="auto"/>
            <w:noWrap/>
            <w:vAlign w:val="center"/>
          </w:tcPr>
          <w:p>
            <w:pPr>
              <w:jc w:val="right"/>
              <w:rPr>
                <w:sz w:val="18"/>
                <w:szCs w:val="18"/>
                <w:lang w:val="en-PH" w:eastAsia="en-PH"/>
              </w:rPr>
            </w:pPr>
            <w:r>
              <w:rPr>
                <w:sz w:val="18"/>
                <w:szCs w:val="18"/>
                <w:lang w:val="en-PH" w:eastAsia="en-PH"/>
              </w:rPr>
              <w:t>4,000,000.00</w:t>
            </w:r>
          </w:p>
        </w:tc>
        <w:tc>
          <w:tcPr>
            <w:tcW w:w="1161" w:type="dxa"/>
            <w:shd w:val="clear" w:color="auto" w:fill="auto"/>
            <w:noWrap/>
            <w:vAlign w:val="center"/>
          </w:tcPr>
          <w:p>
            <w:pPr>
              <w:jc w:val="right"/>
              <w:rPr>
                <w:sz w:val="18"/>
                <w:szCs w:val="18"/>
                <w:lang w:val="en-PH" w:eastAsia="en-PH"/>
              </w:rPr>
            </w:pPr>
          </w:p>
        </w:tc>
        <w:tc>
          <w:tcPr>
            <w:tcW w:w="1251" w:type="dxa"/>
            <w:shd w:val="clear" w:color="auto" w:fill="auto"/>
            <w:noWrap/>
            <w:vAlign w:val="center"/>
          </w:tcPr>
          <w:p>
            <w:pPr>
              <w:jc w:val="right"/>
              <w:rPr>
                <w:sz w:val="18"/>
                <w:szCs w:val="18"/>
                <w:lang w:val="en-PH" w:eastAsia="en-PH"/>
              </w:rPr>
            </w:pPr>
          </w:p>
        </w:tc>
        <w:tc>
          <w:tcPr>
            <w:tcW w:w="1281" w:type="dxa"/>
            <w:shd w:val="clear" w:color="auto" w:fill="auto"/>
            <w:noWrap/>
            <w:vAlign w:val="center"/>
          </w:tcPr>
          <w:p>
            <w:pPr>
              <w:jc w:val="right"/>
              <w:rPr>
                <w:sz w:val="18"/>
                <w:szCs w:val="18"/>
                <w:lang w:val="en-PH" w:eastAsia="en-PH"/>
              </w:rPr>
            </w:pPr>
          </w:p>
        </w:tc>
        <w:tc>
          <w:tcPr>
            <w:tcW w:w="1496" w:type="dxa"/>
            <w:shd w:val="clear" w:color="auto" w:fill="auto"/>
            <w:noWrap/>
            <w:vAlign w:val="center"/>
          </w:tcPr>
          <w:p>
            <w:pPr>
              <w:jc w:val="right"/>
              <w:rPr>
                <w:sz w:val="18"/>
                <w:szCs w:val="18"/>
                <w:lang w:val="en-PH" w:eastAsia="en-PH"/>
              </w:rPr>
            </w:pPr>
            <w:r>
              <w:rPr>
                <w:sz w:val="18"/>
                <w:szCs w:val="18"/>
                <w:lang w:val="en-PH" w:eastAsia="en-PH"/>
              </w:rPr>
              <w:t>4,000,000.00</w:t>
            </w:r>
          </w:p>
        </w:tc>
      </w:tr>
      <w:tr>
        <w:trPr>
          <w:cantSplit/>
          <w:trHeight w:val="283"/>
        </w:trPr>
        <w:tc>
          <w:tcPr>
            <w:tcW w:w="2252" w:type="dxa"/>
            <w:shd w:val="clear" w:color="auto" w:fill="auto"/>
            <w:vAlign w:val="center"/>
          </w:tcPr>
          <w:p>
            <w:pPr>
              <w:rPr>
                <w:sz w:val="18"/>
                <w:szCs w:val="18"/>
                <w:lang w:val="en-PH" w:eastAsia="en-PH"/>
              </w:rPr>
            </w:pPr>
            <w:r>
              <w:rPr>
                <w:sz w:val="18"/>
                <w:szCs w:val="18"/>
                <w:lang w:val="en-PH" w:eastAsia="en-PH"/>
              </w:rPr>
              <w:t>Construction of Level III Potable Water Supply System at Maduao, Panabo City</w:t>
            </w:r>
          </w:p>
        </w:tc>
        <w:tc>
          <w:tcPr>
            <w:tcW w:w="1251" w:type="dxa"/>
            <w:shd w:val="clear" w:color="auto" w:fill="auto"/>
            <w:noWrap/>
            <w:vAlign w:val="center"/>
          </w:tcPr>
          <w:p>
            <w:pPr>
              <w:jc w:val="right"/>
              <w:rPr>
                <w:sz w:val="18"/>
                <w:szCs w:val="18"/>
                <w:lang w:val="en-PH" w:eastAsia="en-PH"/>
              </w:rPr>
            </w:pPr>
            <w:r>
              <w:rPr>
                <w:sz w:val="18"/>
                <w:szCs w:val="18"/>
                <w:lang w:val="en-PH" w:eastAsia="en-PH"/>
              </w:rPr>
              <w:t>4,000,000.00</w:t>
            </w:r>
          </w:p>
        </w:tc>
        <w:tc>
          <w:tcPr>
            <w:tcW w:w="1161" w:type="dxa"/>
            <w:shd w:val="clear" w:color="auto" w:fill="auto"/>
            <w:noWrap/>
            <w:vAlign w:val="center"/>
          </w:tcPr>
          <w:p>
            <w:pPr>
              <w:jc w:val="right"/>
              <w:rPr>
                <w:sz w:val="18"/>
                <w:szCs w:val="18"/>
                <w:lang w:val="en-PH" w:eastAsia="en-PH"/>
              </w:rPr>
            </w:pPr>
          </w:p>
        </w:tc>
        <w:tc>
          <w:tcPr>
            <w:tcW w:w="1251" w:type="dxa"/>
            <w:shd w:val="clear" w:color="auto" w:fill="auto"/>
            <w:noWrap/>
            <w:vAlign w:val="center"/>
          </w:tcPr>
          <w:p>
            <w:pPr>
              <w:jc w:val="right"/>
              <w:rPr>
                <w:sz w:val="18"/>
                <w:szCs w:val="18"/>
                <w:lang w:val="en-PH" w:eastAsia="en-PH"/>
              </w:rPr>
            </w:pPr>
          </w:p>
        </w:tc>
        <w:tc>
          <w:tcPr>
            <w:tcW w:w="1281" w:type="dxa"/>
            <w:shd w:val="clear" w:color="auto" w:fill="auto"/>
            <w:noWrap/>
            <w:vAlign w:val="center"/>
          </w:tcPr>
          <w:p>
            <w:pPr>
              <w:jc w:val="right"/>
              <w:rPr>
                <w:sz w:val="18"/>
                <w:szCs w:val="18"/>
                <w:lang w:val="en-PH" w:eastAsia="en-PH"/>
              </w:rPr>
            </w:pPr>
          </w:p>
        </w:tc>
        <w:tc>
          <w:tcPr>
            <w:tcW w:w="1496" w:type="dxa"/>
            <w:shd w:val="clear" w:color="auto" w:fill="auto"/>
            <w:noWrap/>
            <w:vAlign w:val="center"/>
          </w:tcPr>
          <w:p>
            <w:pPr>
              <w:jc w:val="right"/>
              <w:rPr>
                <w:sz w:val="18"/>
                <w:szCs w:val="18"/>
                <w:lang w:val="en-PH" w:eastAsia="en-PH"/>
              </w:rPr>
            </w:pPr>
            <w:r>
              <w:rPr>
                <w:sz w:val="18"/>
                <w:szCs w:val="18"/>
                <w:lang w:val="en-PH" w:eastAsia="en-PH"/>
              </w:rPr>
              <w:t>4,000,000.00</w:t>
            </w:r>
          </w:p>
        </w:tc>
      </w:tr>
      <w:tr>
        <w:trPr>
          <w:cantSplit/>
          <w:trHeight w:val="283"/>
        </w:trPr>
        <w:tc>
          <w:tcPr>
            <w:tcW w:w="2252" w:type="dxa"/>
            <w:shd w:val="clear" w:color="auto" w:fill="auto"/>
            <w:vAlign w:val="bottom"/>
            <w:hideMark/>
          </w:tcPr>
          <w:p>
            <w:pPr>
              <w:rPr>
                <w:b/>
                <w:bCs/>
                <w:sz w:val="18"/>
                <w:szCs w:val="18"/>
                <w:lang w:val="en-PH" w:eastAsia="en-PH"/>
              </w:rPr>
            </w:pPr>
            <w:r>
              <w:rPr>
                <w:b/>
                <w:bCs/>
                <w:sz w:val="18"/>
                <w:szCs w:val="18"/>
                <w:lang w:val="en-PH" w:eastAsia="en-PH"/>
              </w:rPr>
              <w:t>Subtotal</w:t>
            </w:r>
          </w:p>
        </w:tc>
        <w:tc>
          <w:tcPr>
            <w:tcW w:w="1251" w:type="dxa"/>
            <w:shd w:val="clear" w:color="auto" w:fill="auto"/>
            <w:vAlign w:val="center"/>
            <w:hideMark/>
          </w:tcPr>
          <w:p>
            <w:pPr>
              <w:jc w:val="right"/>
              <w:rPr>
                <w:b/>
                <w:bCs/>
                <w:sz w:val="18"/>
                <w:szCs w:val="18"/>
                <w:lang w:val="en-PH" w:eastAsia="en-PH"/>
              </w:rPr>
            </w:pPr>
          </w:p>
        </w:tc>
        <w:tc>
          <w:tcPr>
            <w:tcW w:w="1161" w:type="dxa"/>
            <w:shd w:val="clear" w:color="auto" w:fill="auto"/>
            <w:vAlign w:val="center"/>
            <w:hideMark/>
          </w:tcPr>
          <w:p>
            <w:pPr>
              <w:jc w:val="right"/>
              <w:rPr>
                <w:b/>
                <w:bCs/>
                <w:sz w:val="18"/>
                <w:szCs w:val="18"/>
                <w:lang w:val="en-PH" w:eastAsia="en-PH"/>
              </w:rPr>
            </w:pPr>
          </w:p>
        </w:tc>
        <w:tc>
          <w:tcPr>
            <w:tcW w:w="1251" w:type="dxa"/>
            <w:shd w:val="clear" w:color="auto" w:fill="auto"/>
            <w:vAlign w:val="center"/>
            <w:hideMark/>
          </w:tcPr>
          <w:p>
            <w:pPr>
              <w:jc w:val="right"/>
              <w:rPr>
                <w:b/>
                <w:bCs/>
                <w:sz w:val="18"/>
                <w:szCs w:val="18"/>
                <w:lang w:val="en-PH" w:eastAsia="en-PH"/>
              </w:rPr>
            </w:pPr>
          </w:p>
        </w:tc>
        <w:tc>
          <w:tcPr>
            <w:tcW w:w="1281" w:type="dxa"/>
            <w:shd w:val="clear" w:color="auto" w:fill="auto"/>
            <w:vAlign w:val="center"/>
            <w:hideMark/>
          </w:tcPr>
          <w:p>
            <w:pPr>
              <w:jc w:val="right"/>
              <w:rPr>
                <w:b/>
                <w:bCs/>
                <w:sz w:val="18"/>
                <w:szCs w:val="18"/>
                <w:lang w:val="en-PH" w:eastAsia="en-PH"/>
              </w:rPr>
            </w:pPr>
          </w:p>
        </w:tc>
        <w:tc>
          <w:tcPr>
            <w:tcW w:w="1496" w:type="dxa"/>
            <w:shd w:val="clear" w:color="auto" w:fill="auto"/>
            <w:vAlign w:val="center"/>
            <w:hideMark/>
          </w:tcPr>
          <w:p>
            <w:pPr>
              <w:jc w:val="right"/>
              <w:rPr>
                <w:b/>
                <w:bCs/>
                <w:sz w:val="18"/>
                <w:szCs w:val="18"/>
                <w:lang w:val="en-PH" w:eastAsia="en-PH"/>
              </w:rPr>
            </w:pPr>
            <w:r>
              <w:rPr>
                <w:b/>
                <w:bCs/>
                <w:sz w:val="18"/>
                <w:szCs w:val="18"/>
                <w:lang w:val="en-PH" w:eastAsia="en-PH"/>
              </w:rPr>
              <w:t>230,979,507.89</w:t>
            </w:r>
          </w:p>
        </w:tc>
      </w:tr>
      <w:tr>
        <w:trPr>
          <w:cantSplit/>
          <w:trHeight w:val="283"/>
        </w:trPr>
        <w:tc>
          <w:tcPr>
            <w:tcW w:w="2252" w:type="dxa"/>
            <w:shd w:val="clear" w:color="auto" w:fill="auto"/>
            <w:vAlign w:val="bottom"/>
            <w:hideMark/>
          </w:tcPr>
          <w:p>
            <w:pPr>
              <w:rPr>
                <w:b/>
                <w:bCs/>
                <w:sz w:val="18"/>
                <w:szCs w:val="18"/>
                <w:lang w:val="en-PH" w:eastAsia="en-PH"/>
              </w:rPr>
            </w:pPr>
            <w:r>
              <w:rPr>
                <w:b/>
                <w:bCs/>
                <w:sz w:val="18"/>
                <w:szCs w:val="18"/>
                <w:lang w:val="en-PH" w:eastAsia="en-PH"/>
              </w:rPr>
              <w:t>General Fund:</w:t>
            </w:r>
          </w:p>
        </w:tc>
        <w:tc>
          <w:tcPr>
            <w:tcW w:w="1251" w:type="dxa"/>
            <w:shd w:val="clear" w:color="auto" w:fill="auto"/>
            <w:vAlign w:val="center"/>
            <w:hideMark/>
          </w:tcPr>
          <w:p>
            <w:pPr>
              <w:jc w:val="right"/>
              <w:rPr>
                <w:b/>
                <w:bCs/>
                <w:sz w:val="18"/>
                <w:szCs w:val="18"/>
                <w:lang w:val="en-PH" w:eastAsia="en-PH"/>
              </w:rPr>
            </w:pPr>
          </w:p>
        </w:tc>
        <w:tc>
          <w:tcPr>
            <w:tcW w:w="1161" w:type="dxa"/>
            <w:shd w:val="clear" w:color="auto" w:fill="auto"/>
            <w:vAlign w:val="center"/>
            <w:hideMark/>
          </w:tcPr>
          <w:p>
            <w:pPr>
              <w:jc w:val="right"/>
              <w:rPr>
                <w:b/>
                <w:bCs/>
                <w:sz w:val="18"/>
                <w:szCs w:val="18"/>
                <w:lang w:val="en-PH" w:eastAsia="en-PH"/>
              </w:rPr>
            </w:pPr>
          </w:p>
        </w:tc>
        <w:tc>
          <w:tcPr>
            <w:tcW w:w="1251" w:type="dxa"/>
            <w:shd w:val="clear" w:color="auto" w:fill="auto"/>
            <w:vAlign w:val="center"/>
            <w:hideMark/>
          </w:tcPr>
          <w:p>
            <w:pPr>
              <w:jc w:val="right"/>
              <w:rPr>
                <w:b/>
                <w:bCs/>
                <w:sz w:val="18"/>
                <w:szCs w:val="18"/>
                <w:lang w:val="en-PH" w:eastAsia="en-PH"/>
              </w:rPr>
            </w:pPr>
          </w:p>
        </w:tc>
        <w:tc>
          <w:tcPr>
            <w:tcW w:w="1281" w:type="dxa"/>
            <w:shd w:val="clear" w:color="auto" w:fill="auto"/>
            <w:vAlign w:val="center"/>
            <w:hideMark/>
          </w:tcPr>
          <w:p>
            <w:pPr>
              <w:jc w:val="right"/>
              <w:rPr>
                <w:b/>
                <w:bCs/>
                <w:sz w:val="18"/>
                <w:szCs w:val="18"/>
                <w:lang w:val="en-PH" w:eastAsia="en-PH"/>
              </w:rPr>
            </w:pPr>
          </w:p>
        </w:tc>
        <w:tc>
          <w:tcPr>
            <w:tcW w:w="1496" w:type="dxa"/>
            <w:shd w:val="clear" w:color="auto" w:fill="auto"/>
            <w:vAlign w:val="center"/>
            <w:hideMark/>
          </w:tcPr>
          <w:p>
            <w:pPr>
              <w:jc w:val="right"/>
              <w:rPr>
                <w:b/>
                <w:bCs/>
                <w:sz w:val="18"/>
                <w:szCs w:val="18"/>
                <w:lang w:val="en-PH" w:eastAsia="en-PH"/>
              </w:rPr>
            </w:pP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Land Transportation Office (LTO) - Payables for vehicle registration and computers fee</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160,451.30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(159,600.68)</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850.62</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DPWH - 5% share from Building Permits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1,004,137.34</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(1,004,137.34)</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DSWD - City counterpart to the recipients of SPMC medical expenses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197,500.00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(197,500.00)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DSWD - City counterpart for the care and maintenance to Home for the Aged</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100,000.00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(100,000.00)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GSIS - YE 2020 Payables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43,394.80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r>
              <w:rPr>
                <w:sz w:val="18"/>
                <w:szCs w:val="18"/>
                <w:lang w:val="en-PH" w:eastAsia="en-PH"/>
              </w:rPr>
              <w:t>(43,394.80)</w:t>
            </w: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Phil health - YE 2021 Payables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320,200.00</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320,200.00</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Registry of Deeds - YE 2021 Payables</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15,117.05</w:t>
            </w:r>
          </w:p>
        </w:tc>
        <w:tc>
          <w:tcPr>
            <w:tcW w:w="1161" w:type="dxa"/>
            <w:shd w:val="clear" w:color="auto" w:fill="auto"/>
            <w:noWrap/>
            <w:vAlign w:val="center"/>
            <w:hideMark/>
          </w:tcPr>
          <w:p>
            <w:pPr>
              <w:jc w:val="right"/>
              <w:rPr>
                <w:sz w:val="18"/>
                <w:szCs w:val="18"/>
                <w:lang w:val="en-PH" w:eastAsia="en-PH"/>
              </w:rPr>
            </w:pPr>
          </w:p>
        </w:tc>
        <w:tc>
          <w:tcPr>
            <w:tcW w:w="1251" w:type="dxa"/>
            <w:shd w:val="clear" w:color="auto" w:fill="auto"/>
            <w:noWrap/>
            <w:vAlign w:val="center"/>
            <w:hideMark/>
          </w:tcPr>
          <w:p>
            <w:pPr>
              <w:jc w:val="right"/>
              <w:rPr>
                <w:sz w:val="18"/>
                <w:szCs w:val="18"/>
                <w:lang w:val="en-PH" w:eastAsia="en-PH"/>
              </w:rPr>
            </w:pPr>
            <w:r>
              <w:rPr>
                <w:sz w:val="18"/>
                <w:szCs w:val="18"/>
                <w:lang w:val="en-PH" w:eastAsia="en-PH"/>
              </w:rPr>
              <w:t>15,117.05</w:t>
            </w: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0.00</w:t>
            </w:r>
          </w:p>
        </w:tc>
      </w:tr>
      <w:tr>
        <w:trPr>
          <w:cantSplit/>
          <w:trHeight w:val="283"/>
        </w:trPr>
        <w:tc>
          <w:tcPr>
            <w:tcW w:w="2252" w:type="dxa"/>
            <w:shd w:val="clear" w:color="auto" w:fill="auto"/>
            <w:vAlign w:val="center"/>
            <w:hideMark/>
          </w:tcPr>
          <w:p>
            <w:pPr>
              <w:rPr>
                <w:sz w:val="18"/>
                <w:szCs w:val="18"/>
                <w:lang w:val="en-PH" w:eastAsia="en-PH"/>
              </w:rPr>
            </w:pPr>
            <w:r>
              <w:rPr>
                <w:sz w:val="18"/>
                <w:szCs w:val="18"/>
                <w:lang w:val="en-PH" w:eastAsia="en-PH"/>
              </w:rPr>
              <w:t>National Meat Inspection Service (NMIS) - ante/post-mortem (25%)</w:t>
            </w:r>
          </w:p>
        </w:tc>
        <w:tc>
          <w:tcPr>
            <w:tcW w:w="1251" w:type="dxa"/>
            <w:shd w:val="clear" w:color="auto" w:fill="auto"/>
            <w:noWrap/>
            <w:vAlign w:val="center"/>
            <w:hideMark/>
          </w:tcPr>
          <w:p>
            <w:pPr>
              <w:jc w:val="right"/>
              <w:rPr>
                <w:sz w:val="18"/>
                <w:szCs w:val="18"/>
                <w:lang w:val="en-PH" w:eastAsia="en-PH"/>
              </w:rPr>
            </w:pPr>
            <w:r>
              <w:rPr>
                <w:sz w:val="18"/>
                <w:szCs w:val="18"/>
                <w:lang w:val="en-PH" w:eastAsia="en-PH"/>
              </w:rPr>
              <w:t>523,526.25</w:t>
            </w:r>
          </w:p>
        </w:tc>
        <w:tc>
          <w:tcPr>
            <w:tcW w:w="1161" w:type="dxa"/>
            <w:shd w:val="clear" w:color="auto" w:fill="auto"/>
            <w:noWrap/>
            <w:vAlign w:val="center"/>
            <w:hideMark/>
          </w:tcPr>
          <w:p>
            <w:pPr>
              <w:jc w:val="right"/>
              <w:rPr>
                <w:sz w:val="18"/>
                <w:szCs w:val="18"/>
                <w:lang w:val="en-PH" w:eastAsia="en-PH"/>
              </w:rPr>
            </w:pPr>
            <w:r>
              <w:rPr>
                <w:sz w:val="18"/>
                <w:szCs w:val="18"/>
                <w:lang w:val="en-PH" w:eastAsia="en-PH"/>
              </w:rPr>
              <w:t>583,635.19</w:t>
            </w:r>
          </w:p>
        </w:tc>
        <w:tc>
          <w:tcPr>
            <w:tcW w:w="1251" w:type="dxa"/>
            <w:shd w:val="clear" w:color="auto" w:fill="auto"/>
            <w:noWrap/>
            <w:vAlign w:val="center"/>
            <w:hideMark/>
          </w:tcPr>
          <w:p>
            <w:pPr>
              <w:jc w:val="right"/>
              <w:rPr>
                <w:sz w:val="18"/>
                <w:szCs w:val="18"/>
                <w:lang w:val="en-PH" w:eastAsia="en-PH"/>
              </w:rPr>
            </w:pPr>
          </w:p>
        </w:tc>
        <w:tc>
          <w:tcPr>
            <w:tcW w:w="1281" w:type="dxa"/>
            <w:shd w:val="clear" w:color="auto" w:fill="auto"/>
            <w:noWrap/>
            <w:vAlign w:val="center"/>
            <w:hideMark/>
          </w:tcPr>
          <w:p>
            <w:pPr>
              <w:jc w:val="right"/>
              <w:rPr>
                <w:sz w:val="18"/>
                <w:szCs w:val="18"/>
                <w:lang w:val="en-PH" w:eastAsia="en-PH"/>
              </w:rPr>
            </w:pPr>
          </w:p>
        </w:tc>
        <w:tc>
          <w:tcPr>
            <w:tcW w:w="1496" w:type="dxa"/>
            <w:shd w:val="clear" w:color="auto" w:fill="auto"/>
            <w:noWrap/>
            <w:vAlign w:val="center"/>
            <w:hideMark/>
          </w:tcPr>
          <w:p>
            <w:pPr>
              <w:jc w:val="right"/>
              <w:rPr>
                <w:sz w:val="18"/>
                <w:szCs w:val="18"/>
                <w:lang w:val="en-PH" w:eastAsia="en-PH"/>
              </w:rPr>
            </w:pPr>
            <w:r>
              <w:rPr>
                <w:sz w:val="18"/>
                <w:szCs w:val="18"/>
                <w:lang w:val="en-PH" w:eastAsia="en-PH"/>
              </w:rPr>
              <w:t>1,107,161.44</w:t>
            </w:r>
          </w:p>
        </w:tc>
      </w:tr>
      <w:tr>
        <w:trPr>
          <w:cantSplit/>
          <w:trHeight w:val="283"/>
        </w:trPr>
        <w:tc>
          <w:tcPr>
            <w:tcW w:w="2252" w:type="dxa"/>
            <w:shd w:val="clear" w:color="auto" w:fill="auto"/>
            <w:vAlign w:val="bottom"/>
            <w:hideMark/>
          </w:tcPr>
          <w:p>
            <w:pPr>
              <w:rPr>
                <w:b/>
                <w:bCs/>
                <w:sz w:val="18"/>
                <w:szCs w:val="18"/>
                <w:lang w:val="en-PH" w:eastAsia="en-PH"/>
              </w:rPr>
            </w:pPr>
            <w:r>
              <w:rPr>
                <w:b/>
                <w:bCs/>
                <w:sz w:val="18"/>
                <w:szCs w:val="18"/>
                <w:lang w:val="en-PH" w:eastAsia="en-PH"/>
              </w:rPr>
              <w:t>Subtotal</w:t>
            </w:r>
          </w:p>
        </w:tc>
        <w:tc>
          <w:tcPr>
            <w:tcW w:w="1251" w:type="dxa"/>
            <w:shd w:val="clear" w:color="auto" w:fill="auto"/>
            <w:vAlign w:val="center"/>
            <w:hideMark/>
          </w:tcPr>
          <w:p>
            <w:pPr>
              <w:jc w:val="right"/>
              <w:rPr>
                <w:b/>
                <w:bCs/>
                <w:sz w:val="18"/>
                <w:szCs w:val="18"/>
                <w:lang w:val="en-PH" w:eastAsia="en-PH"/>
              </w:rPr>
            </w:pPr>
          </w:p>
        </w:tc>
        <w:tc>
          <w:tcPr>
            <w:tcW w:w="1161" w:type="dxa"/>
            <w:shd w:val="clear" w:color="auto" w:fill="auto"/>
            <w:vAlign w:val="center"/>
            <w:hideMark/>
          </w:tcPr>
          <w:p>
            <w:pPr>
              <w:jc w:val="right"/>
              <w:rPr>
                <w:b/>
                <w:bCs/>
                <w:sz w:val="18"/>
                <w:szCs w:val="18"/>
                <w:lang w:val="en-PH" w:eastAsia="en-PH"/>
              </w:rPr>
            </w:pPr>
          </w:p>
        </w:tc>
        <w:tc>
          <w:tcPr>
            <w:tcW w:w="1251" w:type="dxa"/>
            <w:shd w:val="clear" w:color="auto" w:fill="auto"/>
            <w:vAlign w:val="center"/>
            <w:hideMark/>
          </w:tcPr>
          <w:p>
            <w:pPr>
              <w:jc w:val="right"/>
              <w:rPr>
                <w:b/>
                <w:bCs/>
                <w:sz w:val="18"/>
                <w:szCs w:val="18"/>
                <w:lang w:val="en-PH" w:eastAsia="en-PH"/>
              </w:rPr>
            </w:pPr>
          </w:p>
        </w:tc>
        <w:tc>
          <w:tcPr>
            <w:tcW w:w="1281" w:type="dxa"/>
            <w:shd w:val="clear" w:color="auto" w:fill="auto"/>
            <w:vAlign w:val="center"/>
            <w:hideMark/>
          </w:tcPr>
          <w:p>
            <w:pPr>
              <w:jc w:val="right"/>
              <w:rPr>
                <w:b/>
                <w:bCs/>
                <w:sz w:val="18"/>
                <w:szCs w:val="18"/>
                <w:lang w:val="en-PH" w:eastAsia="en-PH"/>
              </w:rPr>
            </w:pPr>
          </w:p>
        </w:tc>
        <w:tc>
          <w:tcPr>
            <w:tcW w:w="1496" w:type="dxa"/>
            <w:shd w:val="clear" w:color="auto" w:fill="auto"/>
            <w:vAlign w:val="center"/>
            <w:hideMark/>
          </w:tcPr>
          <w:p>
            <w:pPr>
              <w:jc w:val="right"/>
              <w:rPr>
                <w:b/>
                <w:bCs/>
                <w:sz w:val="18"/>
                <w:szCs w:val="18"/>
                <w:lang w:val="en-PH" w:eastAsia="en-PH"/>
              </w:rPr>
            </w:pPr>
            <w:r>
              <w:rPr>
                <w:b/>
                <w:bCs/>
                <w:sz w:val="18"/>
                <w:szCs w:val="18"/>
                <w:lang w:val="en-PH" w:eastAsia="en-PH"/>
              </w:rPr>
              <w:t>1,108,012.06</w:t>
            </w:r>
          </w:p>
        </w:tc>
      </w:tr>
      <w:tr>
        <w:trPr>
          <w:cantSplit/>
          <w:trHeight w:val="283"/>
        </w:trPr>
        <w:tc>
          <w:tcPr>
            <w:tcW w:w="2252" w:type="dxa"/>
            <w:shd w:val="clear" w:color="auto" w:fill="auto"/>
            <w:vAlign w:val="bottom"/>
            <w:hideMark/>
          </w:tcPr>
          <w:p>
            <w:pPr>
              <w:rPr>
                <w:b/>
                <w:bCs/>
                <w:sz w:val="18"/>
                <w:szCs w:val="18"/>
                <w:lang w:val="en-PH" w:eastAsia="en-PH"/>
              </w:rPr>
            </w:pPr>
            <w:r>
              <w:rPr>
                <w:b/>
                <w:bCs/>
                <w:sz w:val="18"/>
                <w:szCs w:val="18"/>
                <w:lang w:val="en-PH" w:eastAsia="en-PH"/>
              </w:rPr>
              <w:t>TOTAL</w:t>
            </w:r>
          </w:p>
        </w:tc>
        <w:tc>
          <w:tcPr>
            <w:tcW w:w="1251" w:type="dxa"/>
            <w:shd w:val="clear" w:color="auto" w:fill="auto"/>
            <w:vAlign w:val="center"/>
            <w:hideMark/>
          </w:tcPr>
          <w:p>
            <w:pPr>
              <w:jc w:val="right"/>
              <w:rPr>
                <w:b/>
                <w:bCs/>
                <w:sz w:val="18"/>
                <w:szCs w:val="18"/>
                <w:lang w:val="en-PH" w:eastAsia="en-PH"/>
              </w:rPr>
            </w:pPr>
          </w:p>
        </w:tc>
        <w:tc>
          <w:tcPr>
            <w:tcW w:w="1161" w:type="dxa"/>
            <w:shd w:val="clear" w:color="auto" w:fill="auto"/>
            <w:vAlign w:val="center"/>
            <w:hideMark/>
          </w:tcPr>
          <w:p>
            <w:pPr>
              <w:jc w:val="right"/>
              <w:rPr>
                <w:b/>
                <w:bCs/>
                <w:sz w:val="18"/>
                <w:szCs w:val="18"/>
                <w:lang w:val="en-PH" w:eastAsia="en-PH"/>
              </w:rPr>
            </w:pPr>
          </w:p>
        </w:tc>
        <w:tc>
          <w:tcPr>
            <w:tcW w:w="1251" w:type="dxa"/>
            <w:shd w:val="clear" w:color="auto" w:fill="auto"/>
            <w:vAlign w:val="center"/>
            <w:hideMark/>
          </w:tcPr>
          <w:p>
            <w:pPr>
              <w:jc w:val="right"/>
              <w:rPr>
                <w:b/>
                <w:bCs/>
                <w:sz w:val="18"/>
                <w:szCs w:val="18"/>
                <w:lang w:val="en-PH" w:eastAsia="en-PH"/>
              </w:rPr>
            </w:pPr>
          </w:p>
        </w:tc>
        <w:tc>
          <w:tcPr>
            <w:tcW w:w="1281" w:type="dxa"/>
            <w:shd w:val="clear" w:color="auto" w:fill="auto"/>
            <w:vAlign w:val="center"/>
            <w:hideMark/>
          </w:tcPr>
          <w:p>
            <w:pPr>
              <w:jc w:val="right"/>
              <w:rPr>
                <w:b/>
                <w:bCs/>
                <w:sz w:val="18"/>
                <w:szCs w:val="18"/>
                <w:lang w:val="en-PH" w:eastAsia="en-PH"/>
              </w:rPr>
            </w:pPr>
          </w:p>
        </w:tc>
        <w:tc>
          <w:tcPr>
            <w:tcW w:w="1496" w:type="dxa"/>
            <w:shd w:val="clear" w:color="auto" w:fill="auto"/>
            <w:noWrap/>
            <w:vAlign w:val="center"/>
            <w:hideMark/>
          </w:tcPr>
          <w:p>
            <w:pPr>
              <w:jc w:val="right"/>
              <w:rPr>
                <w:b/>
                <w:bCs/>
                <w:sz w:val="18"/>
                <w:szCs w:val="18"/>
                <w:lang w:val="en-PH" w:eastAsia="en-PH"/>
              </w:rPr>
            </w:pPr>
            <w:r>
              <w:rPr>
                <w:b/>
                <w:bCs/>
                <w:sz w:val="18"/>
                <w:szCs w:val="18"/>
                <w:lang w:val="en-PH" w:eastAsia="en-PH"/>
              </w:rPr>
              <w:t>232,087,519.95</w:t>
            </w:r>
          </w:p>
        </w:tc>
      </w:tr>
    </w:tbl>
    <w:p>
      <w:pPr>
        <w:ind w:left="900"/>
        <w:jc w:val="both"/>
        <w:rPr>
          <w:rFonts w:eastAsia="Calibri"/>
          <w:sz w:val="24"/>
          <w:szCs w:val="24"/>
          <w:lang w:val="en-PH"/>
        </w:rPr>
      </w:pPr>
    </w:p>
    <w:p>
      <w:pPr>
        <w:ind w:left="1134"/>
        <w:jc w:val="both"/>
        <w:rPr>
          <w:rFonts w:eastAsia="Calibri"/>
          <w:b/>
          <w:bCs/>
          <w:sz w:val="24"/>
          <w:szCs w:val="24"/>
          <w:lang w:val="en-PH"/>
        </w:rPr>
      </w:pPr>
      <w:r>
        <w:rPr>
          <w:rFonts w:eastAsia="Calibri"/>
          <w:b/>
          <w:bCs/>
          <w:sz w:val="24"/>
          <w:szCs w:val="24"/>
          <w:lang w:val="en-PH"/>
        </w:rPr>
        <w:t>13.6 Due to GOCC</w:t>
      </w:r>
    </w:p>
    <w:p>
      <w:pPr>
        <w:ind w:left="900"/>
        <w:jc w:val="both"/>
        <w:rPr>
          <w:rFonts w:eastAsia="Calibri"/>
          <w:b/>
          <w:bCs/>
          <w:sz w:val="24"/>
          <w:szCs w:val="24"/>
          <w:lang w:val="en-PH"/>
        </w:rPr>
      </w:pPr>
    </w:p>
    <w:p>
      <w:pPr>
        <w:spacing w:line="276" w:lineRule="auto"/>
        <w:ind w:left="1418"/>
        <w:jc w:val="both"/>
        <w:rPr>
          <w:rFonts w:eastAsia="Calibri"/>
          <w:sz w:val="24"/>
          <w:szCs w:val="24"/>
          <w:lang w:val="en-PH"/>
        </w:rPr>
      </w:pPr>
      <w:r>
        <w:rPr>
          <w:rFonts w:eastAsia="Calibri"/>
          <w:sz w:val="24"/>
          <w:szCs w:val="24"/>
          <w:lang w:val="en-PH"/>
        </w:rPr>
        <w:t>This account is mainly comprised of balances of social housing financing corporations. There were five (5) social housing accounted for in the book of accounts as per the below data:</w:t>
      </w:r>
    </w:p>
    <w:p>
      <w:pPr>
        <w:spacing w:line="276" w:lineRule="auto"/>
        <w:ind w:left="900"/>
        <w:jc w:val="both"/>
        <w:rPr>
          <w:rFonts w:eastAsia="Calibri"/>
          <w:sz w:val="24"/>
          <w:szCs w:val="24"/>
          <w:lang w:val="en-PH"/>
        </w:rPr>
      </w:pPr>
    </w:p>
    <w:tbl>
      <w:tblPr>
        <w:tblW w:w="6946" w:type="dxa"/>
        <w:tblInd w:w="1951" w:type="dxa"/>
        <w:tblLook w:val="04A0" w:firstRow="1" w:lastRow="0" w:firstColumn="1" w:lastColumn="0" w:noHBand="0" w:noVBand="1"/>
      </w:tblPr>
      <w:tblGrid>
        <w:gridCol w:w="5163"/>
        <w:gridCol w:w="1783"/>
      </w:tblGrid>
      <w:tr>
        <w:trPr>
          <w:trHeight w:val="283"/>
          <w:tblHeader/>
        </w:trPr>
        <w:tc>
          <w:tcPr>
            <w:tcW w:w="516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Due to GOCC's</w:t>
            </w:r>
          </w:p>
        </w:tc>
        <w:tc>
          <w:tcPr>
            <w:tcW w:w="178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1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SFHC_Joesil Village III</w:t>
            </w:r>
          </w:p>
        </w:tc>
        <w:tc>
          <w:tcPr>
            <w:tcW w:w="17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1,604,680.84</w:t>
            </w:r>
          </w:p>
        </w:tc>
      </w:tr>
      <w:tr>
        <w:trPr>
          <w:trHeight w:val="283"/>
        </w:trPr>
        <w:tc>
          <w:tcPr>
            <w:tcW w:w="51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SFHC_Renegado Village HOA, Inc.</w:t>
            </w:r>
          </w:p>
        </w:tc>
        <w:tc>
          <w:tcPr>
            <w:tcW w:w="17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3,984,104.70</w:t>
            </w:r>
          </w:p>
        </w:tc>
      </w:tr>
      <w:tr>
        <w:trPr>
          <w:trHeight w:val="283"/>
        </w:trPr>
        <w:tc>
          <w:tcPr>
            <w:tcW w:w="51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SHFC_Almonte Urban Poor HOA, Inc.</w:t>
            </w:r>
          </w:p>
        </w:tc>
        <w:tc>
          <w:tcPr>
            <w:tcW w:w="17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1,476,470.40</w:t>
            </w:r>
          </w:p>
        </w:tc>
      </w:tr>
      <w:tr>
        <w:trPr>
          <w:trHeight w:val="283"/>
        </w:trPr>
        <w:tc>
          <w:tcPr>
            <w:tcW w:w="51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lastRenderedPageBreak/>
              <w:t>SHFC_Dreamland Homeowners Association Inc.</w:t>
            </w:r>
          </w:p>
        </w:tc>
        <w:tc>
          <w:tcPr>
            <w:tcW w:w="17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2,294,768.93</w:t>
            </w:r>
          </w:p>
        </w:tc>
      </w:tr>
      <w:tr>
        <w:trPr>
          <w:trHeight w:val="283"/>
        </w:trPr>
        <w:tc>
          <w:tcPr>
            <w:tcW w:w="51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SHFC_Nanyo Urban Poor HOA, Inc.</w:t>
            </w:r>
          </w:p>
        </w:tc>
        <w:tc>
          <w:tcPr>
            <w:tcW w:w="178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539,472.21</w:t>
            </w:r>
          </w:p>
        </w:tc>
      </w:tr>
      <w:tr>
        <w:trPr>
          <w:trHeight w:val="283"/>
        </w:trPr>
        <w:tc>
          <w:tcPr>
            <w:tcW w:w="516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783"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9,899,497.08</w:t>
            </w:r>
          </w:p>
        </w:tc>
      </w:tr>
    </w:tbl>
    <w:p>
      <w:pPr>
        <w:ind w:left="900"/>
        <w:jc w:val="both"/>
        <w:rPr>
          <w:rFonts w:eastAsia="Calibri"/>
          <w:sz w:val="24"/>
          <w:szCs w:val="24"/>
          <w:lang w:val="en-PH"/>
        </w:rPr>
      </w:pPr>
    </w:p>
    <w:p>
      <w:pPr>
        <w:spacing w:line="276" w:lineRule="auto"/>
        <w:ind w:left="1418"/>
        <w:jc w:val="both"/>
        <w:rPr>
          <w:rFonts w:eastAsia="Calibri"/>
          <w:sz w:val="24"/>
          <w:szCs w:val="24"/>
          <w:lang w:val="en-PH"/>
        </w:rPr>
      </w:pPr>
      <w:r>
        <w:rPr>
          <w:rFonts w:eastAsia="Calibri"/>
          <w:sz w:val="24"/>
          <w:szCs w:val="24"/>
          <w:lang w:val="en-PH"/>
        </w:rPr>
        <w:t xml:space="preserve">The amount of this account as per book is </w:t>
      </w:r>
      <w:r>
        <w:rPr>
          <w:rFonts w:eastAsia="Calibri"/>
          <w:b/>
          <w:bCs/>
          <w:sz w:val="24"/>
          <w:szCs w:val="24"/>
          <w:lang w:val="en-PH"/>
        </w:rPr>
        <w:t>Php 9,914,499.50</w:t>
      </w:r>
      <w:r>
        <w:rPr>
          <w:rFonts w:eastAsia="Calibri"/>
          <w:sz w:val="24"/>
          <w:szCs w:val="24"/>
          <w:lang w:val="en-PH"/>
        </w:rPr>
        <w:t xml:space="preserve"> the variance of Php 15,002.42 is subject for reconciliation.</w:t>
      </w:r>
    </w:p>
    <w:p>
      <w:pPr>
        <w:jc w:val="both"/>
        <w:rPr>
          <w:rFonts w:eastAsia="Calibri"/>
          <w:sz w:val="24"/>
          <w:szCs w:val="24"/>
          <w:lang w:val="en-PH"/>
        </w:rPr>
      </w:pPr>
    </w:p>
    <w:p>
      <w:pPr>
        <w:ind w:left="1134"/>
        <w:jc w:val="both"/>
        <w:rPr>
          <w:rFonts w:eastAsia="Calibri"/>
          <w:b/>
          <w:bCs/>
          <w:sz w:val="24"/>
          <w:szCs w:val="24"/>
          <w:lang w:val="en-PH"/>
        </w:rPr>
      </w:pPr>
      <w:r>
        <w:rPr>
          <w:rFonts w:eastAsia="Calibri"/>
          <w:b/>
          <w:bCs/>
          <w:sz w:val="24"/>
          <w:szCs w:val="24"/>
          <w:lang w:val="en-PH"/>
        </w:rPr>
        <w:t>13.7 Due to LGUs</w:t>
      </w:r>
    </w:p>
    <w:p>
      <w:pPr>
        <w:jc w:val="both"/>
        <w:rPr>
          <w:sz w:val="24"/>
          <w:szCs w:val="24"/>
        </w:rPr>
      </w:pPr>
    </w:p>
    <w:p>
      <w:pPr>
        <w:spacing w:line="276" w:lineRule="auto"/>
        <w:ind w:left="1418"/>
        <w:jc w:val="both"/>
        <w:rPr>
          <w:sz w:val="24"/>
          <w:szCs w:val="24"/>
        </w:rPr>
      </w:pPr>
      <w:r>
        <w:rPr>
          <w:sz w:val="24"/>
          <w:szCs w:val="24"/>
        </w:rPr>
        <w:t>This account comprised mainly of balances due to all barangays and province pertaining to its share from sand and gravel, real property tax, community tax, fisherman license, PCA and other purposes. Below is the summary and details of this account.</w:t>
      </w:r>
    </w:p>
    <w:p>
      <w:pPr>
        <w:ind w:left="960"/>
        <w:jc w:val="both"/>
        <w:rPr>
          <w:sz w:val="24"/>
          <w:szCs w:val="24"/>
        </w:rPr>
      </w:pPr>
    </w:p>
    <w:tbl>
      <w:tblPr>
        <w:tblW w:w="6868" w:type="dxa"/>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2048"/>
      </w:tblGrid>
      <w:tr>
        <w:trPr>
          <w:trHeight w:val="283"/>
        </w:trPr>
        <w:tc>
          <w:tcPr>
            <w:tcW w:w="4820" w:type="dxa"/>
            <w:shd w:val="clear" w:color="auto" w:fill="auto"/>
            <w:noWrap/>
            <w:vAlign w:val="bottom"/>
            <w:hideMark/>
          </w:tcPr>
          <w:p>
            <w:pPr>
              <w:jc w:val="center"/>
              <w:rPr>
                <w:b/>
                <w:bCs/>
                <w:sz w:val="24"/>
                <w:szCs w:val="24"/>
                <w:lang w:val="en-PH" w:eastAsia="en-PH"/>
              </w:rPr>
            </w:pPr>
            <w:r>
              <w:rPr>
                <w:b/>
                <w:bCs/>
                <w:sz w:val="24"/>
                <w:szCs w:val="24"/>
                <w:lang w:val="en-PH" w:eastAsia="en-PH"/>
              </w:rPr>
              <w:t>Particulars</w:t>
            </w:r>
          </w:p>
        </w:tc>
        <w:tc>
          <w:tcPr>
            <w:tcW w:w="2048" w:type="dxa"/>
            <w:shd w:val="clear" w:color="auto" w:fill="auto"/>
            <w:noWrap/>
            <w:vAlign w:val="bottom"/>
            <w:hideMark/>
          </w:tcPr>
          <w:p>
            <w:pPr>
              <w:jc w:val="center"/>
              <w:rPr>
                <w:b/>
                <w:bCs/>
                <w:sz w:val="24"/>
                <w:szCs w:val="24"/>
                <w:lang w:val="en-PH" w:eastAsia="en-PH"/>
              </w:rPr>
            </w:pPr>
            <w:r>
              <w:rPr>
                <w:b/>
                <w:bCs/>
                <w:sz w:val="24"/>
                <w:szCs w:val="24"/>
                <w:lang w:val="en-PH" w:eastAsia="en-PH"/>
              </w:rPr>
              <w:t xml:space="preserve"> Amount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CTC Share</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            437,818.45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RPT Share</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12,053,656.37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S&amp;G</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465,663.75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Fishermen Share</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54,715.92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PCA Share</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38,910.00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YE Payables</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50,000.00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Provincial Aide</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199,000.00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Others</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6,324,891.20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Recon</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(721,490.52)</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CBMS App</w:t>
            </w:r>
          </w:p>
        </w:tc>
        <w:tc>
          <w:tcPr>
            <w:tcW w:w="2048" w:type="dxa"/>
            <w:shd w:val="clear" w:color="auto" w:fill="auto"/>
            <w:noWrap/>
            <w:vAlign w:val="center"/>
            <w:hideMark/>
          </w:tcPr>
          <w:p>
            <w:pPr>
              <w:jc w:val="right"/>
              <w:rPr>
                <w:sz w:val="24"/>
                <w:szCs w:val="24"/>
                <w:lang w:val="en-PH" w:eastAsia="en-PH"/>
              </w:rPr>
            </w:pPr>
            <w:r>
              <w:rPr>
                <w:sz w:val="24"/>
                <w:szCs w:val="24"/>
                <w:lang w:val="en-PH" w:eastAsia="en-PH"/>
              </w:rPr>
              <w:t xml:space="preserve">1,424,040.00 </w:t>
            </w:r>
          </w:p>
        </w:tc>
      </w:tr>
      <w:tr>
        <w:trPr>
          <w:trHeight w:val="283"/>
        </w:trPr>
        <w:tc>
          <w:tcPr>
            <w:tcW w:w="4820" w:type="dxa"/>
            <w:shd w:val="clear" w:color="auto" w:fill="auto"/>
            <w:noWrap/>
            <w:vAlign w:val="bottom"/>
            <w:hideMark/>
          </w:tcPr>
          <w:p>
            <w:pPr>
              <w:rPr>
                <w:b/>
                <w:bCs/>
                <w:sz w:val="24"/>
                <w:szCs w:val="24"/>
                <w:lang w:val="en-PH" w:eastAsia="en-PH"/>
              </w:rPr>
            </w:pPr>
            <w:r>
              <w:rPr>
                <w:b/>
                <w:bCs/>
                <w:sz w:val="24"/>
                <w:szCs w:val="24"/>
                <w:lang w:val="en-PH" w:eastAsia="en-PH"/>
              </w:rPr>
              <w:t>Total</w:t>
            </w:r>
          </w:p>
        </w:tc>
        <w:tc>
          <w:tcPr>
            <w:tcW w:w="2048" w:type="dxa"/>
            <w:shd w:val="clear" w:color="auto" w:fill="auto"/>
            <w:noWrap/>
            <w:vAlign w:val="center"/>
            <w:hideMark/>
          </w:tcPr>
          <w:p>
            <w:pPr>
              <w:jc w:val="right"/>
              <w:rPr>
                <w:b/>
                <w:bCs/>
                <w:sz w:val="24"/>
                <w:szCs w:val="24"/>
                <w:lang w:val="en-PH" w:eastAsia="en-PH"/>
              </w:rPr>
            </w:pPr>
            <w:r>
              <w:rPr>
                <w:b/>
                <w:bCs/>
                <w:sz w:val="24"/>
                <w:szCs w:val="24"/>
                <w:lang w:val="en-PH" w:eastAsia="en-PH"/>
              </w:rPr>
              <w:t xml:space="preserve">      20,327,205.17 </w:t>
            </w:r>
          </w:p>
        </w:tc>
      </w:tr>
    </w:tbl>
    <w:p>
      <w:pPr>
        <w:ind w:left="960"/>
        <w:jc w:val="both"/>
        <w:rPr>
          <w:sz w:val="24"/>
          <w:szCs w:val="24"/>
        </w:rPr>
      </w:pPr>
    </w:p>
    <w:p>
      <w:pPr>
        <w:ind w:left="1418"/>
        <w:jc w:val="both"/>
        <w:rPr>
          <w:sz w:val="24"/>
          <w:szCs w:val="24"/>
        </w:rPr>
      </w:pPr>
      <w:r>
        <w:rPr>
          <w:sz w:val="24"/>
          <w:szCs w:val="24"/>
        </w:rPr>
        <w:t>Summary per LGU of the above due balances:</w:t>
      </w:r>
    </w:p>
    <w:p>
      <w:pPr>
        <w:ind w:left="960"/>
        <w:jc w:val="both"/>
        <w:rPr>
          <w:sz w:val="24"/>
          <w:szCs w:val="24"/>
        </w:rPr>
      </w:pPr>
    </w:p>
    <w:tbl>
      <w:tblPr>
        <w:tblW w:w="6920" w:type="dxa"/>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2100"/>
      </w:tblGrid>
      <w:tr>
        <w:trPr>
          <w:trHeight w:val="283"/>
          <w:tblHeader/>
        </w:trPr>
        <w:tc>
          <w:tcPr>
            <w:tcW w:w="4820" w:type="dxa"/>
            <w:shd w:val="clear" w:color="auto" w:fill="auto"/>
            <w:noWrap/>
            <w:vAlign w:val="bottom"/>
            <w:hideMark/>
          </w:tcPr>
          <w:p>
            <w:pPr>
              <w:jc w:val="center"/>
              <w:rPr>
                <w:b/>
                <w:bCs/>
                <w:sz w:val="24"/>
                <w:szCs w:val="24"/>
                <w:lang w:val="en-PH" w:eastAsia="en-PH"/>
              </w:rPr>
            </w:pPr>
            <w:r>
              <w:rPr>
                <w:b/>
                <w:bCs/>
                <w:sz w:val="24"/>
                <w:szCs w:val="24"/>
                <w:lang w:val="en-PH" w:eastAsia="en-PH"/>
              </w:rPr>
              <w:t>LGUs</w:t>
            </w:r>
          </w:p>
        </w:tc>
        <w:tc>
          <w:tcPr>
            <w:tcW w:w="2100" w:type="dxa"/>
            <w:shd w:val="clear" w:color="auto" w:fill="auto"/>
            <w:noWrap/>
            <w:vAlign w:val="bottom"/>
            <w:hideMark/>
          </w:tcPr>
          <w:p>
            <w:pPr>
              <w:jc w:val="center"/>
              <w:rPr>
                <w:b/>
                <w:bCs/>
                <w:sz w:val="24"/>
                <w:szCs w:val="24"/>
                <w:lang w:val="en-PH" w:eastAsia="en-PH"/>
              </w:rPr>
            </w:pPr>
            <w:r>
              <w:rPr>
                <w:b/>
                <w:bCs/>
                <w:sz w:val="24"/>
                <w:szCs w:val="24"/>
                <w:lang w:val="en-PH" w:eastAsia="en-PH"/>
              </w:rPr>
              <w:t>Due to LGUs</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A. O. Floirendo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1,218,669.85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Buenavista</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83,502.85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Cacao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110,314.67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Cagangohan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530,790.13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Consolacion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69,917.07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Dapco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156,030.39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Datu Abdul Dadia</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316,327.22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Gredu</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515,103.83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J.P. Laurel</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991,143.94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Kasilak</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275,936.55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Katipunan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123,500.56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Katualan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74,273.15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Kauswagan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91,387.93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Kiotoy</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99,570.67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Little Panay</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100,699.16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Lower Panaga</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110,886.57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Mabunao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76,075.53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lastRenderedPageBreak/>
              <w:t>Maduao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84,752.23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Malativas</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95,222.56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Manay</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167,594.05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Nanyo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426,795.51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New Malaga</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146,519.81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New Malitbog</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108,892.52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New Pandan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631,397.72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New Visayas</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542,005.79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Quezon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354,990.76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Salvacion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276,677.90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San Francisco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460,888.46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San Nicolas</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79,452.76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San Pedro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2,591,861.51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San Roque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68,797.09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San Vicente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535,971.84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Sindaton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146,256.70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Southern Davao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462,281.79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Sta. Cruz</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76,679.57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Sto. Niño</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1,627,896.81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Tagpore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202,793.07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Tibungol</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314,440.50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Upper Licanan</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97,594.13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Waterfall</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136,218.31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Province of Davao del Norte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6,220,598.93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For Reconciliation/Reclass</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(721,490.52)</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Carmen, Daveo del Norte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140,949.00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Island Garden City of Samal</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45,600.00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Other Funds/Panabo City-various barangays</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19,776.10 </w:t>
            </w:r>
          </w:p>
        </w:tc>
      </w:tr>
      <w:tr>
        <w:trPr>
          <w:trHeight w:val="283"/>
        </w:trPr>
        <w:tc>
          <w:tcPr>
            <w:tcW w:w="4820" w:type="dxa"/>
            <w:shd w:val="clear" w:color="auto" w:fill="auto"/>
            <w:noWrap/>
            <w:vAlign w:val="center"/>
            <w:hideMark/>
          </w:tcPr>
          <w:p>
            <w:pPr>
              <w:rPr>
                <w:sz w:val="24"/>
                <w:szCs w:val="24"/>
                <w:lang w:val="en-PH" w:eastAsia="en-PH"/>
              </w:rPr>
            </w:pPr>
            <w:r>
              <w:rPr>
                <w:sz w:val="24"/>
                <w:szCs w:val="24"/>
                <w:lang w:val="en-PH" w:eastAsia="en-PH"/>
              </w:rPr>
              <w:t>Sto. Tomas, Davao del Norte</w:t>
            </w:r>
          </w:p>
        </w:tc>
        <w:tc>
          <w:tcPr>
            <w:tcW w:w="2100" w:type="dxa"/>
            <w:shd w:val="clear" w:color="auto" w:fill="auto"/>
            <w:noWrap/>
            <w:vAlign w:val="center"/>
            <w:hideMark/>
          </w:tcPr>
          <w:p>
            <w:pPr>
              <w:jc w:val="right"/>
              <w:rPr>
                <w:sz w:val="24"/>
                <w:szCs w:val="24"/>
                <w:lang w:val="en-PH" w:eastAsia="en-PH"/>
              </w:rPr>
            </w:pPr>
            <w:r>
              <w:rPr>
                <w:sz w:val="24"/>
                <w:szCs w:val="24"/>
                <w:lang w:val="en-PH" w:eastAsia="en-PH"/>
              </w:rPr>
              <w:t xml:space="preserve">41,660.20 </w:t>
            </w:r>
          </w:p>
        </w:tc>
      </w:tr>
      <w:tr>
        <w:trPr>
          <w:trHeight w:val="283"/>
        </w:trPr>
        <w:tc>
          <w:tcPr>
            <w:tcW w:w="4820" w:type="dxa"/>
            <w:shd w:val="clear" w:color="auto" w:fill="auto"/>
            <w:noWrap/>
            <w:vAlign w:val="center"/>
            <w:hideMark/>
          </w:tcPr>
          <w:p>
            <w:pPr>
              <w:rPr>
                <w:b/>
                <w:bCs/>
                <w:sz w:val="24"/>
                <w:szCs w:val="24"/>
                <w:lang w:val="en-PH" w:eastAsia="en-PH"/>
              </w:rPr>
            </w:pPr>
            <w:r>
              <w:rPr>
                <w:b/>
                <w:bCs/>
                <w:sz w:val="24"/>
                <w:szCs w:val="24"/>
                <w:lang w:val="en-PH" w:eastAsia="en-PH"/>
              </w:rPr>
              <w:t>Total</w:t>
            </w:r>
          </w:p>
        </w:tc>
        <w:tc>
          <w:tcPr>
            <w:tcW w:w="2100" w:type="dxa"/>
            <w:shd w:val="clear" w:color="auto" w:fill="auto"/>
            <w:noWrap/>
            <w:vAlign w:val="bottom"/>
            <w:hideMark/>
          </w:tcPr>
          <w:p>
            <w:pPr>
              <w:jc w:val="right"/>
              <w:rPr>
                <w:b/>
                <w:bCs/>
                <w:sz w:val="24"/>
                <w:szCs w:val="24"/>
                <w:lang w:val="en-PH" w:eastAsia="en-PH"/>
              </w:rPr>
            </w:pPr>
            <w:r>
              <w:rPr>
                <w:b/>
                <w:bCs/>
                <w:sz w:val="24"/>
                <w:szCs w:val="24"/>
                <w:lang w:val="en-PH" w:eastAsia="en-PH"/>
              </w:rPr>
              <w:t xml:space="preserve">20,327,205.17 </w:t>
            </w:r>
          </w:p>
        </w:tc>
      </w:tr>
    </w:tbl>
    <w:p>
      <w:pPr>
        <w:ind w:left="960"/>
        <w:jc w:val="both"/>
        <w:rPr>
          <w:sz w:val="24"/>
          <w:szCs w:val="24"/>
        </w:rPr>
      </w:pPr>
    </w:p>
    <w:p>
      <w:pPr>
        <w:jc w:val="both"/>
        <w:rPr>
          <w:b/>
          <w:bCs/>
          <w:sz w:val="24"/>
          <w:szCs w:val="24"/>
        </w:rPr>
      </w:pPr>
      <w:r>
        <w:rPr>
          <w:b/>
          <w:bCs/>
          <w:sz w:val="24"/>
          <w:szCs w:val="24"/>
        </w:rPr>
        <w:t>Note 14 – Intra-Agency Payables</w:t>
      </w:r>
    </w:p>
    <w:p>
      <w:pPr>
        <w:jc w:val="both"/>
        <w:rPr>
          <w:b/>
          <w:bCs/>
          <w:sz w:val="24"/>
          <w:szCs w:val="24"/>
          <w:lang w:val="en-PH" w:eastAsia="en-PH"/>
        </w:rPr>
      </w:pPr>
    </w:p>
    <w:p>
      <w:pPr>
        <w:spacing w:line="276" w:lineRule="auto"/>
        <w:ind w:left="720"/>
        <w:jc w:val="both"/>
        <w:rPr>
          <w:b/>
          <w:bCs/>
          <w:sz w:val="24"/>
          <w:szCs w:val="24"/>
          <w:lang w:val="en-PH" w:eastAsia="en-PH"/>
        </w:rPr>
      </w:pPr>
      <w:r>
        <w:rPr>
          <w:sz w:val="24"/>
          <w:szCs w:val="24"/>
          <w:lang w:val="en-PH" w:eastAsia="en-PH"/>
        </w:rPr>
        <w:t xml:space="preserve">This comprised the following accounts with </w:t>
      </w:r>
      <w:r>
        <w:rPr>
          <w:sz w:val="24"/>
          <w:szCs w:val="24"/>
        </w:rPr>
        <w:t>the comparative figure for the year ended 2022 and 2021.</w:t>
      </w:r>
    </w:p>
    <w:p>
      <w:pPr>
        <w:jc w:val="both"/>
        <w:rPr>
          <w:b/>
          <w:bCs/>
          <w:sz w:val="24"/>
          <w:szCs w:val="24"/>
          <w:lang w:val="en-PH" w:eastAsia="en-PH"/>
        </w:rPr>
      </w:pPr>
    </w:p>
    <w:tbl>
      <w:tblPr>
        <w:tblW w:w="8647" w:type="dxa"/>
        <w:tblInd w:w="817" w:type="dxa"/>
        <w:tblLayout w:type="fixed"/>
        <w:tblLook w:val="04A0" w:firstRow="1" w:lastRow="0" w:firstColumn="1" w:lastColumn="0" w:noHBand="0" w:noVBand="1"/>
      </w:tblPr>
      <w:tblGrid>
        <w:gridCol w:w="3930"/>
        <w:gridCol w:w="2358"/>
        <w:gridCol w:w="2359"/>
      </w:tblGrid>
      <w:tr>
        <w:trPr>
          <w:trHeight w:val="340"/>
        </w:trPr>
        <w:tc>
          <w:tcPr>
            <w:tcW w:w="393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Intra-Agency Payables</w:t>
            </w:r>
          </w:p>
        </w:tc>
        <w:tc>
          <w:tcPr>
            <w:tcW w:w="235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35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93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Other Funds</w:t>
            </w:r>
          </w:p>
        </w:tc>
        <w:tc>
          <w:tcPr>
            <w:tcW w:w="235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27,607,673.13 </w:t>
            </w:r>
          </w:p>
        </w:tc>
        <w:tc>
          <w:tcPr>
            <w:tcW w:w="235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63,414,918.93 </w:t>
            </w:r>
          </w:p>
        </w:tc>
      </w:tr>
      <w:tr>
        <w:trPr>
          <w:trHeight w:val="340"/>
        </w:trPr>
        <w:tc>
          <w:tcPr>
            <w:tcW w:w="393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Special Accounts</w:t>
            </w:r>
          </w:p>
        </w:tc>
        <w:tc>
          <w:tcPr>
            <w:tcW w:w="235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10,632,331.33 </w:t>
            </w:r>
          </w:p>
        </w:tc>
        <w:tc>
          <w:tcPr>
            <w:tcW w:w="235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17,242,686.44 </w:t>
            </w:r>
          </w:p>
        </w:tc>
      </w:tr>
      <w:tr>
        <w:trPr>
          <w:trHeight w:val="340"/>
        </w:trPr>
        <w:tc>
          <w:tcPr>
            <w:tcW w:w="393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Due to Local Economic Enterprises</w:t>
            </w:r>
          </w:p>
        </w:tc>
        <w:tc>
          <w:tcPr>
            <w:tcW w:w="235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5,503,837.77 </w:t>
            </w:r>
          </w:p>
        </w:tc>
        <w:tc>
          <w:tcPr>
            <w:tcW w:w="235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258,743.15 </w:t>
            </w:r>
          </w:p>
        </w:tc>
      </w:tr>
      <w:tr>
        <w:trPr>
          <w:trHeight w:val="340"/>
        </w:trPr>
        <w:tc>
          <w:tcPr>
            <w:tcW w:w="393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35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43,743,842.23</w:t>
            </w:r>
          </w:p>
        </w:tc>
        <w:tc>
          <w:tcPr>
            <w:tcW w:w="235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80,916,348.52 </w:t>
            </w:r>
          </w:p>
        </w:tc>
      </w:tr>
    </w:tbl>
    <w:p>
      <w:pPr>
        <w:jc w:val="both"/>
        <w:rPr>
          <w:b/>
          <w:bCs/>
          <w:sz w:val="24"/>
          <w:szCs w:val="24"/>
          <w:lang w:val="en-PH" w:eastAsia="en-PH"/>
        </w:rPr>
      </w:pPr>
    </w:p>
    <w:p>
      <w:pPr>
        <w:spacing w:line="276" w:lineRule="auto"/>
        <w:ind w:left="720"/>
        <w:jc w:val="both"/>
        <w:rPr>
          <w:sz w:val="24"/>
          <w:szCs w:val="24"/>
          <w:lang w:val="en-PH" w:eastAsia="en-PH"/>
        </w:rPr>
      </w:pPr>
      <w:r>
        <w:rPr>
          <w:sz w:val="24"/>
          <w:szCs w:val="24"/>
          <w:lang w:val="en-PH" w:eastAsia="en-PH"/>
        </w:rPr>
        <w:t>Due to Other Funds is the reciprocal account for Due from Other Funds and a liability recognized for General Fund Proper, Special Education Fund (SEF), and Trust Fund (TF).</w:t>
      </w:r>
    </w:p>
    <w:p>
      <w:pPr>
        <w:jc w:val="both"/>
        <w:rPr>
          <w:sz w:val="24"/>
          <w:szCs w:val="24"/>
          <w:lang w:val="en-PH" w:eastAsia="en-PH"/>
        </w:rPr>
      </w:pPr>
    </w:p>
    <w:p>
      <w:pPr>
        <w:spacing w:line="276" w:lineRule="auto"/>
        <w:ind w:left="720"/>
        <w:jc w:val="both"/>
        <w:rPr>
          <w:sz w:val="24"/>
          <w:szCs w:val="24"/>
          <w:lang w:val="en-PH" w:eastAsia="en-PH"/>
        </w:rPr>
      </w:pPr>
      <w:r>
        <w:rPr>
          <w:sz w:val="24"/>
          <w:szCs w:val="24"/>
          <w:lang w:val="en-PH" w:eastAsia="en-PH"/>
        </w:rPr>
        <w:lastRenderedPageBreak/>
        <w:t>Due to Special Accounts refer to the liability recognized for 20% Development Fund and Loan Accounts and the Due to Local Economic Enterprise is the liability recognized for Market, Slaughterhouse, Terminal and Cemetery Operations.</w:t>
      </w:r>
    </w:p>
    <w:p>
      <w:pPr>
        <w:ind w:left="720"/>
        <w:jc w:val="both"/>
        <w:rPr>
          <w:sz w:val="24"/>
          <w:szCs w:val="24"/>
          <w:lang w:val="en-PH" w:eastAsia="en-PH"/>
        </w:rPr>
      </w:pPr>
    </w:p>
    <w:p>
      <w:pPr>
        <w:spacing w:line="276" w:lineRule="auto"/>
        <w:ind w:left="720"/>
        <w:jc w:val="both"/>
        <w:rPr>
          <w:sz w:val="24"/>
          <w:szCs w:val="24"/>
          <w:lang w:val="en-PH" w:eastAsia="en-PH"/>
        </w:rPr>
      </w:pPr>
      <w:r>
        <w:rPr>
          <w:sz w:val="24"/>
          <w:szCs w:val="24"/>
          <w:lang w:val="en-PH" w:eastAsia="en-PH"/>
        </w:rPr>
        <w:t>Please refer to Note 6.3 on the Intra-Agency Receivable and Intra-Agency Payable Reconciliation.</w:t>
      </w:r>
    </w:p>
    <w:p>
      <w:pPr>
        <w:jc w:val="both"/>
        <w:rPr>
          <w:b/>
          <w:bCs/>
          <w:sz w:val="24"/>
          <w:szCs w:val="24"/>
          <w:lang w:val="en-PH" w:eastAsia="en-PH"/>
        </w:rPr>
      </w:pPr>
    </w:p>
    <w:p>
      <w:pPr>
        <w:jc w:val="both"/>
        <w:rPr>
          <w:b/>
          <w:bCs/>
          <w:sz w:val="24"/>
          <w:szCs w:val="24"/>
        </w:rPr>
      </w:pPr>
      <w:r>
        <w:rPr>
          <w:b/>
          <w:bCs/>
          <w:sz w:val="24"/>
          <w:szCs w:val="24"/>
        </w:rPr>
        <w:t>Note 15 – Trust Liabilities</w:t>
      </w:r>
    </w:p>
    <w:p>
      <w:pPr>
        <w:jc w:val="both"/>
        <w:rPr>
          <w:sz w:val="24"/>
          <w:szCs w:val="24"/>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jc w:val="both"/>
        <w:rPr>
          <w:sz w:val="24"/>
          <w:szCs w:val="24"/>
        </w:rPr>
      </w:pPr>
    </w:p>
    <w:tbl>
      <w:tblPr>
        <w:tblW w:w="8647" w:type="dxa"/>
        <w:tblInd w:w="817" w:type="dxa"/>
        <w:tblLayout w:type="fixed"/>
        <w:tblLook w:val="04A0" w:firstRow="1" w:lastRow="0" w:firstColumn="1" w:lastColumn="0" w:noHBand="0" w:noVBand="1"/>
      </w:tblPr>
      <w:tblGrid>
        <w:gridCol w:w="3695"/>
        <w:gridCol w:w="2476"/>
        <w:gridCol w:w="2476"/>
      </w:tblGrid>
      <w:tr>
        <w:trPr>
          <w:trHeight w:val="340"/>
        </w:trPr>
        <w:tc>
          <w:tcPr>
            <w:tcW w:w="369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Trust Liabilities</w:t>
            </w:r>
          </w:p>
        </w:tc>
        <w:tc>
          <w:tcPr>
            <w:tcW w:w="247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47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Trust Liabilities</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41,379,540.73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4,402,309.16 </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Trust Liabilities - Disaster Risk Reduction and Management Fund</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63,303,418.55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64,060,077.39 </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Guaranty/Security Deposits Payable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70,466,463.18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45,741,831.01 </w:t>
            </w:r>
          </w:p>
        </w:tc>
      </w:tr>
      <w:tr>
        <w:trPr>
          <w:trHeight w:val="340"/>
        </w:trPr>
        <w:tc>
          <w:tcPr>
            <w:tcW w:w="369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47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175,149,422.46</w:t>
            </w:r>
          </w:p>
        </w:tc>
        <w:tc>
          <w:tcPr>
            <w:tcW w:w="247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114,204,217.56 </w:t>
            </w:r>
          </w:p>
        </w:tc>
      </w:tr>
    </w:tbl>
    <w:p>
      <w:pPr>
        <w:jc w:val="both"/>
        <w:rPr>
          <w:sz w:val="24"/>
          <w:szCs w:val="24"/>
        </w:rPr>
      </w:pPr>
    </w:p>
    <w:p>
      <w:pPr>
        <w:jc w:val="both"/>
        <w:rPr>
          <w:sz w:val="24"/>
          <w:szCs w:val="24"/>
        </w:rPr>
      </w:pPr>
    </w:p>
    <w:p>
      <w:pPr>
        <w:ind w:left="1134"/>
        <w:jc w:val="both"/>
        <w:rPr>
          <w:b/>
          <w:bCs/>
          <w:sz w:val="24"/>
          <w:szCs w:val="24"/>
        </w:rPr>
      </w:pPr>
      <w:r>
        <w:rPr>
          <w:b/>
          <w:bCs/>
          <w:sz w:val="24"/>
          <w:szCs w:val="24"/>
        </w:rPr>
        <w:t>15.1 Trust Liabilities</w:t>
      </w:r>
    </w:p>
    <w:p>
      <w:pPr>
        <w:ind w:left="720"/>
        <w:jc w:val="both"/>
        <w:rPr>
          <w:b/>
          <w:bCs/>
          <w:sz w:val="24"/>
          <w:szCs w:val="24"/>
        </w:rPr>
      </w:pPr>
    </w:p>
    <w:p>
      <w:pPr>
        <w:spacing w:line="276" w:lineRule="auto"/>
        <w:ind w:left="1418"/>
        <w:jc w:val="both"/>
        <w:rPr>
          <w:sz w:val="24"/>
          <w:szCs w:val="24"/>
        </w:rPr>
      </w:pPr>
      <w:r>
        <w:rPr>
          <w:sz w:val="24"/>
          <w:szCs w:val="24"/>
        </w:rPr>
        <w:t>This account comprised of receipt of various funds which were held in trust for specific purposes. Below is the summary of composition of this account.</w:t>
      </w:r>
    </w:p>
    <w:p>
      <w:pPr>
        <w:ind w:left="720"/>
        <w:jc w:val="both"/>
        <w:rPr>
          <w:sz w:val="24"/>
          <w:szCs w:val="24"/>
        </w:rPr>
      </w:pPr>
    </w:p>
    <w:tbl>
      <w:tblPr>
        <w:tblW w:w="6530" w:type="dxa"/>
        <w:tblInd w:w="2235" w:type="dxa"/>
        <w:tblLook w:val="04A0" w:firstRow="1" w:lastRow="0" w:firstColumn="1" w:lastColumn="0" w:noHBand="0" w:noVBand="1"/>
      </w:tblPr>
      <w:tblGrid>
        <w:gridCol w:w="3452"/>
        <w:gridCol w:w="3078"/>
      </w:tblGrid>
      <w:tr>
        <w:trPr>
          <w:trHeight w:val="283"/>
        </w:trPr>
        <w:tc>
          <w:tcPr>
            <w:tcW w:w="34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Particulars</w:t>
            </w:r>
          </w:p>
        </w:tc>
        <w:tc>
          <w:tcPr>
            <w:tcW w:w="307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34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Sales</w:t>
            </w:r>
          </w:p>
        </w:tc>
        <w:tc>
          <w:tcPr>
            <w:tcW w:w="307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2,677,924.89 </w:t>
            </w:r>
          </w:p>
        </w:tc>
      </w:tr>
      <w:tr>
        <w:trPr>
          <w:trHeight w:val="283"/>
        </w:trPr>
        <w:tc>
          <w:tcPr>
            <w:tcW w:w="34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Fees for Services</w:t>
            </w:r>
          </w:p>
        </w:tc>
        <w:tc>
          <w:tcPr>
            <w:tcW w:w="307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4,037,039.22 </w:t>
            </w:r>
          </w:p>
        </w:tc>
      </w:tr>
      <w:tr>
        <w:trPr>
          <w:trHeight w:val="283"/>
        </w:trPr>
        <w:tc>
          <w:tcPr>
            <w:tcW w:w="34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NHA Housing Repayment</w:t>
            </w:r>
          </w:p>
        </w:tc>
        <w:tc>
          <w:tcPr>
            <w:tcW w:w="307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10,672,057.84 </w:t>
            </w:r>
          </w:p>
        </w:tc>
      </w:tr>
      <w:tr>
        <w:trPr>
          <w:trHeight w:val="283"/>
        </w:trPr>
        <w:tc>
          <w:tcPr>
            <w:tcW w:w="34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Fees</w:t>
            </w:r>
          </w:p>
        </w:tc>
        <w:tc>
          <w:tcPr>
            <w:tcW w:w="307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4,672,121.37 </w:t>
            </w:r>
          </w:p>
        </w:tc>
      </w:tr>
      <w:tr>
        <w:trPr>
          <w:trHeight w:val="283"/>
        </w:trPr>
        <w:tc>
          <w:tcPr>
            <w:tcW w:w="34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Trust Liabilities</w:t>
            </w:r>
          </w:p>
        </w:tc>
        <w:tc>
          <w:tcPr>
            <w:tcW w:w="307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19,320,397.41 </w:t>
            </w:r>
          </w:p>
        </w:tc>
      </w:tr>
      <w:tr>
        <w:trPr>
          <w:trHeight w:val="283"/>
        </w:trPr>
        <w:tc>
          <w:tcPr>
            <w:tcW w:w="345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307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41,379,540.73 </w:t>
            </w:r>
          </w:p>
        </w:tc>
      </w:tr>
    </w:tbl>
    <w:p>
      <w:pPr>
        <w:jc w:val="both"/>
        <w:rPr>
          <w:sz w:val="24"/>
          <w:szCs w:val="24"/>
        </w:rPr>
      </w:pPr>
    </w:p>
    <w:p>
      <w:pPr>
        <w:ind w:left="1134"/>
        <w:jc w:val="both"/>
        <w:rPr>
          <w:b/>
          <w:bCs/>
          <w:sz w:val="24"/>
          <w:szCs w:val="24"/>
          <w:lang w:val="en-PH" w:eastAsia="en-PH"/>
        </w:rPr>
      </w:pPr>
      <w:r>
        <w:rPr>
          <w:b/>
          <w:bCs/>
          <w:sz w:val="24"/>
          <w:szCs w:val="24"/>
        </w:rPr>
        <w:t xml:space="preserve">15.2 </w:t>
      </w:r>
      <w:r>
        <w:rPr>
          <w:b/>
          <w:bCs/>
          <w:sz w:val="24"/>
          <w:szCs w:val="24"/>
          <w:lang w:val="en-PH" w:eastAsia="en-PH"/>
        </w:rPr>
        <w:t>Trust Liabilities - Disaster Risk Reduction and Management Fund</w:t>
      </w:r>
    </w:p>
    <w:p>
      <w:pPr>
        <w:ind w:firstLine="720"/>
        <w:jc w:val="both"/>
        <w:rPr>
          <w:b/>
          <w:bCs/>
          <w:sz w:val="24"/>
          <w:szCs w:val="24"/>
          <w:lang w:val="en-PH" w:eastAsia="en-PH"/>
        </w:rPr>
      </w:pPr>
    </w:p>
    <w:p>
      <w:pPr>
        <w:spacing w:line="276" w:lineRule="auto"/>
        <w:ind w:left="1418"/>
        <w:jc w:val="both"/>
        <w:rPr>
          <w:sz w:val="24"/>
          <w:szCs w:val="24"/>
        </w:rPr>
      </w:pPr>
      <w:r>
        <w:rPr>
          <w:sz w:val="24"/>
          <w:szCs w:val="24"/>
        </w:rPr>
        <w:t>This account comprised of unexpended 5% Calamity Fund under the General Fund which was transferred yearly to the Trust Fund upon the lapse of 5 years from the commencement of its period, this will be used for the implementation of various projects of the City Government related to city disaster risk reduction. The details of this account are as per below:</w:t>
      </w:r>
    </w:p>
    <w:p>
      <w:pPr>
        <w:ind w:left="720"/>
        <w:jc w:val="both"/>
        <w:rPr>
          <w:sz w:val="24"/>
          <w:szCs w:val="24"/>
        </w:rPr>
      </w:pPr>
    </w:p>
    <w:tbl>
      <w:tblPr>
        <w:tblW w:w="6520" w:type="dxa"/>
        <w:tblInd w:w="2235" w:type="dxa"/>
        <w:tblLook w:val="04A0" w:firstRow="1" w:lastRow="0" w:firstColumn="1" w:lastColumn="0" w:noHBand="0" w:noVBand="1"/>
      </w:tblPr>
      <w:tblGrid>
        <w:gridCol w:w="4536"/>
        <w:gridCol w:w="1984"/>
      </w:tblGrid>
      <w:tr>
        <w:trPr>
          <w:trHeight w:val="283"/>
          <w:tblHeader/>
        </w:trPr>
        <w:tc>
          <w:tcPr>
            <w:tcW w:w="453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Trust Liabilities - Disaster Risk Reduction and Management Fund</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STF-2017 (Calamity Fund 2016)</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492,532.02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STF-2018 (Calamity Fund 2017)</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3,952,422.66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STF-2019 (Calamity Fund 2018)</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5,007,411.04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lastRenderedPageBreak/>
              <w:t>STF-2020 (Calamity Fund 2019)</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2,051,843.46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STF-2021 (Calamity Fund 2020)</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7,221,545.18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STF-2022 (Calamity Fund 2021)</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34,580,574.46 </w:t>
            </w:r>
          </w:p>
        </w:tc>
      </w:tr>
      <w:tr>
        <w:trPr>
          <w:trHeight w:val="283"/>
        </w:trPr>
        <w:tc>
          <w:tcPr>
            <w:tcW w:w="453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STF-2023 (Calamity Fund 2022)</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9,997,089.73 </w:t>
            </w:r>
          </w:p>
        </w:tc>
      </w:tr>
      <w:tr>
        <w:trPr>
          <w:trHeight w:val="283"/>
        </w:trPr>
        <w:tc>
          <w:tcPr>
            <w:tcW w:w="453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13" w:firstLine="31"/>
              <w:jc w:val="right"/>
              <w:rPr>
                <w:b/>
                <w:bCs/>
                <w:sz w:val="24"/>
                <w:szCs w:val="24"/>
                <w:lang w:val="en-PH" w:eastAsia="en-PH"/>
              </w:rPr>
            </w:pPr>
            <w:r>
              <w:rPr>
                <w:b/>
                <w:bCs/>
                <w:sz w:val="24"/>
                <w:szCs w:val="24"/>
                <w:lang w:val="en-PH" w:eastAsia="en-PH"/>
              </w:rPr>
              <w:t xml:space="preserve">63,303,418.55 </w:t>
            </w:r>
          </w:p>
        </w:tc>
      </w:tr>
    </w:tbl>
    <w:p>
      <w:pPr>
        <w:jc w:val="both"/>
        <w:rPr>
          <w:sz w:val="24"/>
          <w:szCs w:val="24"/>
        </w:rPr>
      </w:pPr>
    </w:p>
    <w:p>
      <w:pPr>
        <w:ind w:left="1418"/>
        <w:jc w:val="both"/>
        <w:rPr>
          <w:sz w:val="24"/>
          <w:szCs w:val="24"/>
        </w:rPr>
      </w:pPr>
      <w:r>
        <w:rPr>
          <w:sz w:val="24"/>
          <w:szCs w:val="24"/>
        </w:rPr>
        <w:t xml:space="preserve">      Reconciliation of the Special Trust Fund is as per below:</w:t>
      </w:r>
    </w:p>
    <w:p>
      <w:pPr>
        <w:ind w:firstLine="720"/>
        <w:jc w:val="both"/>
        <w:rPr>
          <w:sz w:val="24"/>
          <w:szCs w:val="24"/>
        </w:rPr>
      </w:pPr>
    </w:p>
    <w:tbl>
      <w:tblPr>
        <w:tblW w:w="8165"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1481"/>
        <w:gridCol w:w="1518"/>
        <w:gridCol w:w="1481"/>
      </w:tblGrid>
      <w:tr>
        <w:trPr>
          <w:trHeight w:val="283"/>
          <w:tblHeader/>
        </w:trPr>
        <w:tc>
          <w:tcPr>
            <w:tcW w:w="3685" w:type="dxa"/>
            <w:shd w:val="clear" w:color="auto" w:fill="auto"/>
            <w:vAlign w:val="center"/>
            <w:hideMark/>
          </w:tcPr>
          <w:p>
            <w:pPr>
              <w:jc w:val="center"/>
              <w:rPr>
                <w:b/>
                <w:bCs/>
                <w:lang w:val="en-PH" w:eastAsia="en-PH"/>
              </w:rPr>
            </w:pPr>
            <w:r>
              <w:rPr>
                <w:b/>
                <w:bCs/>
                <w:lang w:val="en-PH" w:eastAsia="en-PH"/>
              </w:rPr>
              <w:t>LDRRMF - Special Trust Funds</w:t>
            </w:r>
          </w:p>
        </w:tc>
        <w:tc>
          <w:tcPr>
            <w:tcW w:w="1481" w:type="dxa"/>
            <w:shd w:val="clear" w:color="auto" w:fill="auto"/>
            <w:vAlign w:val="center"/>
            <w:hideMark/>
          </w:tcPr>
          <w:p>
            <w:pPr>
              <w:jc w:val="center"/>
              <w:rPr>
                <w:b/>
                <w:bCs/>
                <w:lang w:val="en-PH" w:eastAsia="en-PH"/>
              </w:rPr>
            </w:pPr>
            <w:r>
              <w:rPr>
                <w:b/>
                <w:bCs/>
                <w:lang w:val="en-PH" w:eastAsia="en-PH"/>
              </w:rPr>
              <w:t>Balance per Book</w:t>
            </w:r>
          </w:p>
        </w:tc>
        <w:tc>
          <w:tcPr>
            <w:tcW w:w="1518" w:type="dxa"/>
            <w:shd w:val="clear" w:color="auto" w:fill="auto"/>
            <w:vAlign w:val="center"/>
            <w:hideMark/>
          </w:tcPr>
          <w:p>
            <w:pPr>
              <w:jc w:val="center"/>
              <w:rPr>
                <w:b/>
                <w:bCs/>
                <w:lang w:val="en-PH" w:eastAsia="en-PH"/>
              </w:rPr>
            </w:pPr>
            <w:r>
              <w:rPr>
                <w:b/>
                <w:bCs/>
                <w:lang w:val="en-PH" w:eastAsia="en-PH"/>
              </w:rPr>
              <w:t>Add/(Deduct)</w:t>
            </w:r>
            <w:r>
              <w:rPr>
                <w:b/>
                <w:bCs/>
                <w:lang w:val="en-PH" w:eastAsia="en-PH"/>
              </w:rPr>
              <w:br/>
              <w:t>Reconciling Items</w:t>
            </w:r>
          </w:p>
        </w:tc>
        <w:tc>
          <w:tcPr>
            <w:tcW w:w="1481" w:type="dxa"/>
            <w:shd w:val="clear" w:color="auto" w:fill="auto"/>
            <w:vAlign w:val="center"/>
            <w:hideMark/>
          </w:tcPr>
          <w:p>
            <w:pPr>
              <w:jc w:val="center"/>
              <w:rPr>
                <w:b/>
                <w:bCs/>
                <w:lang w:val="en-PH" w:eastAsia="en-PH"/>
              </w:rPr>
            </w:pPr>
            <w:r>
              <w:rPr>
                <w:b/>
                <w:bCs/>
                <w:lang w:val="en-PH" w:eastAsia="en-PH"/>
              </w:rPr>
              <w:t>Balance per Manual Schedule</w:t>
            </w:r>
          </w:p>
        </w:tc>
      </w:tr>
      <w:tr>
        <w:trPr>
          <w:trHeight w:val="283"/>
        </w:trPr>
        <w:tc>
          <w:tcPr>
            <w:tcW w:w="3685" w:type="dxa"/>
            <w:shd w:val="clear" w:color="auto" w:fill="auto"/>
            <w:vAlign w:val="bottom"/>
            <w:hideMark/>
          </w:tcPr>
          <w:p>
            <w:pPr>
              <w:rPr>
                <w:b/>
                <w:bCs/>
                <w:lang w:val="en-PH" w:eastAsia="en-PH"/>
              </w:rPr>
            </w:pPr>
            <w:r>
              <w:rPr>
                <w:b/>
                <w:bCs/>
                <w:lang w:val="en-PH" w:eastAsia="en-PH"/>
              </w:rPr>
              <w:t>CY 2022</w:t>
            </w:r>
          </w:p>
        </w:tc>
        <w:tc>
          <w:tcPr>
            <w:tcW w:w="1481" w:type="dxa"/>
            <w:shd w:val="clear" w:color="auto" w:fill="auto"/>
            <w:noWrap/>
            <w:vAlign w:val="center"/>
            <w:hideMark/>
          </w:tcPr>
          <w:p>
            <w:pPr>
              <w:jc w:val="right"/>
              <w:rPr>
                <w:b/>
                <w:bCs/>
                <w:lang w:val="en-PH" w:eastAsia="en-PH"/>
              </w:rPr>
            </w:pPr>
            <w:r>
              <w:rPr>
                <w:b/>
                <w:bCs/>
                <w:lang w:val="en-PH" w:eastAsia="en-PH"/>
              </w:rPr>
              <w:t>9,997,089.73</w:t>
            </w:r>
          </w:p>
        </w:tc>
        <w:tc>
          <w:tcPr>
            <w:tcW w:w="1518" w:type="dxa"/>
            <w:shd w:val="clear" w:color="auto" w:fill="auto"/>
            <w:noWrap/>
            <w:vAlign w:val="center"/>
            <w:hideMark/>
          </w:tcPr>
          <w:p>
            <w:pPr>
              <w:jc w:val="right"/>
              <w:rPr>
                <w:b/>
                <w:bCs/>
                <w:lang w:val="en-PH" w:eastAsia="en-PH"/>
              </w:rPr>
            </w:pPr>
            <w:r>
              <w:rPr>
                <w:b/>
                <w:bCs/>
                <w:lang w:val="en-PH" w:eastAsia="en-PH"/>
              </w:rPr>
              <w:t>(2,145,200.00)</w:t>
            </w:r>
          </w:p>
        </w:tc>
        <w:tc>
          <w:tcPr>
            <w:tcW w:w="1481" w:type="dxa"/>
            <w:shd w:val="clear" w:color="auto" w:fill="auto"/>
            <w:noWrap/>
            <w:vAlign w:val="center"/>
            <w:hideMark/>
          </w:tcPr>
          <w:p>
            <w:pPr>
              <w:jc w:val="right"/>
              <w:rPr>
                <w:b/>
                <w:bCs/>
                <w:lang w:val="en-PH" w:eastAsia="en-PH"/>
              </w:rPr>
            </w:pPr>
            <w:r>
              <w:rPr>
                <w:b/>
                <w:bCs/>
                <w:lang w:val="en-PH" w:eastAsia="en-PH"/>
              </w:rPr>
              <w:t>7,851,889.73</w:t>
            </w:r>
          </w:p>
        </w:tc>
      </w:tr>
      <w:tr>
        <w:trPr>
          <w:trHeight w:val="283"/>
        </w:trPr>
        <w:tc>
          <w:tcPr>
            <w:tcW w:w="3685" w:type="dxa"/>
            <w:shd w:val="clear" w:color="auto" w:fill="auto"/>
            <w:vAlign w:val="bottom"/>
            <w:hideMark/>
          </w:tcPr>
          <w:p>
            <w:pPr>
              <w:rPr>
                <w:b/>
                <w:bCs/>
                <w:lang w:val="en-PH" w:eastAsia="en-PH"/>
              </w:rPr>
            </w:pPr>
            <w:r>
              <w:rPr>
                <w:b/>
                <w:bCs/>
                <w:lang w:val="en-PH" w:eastAsia="en-PH"/>
              </w:rPr>
              <w:t>CY 2021</w:t>
            </w:r>
          </w:p>
        </w:tc>
        <w:tc>
          <w:tcPr>
            <w:tcW w:w="1481" w:type="dxa"/>
            <w:shd w:val="clear" w:color="auto" w:fill="auto"/>
            <w:noWrap/>
            <w:vAlign w:val="center"/>
            <w:hideMark/>
          </w:tcPr>
          <w:p>
            <w:pPr>
              <w:jc w:val="right"/>
              <w:rPr>
                <w:b/>
                <w:bCs/>
                <w:lang w:val="en-PH" w:eastAsia="en-PH"/>
              </w:rPr>
            </w:pPr>
            <w:r>
              <w:rPr>
                <w:b/>
                <w:bCs/>
                <w:lang w:val="en-PH" w:eastAsia="en-PH"/>
              </w:rPr>
              <w:t>34,580,574.46</w:t>
            </w:r>
          </w:p>
        </w:tc>
        <w:tc>
          <w:tcPr>
            <w:tcW w:w="1518" w:type="dxa"/>
            <w:shd w:val="clear" w:color="auto" w:fill="auto"/>
            <w:noWrap/>
            <w:vAlign w:val="center"/>
            <w:hideMark/>
          </w:tcPr>
          <w:p>
            <w:pPr>
              <w:jc w:val="right"/>
              <w:rPr>
                <w:b/>
                <w:bCs/>
                <w:lang w:val="en-PH" w:eastAsia="en-PH"/>
              </w:rPr>
            </w:pPr>
            <w:r>
              <w:rPr>
                <w:b/>
                <w:bCs/>
                <w:lang w:val="en-PH" w:eastAsia="en-PH"/>
              </w:rPr>
              <w:t>(524,952.00)</w:t>
            </w:r>
          </w:p>
        </w:tc>
        <w:tc>
          <w:tcPr>
            <w:tcW w:w="1481" w:type="dxa"/>
            <w:shd w:val="clear" w:color="auto" w:fill="auto"/>
            <w:noWrap/>
            <w:vAlign w:val="center"/>
            <w:hideMark/>
          </w:tcPr>
          <w:p>
            <w:pPr>
              <w:jc w:val="right"/>
              <w:rPr>
                <w:b/>
                <w:bCs/>
                <w:lang w:val="en-PH" w:eastAsia="en-PH"/>
              </w:rPr>
            </w:pPr>
            <w:r>
              <w:rPr>
                <w:b/>
                <w:bCs/>
                <w:lang w:val="en-PH" w:eastAsia="en-PH"/>
              </w:rPr>
              <w:t>34,055,622.46</w:t>
            </w:r>
          </w:p>
        </w:tc>
      </w:tr>
      <w:tr>
        <w:trPr>
          <w:trHeight w:val="283"/>
        </w:trPr>
        <w:tc>
          <w:tcPr>
            <w:tcW w:w="8165" w:type="dxa"/>
            <w:gridSpan w:val="4"/>
            <w:shd w:val="clear" w:color="auto" w:fill="auto"/>
            <w:noWrap/>
            <w:vAlign w:val="center"/>
            <w:hideMark/>
          </w:tcPr>
          <w:p>
            <w:pPr>
              <w:rPr>
                <w:lang w:val="en-PH" w:eastAsia="en-PH"/>
              </w:rPr>
            </w:pPr>
            <w:r>
              <w:rPr>
                <w:i/>
                <w:iCs/>
                <w:lang w:val="en-PH" w:eastAsia="en-PH"/>
              </w:rPr>
              <w:t>a. Acquired PPE/Inventories not yet charged to Trust account:</w:t>
            </w:r>
          </w:p>
        </w:tc>
      </w:tr>
      <w:tr>
        <w:trPr>
          <w:trHeight w:val="283"/>
        </w:trPr>
        <w:tc>
          <w:tcPr>
            <w:tcW w:w="3685" w:type="dxa"/>
            <w:shd w:val="clear" w:color="auto" w:fill="auto"/>
            <w:vAlign w:val="bottom"/>
            <w:hideMark/>
          </w:tcPr>
          <w:p>
            <w:pPr>
              <w:ind w:left="34"/>
              <w:rPr>
                <w:lang w:val="en-PH" w:eastAsia="en-PH"/>
              </w:rPr>
            </w:pPr>
            <w:r>
              <w:rPr>
                <w:lang w:val="en-PH" w:eastAsia="en-PH"/>
              </w:rPr>
              <w:t>DRRM Trainings</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(415,477.00)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Repair and Maintenance of Rescue Equipment</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(10,470.00)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Purchase of Medical Supplies</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(99,005.00)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rPr>
                <w:b/>
                <w:bCs/>
                <w:lang w:val="en-PH" w:eastAsia="en-PH"/>
              </w:rPr>
            </w:pPr>
            <w:r>
              <w:rPr>
                <w:b/>
                <w:bCs/>
                <w:lang w:val="en-PH" w:eastAsia="en-PH"/>
              </w:rPr>
              <w:t>CY 2020</w:t>
            </w:r>
          </w:p>
        </w:tc>
        <w:tc>
          <w:tcPr>
            <w:tcW w:w="1481" w:type="dxa"/>
            <w:shd w:val="clear" w:color="auto" w:fill="auto"/>
            <w:noWrap/>
            <w:vAlign w:val="center"/>
            <w:hideMark/>
          </w:tcPr>
          <w:p>
            <w:pPr>
              <w:jc w:val="right"/>
              <w:rPr>
                <w:b/>
                <w:bCs/>
                <w:lang w:val="en-PH" w:eastAsia="en-PH"/>
              </w:rPr>
            </w:pPr>
            <w:r>
              <w:rPr>
                <w:b/>
                <w:bCs/>
                <w:lang w:val="en-PH" w:eastAsia="en-PH"/>
              </w:rPr>
              <w:t>7,221,545.18</w:t>
            </w:r>
          </w:p>
        </w:tc>
        <w:tc>
          <w:tcPr>
            <w:tcW w:w="1518" w:type="dxa"/>
            <w:shd w:val="clear" w:color="auto" w:fill="auto"/>
            <w:noWrap/>
            <w:vAlign w:val="center"/>
            <w:hideMark/>
          </w:tcPr>
          <w:p>
            <w:pPr>
              <w:jc w:val="right"/>
              <w:rPr>
                <w:b/>
                <w:bCs/>
                <w:lang w:val="en-PH" w:eastAsia="en-PH"/>
              </w:rPr>
            </w:pPr>
            <w:r>
              <w:rPr>
                <w:b/>
                <w:bCs/>
                <w:lang w:val="en-PH" w:eastAsia="en-PH"/>
              </w:rPr>
              <w:t>(1,410,891.57)</w:t>
            </w:r>
          </w:p>
        </w:tc>
        <w:tc>
          <w:tcPr>
            <w:tcW w:w="1481" w:type="dxa"/>
            <w:shd w:val="clear" w:color="auto" w:fill="auto"/>
            <w:noWrap/>
            <w:vAlign w:val="center"/>
            <w:hideMark/>
          </w:tcPr>
          <w:p>
            <w:pPr>
              <w:jc w:val="right"/>
              <w:rPr>
                <w:b/>
                <w:bCs/>
                <w:lang w:val="en-PH" w:eastAsia="en-PH"/>
              </w:rPr>
            </w:pPr>
            <w:r>
              <w:rPr>
                <w:b/>
                <w:bCs/>
                <w:lang w:val="en-PH" w:eastAsia="en-PH"/>
              </w:rPr>
              <w:t>5,810,653.61</w:t>
            </w:r>
          </w:p>
        </w:tc>
      </w:tr>
      <w:tr>
        <w:trPr>
          <w:trHeight w:val="283"/>
        </w:trPr>
        <w:tc>
          <w:tcPr>
            <w:tcW w:w="8165" w:type="dxa"/>
            <w:gridSpan w:val="4"/>
            <w:shd w:val="clear" w:color="auto" w:fill="auto"/>
            <w:noWrap/>
            <w:vAlign w:val="center"/>
            <w:hideMark/>
          </w:tcPr>
          <w:p>
            <w:pPr>
              <w:rPr>
                <w:lang w:val="en-PH" w:eastAsia="en-PH"/>
              </w:rPr>
            </w:pPr>
            <w:r>
              <w:rPr>
                <w:i/>
                <w:iCs/>
                <w:lang w:val="en-PH" w:eastAsia="en-PH"/>
              </w:rPr>
              <w:t>a. Acquired PPE/Inventories not yet charged to Trust account:</w:t>
            </w:r>
          </w:p>
        </w:tc>
      </w:tr>
      <w:tr>
        <w:trPr>
          <w:trHeight w:val="283"/>
        </w:trPr>
        <w:tc>
          <w:tcPr>
            <w:tcW w:w="3685" w:type="dxa"/>
            <w:shd w:val="clear" w:color="auto" w:fill="auto"/>
            <w:vAlign w:val="bottom"/>
            <w:hideMark/>
          </w:tcPr>
          <w:p>
            <w:pPr>
              <w:ind w:left="34"/>
              <w:rPr>
                <w:lang w:val="en-PH" w:eastAsia="en-PH"/>
              </w:rPr>
            </w:pPr>
            <w:r>
              <w:rPr>
                <w:lang w:val="en-PH" w:eastAsia="en-PH"/>
              </w:rPr>
              <w:t>Purchase of Rescue Equipment</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(43,000.00)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 xml:space="preserve">CBMS APP-CDDM-CCA Citywide as per revised Project Design </w:t>
            </w:r>
            <w:r>
              <w:rPr>
                <w:lang w:val="en-PH" w:eastAsia="en-PH"/>
              </w:rPr>
              <w:br/>
              <w:t>dated 10-6-21</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(3,721.57)</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Contingency Fund for COVID-19</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(446,090.00)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Panabo City African Fever (ASF) Control and Eradication Program</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(918,080.00)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rPr>
                <w:b/>
                <w:bCs/>
                <w:lang w:val="en-PH" w:eastAsia="en-PH"/>
              </w:rPr>
            </w:pPr>
            <w:r>
              <w:rPr>
                <w:b/>
                <w:bCs/>
                <w:lang w:val="en-PH" w:eastAsia="en-PH"/>
              </w:rPr>
              <w:t>CY 2019</w:t>
            </w:r>
          </w:p>
        </w:tc>
        <w:tc>
          <w:tcPr>
            <w:tcW w:w="1481" w:type="dxa"/>
            <w:shd w:val="clear" w:color="auto" w:fill="auto"/>
            <w:noWrap/>
            <w:vAlign w:val="center"/>
            <w:hideMark/>
          </w:tcPr>
          <w:p>
            <w:pPr>
              <w:jc w:val="right"/>
              <w:rPr>
                <w:b/>
                <w:bCs/>
                <w:lang w:val="en-PH" w:eastAsia="en-PH"/>
              </w:rPr>
            </w:pPr>
            <w:r>
              <w:rPr>
                <w:b/>
                <w:bCs/>
                <w:lang w:val="en-PH" w:eastAsia="en-PH"/>
              </w:rPr>
              <w:t>2,051,843.46</w:t>
            </w:r>
          </w:p>
        </w:tc>
        <w:tc>
          <w:tcPr>
            <w:tcW w:w="1518" w:type="dxa"/>
            <w:shd w:val="clear" w:color="auto" w:fill="auto"/>
            <w:noWrap/>
            <w:vAlign w:val="center"/>
            <w:hideMark/>
          </w:tcPr>
          <w:p>
            <w:pPr>
              <w:jc w:val="right"/>
              <w:rPr>
                <w:b/>
                <w:bCs/>
                <w:lang w:val="en-PH" w:eastAsia="en-PH"/>
              </w:rPr>
            </w:pPr>
            <w:r>
              <w:rPr>
                <w:b/>
                <w:bCs/>
                <w:lang w:val="en-PH" w:eastAsia="en-PH"/>
              </w:rPr>
              <w:t>(79,765.50)</w:t>
            </w:r>
          </w:p>
        </w:tc>
        <w:tc>
          <w:tcPr>
            <w:tcW w:w="1481" w:type="dxa"/>
            <w:shd w:val="clear" w:color="auto" w:fill="auto"/>
            <w:noWrap/>
            <w:vAlign w:val="center"/>
            <w:hideMark/>
          </w:tcPr>
          <w:p>
            <w:pPr>
              <w:jc w:val="right"/>
              <w:rPr>
                <w:b/>
                <w:bCs/>
                <w:lang w:val="en-PH" w:eastAsia="en-PH"/>
              </w:rPr>
            </w:pPr>
            <w:r>
              <w:rPr>
                <w:b/>
                <w:bCs/>
                <w:lang w:val="en-PH" w:eastAsia="en-PH"/>
              </w:rPr>
              <w:t>1,972,077.96</w:t>
            </w:r>
          </w:p>
        </w:tc>
      </w:tr>
      <w:tr>
        <w:trPr>
          <w:trHeight w:val="283"/>
        </w:trPr>
        <w:tc>
          <w:tcPr>
            <w:tcW w:w="8165" w:type="dxa"/>
            <w:gridSpan w:val="4"/>
            <w:shd w:val="clear" w:color="auto" w:fill="auto"/>
            <w:noWrap/>
            <w:vAlign w:val="center"/>
            <w:hideMark/>
          </w:tcPr>
          <w:p>
            <w:pPr>
              <w:rPr>
                <w:lang w:val="en-PH" w:eastAsia="en-PH"/>
              </w:rPr>
            </w:pPr>
            <w:r>
              <w:rPr>
                <w:i/>
                <w:iCs/>
                <w:lang w:val="en-PH" w:eastAsia="en-PH"/>
              </w:rPr>
              <w:t>a. Acquired PPE/Inventories not yet charged to Trust account:</w:t>
            </w:r>
          </w:p>
        </w:tc>
      </w:tr>
      <w:tr>
        <w:trPr>
          <w:trHeight w:val="283"/>
        </w:trPr>
        <w:tc>
          <w:tcPr>
            <w:tcW w:w="3685" w:type="dxa"/>
            <w:shd w:val="clear" w:color="auto" w:fill="auto"/>
            <w:vAlign w:val="bottom"/>
            <w:hideMark/>
          </w:tcPr>
          <w:p>
            <w:pPr>
              <w:ind w:left="34"/>
              <w:rPr>
                <w:lang w:val="en-PH" w:eastAsia="en-PH"/>
              </w:rPr>
            </w:pPr>
            <w:r>
              <w:rPr>
                <w:lang w:val="en-PH" w:eastAsia="en-PH"/>
              </w:rPr>
              <w:t>Disaster Operations Center Development (Double Entry)</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374,190.00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Disaster Operations Center Development</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(94,410.00)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Drugs and Meds (Prophylactic Treatment for Responders)</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(131,395.50)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Contingency Fund for African Swine Fever</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(110,950.00)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Smart TV</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(67,800.00)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Contingency Fund for Novel Corona Virus</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(49,400.00)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rPr>
                <w:b/>
                <w:bCs/>
                <w:lang w:val="en-PH" w:eastAsia="en-PH"/>
              </w:rPr>
            </w:pPr>
            <w:r>
              <w:rPr>
                <w:b/>
                <w:bCs/>
                <w:lang w:val="en-PH" w:eastAsia="en-PH"/>
              </w:rPr>
              <w:t>CY 2018</w:t>
            </w:r>
          </w:p>
        </w:tc>
        <w:tc>
          <w:tcPr>
            <w:tcW w:w="1481" w:type="dxa"/>
            <w:shd w:val="clear" w:color="auto" w:fill="auto"/>
            <w:noWrap/>
            <w:vAlign w:val="center"/>
            <w:hideMark/>
          </w:tcPr>
          <w:p>
            <w:pPr>
              <w:jc w:val="right"/>
              <w:rPr>
                <w:b/>
                <w:bCs/>
                <w:lang w:val="en-PH" w:eastAsia="en-PH"/>
              </w:rPr>
            </w:pPr>
            <w:r>
              <w:rPr>
                <w:b/>
                <w:bCs/>
                <w:lang w:val="en-PH" w:eastAsia="en-PH"/>
              </w:rPr>
              <w:t>5,007,411.04</w:t>
            </w:r>
          </w:p>
        </w:tc>
        <w:tc>
          <w:tcPr>
            <w:tcW w:w="1518" w:type="dxa"/>
            <w:shd w:val="clear" w:color="auto" w:fill="auto"/>
            <w:noWrap/>
            <w:vAlign w:val="center"/>
            <w:hideMark/>
          </w:tcPr>
          <w:p>
            <w:pPr>
              <w:jc w:val="right"/>
              <w:rPr>
                <w:b/>
                <w:bCs/>
                <w:lang w:val="en-PH" w:eastAsia="en-PH"/>
              </w:rPr>
            </w:pPr>
            <w:r>
              <w:rPr>
                <w:b/>
                <w:bCs/>
                <w:lang w:val="en-PH" w:eastAsia="en-PH"/>
              </w:rPr>
              <w:t>151,698.79</w:t>
            </w:r>
          </w:p>
        </w:tc>
        <w:tc>
          <w:tcPr>
            <w:tcW w:w="1481" w:type="dxa"/>
            <w:shd w:val="clear" w:color="auto" w:fill="auto"/>
            <w:noWrap/>
            <w:vAlign w:val="center"/>
            <w:hideMark/>
          </w:tcPr>
          <w:p>
            <w:pPr>
              <w:jc w:val="right"/>
              <w:rPr>
                <w:b/>
                <w:bCs/>
                <w:lang w:val="en-PH" w:eastAsia="en-PH"/>
              </w:rPr>
            </w:pPr>
            <w:r>
              <w:rPr>
                <w:b/>
                <w:bCs/>
                <w:lang w:val="en-PH" w:eastAsia="en-PH"/>
              </w:rPr>
              <w:t>5,159,109.83</w:t>
            </w:r>
          </w:p>
        </w:tc>
      </w:tr>
      <w:tr>
        <w:trPr>
          <w:trHeight w:val="283"/>
        </w:trPr>
        <w:tc>
          <w:tcPr>
            <w:tcW w:w="8165" w:type="dxa"/>
            <w:gridSpan w:val="4"/>
            <w:shd w:val="clear" w:color="auto" w:fill="auto"/>
            <w:noWrap/>
            <w:vAlign w:val="center"/>
            <w:hideMark/>
          </w:tcPr>
          <w:p>
            <w:pPr>
              <w:rPr>
                <w:lang w:val="en-PH" w:eastAsia="en-PH"/>
              </w:rPr>
            </w:pPr>
            <w:r>
              <w:rPr>
                <w:i/>
                <w:iCs/>
                <w:lang w:val="en-PH" w:eastAsia="en-PH"/>
              </w:rPr>
              <w:t>a. Acquired PPE/Inventories not yet charged to Trust account:</w:t>
            </w:r>
          </w:p>
        </w:tc>
      </w:tr>
      <w:tr>
        <w:trPr>
          <w:trHeight w:val="283"/>
        </w:trPr>
        <w:tc>
          <w:tcPr>
            <w:tcW w:w="3685" w:type="dxa"/>
            <w:shd w:val="clear" w:color="auto" w:fill="auto"/>
            <w:vAlign w:val="bottom"/>
            <w:hideMark/>
          </w:tcPr>
          <w:p>
            <w:pPr>
              <w:ind w:left="34"/>
              <w:rPr>
                <w:lang w:val="en-PH" w:eastAsia="en-PH"/>
              </w:rPr>
            </w:pPr>
            <w:r>
              <w:rPr>
                <w:lang w:val="en-PH" w:eastAsia="en-PH"/>
              </w:rPr>
              <w:t>Agricultural Support Fund (double entry)</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400,495.00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Agricultural Support Fund</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(248,796.21)</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rPr>
                <w:b/>
                <w:bCs/>
                <w:lang w:val="en-PH" w:eastAsia="en-PH"/>
              </w:rPr>
            </w:pPr>
            <w:r>
              <w:rPr>
                <w:b/>
                <w:bCs/>
                <w:lang w:val="en-PH" w:eastAsia="en-PH"/>
              </w:rPr>
              <w:t>CY 2017</w:t>
            </w:r>
          </w:p>
        </w:tc>
        <w:tc>
          <w:tcPr>
            <w:tcW w:w="1481" w:type="dxa"/>
            <w:shd w:val="clear" w:color="auto" w:fill="auto"/>
            <w:noWrap/>
            <w:vAlign w:val="center"/>
            <w:hideMark/>
          </w:tcPr>
          <w:p>
            <w:pPr>
              <w:jc w:val="right"/>
              <w:rPr>
                <w:b/>
                <w:bCs/>
                <w:lang w:val="en-PH" w:eastAsia="en-PH"/>
              </w:rPr>
            </w:pPr>
            <w:r>
              <w:rPr>
                <w:b/>
                <w:bCs/>
                <w:lang w:val="en-PH" w:eastAsia="en-PH"/>
              </w:rPr>
              <w:t>3,952,422.66</w:t>
            </w:r>
          </w:p>
        </w:tc>
        <w:tc>
          <w:tcPr>
            <w:tcW w:w="1518" w:type="dxa"/>
            <w:shd w:val="clear" w:color="auto" w:fill="auto"/>
            <w:noWrap/>
            <w:vAlign w:val="center"/>
            <w:hideMark/>
          </w:tcPr>
          <w:p>
            <w:pPr>
              <w:jc w:val="right"/>
              <w:rPr>
                <w:b/>
                <w:bCs/>
                <w:lang w:val="en-PH" w:eastAsia="en-PH"/>
              </w:rPr>
            </w:pPr>
            <w:r>
              <w:rPr>
                <w:b/>
                <w:bCs/>
                <w:lang w:val="en-PH" w:eastAsia="en-PH"/>
              </w:rPr>
              <w:t>0.00</w:t>
            </w:r>
          </w:p>
        </w:tc>
        <w:tc>
          <w:tcPr>
            <w:tcW w:w="1481" w:type="dxa"/>
            <w:shd w:val="clear" w:color="auto" w:fill="auto"/>
            <w:noWrap/>
            <w:vAlign w:val="center"/>
            <w:hideMark/>
          </w:tcPr>
          <w:p>
            <w:pPr>
              <w:jc w:val="right"/>
              <w:rPr>
                <w:b/>
                <w:bCs/>
                <w:lang w:val="en-PH" w:eastAsia="en-PH"/>
              </w:rPr>
            </w:pPr>
            <w:r>
              <w:rPr>
                <w:b/>
                <w:bCs/>
                <w:lang w:val="en-PH" w:eastAsia="en-PH"/>
              </w:rPr>
              <w:t>3,952,422.66</w:t>
            </w:r>
          </w:p>
        </w:tc>
      </w:tr>
      <w:tr>
        <w:trPr>
          <w:trHeight w:val="283"/>
        </w:trPr>
        <w:tc>
          <w:tcPr>
            <w:tcW w:w="3685" w:type="dxa"/>
            <w:shd w:val="clear" w:color="auto" w:fill="auto"/>
            <w:vAlign w:val="bottom"/>
            <w:hideMark/>
          </w:tcPr>
          <w:p>
            <w:pPr>
              <w:rPr>
                <w:b/>
                <w:bCs/>
                <w:lang w:val="en-PH" w:eastAsia="en-PH"/>
              </w:rPr>
            </w:pPr>
            <w:r>
              <w:rPr>
                <w:b/>
                <w:bCs/>
                <w:lang w:val="en-PH" w:eastAsia="en-PH"/>
              </w:rPr>
              <w:t>CY 2016</w:t>
            </w:r>
          </w:p>
        </w:tc>
        <w:tc>
          <w:tcPr>
            <w:tcW w:w="1481" w:type="dxa"/>
            <w:shd w:val="clear" w:color="auto" w:fill="auto"/>
            <w:noWrap/>
            <w:vAlign w:val="center"/>
            <w:hideMark/>
          </w:tcPr>
          <w:p>
            <w:pPr>
              <w:jc w:val="right"/>
              <w:rPr>
                <w:b/>
                <w:bCs/>
                <w:lang w:val="en-PH" w:eastAsia="en-PH"/>
              </w:rPr>
            </w:pPr>
            <w:r>
              <w:rPr>
                <w:b/>
                <w:bCs/>
                <w:lang w:val="en-PH" w:eastAsia="en-PH"/>
              </w:rPr>
              <w:t>492,532.02</w:t>
            </w:r>
          </w:p>
        </w:tc>
        <w:tc>
          <w:tcPr>
            <w:tcW w:w="1518" w:type="dxa"/>
            <w:shd w:val="clear" w:color="auto" w:fill="auto"/>
            <w:noWrap/>
            <w:vAlign w:val="center"/>
            <w:hideMark/>
          </w:tcPr>
          <w:p>
            <w:pPr>
              <w:jc w:val="right"/>
              <w:rPr>
                <w:b/>
                <w:bCs/>
                <w:lang w:val="en-PH" w:eastAsia="en-PH"/>
              </w:rPr>
            </w:pPr>
            <w:r>
              <w:rPr>
                <w:b/>
                <w:bCs/>
                <w:lang w:val="en-PH" w:eastAsia="en-PH"/>
              </w:rPr>
              <w:t>(338,786.00)</w:t>
            </w:r>
          </w:p>
        </w:tc>
        <w:tc>
          <w:tcPr>
            <w:tcW w:w="1481" w:type="dxa"/>
            <w:shd w:val="clear" w:color="auto" w:fill="auto"/>
            <w:noWrap/>
            <w:vAlign w:val="center"/>
            <w:hideMark/>
          </w:tcPr>
          <w:p>
            <w:pPr>
              <w:jc w:val="right"/>
              <w:rPr>
                <w:b/>
                <w:bCs/>
                <w:lang w:val="en-PH" w:eastAsia="en-PH"/>
              </w:rPr>
            </w:pPr>
            <w:r>
              <w:rPr>
                <w:b/>
                <w:bCs/>
                <w:lang w:val="en-PH" w:eastAsia="en-PH"/>
              </w:rPr>
              <w:t>153,746.02</w:t>
            </w:r>
          </w:p>
        </w:tc>
      </w:tr>
      <w:tr>
        <w:trPr>
          <w:trHeight w:val="283"/>
        </w:trPr>
        <w:tc>
          <w:tcPr>
            <w:tcW w:w="8165" w:type="dxa"/>
            <w:gridSpan w:val="4"/>
            <w:shd w:val="clear" w:color="auto" w:fill="auto"/>
            <w:noWrap/>
            <w:vAlign w:val="bottom"/>
            <w:hideMark/>
          </w:tcPr>
          <w:p>
            <w:pPr>
              <w:rPr>
                <w:lang w:val="en-PH" w:eastAsia="en-PH"/>
              </w:rPr>
            </w:pPr>
            <w:r>
              <w:rPr>
                <w:i/>
                <w:iCs/>
                <w:lang w:val="en-PH" w:eastAsia="en-PH"/>
              </w:rPr>
              <w:t>a. Acquired PPE/Inventories not yet charged to Trust account:</w:t>
            </w:r>
          </w:p>
        </w:tc>
      </w:tr>
      <w:tr>
        <w:trPr>
          <w:trHeight w:val="283"/>
        </w:trPr>
        <w:tc>
          <w:tcPr>
            <w:tcW w:w="3685" w:type="dxa"/>
            <w:shd w:val="clear" w:color="auto" w:fill="auto"/>
            <w:vAlign w:val="bottom"/>
            <w:hideMark/>
          </w:tcPr>
          <w:p>
            <w:pPr>
              <w:ind w:left="34"/>
              <w:rPr>
                <w:lang w:val="en-PH" w:eastAsia="en-PH"/>
              </w:rPr>
            </w:pPr>
            <w:r>
              <w:rPr>
                <w:lang w:val="en-PH" w:eastAsia="en-PH"/>
              </w:rPr>
              <w:t>Provision of CDRRMO Responders' Tactical Uniform</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(41,392.00)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bottom"/>
            <w:hideMark/>
          </w:tcPr>
          <w:p>
            <w:pPr>
              <w:ind w:left="34"/>
              <w:rPr>
                <w:lang w:val="en-PH" w:eastAsia="en-PH"/>
              </w:rPr>
            </w:pPr>
            <w:r>
              <w:rPr>
                <w:lang w:val="en-PH" w:eastAsia="en-PH"/>
              </w:rPr>
              <w:t>Provision of Medicines</w:t>
            </w:r>
          </w:p>
        </w:tc>
        <w:tc>
          <w:tcPr>
            <w:tcW w:w="1481" w:type="dxa"/>
            <w:shd w:val="clear" w:color="auto" w:fill="auto"/>
            <w:noWrap/>
            <w:vAlign w:val="center"/>
          </w:tcPr>
          <w:p>
            <w:pPr>
              <w:jc w:val="right"/>
              <w:rPr>
                <w:lang w:val="en-PH" w:eastAsia="en-PH"/>
              </w:rPr>
            </w:pPr>
          </w:p>
        </w:tc>
        <w:tc>
          <w:tcPr>
            <w:tcW w:w="1518" w:type="dxa"/>
            <w:shd w:val="clear" w:color="auto" w:fill="auto"/>
            <w:noWrap/>
            <w:vAlign w:val="center"/>
            <w:hideMark/>
          </w:tcPr>
          <w:p>
            <w:pPr>
              <w:jc w:val="right"/>
              <w:rPr>
                <w:lang w:val="en-PH" w:eastAsia="en-PH"/>
              </w:rPr>
            </w:pPr>
            <w:r>
              <w:rPr>
                <w:lang w:val="en-PH" w:eastAsia="en-PH"/>
              </w:rPr>
              <w:t>(297,394.00)</w:t>
            </w:r>
          </w:p>
        </w:tc>
        <w:tc>
          <w:tcPr>
            <w:tcW w:w="1481" w:type="dxa"/>
            <w:shd w:val="clear" w:color="auto" w:fill="auto"/>
            <w:noWrap/>
            <w:vAlign w:val="center"/>
          </w:tcPr>
          <w:p>
            <w:pPr>
              <w:jc w:val="right"/>
              <w:rPr>
                <w:lang w:val="en-PH" w:eastAsia="en-PH"/>
              </w:rPr>
            </w:pPr>
          </w:p>
        </w:tc>
      </w:tr>
      <w:tr>
        <w:trPr>
          <w:trHeight w:val="283"/>
        </w:trPr>
        <w:tc>
          <w:tcPr>
            <w:tcW w:w="3685" w:type="dxa"/>
            <w:shd w:val="clear" w:color="auto" w:fill="auto"/>
            <w:vAlign w:val="center"/>
            <w:hideMark/>
          </w:tcPr>
          <w:p>
            <w:pPr>
              <w:rPr>
                <w:b/>
                <w:bCs/>
                <w:lang w:val="en-PH" w:eastAsia="en-PH"/>
              </w:rPr>
            </w:pPr>
            <w:r>
              <w:rPr>
                <w:b/>
                <w:bCs/>
                <w:lang w:val="en-PH" w:eastAsia="en-PH"/>
              </w:rPr>
              <w:t xml:space="preserve"> Grand Total </w:t>
            </w:r>
          </w:p>
        </w:tc>
        <w:tc>
          <w:tcPr>
            <w:tcW w:w="1481" w:type="dxa"/>
            <w:shd w:val="clear" w:color="auto" w:fill="auto"/>
            <w:vAlign w:val="center"/>
            <w:hideMark/>
          </w:tcPr>
          <w:p>
            <w:pPr>
              <w:jc w:val="right"/>
              <w:rPr>
                <w:b/>
                <w:bCs/>
                <w:lang w:val="en-PH" w:eastAsia="en-PH"/>
              </w:rPr>
            </w:pPr>
            <w:r>
              <w:rPr>
                <w:b/>
                <w:bCs/>
                <w:lang w:val="en-PH" w:eastAsia="en-PH"/>
              </w:rPr>
              <w:t>63,303,418.55</w:t>
            </w:r>
          </w:p>
        </w:tc>
        <w:tc>
          <w:tcPr>
            <w:tcW w:w="1518" w:type="dxa"/>
            <w:shd w:val="clear" w:color="auto" w:fill="auto"/>
            <w:vAlign w:val="center"/>
            <w:hideMark/>
          </w:tcPr>
          <w:p>
            <w:pPr>
              <w:jc w:val="right"/>
              <w:rPr>
                <w:b/>
                <w:bCs/>
                <w:lang w:val="en-PH" w:eastAsia="en-PH"/>
              </w:rPr>
            </w:pPr>
            <w:r>
              <w:rPr>
                <w:b/>
                <w:bCs/>
                <w:lang w:val="en-PH" w:eastAsia="en-PH"/>
              </w:rPr>
              <w:t>(4,347,896.28)</w:t>
            </w:r>
          </w:p>
        </w:tc>
        <w:tc>
          <w:tcPr>
            <w:tcW w:w="1481" w:type="dxa"/>
            <w:shd w:val="clear" w:color="auto" w:fill="auto"/>
            <w:vAlign w:val="center"/>
            <w:hideMark/>
          </w:tcPr>
          <w:p>
            <w:pPr>
              <w:jc w:val="right"/>
              <w:rPr>
                <w:b/>
                <w:bCs/>
                <w:lang w:val="en-PH" w:eastAsia="en-PH"/>
              </w:rPr>
            </w:pPr>
            <w:r>
              <w:rPr>
                <w:b/>
                <w:bCs/>
                <w:lang w:val="en-PH" w:eastAsia="en-PH"/>
              </w:rPr>
              <w:t>58,955,522.27</w:t>
            </w:r>
          </w:p>
        </w:tc>
      </w:tr>
    </w:tbl>
    <w:p>
      <w:pPr>
        <w:ind w:firstLine="720"/>
        <w:jc w:val="both"/>
        <w:rPr>
          <w:sz w:val="24"/>
          <w:szCs w:val="24"/>
        </w:rPr>
      </w:pPr>
    </w:p>
    <w:p>
      <w:pPr>
        <w:spacing w:line="276" w:lineRule="auto"/>
        <w:ind w:left="1418"/>
        <w:jc w:val="both"/>
        <w:rPr>
          <w:sz w:val="24"/>
          <w:szCs w:val="24"/>
        </w:rPr>
      </w:pPr>
      <w:r>
        <w:rPr>
          <w:sz w:val="24"/>
          <w:szCs w:val="24"/>
        </w:rPr>
        <w:t>Furthermore, the status of LDRRMF utilization under the General Fund (Current Appropriation), Continuing Appropriation and the Special Trust Funds of December 31, 2022 are as follows:</w:t>
      </w:r>
    </w:p>
    <w:p>
      <w:pPr>
        <w:ind w:firstLine="720"/>
        <w:jc w:val="both"/>
        <w:rPr>
          <w:sz w:val="24"/>
          <w:szCs w:val="24"/>
        </w:rPr>
      </w:pPr>
    </w:p>
    <w:tbl>
      <w:tblPr>
        <w:tblW w:w="8030"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1620"/>
        <w:gridCol w:w="1591"/>
        <w:gridCol w:w="1701"/>
      </w:tblGrid>
      <w:tr>
        <w:trPr>
          <w:trHeight w:val="283"/>
        </w:trPr>
        <w:tc>
          <w:tcPr>
            <w:tcW w:w="3118" w:type="dxa"/>
            <w:shd w:val="clear" w:color="auto" w:fill="auto"/>
            <w:vAlign w:val="center"/>
            <w:hideMark/>
          </w:tcPr>
          <w:p>
            <w:pPr>
              <w:jc w:val="center"/>
              <w:rPr>
                <w:b/>
                <w:bCs/>
                <w:lang w:val="en-PH" w:eastAsia="en-PH"/>
              </w:rPr>
            </w:pPr>
            <w:r>
              <w:rPr>
                <w:b/>
                <w:bCs/>
                <w:lang w:val="en-PH" w:eastAsia="en-PH"/>
              </w:rPr>
              <w:t>Particulars</w:t>
            </w:r>
          </w:p>
        </w:tc>
        <w:tc>
          <w:tcPr>
            <w:tcW w:w="1620" w:type="dxa"/>
            <w:shd w:val="clear" w:color="auto" w:fill="auto"/>
            <w:vAlign w:val="center"/>
            <w:hideMark/>
          </w:tcPr>
          <w:p>
            <w:pPr>
              <w:jc w:val="center"/>
              <w:rPr>
                <w:b/>
                <w:bCs/>
                <w:lang w:val="en-PH" w:eastAsia="en-PH"/>
              </w:rPr>
            </w:pPr>
            <w:r>
              <w:rPr>
                <w:b/>
                <w:bCs/>
                <w:lang w:val="en-PH" w:eastAsia="en-PH"/>
              </w:rPr>
              <w:t>Amount Available</w:t>
            </w:r>
          </w:p>
        </w:tc>
        <w:tc>
          <w:tcPr>
            <w:tcW w:w="1591" w:type="dxa"/>
            <w:shd w:val="clear" w:color="auto" w:fill="auto"/>
            <w:vAlign w:val="center"/>
            <w:hideMark/>
          </w:tcPr>
          <w:p>
            <w:pPr>
              <w:jc w:val="center"/>
              <w:rPr>
                <w:b/>
                <w:bCs/>
                <w:lang w:val="en-PH" w:eastAsia="en-PH"/>
              </w:rPr>
            </w:pPr>
            <w:r>
              <w:rPr>
                <w:b/>
                <w:bCs/>
                <w:lang w:val="en-PH" w:eastAsia="en-PH"/>
              </w:rPr>
              <w:t>Utilized</w:t>
            </w:r>
          </w:p>
        </w:tc>
        <w:tc>
          <w:tcPr>
            <w:tcW w:w="1701" w:type="dxa"/>
            <w:shd w:val="clear" w:color="auto" w:fill="auto"/>
            <w:vAlign w:val="center"/>
            <w:hideMark/>
          </w:tcPr>
          <w:p>
            <w:pPr>
              <w:jc w:val="center"/>
              <w:rPr>
                <w:b/>
                <w:bCs/>
                <w:lang w:val="en-PH" w:eastAsia="en-PH"/>
              </w:rPr>
            </w:pPr>
            <w:r>
              <w:rPr>
                <w:b/>
                <w:bCs/>
                <w:lang w:val="en-PH" w:eastAsia="en-PH"/>
              </w:rPr>
              <w:t>Balance</w:t>
            </w:r>
          </w:p>
        </w:tc>
      </w:tr>
      <w:tr>
        <w:trPr>
          <w:trHeight w:val="283"/>
        </w:trPr>
        <w:tc>
          <w:tcPr>
            <w:tcW w:w="8030" w:type="dxa"/>
            <w:gridSpan w:val="4"/>
            <w:shd w:val="clear" w:color="auto" w:fill="auto"/>
            <w:noWrap/>
            <w:vAlign w:val="bottom"/>
            <w:hideMark/>
          </w:tcPr>
          <w:p>
            <w:pPr>
              <w:rPr>
                <w:b/>
                <w:bCs/>
                <w:i/>
                <w:iCs/>
                <w:lang w:val="en-PH" w:eastAsia="en-PH"/>
              </w:rPr>
            </w:pPr>
            <w:r>
              <w:rPr>
                <w:b/>
                <w:bCs/>
                <w:i/>
                <w:iCs/>
                <w:lang w:val="en-PH" w:eastAsia="en-PH"/>
              </w:rPr>
              <w:t>Current Year Appropriation (CY 2022)</w:t>
            </w:r>
          </w:p>
        </w:tc>
      </w:tr>
      <w:tr>
        <w:trPr>
          <w:trHeight w:val="283"/>
        </w:trPr>
        <w:tc>
          <w:tcPr>
            <w:tcW w:w="3118" w:type="dxa"/>
            <w:shd w:val="clear" w:color="auto" w:fill="auto"/>
            <w:noWrap/>
            <w:vAlign w:val="bottom"/>
            <w:hideMark/>
          </w:tcPr>
          <w:p>
            <w:pPr>
              <w:rPr>
                <w:lang w:val="en-PH" w:eastAsia="en-PH"/>
              </w:rPr>
            </w:pPr>
            <w:r>
              <w:rPr>
                <w:lang w:val="en-PH" w:eastAsia="en-PH"/>
              </w:rPr>
              <w:t>Quick Response Fund (QRF)</w:t>
            </w:r>
          </w:p>
        </w:tc>
        <w:tc>
          <w:tcPr>
            <w:tcW w:w="1620" w:type="dxa"/>
            <w:shd w:val="clear" w:color="auto" w:fill="auto"/>
            <w:noWrap/>
            <w:vAlign w:val="center"/>
            <w:hideMark/>
          </w:tcPr>
          <w:p>
            <w:pPr>
              <w:jc w:val="right"/>
              <w:rPr>
                <w:lang w:val="en-PH" w:eastAsia="en-PH"/>
              </w:rPr>
            </w:pPr>
            <w:r>
              <w:rPr>
                <w:lang w:val="en-PH" w:eastAsia="en-PH"/>
              </w:rPr>
              <w:t>15,717,101.98</w:t>
            </w:r>
          </w:p>
        </w:tc>
        <w:tc>
          <w:tcPr>
            <w:tcW w:w="1591" w:type="dxa"/>
            <w:shd w:val="clear" w:color="auto" w:fill="auto"/>
            <w:noWrap/>
            <w:vAlign w:val="center"/>
            <w:hideMark/>
          </w:tcPr>
          <w:p>
            <w:pPr>
              <w:jc w:val="right"/>
              <w:rPr>
                <w:lang w:val="en-PH" w:eastAsia="en-PH"/>
              </w:rPr>
            </w:pPr>
            <w:r>
              <w:rPr>
                <w:lang w:val="en-PH" w:eastAsia="en-PH"/>
              </w:rPr>
              <w:t>15,717,101.98</w:t>
            </w:r>
          </w:p>
        </w:tc>
        <w:tc>
          <w:tcPr>
            <w:tcW w:w="1701" w:type="dxa"/>
            <w:shd w:val="clear" w:color="auto" w:fill="auto"/>
            <w:noWrap/>
            <w:vAlign w:val="center"/>
            <w:hideMark/>
          </w:tcPr>
          <w:p>
            <w:pPr>
              <w:jc w:val="right"/>
              <w:rPr>
                <w:lang w:val="en-PH" w:eastAsia="en-PH"/>
              </w:rPr>
            </w:pPr>
            <w:r>
              <w:rPr>
                <w:lang w:val="en-PH" w:eastAsia="en-PH"/>
              </w:rPr>
              <w:t>0.00</w:t>
            </w:r>
          </w:p>
        </w:tc>
      </w:tr>
      <w:tr>
        <w:trPr>
          <w:trHeight w:val="283"/>
        </w:trPr>
        <w:tc>
          <w:tcPr>
            <w:tcW w:w="3118" w:type="dxa"/>
            <w:shd w:val="clear" w:color="auto" w:fill="auto"/>
            <w:noWrap/>
            <w:vAlign w:val="bottom"/>
            <w:hideMark/>
          </w:tcPr>
          <w:p>
            <w:pPr>
              <w:rPr>
                <w:lang w:val="en-PH" w:eastAsia="en-PH"/>
              </w:rPr>
            </w:pPr>
            <w:r>
              <w:rPr>
                <w:lang w:val="en-PH" w:eastAsia="en-PH"/>
              </w:rPr>
              <w:t>Mitigation Fund (MF)</w:t>
            </w:r>
          </w:p>
        </w:tc>
        <w:tc>
          <w:tcPr>
            <w:tcW w:w="1620" w:type="dxa"/>
            <w:shd w:val="clear" w:color="auto" w:fill="auto"/>
            <w:noWrap/>
            <w:vAlign w:val="center"/>
            <w:hideMark/>
          </w:tcPr>
          <w:p>
            <w:pPr>
              <w:jc w:val="right"/>
              <w:rPr>
                <w:lang w:val="en-PH" w:eastAsia="en-PH"/>
              </w:rPr>
            </w:pPr>
          </w:p>
        </w:tc>
        <w:tc>
          <w:tcPr>
            <w:tcW w:w="1591" w:type="dxa"/>
            <w:shd w:val="clear" w:color="auto" w:fill="auto"/>
            <w:noWrap/>
            <w:vAlign w:val="center"/>
            <w:hideMark/>
          </w:tcPr>
          <w:p>
            <w:pPr>
              <w:jc w:val="right"/>
              <w:rPr>
                <w:lang w:val="en-PH" w:eastAsia="en-PH"/>
              </w:rPr>
            </w:pPr>
          </w:p>
        </w:tc>
        <w:tc>
          <w:tcPr>
            <w:tcW w:w="1701" w:type="dxa"/>
            <w:shd w:val="clear" w:color="auto" w:fill="auto"/>
            <w:noWrap/>
            <w:vAlign w:val="center"/>
            <w:hideMark/>
          </w:tcPr>
          <w:p>
            <w:pPr>
              <w:jc w:val="right"/>
              <w:rPr>
                <w:lang w:val="en-PH" w:eastAsia="en-PH"/>
              </w:rPr>
            </w:pPr>
          </w:p>
        </w:tc>
      </w:tr>
      <w:tr>
        <w:trPr>
          <w:trHeight w:val="283"/>
        </w:trPr>
        <w:tc>
          <w:tcPr>
            <w:tcW w:w="3118" w:type="dxa"/>
            <w:shd w:val="clear" w:color="auto" w:fill="auto"/>
            <w:noWrap/>
            <w:vAlign w:val="bottom"/>
            <w:hideMark/>
          </w:tcPr>
          <w:p>
            <w:pPr>
              <w:rPr>
                <w:lang w:val="en-PH" w:eastAsia="en-PH"/>
              </w:rPr>
            </w:pPr>
            <w:r>
              <w:rPr>
                <w:lang w:val="en-PH" w:eastAsia="en-PH"/>
              </w:rPr>
              <w:t xml:space="preserve">      MOOE</w:t>
            </w:r>
          </w:p>
        </w:tc>
        <w:tc>
          <w:tcPr>
            <w:tcW w:w="1620" w:type="dxa"/>
            <w:shd w:val="clear" w:color="auto" w:fill="auto"/>
            <w:noWrap/>
            <w:vAlign w:val="center"/>
            <w:hideMark/>
          </w:tcPr>
          <w:p>
            <w:pPr>
              <w:jc w:val="right"/>
              <w:rPr>
                <w:lang w:val="en-PH" w:eastAsia="en-PH"/>
              </w:rPr>
            </w:pPr>
            <w:r>
              <w:rPr>
                <w:lang w:val="en-PH" w:eastAsia="en-PH"/>
              </w:rPr>
              <w:t>6,514,655.72</w:t>
            </w:r>
          </w:p>
        </w:tc>
        <w:tc>
          <w:tcPr>
            <w:tcW w:w="1591" w:type="dxa"/>
            <w:shd w:val="clear" w:color="auto" w:fill="auto"/>
            <w:noWrap/>
            <w:vAlign w:val="center"/>
            <w:hideMark/>
          </w:tcPr>
          <w:p>
            <w:pPr>
              <w:jc w:val="right"/>
              <w:rPr>
                <w:lang w:val="en-PH" w:eastAsia="en-PH"/>
              </w:rPr>
            </w:pPr>
            <w:r>
              <w:rPr>
                <w:lang w:val="en-PH" w:eastAsia="en-PH"/>
              </w:rPr>
              <w:t>6,514,655.72</w:t>
            </w:r>
          </w:p>
        </w:tc>
        <w:tc>
          <w:tcPr>
            <w:tcW w:w="1701" w:type="dxa"/>
            <w:shd w:val="clear" w:color="auto" w:fill="auto"/>
            <w:noWrap/>
            <w:vAlign w:val="center"/>
            <w:hideMark/>
          </w:tcPr>
          <w:p>
            <w:pPr>
              <w:jc w:val="right"/>
              <w:rPr>
                <w:lang w:val="en-PH" w:eastAsia="en-PH"/>
              </w:rPr>
            </w:pPr>
            <w:r>
              <w:rPr>
                <w:lang w:val="en-PH" w:eastAsia="en-PH"/>
              </w:rPr>
              <w:t>0.00</w:t>
            </w:r>
          </w:p>
        </w:tc>
      </w:tr>
      <w:tr>
        <w:trPr>
          <w:trHeight w:val="283"/>
        </w:trPr>
        <w:tc>
          <w:tcPr>
            <w:tcW w:w="3118" w:type="dxa"/>
            <w:shd w:val="clear" w:color="auto" w:fill="auto"/>
            <w:noWrap/>
            <w:vAlign w:val="bottom"/>
            <w:hideMark/>
          </w:tcPr>
          <w:p>
            <w:pPr>
              <w:rPr>
                <w:lang w:val="en-PH" w:eastAsia="en-PH"/>
              </w:rPr>
            </w:pPr>
            <w:r>
              <w:rPr>
                <w:lang w:val="en-PH" w:eastAsia="en-PH"/>
              </w:rPr>
              <w:t xml:space="preserve">      Capital Outlay</w:t>
            </w:r>
          </w:p>
        </w:tc>
        <w:tc>
          <w:tcPr>
            <w:tcW w:w="1620" w:type="dxa"/>
            <w:shd w:val="clear" w:color="auto" w:fill="auto"/>
            <w:noWrap/>
            <w:vAlign w:val="center"/>
            <w:hideMark/>
          </w:tcPr>
          <w:p>
            <w:pPr>
              <w:jc w:val="right"/>
              <w:rPr>
                <w:lang w:val="en-PH" w:eastAsia="en-PH"/>
              </w:rPr>
            </w:pPr>
            <w:r>
              <w:rPr>
                <w:lang w:val="en-PH" w:eastAsia="en-PH"/>
              </w:rPr>
              <w:t>44,400,000.00</w:t>
            </w:r>
          </w:p>
        </w:tc>
        <w:tc>
          <w:tcPr>
            <w:tcW w:w="1591" w:type="dxa"/>
            <w:shd w:val="clear" w:color="auto" w:fill="auto"/>
            <w:noWrap/>
            <w:vAlign w:val="center"/>
            <w:hideMark/>
          </w:tcPr>
          <w:p>
            <w:pPr>
              <w:jc w:val="right"/>
              <w:rPr>
                <w:lang w:val="en-PH" w:eastAsia="en-PH"/>
              </w:rPr>
            </w:pPr>
            <w:r>
              <w:rPr>
                <w:lang w:val="en-PH" w:eastAsia="en-PH"/>
              </w:rPr>
              <w:t>7,560,227.45</w:t>
            </w:r>
          </w:p>
        </w:tc>
        <w:tc>
          <w:tcPr>
            <w:tcW w:w="1701" w:type="dxa"/>
            <w:shd w:val="clear" w:color="auto" w:fill="auto"/>
            <w:noWrap/>
            <w:vAlign w:val="center"/>
            <w:hideMark/>
          </w:tcPr>
          <w:p>
            <w:pPr>
              <w:jc w:val="right"/>
              <w:rPr>
                <w:lang w:val="en-PH" w:eastAsia="en-PH"/>
              </w:rPr>
            </w:pPr>
            <w:r>
              <w:rPr>
                <w:lang w:val="en-PH" w:eastAsia="en-PH"/>
              </w:rPr>
              <w:t>36,839,772.55</w:t>
            </w:r>
          </w:p>
        </w:tc>
      </w:tr>
      <w:tr>
        <w:trPr>
          <w:trHeight w:val="283"/>
        </w:trPr>
        <w:tc>
          <w:tcPr>
            <w:tcW w:w="3118" w:type="dxa"/>
            <w:shd w:val="clear" w:color="auto" w:fill="auto"/>
            <w:noWrap/>
            <w:vAlign w:val="bottom"/>
            <w:hideMark/>
          </w:tcPr>
          <w:p>
            <w:pPr>
              <w:rPr>
                <w:b/>
                <w:bCs/>
                <w:lang w:val="en-PH" w:eastAsia="en-PH"/>
              </w:rPr>
            </w:pPr>
            <w:r>
              <w:rPr>
                <w:b/>
                <w:bCs/>
                <w:lang w:val="en-PH" w:eastAsia="en-PH"/>
              </w:rPr>
              <w:t>Total</w:t>
            </w:r>
          </w:p>
        </w:tc>
        <w:tc>
          <w:tcPr>
            <w:tcW w:w="1620" w:type="dxa"/>
            <w:shd w:val="clear" w:color="auto" w:fill="auto"/>
            <w:noWrap/>
            <w:vAlign w:val="center"/>
            <w:hideMark/>
          </w:tcPr>
          <w:p>
            <w:pPr>
              <w:jc w:val="right"/>
              <w:rPr>
                <w:b/>
                <w:bCs/>
                <w:lang w:val="en-PH" w:eastAsia="en-PH"/>
              </w:rPr>
            </w:pPr>
            <w:r>
              <w:rPr>
                <w:b/>
                <w:bCs/>
                <w:lang w:val="en-PH" w:eastAsia="en-PH"/>
              </w:rPr>
              <w:t>66,631,757.70</w:t>
            </w:r>
          </w:p>
        </w:tc>
        <w:tc>
          <w:tcPr>
            <w:tcW w:w="1591" w:type="dxa"/>
            <w:shd w:val="clear" w:color="auto" w:fill="auto"/>
            <w:noWrap/>
            <w:vAlign w:val="center"/>
            <w:hideMark/>
          </w:tcPr>
          <w:p>
            <w:pPr>
              <w:jc w:val="right"/>
              <w:rPr>
                <w:b/>
                <w:bCs/>
                <w:lang w:val="en-PH" w:eastAsia="en-PH"/>
              </w:rPr>
            </w:pPr>
            <w:r>
              <w:rPr>
                <w:b/>
                <w:bCs/>
                <w:lang w:val="en-PH" w:eastAsia="en-PH"/>
              </w:rPr>
              <w:t>29,791,985.15</w:t>
            </w:r>
          </w:p>
        </w:tc>
        <w:tc>
          <w:tcPr>
            <w:tcW w:w="1701" w:type="dxa"/>
            <w:shd w:val="clear" w:color="auto" w:fill="auto"/>
            <w:noWrap/>
            <w:vAlign w:val="center"/>
            <w:hideMark/>
          </w:tcPr>
          <w:p>
            <w:pPr>
              <w:jc w:val="right"/>
              <w:rPr>
                <w:b/>
                <w:bCs/>
                <w:lang w:val="en-PH" w:eastAsia="en-PH"/>
              </w:rPr>
            </w:pPr>
            <w:r>
              <w:rPr>
                <w:b/>
                <w:bCs/>
                <w:lang w:val="en-PH" w:eastAsia="en-PH"/>
              </w:rPr>
              <w:t>36,839,772.55</w:t>
            </w:r>
          </w:p>
        </w:tc>
      </w:tr>
      <w:tr>
        <w:trPr>
          <w:trHeight w:val="283"/>
        </w:trPr>
        <w:tc>
          <w:tcPr>
            <w:tcW w:w="8030" w:type="dxa"/>
            <w:gridSpan w:val="4"/>
            <w:shd w:val="clear" w:color="auto" w:fill="auto"/>
            <w:noWrap/>
            <w:vAlign w:val="bottom"/>
            <w:hideMark/>
          </w:tcPr>
          <w:p>
            <w:pPr>
              <w:rPr>
                <w:lang w:val="en-PH" w:eastAsia="en-PH"/>
              </w:rPr>
            </w:pPr>
            <w:r>
              <w:rPr>
                <w:b/>
                <w:bCs/>
                <w:i/>
                <w:iCs/>
                <w:lang w:val="en-PH" w:eastAsia="en-PH"/>
              </w:rPr>
              <w:t>Continuing Appropriations</w:t>
            </w:r>
          </w:p>
        </w:tc>
      </w:tr>
      <w:tr>
        <w:trPr>
          <w:trHeight w:val="283"/>
        </w:trPr>
        <w:tc>
          <w:tcPr>
            <w:tcW w:w="3118" w:type="dxa"/>
            <w:shd w:val="clear" w:color="auto" w:fill="auto"/>
            <w:noWrap/>
            <w:vAlign w:val="bottom"/>
            <w:hideMark/>
          </w:tcPr>
          <w:p>
            <w:pPr>
              <w:rPr>
                <w:lang w:val="en-PH" w:eastAsia="en-PH"/>
              </w:rPr>
            </w:pPr>
            <w:r>
              <w:rPr>
                <w:lang w:val="en-PH" w:eastAsia="en-PH"/>
              </w:rPr>
              <w:t>Continuing Appropriations 2021</w:t>
            </w:r>
          </w:p>
        </w:tc>
        <w:tc>
          <w:tcPr>
            <w:tcW w:w="1620" w:type="dxa"/>
            <w:shd w:val="clear" w:color="auto" w:fill="auto"/>
            <w:noWrap/>
            <w:vAlign w:val="center"/>
            <w:hideMark/>
          </w:tcPr>
          <w:p>
            <w:pPr>
              <w:jc w:val="right"/>
              <w:rPr>
                <w:lang w:val="en-PH" w:eastAsia="en-PH"/>
              </w:rPr>
            </w:pPr>
            <w:r>
              <w:rPr>
                <w:lang w:val="en-PH" w:eastAsia="en-PH"/>
              </w:rPr>
              <w:t>21,003,251.26</w:t>
            </w:r>
          </w:p>
        </w:tc>
        <w:tc>
          <w:tcPr>
            <w:tcW w:w="1591" w:type="dxa"/>
            <w:shd w:val="clear" w:color="auto" w:fill="auto"/>
            <w:noWrap/>
            <w:vAlign w:val="center"/>
            <w:hideMark/>
          </w:tcPr>
          <w:p>
            <w:pPr>
              <w:jc w:val="right"/>
              <w:rPr>
                <w:lang w:val="en-PH" w:eastAsia="en-PH"/>
              </w:rPr>
            </w:pPr>
            <w:r>
              <w:rPr>
                <w:lang w:val="en-PH" w:eastAsia="en-PH"/>
              </w:rPr>
              <w:t>15,140,314.99</w:t>
            </w:r>
          </w:p>
        </w:tc>
        <w:tc>
          <w:tcPr>
            <w:tcW w:w="1701" w:type="dxa"/>
            <w:shd w:val="clear" w:color="auto" w:fill="auto"/>
            <w:noWrap/>
            <w:vAlign w:val="center"/>
            <w:hideMark/>
          </w:tcPr>
          <w:p>
            <w:pPr>
              <w:jc w:val="right"/>
              <w:rPr>
                <w:lang w:val="en-PH" w:eastAsia="en-PH"/>
              </w:rPr>
            </w:pPr>
            <w:r>
              <w:rPr>
                <w:lang w:val="en-PH" w:eastAsia="en-PH"/>
              </w:rPr>
              <w:t>5,862,936.27</w:t>
            </w:r>
          </w:p>
        </w:tc>
      </w:tr>
      <w:tr>
        <w:trPr>
          <w:trHeight w:val="283"/>
        </w:trPr>
        <w:tc>
          <w:tcPr>
            <w:tcW w:w="3118" w:type="dxa"/>
            <w:shd w:val="clear" w:color="auto" w:fill="auto"/>
            <w:noWrap/>
            <w:vAlign w:val="bottom"/>
            <w:hideMark/>
          </w:tcPr>
          <w:p>
            <w:pPr>
              <w:rPr>
                <w:lang w:val="en-PH" w:eastAsia="en-PH"/>
              </w:rPr>
            </w:pPr>
            <w:r>
              <w:rPr>
                <w:lang w:val="en-PH" w:eastAsia="en-PH"/>
              </w:rPr>
              <w:t>Continuing Appropriations 2020</w:t>
            </w:r>
          </w:p>
        </w:tc>
        <w:tc>
          <w:tcPr>
            <w:tcW w:w="1620" w:type="dxa"/>
            <w:shd w:val="clear" w:color="auto" w:fill="auto"/>
            <w:noWrap/>
            <w:vAlign w:val="center"/>
            <w:hideMark/>
          </w:tcPr>
          <w:p>
            <w:pPr>
              <w:jc w:val="right"/>
              <w:rPr>
                <w:lang w:val="en-PH" w:eastAsia="en-PH"/>
              </w:rPr>
            </w:pPr>
            <w:r>
              <w:rPr>
                <w:lang w:val="en-PH" w:eastAsia="en-PH"/>
              </w:rPr>
              <w:t>6,236,848.50</w:t>
            </w:r>
          </w:p>
        </w:tc>
        <w:tc>
          <w:tcPr>
            <w:tcW w:w="1591" w:type="dxa"/>
            <w:shd w:val="clear" w:color="auto" w:fill="auto"/>
            <w:noWrap/>
            <w:vAlign w:val="center"/>
            <w:hideMark/>
          </w:tcPr>
          <w:p>
            <w:pPr>
              <w:jc w:val="right"/>
              <w:rPr>
                <w:lang w:val="en-PH" w:eastAsia="en-PH"/>
              </w:rPr>
            </w:pPr>
            <w:r>
              <w:rPr>
                <w:lang w:val="en-PH" w:eastAsia="en-PH"/>
              </w:rPr>
              <w:t>3,462,351.00</w:t>
            </w:r>
          </w:p>
        </w:tc>
        <w:tc>
          <w:tcPr>
            <w:tcW w:w="1701" w:type="dxa"/>
            <w:shd w:val="clear" w:color="auto" w:fill="auto"/>
            <w:noWrap/>
            <w:vAlign w:val="center"/>
            <w:hideMark/>
          </w:tcPr>
          <w:p>
            <w:pPr>
              <w:jc w:val="right"/>
              <w:rPr>
                <w:lang w:val="en-PH" w:eastAsia="en-PH"/>
              </w:rPr>
            </w:pPr>
            <w:r>
              <w:rPr>
                <w:lang w:val="en-PH" w:eastAsia="en-PH"/>
              </w:rPr>
              <w:t>2,774,497.50</w:t>
            </w:r>
          </w:p>
        </w:tc>
      </w:tr>
      <w:tr>
        <w:trPr>
          <w:trHeight w:val="283"/>
        </w:trPr>
        <w:tc>
          <w:tcPr>
            <w:tcW w:w="3118" w:type="dxa"/>
            <w:shd w:val="clear" w:color="auto" w:fill="auto"/>
            <w:noWrap/>
            <w:vAlign w:val="bottom"/>
            <w:hideMark/>
          </w:tcPr>
          <w:p>
            <w:pPr>
              <w:rPr>
                <w:lang w:val="en-PH" w:eastAsia="en-PH"/>
              </w:rPr>
            </w:pPr>
            <w:r>
              <w:rPr>
                <w:lang w:val="en-PH" w:eastAsia="en-PH"/>
              </w:rPr>
              <w:t>Continuing Appropriations 2019</w:t>
            </w:r>
          </w:p>
        </w:tc>
        <w:tc>
          <w:tcPr>
            <w:tcW w:w="1620" w:type="dxa"/>
            <w:shd w:val="clear" w:color="auto" w:fill="auto"/>
            <w:noWrap/>
            <w:vAlign w:val="center"/>
            <w:hideMark/>
          </w:tcPr>
          <w:p>
            <w:pPr>
              <w:jc w:val="right"/>
              <w:rPr>
                <w:lang w:val="en-PH" w:eastAsia="en-PH"/>
              </w:rPr>
            </w:pPr>
            <w:r>
              <w:rPr>
                <w:lang w:val="en-PH" w:eastAsia="en-PH"/>
              </w:rPr>
              <w:t>5,750,733.89</w:t>
            </w:r>
          </w:p>
        </w:tc>
        <w:tc>
          <w:tcPr>
            <w:tcW w:w="1591" w:type="dxa"/>
            <w:shd w:val="clear" w:color="auto" w:fill="auto"/>
            <w:noWrap/>
            <w:vAlign w:val="center"/>
            <w:hideMark/>
          </w:tcPr>
          <w:p>
            <w:pPr>
              <w:jc w:val="right"/>
              <w:rPr>
                <w:lang w:val="en-PH" w:eastAsia="en-PH"/>
              </w:rPr>
            </w:pPr>
            <w:r>
              <w:rPr>
                <w:lang w:val="en-PH" w:eastAsia="en-PH"/>
              </w:rPr>
              <w:t>5,734,539.88</w:t>
            </w:r>
          </w:p>
        </w:tc>
        <w:tc>
          <w:tcPr>
            <w:tcW w:w="1701" w:type="dxa"/>
            <w:shd w:val="clear" w:color="auto" w:fill="auto"/>
            <w:noWrap/>
            <w:vAlign w:val="center"/>
            <w:hideMark/>
          </w:tcPr>
          <w:p>
            <w:pPr>
              <w:jc w:val="right"/>
              <w:rPr>
                <w:lang w:val="en-PH" w:eastAsia="en-PH"/>
              </w:rPr>
            </w:pPr>
            <w:r>
              <w:rPr>
                <w:lang w:val="en-PH" w:eastAsia="en-PH"/>
              </w:rPr>
              <w:t>16,194.01</w:t>
            </w:r>
          </w:p>
        </w:tc>
      </w:tr>
      <w:tr>
        <w:trPr>
          <w:trHeight w:val="283"/>
        </w:trPr>
        <w:tc>
          <w:tcPr>
            <w:tcW w:w="3118" w:type="dxa"/>
            <w:shd w:val="clear" w:color="auto" w:fill="auto"/>
            <w:noWrap/>
            <w:vAlign w:val="bottom"/>
            <w:hideMark/>
          </w:tcPr>
          <w:p>
            <w:pPr>
              <w:rPr>
                <w:lang w:val="en-PH" w:eastAsia="en-PH"/>
              </w:rPr>
            </w:pPr>
            <w:r>
              <w:rPr>
                <w:lang w:val="en-PH" w:eastAsia="en-PH"/>
              </w:rPr>
              <w:t>Continuing Appropriations 2018</w:t>
            </w:r>
          </w:p>
        </w:tc>
        <w:tc>
          <w:tcPr>
            <w:tcW w:w="1620" w:type="dxa"/>
            <w:shd w:val="clear" w:color="auto" w:fill="auto"/>
            <w:noWrap/>
            <w:vAlign w:val="center"/>
            <w:hideMark/>
          </w:tcPr>
          <w:p>
            <w:pPr>
              <w:jc w:val="right"/>
              <w:rPr>
                <w:lang w:val="en-PH" w:eastAsia="en-PH"/>
              </w:rPr>
            </w:pPr>
            <w:r>
              <w:rPr>
                <w:lang w:val="en-PH" w:eastAsia="en-PH"/>
              </w:rPr>
              <w:t>96,100.00</w:t>
            </w:r>
          </w:p>
        </w:tc>
        <w:tc>
          <w:tcPr>
            <w:tcW w:w="1591" w:type="dxa"/>
            <w:shd w:val="clear" w:color="auto" w:fill="auto"/>
            <w:noWrap/>
            <w:vAlign w:val="center"/>
            <w:hideMark/>
          </w:tcPr>
          <w:p>
            <w:pPr>
              <w:jc w:val="right"/>
              <w:rPr>
                <w:lang w:val="en-PH" w:eastAsia="en-PH"/>
              </w:rPr>
            </w:pPr>
            <w:r>
              <w:rPr>
                <w:lang w:val="en-PH" w:eastAsia="en-PH"/>
              </w:rPr>
              <w:t>49,980.00</w:t>
            </w:r>
          </w:p>
        </w:tc>
        <w:tc>
          <w:tcPr>
            <w:tcW w:w="1701" w:type="dxa"/>
            <w:shd w:val="clear" w:color="auto" w:fill="auto"/>
            <w:noWrap/>
            <w:vAlign w:val="center"/>
            <w:hideMark/>
          </w:tcPr>
          <w:p>
            <w:pPr>
              <w:jc w:val="right"/>
              <w:rPr>
                <w:lang w:val="en-PH" w:eastAsia="en-PH"/>
              </w:rPr>
            </w:pPr>
            <w:r>
              <w:rPr>
                <w:lang w:val="en-PH" w:eastAsia="en-PH"/>
              </w:rPr>
              <w:t>46,120.00</w:t>
            </w:r>
          </w:p>
        </w:tc>
      </w:tr>
      <w:tr>
        <w:trPr>
          <w:trHeight w:val="283"/>
        </w:trPr>
        <w:tc>
          <w:tcPr>
            <w:tcW w:w="3118" w:type="dxa"/>
            <w:shd w:val="clear" w:color="auto" w:fill="auto"/>
            <w:noWrap/>
            <w:vAlign w:val="bottom"/>
            <w:hideMark/>
          </w:tcPr>
          <w:p>
            <w:pPr>
              <w:rPr>
                <w:lang w:val="en-PH" w:eastAsia="en-PH"/>
              </w:rPr>
            </w:pPr>
            <w:r>
              <w:rPr>
                <w:lang w:val="en-PH" w:eastAsia="en-PH"/>
              </w:rPr>
              <w:t>Continuing Appropriations 2017</w:t>
            </w:r>
          </w:p>
        </w:tc>
        <w:tc>
          <w:tcPr>
            <w:tcW w:w="1620" w:type="dxa"/>
            <w:shd w:val="clear" w:color="auto" w:fill="auto"/>
            <w:noWrap/>
            <w:vAlign w:val="center"/>
            <w:hideMark/>
          </w:tcPr>
          <w:p>
            <w:pPr>
              <w:jc w:val="right"/>
              <w:rPr>
                <w:lang w:val="en-PH" w:eastAsia="en-PH"/>
              </w:rPr>
            </w:pPr>
            <w:r>
              <w:rPr>
                <w:lang w:val="en-PH" w:eastAsia="en-PH"/>
              </w:rPr>
              <w:t>485,000.00</w:t>
            </w:r>
          </w:p>
        </w:tc>
        <w:tc>
          <w:tcPr>
            <w:tcW w:w="1591" w:type="dxa"/>
            <w:shd w:val="clear" w:color="auto" w:fill="auto"/>
            <w:noWrap/>
            <w:vAlign w:val="center"/>
            <w:hideMark/>
          </w:tcPr>
          <w:p>
            <w:pPr>
              <w:jc w:val="right"/>
              <w:rPr>
                <w:lang w:val="en-PH" w:eastAsia="en-PH"/>
              </w:rPr>
            </w:pPr>
            <w:r>
              <w:rPr>
                <w:lang w:val="en-PH" w:eastAsia="en-PH"/>
              </w:rPr>
              <w:t>0.00</w:t>
            </w:r>
          </w:p>
        </w:tc>
        <w:tc>
          <w:tcPr>
            <w:tcW w:w="1701" w:type="dxa"/>
            <w:shd w:val="clear" w:color="auto" w:fill="auto"/>
            <w:noWrap/>
            <w:vAlign w:val="center"/>
            <w:hideMark/>
          </w:tcPr>
          <w:p>
            <w:pPr>
              <w:jc w:val="right"/>
              <w:rPr>
                <w:lang w:val="en-PH" w:eastAsia="en-PH"/>
              </w:rPr>
            </w:pPr>
            <w:r>
              <w:rPr>
                <w:lang w:val="en-PH" w:eastAsia="en-PH"/>
              </w:rPr>
              <w:t>485,000.00</w:t>
            </w:r>
          </w:p>
        </w:tc>
      </w:tr>
      <w:tr>
        <w:trPr>
          <w:trHeight w:val="283"/>
        </w:trPr>
        <w:tc>
          <w:tcPr>
            <w:tcW w:w="3118" w:type="dxa"/>
            <w:shd w:val="clear" w:color="auto" w:fill="auto"/>
            <w:noWrap/>
            <w:vAlign w:val="bottom"/>
            <w:hideMark/>
          </w:tcPr>
          <w:p>
            <w:pPr>
              <w:rPr>
                <w:b/>
                <w:bCs/>
                <w:lang w:val="en-PH" w:eastAsia="en-PH"/>
              </w:rPr>
            </w:pPr>
            <w:r>
              <w:rPr>
                <w:b/>
                <w:bCs/>
                <w:lang w:val="en-PH" w:eastAsia="en-PH"/>
              </w:rPr>
              <w:t>Total</w:t>
            </w:r>
          </w:p>
        </w:tc>
        <w:tc>
          <w:tcPr>
            <w:tcW w:w="1620" w:type="dxa"/>
            <w:shd w:val="clear" w:color="auto" w:fill="auto"/>
            <w:noWrap/>
            <w:vAlign w:val="center"/>
            <w:hideMark/>
          </w:tcPr>
          <w:p>
            <w:pPr>
              <w:jc w:val="right"/>
              <w:rPr>
                <w:b/>
                <w:bCs/>
                <w:lang w:val="en-PH" w:eastAsia="en-PH"/>
              </w:rPr>
            </w:pPr>
            <w:r>
              <w:rPr>
                <w:b/>
                <w:bCs/>
                <w:lang w:val="en-PH" w:eastAsia="en-PH"/>
              </w:rPr>
              <w:t>33,571,933.65</w:t>
            </w:r>
          </w:p>
        </w:tc>
        <w:tc>
          <w:tcPr>
            <w:tcW w:w="1591" w:type="dxa"/>
            <w:shd w:val="clear" w:color="auto" w:fill="auto"/>
            <w:noWrap/>
            <w:vAlign w:val="center"/>
            <w:hideMark/>
          </w:tcPr>
          <w:p>
            <w:pPr>
              <w:jc w:val="right"/>
              <w:rPr>
                <w:b/>
                <w:bCs/>
                <w:lang w:val="en-PH" w:eastAsia="en-PH"/>
              </w:rPr>
            </w:pPr>
            <w:r>
              <w:rPr>
                <w:b/>
                <w:bCs/>
                <w:lang w:val="en-PH" w:eastAsia="en-PH"/>
              </w:rPr>
              <w:t>24,387,185.87</w:t>
            </w:r>
          </w:p>
        </w:tc>
        <w:tc>
          <w:tcPr>
            <w:tcW w:w="1701" w:type="dxa"/>
            <w:shd w:val="clear" w:color="auto" w:fill="auto"/>
            <w:noWrap/>
            <w:vAlign w:val="center"/>
            <w:hideMark/>
          </w:tcPr>
          <w:p>
            <w:pPr>
              <w:jc w:val="right"/>
              <w:rPr>
                <w:b/>
                <w:bCs/>
                <w:lang w:val="en-PH" w:eastAsia="en-PH"/>
              </w:rPr>
            </w:pPr>
            <w:r>
              <w:rPr>
                <w:b/>
                <w:bCs/>
                <w:lang w:val="en-PH" w:eastAsia="en-PH"/>
              </w:rPr>
              <w:t>9,184,747.78</w:t>
            </w:r>
          </w:p>
        </w:tc>
      </w:tr>
      <w:tr>
        <w:trPr>
          <w:trHeight w:val="283"/>
        </w:trPr>
        <w:tc>
          <w:tcPr>
            <w:tcW w:w="8030" w:type="dxa"/>
            <w:gridSpan w:val="4"/>
            <w:shd w:val="clear" w:color="auto" w:fill="auto"/>
            <w:noWrap/>
            <w:vAlign w:val="bottom"/>
            <w:hideMark/>
          </w:tcPr>
          <w:p>
            <w:pPr>
              <w:rPr>
                <w:lang w:val="en-PH" w:eastAsia="en-PH"/>
              </w:rPr>
            </w:pPr>
            <w:r>
              <w:rPr>
                <w:b/>
                <w:bCs/>
                <w:i/>
                <w:iCs/>
                <w:lang w:val="en-PH" w:eastAsia="en-PH"/>
              </w:rPr>
              <w:t>STF</w:t>
            </w:r>
          </w:p>
        </w:tc>
      </w:tr>
      <w:tr>
        <w:trPr>
          <w:trHeight w:val="283"/>
        </w:trPr>
        <w:tc>
          <w:tcPr>
            <w:tcW w:w="3118" w:type="dxa"/>
            <w:shd w:val="clear" w:color="auto" w:fill="auto"/>
            <w:noWrap/>
            <w:vAlign w:val="bottom"/>
            <w:hideMark/>
          </w:tcPr>
          <w:p>
            <w:pPr>
              <w:rPr>
                <w:lang w:val="en-PH" w:eastAsia="en-PH"/>
              </w:rPr>
            </w:pPr>
            <w:r>
              <w:rPr>
                <w:lang w:val="en-PH" w:eastAsia="en-PH"/>
              </w:rPr>
              <w:t>CY 2022</w:t>
            </w:r>
          </w:p>
        </w:tc>
        <w:tc>
          <w:tcPr>
            <w:tcW w:w="1620" w:type="dxa"/>
            <w:shd w:val="clear" w:color="auto" w:fill="auto"/>
            <w:noWrap/>
            <w:vAlign w:val="center"/>
            <w:hideMark/>
          </w:tcPr>
          <w:p>
            <w:pPr>
              <w:jc w:val="right"/>
              <w:rPr>
                <w:lang w:val="en-PH" w:eastAsia="en-PH"/>
              </w:rPr>
            </w:pPr>
            <w:r>
              <w:rPr>
                <w:lang w:val="en-PH" w:eastAsia="en-PH"/>
              </w:rPr>
              <w:t>9,997,089.73</w:t>
            </w:r>
          </w:p>
        </w:tc>
        <w:tc>
          <w:tcPr>
            <w:tcW w:w="1591" w:type="dxa"/>
            <w:shd w:val="clear" w:color="auto" w:fill="auto"/>
            <w:noWrap/>
            <w:vAlign w:val="center"/>
            <w:hideMark/>
          </w:tcPr>
          <w:p>
            <w:pPr>
              <w:jc w:val="right"/>
              <w:rPr>
                <w:lang w:val="en-PH" w:eastAsia="en-PH"/>
              </w:rPr>
            </w:pPr>
            <w:r>
              <w:rPr>
                <w:lang w:val="en-PH" w:eastAsia="en-PH"/>
              </w:rPr>
              <w:t>0.00</w:t>
            </w:r>
          </w:p>
        </w:tc>
        <w:tc>
          <w:tcPr>
            <w:tcW w:w="1701" w:type="dxa"/>
            <w:shd w:val="clear" w:color="auto" w:fill="auto"/>
            <w:noWrap/>
            <w:vAlign w:val="center"/>
            <w:hideMark/>
          </w:tcPr>
          <w:p>
            <w:pPr>
              <w:jc w:val="right"/>
              <w:rPr>
                <w:lang w:val="en-PH" w:eastAsia="en-PH"/>
              </w:rPr>
            </w:pPr>
            <w:r>
              <w:rPr>
                <w:lang w:val="en-PH" w:eastAsia="en-PH"/>
              </w:rPr>
              <w:t>9,997,089.73</w:t>
            </w:r>
          </w:p>
        </w:tc>
      </w:tr>
      <w:tr>
        <w:trPr>
          <w:trHeight w:val="283"/>
        </w:trPr>
        <w:tc>
          <w:tcPr>
            <w:tcW w:w="3118" w:type="dxa"/>
            <w:shd w:val="clear" w:color="auto" w:fill="auto"/>
            <w:noWrap/>
            <w:vAlign w:val="bottom"/>
            <w:hideMark/>
          </w:tcPr>
          <w:p>
            <w:pPr>
              <w:rPr>
                <w:lang w:val="en-PH" w:eastAsia="en-PH"/>
              </w:rPr>
            </w:pPr>
            <w:r>
              <w:rPr>
                <w:lang w:val="en-PH" w:eastAsia="en-PH"/>
              </w:rPr>
              <w:t>CY 2021</w:t>
            </w:r>
          </w:p>
        </w:tc>
        <w:tc>
          <w:tcPr>
            <w:tcW w:w="1620" w:type="dxa"/>
            <w:shd w:val="clear" w:color="auto" w:fill="auto"/>
            <w:noWrap/>
            <w:vAlign w:val="center"/>
            <w:hideMark/>
          </w:tcPr>
          <w:p>
            <w:pPr>
              <w:jc w:val="right"/>
              <w:rPr>
                <w:lang w:val="en-PH" w:eastAsia="en-PH"/>
              </w:rPr>
            </w:pPr>
            <w:r>
              <w:rPr>
                <w:lang w:val="en-PH" w:eastAsia="en-PH"/>
              </w:rPr>
              <w:t>35,206,494.46</w:t>
            </w:r>
          </w:p>
        </w:tc>
        <w:tc>
          <w:tcPr>
            <w:tcW w:w="1591" w:type="dxa"/>
            <w:shd w:val="clear" w:color="auto" w:fill="auto"/>
            <w:noWrap/>
            <w:vAlign w:val="center"/>
            <w:hideMark/>
          </w:tcPr>
          <w:p>
            <w:pPr>
              <w:jc w:val="right"/>
              <w:rPr>
                <w:lang w:val="en-PH" w:eastAsia="en-PH"/>
              </w:rPr>
            </w:pPr>
            <w:r>
              <w:rPr>
                <w:lang w:val="en-PH" w:eastAsia="en-PH"/>
              </w:rPr>
              <w:t>1,150,872.00</w:t>
            </w:r>
          </w:p>
        </w:tc>
        <w:tc>
          <w:tcPr>
            <w:tcW w:w="1701" w:type="dxa"/>
            <w:shd w:val="clear" w:color="auto" w:fill="auto"/>
            <w:noWrap/>
            <w:vAlign w:val="center"/>
            <w:hideMark/>
          </w:tcPr>
          <w:p>
            <w:pPr>
              <w:jc w:val="right"/>
              <w:rPr>
                <w:lang w:val="en-PH" w:eastAsia="en-PH"/>
              </w:rPr>
            </w:pPr>
            <w:r>
              <w:rPr>
                <w:lang w:val="en-PH" w:eastAsia="en-PH"/>
              </w:rPr>
              <w:t>34,055,622.46</w:t>
            </w:r>
          </w:p>
        </w:tc>
      </w:tr>
      <w:tr>
        <w:trPr>
          <w:trHeight w:val="283"/>
        </w:trPr>
        <w:tc>
          <w:tcPr>
            <w:tcW w:w="3118" w:type="dxa"/>
            <w:shd w:val="clear" w:color="auto" w:fill="auto"/>
            <w:noWrap/>
            <w:vAlign w:val="bottom"/>
            <w:hideMark/>
          </w:tcPr>
          <w:p>
            <w:pPr>
              <w:rPr>
                <w:lang w:val="en-PH" w:eastAsia="en-PH"/>
              </w:rPr>
            </w:pPr>
            <w:r>
              <w:rPr>
                <w:lang w:val="en-PH" w:eastAsia="en-PH"/>
              </w:rPr>
              <w:t>CY 2020</w:t>
            </w:r>
          </w:p>
        </w:tc>
        <w:tc>
          <w:tcPr>
            <w:tcW w:w="1620" w:type="dxa"/>
            <w:shd w:val="clear" w:color="auto" w:fill="auto"/>
            <w:noWrap/>
            <w:vAlign w:val="center"/>
            <w:hideMark/>
          </w:tcPr>
          <w:p>
            <w:pPr>
              <w:jc w:val="right"/>
              <w:rPr>
                <w:lang w:val="en-PH" w:eastAsia="en-PH"/>
              </w:rPr>
            </w:pPr>
            <w:r>
              <w:rPr>
                <w:lang w:val="en-PH" w:eastAsia="en-PH"/>
              </w:rPr>
              <w:t>16,436,582.71</w:t>
            </w:r>
          </w:p>
        </w:tc>
        <w:tc>
          <w:tcPr>
            <w:tcW w:w="1591" w:type="dxa"/>
            <w:shd w:val="clear" w:color="auto" w:fill="auto"/>
            <w:noWrap/>
            <w:vAlign w:val="center"/>
            <w:hideMark/>
          </w:tcPr>
          <w:p>
            <w:pPr>
              <w:jc w:val="right"/>
              <w:rPr>
                <w:lang w:val="en-PH" w:eastAsia="en-PH"/>
              </w:rPr>
            </w:pPr>
            <w:r>
              <w:rPr>
                <w:lang w:val="en-PH" w:eastAsia="en-PH"/>
              </w:rPr>
              <w:t>10,625,929.10</w:t>
            </w:r>
          </w:p>
        </w:tc>
        <w:tc>
          <w:tcPr>
            <w:tcW w:w="1701" w:type="dxa"/>
            <w:shd w:val="clear" w:color="auto" w:fill="auto"/>
            <w:noWrap/>
            <w:vAlign w:val="center"/>
            <w:hideMark/>
          </w:tcPr>
          <w:p>
            <w:pPr>
              <w:jc w:val="right"/>
              <w:rPr>
                <w:lang w:val="en-PH" w:eastAsia="en-PH"/>
              </w:rPr>
            </w:pPr>
            <w:r>
              <w:rPr>
                <w:lang w:val="en-PH" w:eastAsia="en-PH"/>
              </w:rPr>
              <w:t>5,810,653.61</w:t>
            </w:r>
          </w:p>
        </w:tc>
      </w:tr>
      <w:tr>
        <w:trPr>
          <w:trHeight w:val="283"/>
        </w:trPr>
        <w:tc>
          <w:tcPr>
            <w:tcW w:w="3118" w:type="dxa"/>
            <w:shd w:val="clear" w:color="auto" w:fill="auto"/>
            <w:noWrap/>
            <w:vAlign w:val="bottom"/>
            <w:hideMark/>
          </w:tcPr>
          <w:p>
            <w:pPr>
              <w:rPr>
                <w:lang w:val="en-PH" w:eastAsia="en-PH"/>
              </w:rPr>
            </w:pPr>
            <w:r>
              <w:rPr>
                <w:lang w:val="en-PH" w:eastAsia="en-PH"/>
              </w:rPr>
              <w:t>CY 2019</w:t>
            </w:r>
          </w:p>
        </w:tc>
        <w:tc>
          <w:tcPr>
            <w:tcW w:w="1620" w:type="dxa"/>
            <w:shd w:val="clear" w:color="auto" w:fill="auto"/>
            <w:noWrap/>
            <w:vAlign w:val="center"/>
            <w:hideMark/>
          </w:tcPr>
          <w:p>
            <w:pPr>
              <w:jc w:val="right"/>
              <w:rPr>
                <w:lang w:val="en-PH" w:eastAsia="en-PH"/>
              </w:rPr>
            </w:pPr>
            <w:r>
              <w:rPr>
                <w:lang w:val="en-PH" w:eastAsia="en-PH"/>
              </w:rPr>
              <w:t>30,278,554.73</w:t>
            </w:r>
          </w:p>
        </w:tc>
        <w:tc>
          <w:tcPr>
            <w:tcW w:w="1591" w:type="dxa"/>
            <w:shd w:val="clear" w:color="auto" w:fill="auto"/>
            <w:noWrap/>
            <w:vAlign w:val="center"/>
            <w:hideMark/>
          </w:tcPr>
          <w:p>
            <w:pPr>
              <w:jc w:val="right"/>
              <w:rPr>
                <w:lang w:val="en-PH" w:eastAsia="en-PH"/>
              </w:rPr>
            </w:pPr>
            <w:r>
              <w:rPr>
                <w:lang w:val="en-PH" w:eastAsia="en-PH"/>
              </w:rPr>
              <w:t>28,306,476.77</w:t>
            </w:r>
          </w:p>
        </w:tc>
        <w:tc>
          <w:tcPr>
            <w:tcW w:w="1701" w:type="dxa"/>
            <w:shd w:val="clear" w:color="auto" w:fill="auto"/>
            <w:noWrap/>
            <w:vAlign w:val="center"/>
            <w:hideMark/>
          </w:tcPr>
          <w:p>
            <w:pPr>
              <w:jc w:val="right"/>
              <w:rPr>
                <w:lang w:val="en-PH" w:eastAsia="en-PH"/>
              </w:rPr>
            </w:pPr>
            <w:r>
              <w:rPr>
                <w:lang w:val="en-PH" w:eastAsia="en-PH"/>
              </w:rPr>
              <w:t>1,972,077.96</w:t>
            </w:r>
          </w:p>
        </w:tc>
      </w:tr>
      <w:tr>
        <w:trPr>
          <w:trHeight w:val="283"/>
        </w:trPr>
        <w:tc>
          <w:tcPr>
            <w:tcW w:w="3118" w:type="dxa"/>
            <w:shd w:val="clear" w:color="auto" w:fill="auto"/>
            <w:noWrap/>
            <w:vAlign w:val="bottom"/>
            <w:hideMark/>
          </w:tcPr>
          <w:p>
            <w:pPr>
              <w:rPr>
                <w:lang w:val="en-PH" w:eastAsia="en-PH"/>
              </w:rPr>
            </w:pPr>
            <w:r>
              <w:rPr>
                <w:lang w:val="en-PH" w:eastAsia="en-PH"/>
              </w:rPr>
              <w:t>CY 2018</w:t>
            </w:r>
          </w:p>
        </w:tc>
        <w:tc>
          <w:tcPr>
            <w:tcW w:w="1620" w:type="dxa"/>
            <w:shd w:val="clear" w:color="auto" w:fill="auto"/>
            <w:noWrap/>
            <w:vAlign w:val="center"/>
            <w:hideMark/>
          </w:tcPr>
          <w:p>
            <w:pPr>
              <w:jc w:val="right"/>
              <w:rPr>
                <w:lang w:val="en-PH" w:eastAsia="en-PH"/>
              </w:rPr>
            </w:pPr>
            <w:r>
              <w:rPr>
                <w:lang w:val="en-PH" w:eastAsia="en-PH"/>
              </w:rPr>
              <w:t>26,688,099.40</w:t>
            </w:r>
          </w:p>
        </w:tc>
        <w:tc>
          <w:tcPr>
            <w:tcW w:w="1591" w:type="dxa"/>
            <w:shd w:val="clear" w:color="auto" w:fill="auto"/>
            <w:noWrap/>
            <w:vAlign w:val="center"/>
            <w:hideMark/>
          </w:tcPr>
          <w:p>
            <w:pPr>
              <w:jc w:val="right"/>
              <w:rPr>
                <w:lang w:val="en-PH" w:eastAsia="en-PH"/>
              </w:rPr>
            </w:pPr>
            <w:r>
              <w:rPr>
                <w:lang w:val="en-PH" w:eastAsia="en-PH"/>
              </w:rPr>
              <w:t>21,528,989.57</w:t>
            </w:r>
          </w:p>
        </w:tc>
        <w:tc>
          <w:tcPr>
            <w:tcW w:w="1701" w:type="dxa"/>
            <w:shd w:val="clear" w:color="auto" w:fill="auto"/>
            <w:noWrap/>
            <w:vAlign w:val="center"/>
            <w:hideMark/>
          </w:tcPr>
          <w:p>
            <w:pPr>
              <w:jc w:val="right"/>
              <w:rPr>
                <w:lang w:val="en-PH" w:eastAsia="en-PH"/>
              </w:rPr>
            </w:pPr>
            <w:r>
              <w:rPr>
                <w:lang w:val="en-PH" w:eastAsia="en-PH"/>
              </w:rPr>
              <w:t>5,159,109.83</w:t>
            </w:r>
          </w:p>
        </w:tc>
      </w:tr>
      <w:tr>
        <w:trPr>
          <w:trHeight w:val="283"/>
        </w:trPr>
        <w:tc>
          <w:tcPr>
            <w:tcW w:w="3118" w:type="dxa"/>
            <w:shd w:val="clear" w:color="auto" w:fill="auto"/>
            <w:noWrap/>
            <w:vAlign w:val="bottom"/>
            <w:hideMark/>
          </w:tcPr>
          <w:p>
            <w:pPr>
              <w:rPr>
                <w:lang w:val="en-PH" w:eastAsia="en-PH"/>
              </w:rPr>
            </w:pPr>
            <w:r>
              <w:rPr>
                <w:lang w:val="en-PH" w:eastAsia="en-PH"/>
              </w:rPr>
              <w:t>CY 2017</w:t>
            </w:r>
          </w:p>
        </w:tc>
        <w:tc>
          <w:tcPr>
            <w:tcW w:w="1620" w:type="dxa"/>
            <w:shd w:val="clear" w:color="auto" w:fill="auto"/>
            <w:noWrap/>
            <w:vAlign w:val="center"/>
            <w:hideMark/>
          </w:tcPr>
          <w:p>
            <w:pPr>
              <w:jc w:val="right"/>
              <w:rPr>
                <w:lang w:val="en-PH" w:eastAsia="en-PH"/>
              </w:rPr>
            </w:pPr>
            <w:r>
              <w:rPr>
                <w:lang w:val="en-PH" w:eastAsia="en-PH"/>
              </w:rPr>
              <w:t>12,970,771.65</w:t>
            </w:r>
          </w:p>
        </w:tc>
        <w:tc>
          <w:tcPr>
            <w:tcW w:w="1591" w:type="dxa"/>
            <w:shd w:val="clear" w:color="auto" w:fill="auto"/>
            <w:noWrap/>
            <w:vAlign w:val="center"/>
            <w:hideMark/>
          </w:tcPr>
          <w:p>
            <w:pPr>
              <w:jc w:val="right"/>
              <w:rPr>
                <w:lang w:val="en-PH" w:eastAsia="en-PH"/>
              </w:rPr>
            </w:pPr>
            <w:r>
              <w:rPr>
                <w:lang w:val="en-PH" w:eastAsia="en-PH"/>
              </w:rPr>
              <w:t>9,018,348.99</w:t>
            </w:r>
          </w:p>
        </w:tc>
        <w:tc>
          <w:tcPr>
            <w:tcW w:w="1701" w:type="dxa"/>
            <w:shd w:val="clear" w:color="auto" w:fill="auto"/>
            <w:noWrap/>
            <w:vAlign w:val="center"/>
            <w:hideMark/>
          </w:tcPr>
          <w:p>
            <w:pPr>
              <w:jc w:val="right"/>
              <w:rPr>
                <w:lang w:val="en-PH" w:eastAsia="en-PH"/>
              </w:rPr>
            </w:pPr>
            <w:r>
              <w:rPr>
                <w:lang w:val="en-PH" w:eastAsia="en-PH"/>
              </w:rPr>
              <w:t>3,952,422.66</w:t>
            </w:r>
          </w:p>
        </w:tc>
      </w:tr>
      <w:tr>
        <w:trPr>
          <w:trHeight w:val="283"/>
        </w:trPr>
        <w:tc>
          <w:tcPr>
            <w:tcW w:w="3118" w:type="dxa"/>
            <w:shd w:val="clear" w:color="auto" w:fill="auto"/>
            <w:noWrap/>
            <w:vAlign w:val="bottom"/>
            <w:hideMark/>
          </w:tcPr>
          <w:p>
            <w:pPr>
              <w:rPr>
                <w:lang w:val="en-PH" w:eastAsia="en-PH"/>
              </w:rPr>
            </w:pPr>
            <w:r>
              <w:rPr>
                <w:lang w:val="en-PH" w:eastAsia="en-PH"/>
              </w:rPr>
              <w:t>CY 2016</w:t>
            </w:r>
          </w:p>
        </w:tc>
        <w:tc>
          <w:tcPr>
            <w:tcW w:w="1620" w:type="dxa"/>
            <w:shd w:val="clear" w:color="auto" w:fill="auto"/>
            <w:noWrap/>
            <w:vAlign w:val="center"/>
            <w:hideMark/>
          </w:tcPr>
          <w:p>
            <w:pPr>
              <w:jc w:val="right"/>
              <w:rPr>
                <w:lang w:val="en-PH" w:eastAsia="en-PH"/>
              </w:rPr>
            </w:pPr>
            <w:r>
              <w:rPr>
                <w:lang w:val="en-PH" w:eastAsia="en-PH"/>
              </w:rPr>
              <w:t>13,222,000.34</w:t>
            </w:r>
          </w:p>
        </w:tc>
        <w:tc>
          <w:tcPr>
            <w:tcW w:w="1591" w:type="dxa"/>
            <w:shd w:val="clear" w:color="auto" w:fill="auto"/>
            <w:noWrap/>
            <w:vAlign w:val="center"/>
            <w:hideMark/>
          </w:tcPr>
          <w:p>
            <w:pPr>
              <w:jc w:val="right"/>
              <w:rPr>
                <w:lang w:val="en-PH" w:eastAsia="en-PH"/>
              </w:rPr>
            </w:pPr>
            <w:r>
              <w:rPr>
                <w:lang w:val="en-PH" w:eastAsia="en-PH"/>
              </w:rPr>
              <w:t>13,068,254.32</w:t>
            </w:r>
          </w:p>
        </w:tc>
        <w:tc>
          <w:tcPr>
            <w:tcW w:w="1701" w:type="dxa"/>
            <w:shd w:val="clear" w:color="auto" w:fill="auto"/>
            <w:noWrap/>
            <w:vAlign w:val="center"/>
            <w:hideMark/>
          </w:tcPr>
          <w:p>
            <w:pPr>
              <w:jc w:val="right"/>
              <w:rPr>
                <w:lang w:val="en-PH" w:eastAsia="en-PH"/>
              </w:rPr>
            </w:pPr>
            <w:r>
              <w:rPr>
                <w:lang w:val="en-PH" w:eastAsia="en-PH"/>
              </w:rPr>
              <w:t>153,746.02</w:t>
            </w:r>
          </w:p>
        </w:tc>
      </w:tr>
      <w:tr>
        <w:trPr>
          <w:trHeight w:val="283"/>
        </w:trPr>
        <w:tc>
          <w:tcPr>
            <w:tcW w:w="3118" w:type="dxa"/>
            <w:shd w:val="clear" w:color="auto" w:fill="auto"/>
            <w:noWrap/>
            <w:vAlign w:val="bottom"/>
            <w:hideMark/>
          </w:tcPr>
          <w:p>
            <w:pPr>
              <w:rPr>
                <w:b/>
                <w:bCs/>
                <w:lang w:val="en-PH" w:eastAsia="en-PH"/>
              </w:rPr>
            </w:pPr>
            <w:r>
              <w:rPr>
                <w:b/>
                <w:bCs/>
                <w:lang w:val="en-PH" w:eastAsia="en-PH"/>
              </w:rPr>
              <w:t>Total</w:t>
            </w:r>
          </w:p>
        </w:tc>
        <w:tc>
          <w:tcPr>
            <w:tcW w:w="1620" w:type="dxa"/>
            <w:shd w:val="clear" w:color="auto" w:fill="auto"/>
            <w:noWrap/>
            <w:vAlign w:val="center"/>
            <w:hideMark/>
          </w:tcPr>
          <w:p>
            <w:pPr>
              <w:jc w:val="right"/>
              <w:rPr>
                <w:b/>
                <w:bCs/>
                <w:lang w:val="en-PH" w:eastAsia="en-PH"/>
              </w:rPr>
            </w:pPr>
            <w:r>
              <w:rPr>
                <w:b/>
                <w:bCs/>
                <w:lang w:val="en-PH" w:eastAsia="en-PH"/>
              </w:rPr>
              <w:t>144,799,593.02</w:t>
            </w:r>
          </w:p>
        </w:tc>
        <w:tc>
          <w:tcPr>
            <w:tcW w:w="1591" w:type="dxa"/>
            <w:shd w:val="clear" w:color="auto" w:fill="auto"/>
            <w:noWrap/>
            <w:vAlign w:val="center"/>
            <w:hideMark/>
          </w:tcPr>
          <w:p>
            <w:pPr>
              <w:jc w:val="right"/>
              <w:rPr>
                <w:b/>
                <w:bCs/>
                <w:lang w:val="en-PH" w:eastAsia="en-PH"/>
              </w:rPr>
            </w:pPr>
            <w:r>
              <w:rPr>
                <w:b/>
                <w:bCs/>
                <w:lang w:val="en-PH" w:eastAsia="en-PH"/>
              </w:rPr>
              <w:t>83,698,870.75</w:t>
            </w:r>
          </w:p>
        </w:tc>
        <w:tc>
          <w:tcPr>
            <w:tcW w:w="1701" w:type="dxa"/>
            <w:shd w:val="clear" w:color="auto" w:fill="auto"/>
            <w:noWrap/>
            <w:vAlign w:val="center"/>
            <w:hideMark/>
          </w:tcPr>
          <w:p>
            <w:pPr>
              <w:jc w:val="right"/>
              <w:rPr>
                <w:b/>
                <w:bCs/>
                <w:lang w:val="en-PH" w:eastAsia="en-PH"/>
              </w:rPr>
            </w:pPr>
            <w:r>
              <w:rPr>
                <w:b/>
                <w:bCs/>
                <w:lang w:val="en-PH" w:eastAsia="en-PH"/>
              </w:rPr>
              <w:t>61,100,722.27</w:t>
            </w:r>
          </w:p>
        </w:tc>
      </w:tr>
      <w:tr>
        <w:trPr>
          <w:trHeight w:val="283"/>
        </w:trPr>
        <w:tc>
          <w:tcPr>
            <w:tcW w:w="3118" w:type="dxa"/>
            <w:shd w:val="clear" w:color="auto" w:fill="auto"/>
            <w:vAlign w:val="center"/>
            <w:hideMark/>
          </w:tcPr>
          <w:p>
            <w:pPr>
              <w:rPr>
                <w:b/>
                <w:bCs/>
                <w:lang w:val="en-PH" w:eastAsia="en-PH"/>
              </w:rPr>
            </w:pPr>
            <w:r>
              <w:rPr>
                <w:b/>
                <w:bCs/>
                <w:lang w:val="en-PH" w:eastAsia="en-PH"/>
              </w:rPr>
              <w:t>Grand Total</w:t>
            </w:r>
          </w:p>
        </w:tc>
        <w:tc>
          <w:tcPr>
            <w:tcW w:w="1620" w:type="dxa"/>
            <w:shd w:val="clear" w:color="auto" w:fill="auto"/>
            <w:noWrap/>
            <w:vAlign w:val="center"/>
            <w:hideMark/>
          </w:tcPr>
          <w:p>
            <w:pPr>
              <w:jc w:val="right"/>
              <w:rPr>
                <w:b/>
                <w:bCs/>
                <w:lang w:val="en-PH" w:eastAsia="en-PH"/>
              </w:rPr>
            </w:pPr>
            <w:r>
              <w:rPr>
                <w:b/>
                <w:bCs/>
                <w:lang w:val="en-PH" w:eastAsia="en-PH"/>
              </w:rPr>
              <w:t>245,003,284.37</w:t>
            </w:r>
          </w:p>
        </w:tc>
        <w:tc>
          <w:tcPr>
            <w:tcW w:w="1591" w:type="dxa"/>
            <w:shd w:val="clear" w:color="auto" w:fill="auto"/>
            <w:noWrap/>
            <w:vAlign w:val="center"/>
            <w:hideMark/>
          </w:tcPr>
          <w:p>
            <w:pPr>
              <w:jc w:val="right"/>
              <w:rPr>
                <w:b/>
                <w:bCs/>
                <w:lang w:val="en-PH" w:eastAsia="en-PH"/>
              </w:rPr>
            </w:pPr>
            <w:r>
              <w:rPr>
                <w:b/>
                <w:bCs/>
                <w:lang w:val="en-PH" w:eastAsia="en-PH"/>
              </w:rPr>
              <w:t>137,878,041.77</w:t>
            </w:r>
          </w:p>
        </w:tc>
        <w:tc>
          <w:tcPr>
            <w:tcW w:w="1701" w:type="dxa"/>
            <w:shd w:val="clear" w:color="auto" w:fill="auto"/>
            <w:noWrap/>
            <w:vAlign w:val="center"/>
            <w:hideMark/>
          </w:tcPr>
          <w:p>
            <w:pPr>
              <w:jc w:val="right"/>
              <w:rPr>
                <w:b/>
                <w:bCs/>
                <w:lang w:val="en-PH" w:eastAsia="en-PH"/>
              </w:rPr>
            </w:pPr>
            <w:r>
              <w:rPr>
                <w:b/>
                <w:bCs/>
                <w:lang w:val="en-PH" w:eastAsia="en-PH"/>
              </w:rPr>
              <w:t>107,125,242.60</w:t>
            </w:r>
          </w:p>
        </w:tc>
      </w:tr>
    </w:tbl>
    <w:p>
      <w:pPr>
        <w:ind w:firstLine="720"/>
        <w:jc w:val="both"/>
        <w:rPr>
          <w:b/>
          <w:bCs/>
          <w:sz w:val="24"/>
          <w:szCs w:val="24"/>
          <w:lang w:val="en-PH" w:eastAsia="en-PH"/>
        </w:rPr>
      </w:pPr>
    </w:p>
    <w:p>
      <w:pPr>
        <w:ind w:left="1134"/>
        <w:jc w:val="both"/>
        <w:rPr>
          <w:b/>
          <w:bCs/>
          <w:sz w:val="24"/>
          <w:szCs w:val="24"/>
          <w:lang w:val="en-PH" w:eastAsia="en-PH"/>
        </w:rPr>
      </w:pPr>
      <w:r>
        <w:rPr>
          <w:b/>
          <w:bCs/>
          <w:sz w:val="24"/>
          <w:szCs w:val="24"/>
          <w:lang w:val="en-PH" w:eastAsia="en-PH"/>
        </w:rPr>
        <w:t>15.3 Guaranty/Security Deposits Payable</w:t>
      </w:r>
    </w:p>
    <w:p>
      <w:pPr>
        <w:ind w:firstLine="720"/>
        <w:jc w:val="both"/>
        <w:rPr>
          <w:b/>
          <w:bCs/>
          <w:sz w:val="24"/>
          <w:szCs w:val="24"/>
          <w:lang w:val="en-PH" w:eastAsia="en-PH"/>
        </w:rPr>
      </w:pPr>
    </w:p>
    <w:p>
      <w:pPr>
        <w:spacing w:line="276" w:lineRule="auto"/>
        <w:ind w:left="1418"/>
        <w:jc w:val="both"/>
        <w:rPr>
          <w:sz w:val="24"/>
          <w:szCs w:val="24"/>
          <w:lang w:val="en-PH" w:eastAsia="en-PH"/>
        </w:rPr>
      </w:pPr>
      <w:r>
        <w:rPr>
          <w:sz w:val="24"/>
          <w:szCs w:val="24"/>
          <w:lang w:val="en-PH" w:eastAsia="en-PH"/>
        </w:rPr>
        <w:t>This account comprised of retentions of projects, supplies and PPE, performance bond and cash bond. Below are the summary balances:</w:t>
      </w:r>
    </w:p>
    <w:p>
      <w:pPr>
        <w:spacing w:line="276" w:lineRule="auto"/>
        <w:ind w:left="1418"/>
        <w:jc w:val="both"/>
        <w:rPr>
          <w:sz w:val="24"/>
          <w:szCs w:val="24"/>
          <w:lang w:val="en-PH" w:eastAsia="en-PH"/>
        </w:rPr>
      </w:pPr>
    </w:p>
    <w:tbl>
      <w:tblPr>
        <w:tblW w:w="7880" w:type="dxa"/>
        <w:tblInd w:w="1526" w:type="dxa"/>
        <w:tblLook w:val="04A0" w:firstRow="1" w:lastRow="0" w:firstColumn="1" w:lastColumn="0" w:noHBand="0" w:noVBand="1"/>
      </w:tblPr>
      <w:tblGrid>
        <w:gridCol w:w="5682"/>
        <w:gridCol w:w="2198"/>
      </w:tblGrid>
      <w:tr>
        <w:trPr>
          <w:trHeight w:val="283"/>
        </w:trPr>
        <w:tc>
          <w:tcPr>
            <w:tcW w:w="5682"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 xml:space="preserve">Guaranty/Security Deposits Payable </w:t>
            </w:r>
          </w:p>
        </w:tc>
        <w:tc>
          <w:tcPr>
            <w:tcW w:w="2198"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Amount</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Retention of various projects</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62,715,789.74</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Retention for purchases of supplies</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2,636,256.96</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Retention for purchases of PPE</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655,477.30 </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Collection of Performance Bond</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552,267.45</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Cash and Bail Bond</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 xml:space="preserve">112,466.30 </w:t>
            </w:r>
          </w:p>
        </w:tc>
      </w:tr>
      <w:tr>
        <w:trPr>
          <w:trHeight w:val="283"/>
        </w:trPr>
        <w:tc>
          <w:tcPr>
            <w:tcW w:w="5682"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For reconciliation</w:t>
            </w:r>
          </w:p>
        </w:tc>
        <w:tc>
          <w:tcPr>
            <w:tcW w:w="2198" w:type="dxa"/>
            <w:tcBorders>
              <w:top w:val="nil"/>
              <w:left w:val="nil"/>
              <w:bottom w:val="nil"/>
              <w:right w:val="nil"/>
            </w:tcBorders>
            <w:shd w:val="clear" w:color="auto" w:fill="auto"/>
            <w:vAlign w:val="center"/>
            <w:hideMark/>
          </w:tcPr>
          <w:p>
            <w:pPr>
              <w:jc w:val="right"/>
              <w:rPr>
                <w:sz w:val="22"/>
                <w:szCs w:val="22"/>
                <w:lang w:val="en-PH" w:eastAsia="en-PH"/>
              </w:rPr>
            </w:pPr>
            <w:r>
              <w:rPr>
                <w:sz w:val="22"/>
                <w:szCs w:val="22"/>
                <w:lang w:val="en-PH" w:eastAsia="en-PH"/>
              </w:rPr>
              <w:t>3,794,205.43</w:t>
            </w:r>
          </w:p>
        </w:tc>
      </w:tr>
      <w:tr>
        <w:trPr>
          <w:trHeight w:val="283"/>
        </w:trPr>
        <w:tc>
          <w:tcPr>
            <w:tcW w:w="5682" w:type="dxa"/>
            <w:tcBorders>
              <w:top w:val="single" w:sz="4" w:space="0" w:color="A6A6A6"/>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Total</w:t>
            </w:r>
          </w:p>
        </w:tc>
        <w:tc>
          <w:tcPr>
            <w:tcW w:w="2198" w:type="dxa"/>
            <w:tcBorders>
              <w:top w:val="single" w:sz="4" w:space="0" w:color="A6A6A6"/>
              <w:left w:val="nil"/>
              <w:bottom w:val="double" w:sz="6" w:space="0" w:color="A6A6A6"/>
              <w:right w:val="nil"/>
            </w:tcBorders>
            <w:shd w:val="clear" w:color="auto" w:fill="auto"/>
            <w:noWrap/>
            <w:vAlign w:val="center"/>
            <w:hideMark/>
          </w:tcPr>
          <w:p>
            <w:pPr>
              <w:ind w:firstLineChars="200" w:firstLine="442"/>
              <w:rPr>
                <w:b/>
                <w:bCs/>
                <w:sz w:val="22"/>
                <w:szCs w:val="22"/>
                <w:lang w:val="en-PH" w:eastAsia="en-PH"/>
              </w:rPr>
            </w:pPr>
            <w:r>
              <w:rPr>
                <w:b/>
                <w:bCs/>
                <w:sz w:val="22"/>
                <w:szCs w:val="22"/>
                <w:lang w:val="en-PH" w:eastAsia="en-PH"/>
              </w:rPr>
              <w:t xml:space="preserve">    70,466,463.18</w:t>
            </w:r>
          </w:p>
        </w:tc>
      </w:tr>
    </w:tbl>
    <w:p>
      <w:pPr>
        <w:ind w:left="720"/>
        <w:jc w:val="both"/>
        <w:rPr>
          <w:sz w:val="24"/>
          <w:szCs w:val="24"/>
          <w:lang w:val="en-PH" w:eastAsia="en-PH"/>
        </w:rPr>
      </w:pPr>
    </w:p>
    <w:p>
      <w:pPr>
        <w:spacing w:line="276" w:lineRule="auto"/>
        <w:ind w:left="1418"/>
        <w:jc w:val="both"/>
        <w:rPr>
          <w:sz w:val="24"/>
          <w:szCs w:val="24"/>
        </w:rPr>
      </w:pPr>
      <w:r>
        <w:rPr>
          <w:sz w:val="24"/>
          <w:szCs w:val="24"/>
        </w:rPr>
        <w:t>The balance for reconciliation is related to prior year’s retention subject to double verification of subsidiary ledger details.</w:t>
      </w:r>
    </w:p>
    <w:p>
      <w:pPr>
        <w:spacing w:line="276" w:lineRule="auto"/>
        <w:ind w:left="1418"/>
        <w:jc w:val="both"/>
        <w:rPr>
          <w:sz w:val="24"/>
          <w:szCs w:val="24"/>
        </w:rPr>
      </w:pPr>
    </w:p>
    <w:p>
      <w:pPr>
        <w:ind w:firstLine="720"/>
        <w:jc w:val="both"/>
        <w:rPr>
          <w:sz w:val="24"/>
          <w:szCs w:val="24"/>
        </w:rPr>
      </w:pPr>
    </w:p>
    <w:p>
      <w:pPr>
        <w:jc w:val="both"/>
        <w:rPr>
          <w:b/>
          <w:bCs/>
          <w:sz w:val="24"/>
          <w:szCs w:val="24"/>
        </w:rPr>
      </w:pPr>
      <w:r>
        <w:rPr>
          <w:b/>
          <w:bCs/>
          <w:sz w:val="24"/>
          <w:szCs w:val="24"/>
        </w:rPr>
        <w:t>Note 16 – Deferred Credits/Unearned Income</w:t>
      </w:r>
    </w:p>
    <w:p>
      <w:pPr>
        <w:jc w:val="both"/>
        <w:rPr>
          <w:sz w:val="24"/>
          <w:szCs w:val="24"/>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8647" w:type="dxa"/>
        <w:tblInd w:w="817" w:type="dxa"/>
        <w:tblLayout w:type="fixed"/>
        <w:tblLook w:val="04A0" w:firstRow="1" w:lastRow="0" w:firstColumn="1" w:lastColumn="0" w:noHBand="0" w:noVBand="1"/>
      </w:tblPr>
      <w:tblGrid>
        <w:gridCol w:w="3695"/>
        <w:gridCol w:w="2476"/>
        <w:gridCol w:w="2476"/>
      </w:tblGrid>
      <w:tr>
        <w:trPr>
          <w:trHeight w:val="340"/>
        </w:trPr>
        <w:tc>
          <w:tcPr>
            <w:tcW w:w="369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Deferred Credits</w:t>
            </w:r>
          </w:p>
        </w:tc>
        <w:tc>
          <w:tcPr>
            <w:tcW w:w="247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47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Deferred Real Property Tax</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64,711,487.53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10,412,835.74 </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Deferred Special Education Tax</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57,277,785.28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9,595,249.34 </w:t>
            </w:r>
          </w:p>
        </w:tc>
      </w:tr>
      <w:tr>
        <w:trPr>
          <w:trHeight w:val="340"/>
        </w:trPr>
        <w:tc>
          <w:tcPr>
            <w:tcW w:w="369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Other Deferred Credits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158,577,146.42 </w:t>
            </w:r>
          </w:p>
        </w:tc>
        <w:tc>
          <w:tcPr>
            <w:tcW w:w="247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 xml:space="preserve">1,175,814.14 </w:t>
            </w:r>
          </w:p>
        </w:tc>
      </w:tr>
      <w:tr>
        <w:trPr>
          <w:trHeight w:val="340"/>
        </w:trPr>
        <w:tc>
          <w:tcPr>
            <w:tcW w:w="369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47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280,566,419.23</w:t>
            </w:r>
          </w:p>
        </w:tc>
        <w:tc>
          <w:tcPr>
            <w:tcW w:w="247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21,183,899.22 </w:t>
            </w:r>
          </w:p>
        </w:tc>
      </w:tr>
    </w:tbl>
    <w:p>
      <w:pPr>
        <w:jc w:val="both"/>
        <w:rPr>
          <w:sz w:val="24"/>
          <w:szCs w:val="24"/>
        </w:rPr>
      </w:pPr>
    </w:p>
    <w:p>
      <w:pPr>
        <w:ind w:left="1134"/>
        <w:jc w:val="both"/>
        <w:rPr>
          <w:b/>
          <w:bCs/>
          <w:sz w:val="24"/>
          <w:szCs w:val="24"/>
        </w:rPr>
      </w:pPr>
      <w:r>
        <w:rPr>
          <w:b/>
          <w:bCs/>
          <w:sz w:val="24"/>
          <w:szCs w:val="24"/>
        </w:rPr>
        <w:t>16.1 Other Deferred Credits</w:t>
      </w:r>
    </w:p>
    <w:p>
      <w:pPr>
        <w:ind w:firstLine="720"/>
        <w:jc w:val="both"/>
        <w:rPr>
          <w:sz w:val="24"/>
          <w:szCs w:val="24"/>
        </w:rPr>
      </w:pPr>
    </w:p>
    <w:p>
      <w:pPr>
        <w:ind w:left="1418"/>
        <w:jc w:val="both"/>
        <w:rPr>
          <w:sz w:val="24"/>
          <w:szCs w:val="24"/>
        </w:rPr>
      </w:pPr>
      <w:r>
        <w:rPr>
          <w:sz w:val="24"/>
          <w:szCs w:val="24"/>
        </w:rPr>
        <w:t>The details that comprised the Other Deferred Credits account are as per below:</w:t>
      </w:r>
    </w:p>
    <w:p>
      <w:pPr>
        <w:jc w:val="both"/>
        <w:rPr>
          <w:sz w:val="24"/>
          <w:szCs w:val="24"/>
        </w:rPr>
      </w:pPr>
    </w:p>
    <w:tbl>
      <w:tblPr>
        <w:tblW w:w="8030" w:type="dxa"/>
        <w:tblInd w:w="1418" w:type="dxa"/>
        <w:tblLook w:val="04A0" w:firstRow="1" w:lastRow="0" w:firstColumn="1" w:lastColumn="0" w:noHBand="0" w:noVBand="1"/>
      </w:tblPr>
      <w:tblGrid>
        <w:gridCol w:w="5211"/>
        <w:gridCol w:w="2819"/>
      </w:tblGrid>
      <w:tr>
        <w:trPr>
          <w:trHeight w:val="283"/>
        </w:trPr>
        <w:tc>
          <w:tcPr>
            <w:tcW w:w="521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Other Deferred Credits</w:t>
            </w:r>
          </w:p>
        </w:tc>
        <w:tc>
          <w:tcPr>
            <w:tcW w:w="281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2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COA Disallowance (under protest)</w:t>
            </w:r>
          </w:p>
        </w:tc>
        <w:tc>
          <w:tcPr>
            <w:tcW w:w="281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272,899.50 </w:t>
            </w:r>
          </w:p>
        </w:tc>
      </w:tr>
      <w:tr>
        <w:trPr>
          <w:trHeight w:val="283"/>
        </w:trPr>
        <w:tc>
          <w:tcPr>
            <w:tcW w:w="52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RPT (under protest)</w:t>
            </w:r>
          </w:p>
        </w:tc>
        <w:tc>
          <w:tcPr>
            <w:tcW w:w="281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623,192.13 </w:t>
            </w:r>
          </w:p>
        </w:tc>
      </w:tr>
      <w:tr>
        <w:trPr>
          <w:trHeight w:val="283"/>
        </w:trPr>
        <w:tc>
          <w:tcPr>
            <w:tcW w:w="52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RPT Advance Payment</w:t>
            </w:r>
          </w:p>
        </w:tc>
        <w:tc>
          <w:tcPr>
            <w:tcW w:w="281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15,694,325.04 </w:t>
            </w:r>
          </w:p>
        </w:tc>
      </w:tr>
      <w:tr>
        <w:trPr>
          <w:trHeight w:val="283"/>
        </w:trPr>
        <w:tc>
          <w:tcPr>
            <w:tcW w:w="52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DILG - RFU XI</w:t>
            </w:r>
          </w:p>
        </w:tc>
        <w:tc>
          <w:tcPr>
            <w:tcW w:w="281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141,986,729.75 </w:t>
            </w:r>
          </w:p>
        </w:tc>
      </w:tr>
      <w:tr>
        <w:trPr>
          <w:trHeight w:val="283"/>
        </w:trPr>
        <w:tc>
          <w:tcPr>
            <w:tcW w:w="5211"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81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158,577,146.42 </w:t>
            </w:r>
          </w:p>
        </w:tc>
      </w:tr>
    </w:tbl>
    <w:p>
      <w:pPr>
        <w:jc w:val="both"/>
        <w:rPr>
          <w:sz w:val="24"/>
          <w:szCs w:val="24"/>
        </w:rPr>
      </w:pPr>
    </w:p>
    <w:p>
      <w:pPr>
        <w:spacing w:line="276" w:lineRule="auto"/>
        <w:ind w:left="1418"/>
        <w:jc w:val="both"/>
        <w:rPr>
          <w:sz w:val="24"/>
          <w:szCs w:val="24"/>
        </w:rPr>
      </w:pPr>
      <w:r>
        <w:rPr>
          <w:sz w:val="24"/>
          <w:szCs w:val="24"/>
        </w:rPr>
        <w:t>The high-value items accounted for in other deferred credits account pertains to the balance of grants from DILG as Support to the Barangay Development Program of the National Task Force to End Local Communist Armed Conflict (ELCAC).This account will be reversed upon completion of purpose of grant. The RPT advance payment were recorded in this account as the system cannot activate the subsidiary ledger for the Deferred Real Property Tax account, moreover, this issue will be escalated to the COA IT helpdesk and will be adjusted eventually once the issue will be resolved.</w:t>
      </w:r>
    </w:p>
    <w:p>
      <w:pPr>
        <w:jc w:val="both"/>
        <w:rPr>
          <w:sz w:val="24"/>
          <w:szCs w:val="24"/>
        </w:rPr>
      </w:pPr>
    </w:p>
    <w:p>
      <w:pPr>
        <w:jc w:val="both"/>
        <w:rPr>
          <w:b/>
          <w:bCs/>
          <w:sz w:val="24"/>
          <w:szCs w:val="24"/>
        </w:rPr>
      </w:pPr>
      <w:r>
        <w:rPr>
          <w:b/>
          <w:bCs/>
          <w:sz w:val="24"/>
          <w:szCs w:val="24"/>
        </w:rPr>
        <w:t>Note 17 – Other Payables</w:t>
      </w:r>
    </w:p>
    <w:p>
      <w:pPr>
        <w:jc w:val="both"/>
        <w:rPr>
          <w:sz w:val="24"/>
          <w:szCs w:val="24"/>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8647" w:type="dxa"/>
        <w:tblInd w:w="817" w:type="dxa"/>
        <w:tblLayout w:type="fixed"/>
        <w:tblLook w:val="04A0" w:firstRow="1" w:lastRow="0" w:firstColumn="1" w:lastColumn="0" w:noHBand="0" w:noVBand="1"/>
      </w:tblPr>
      <w:tblGrid>
        <w:gridCol w:w="4110"/>
        <w:gridCol w:w="2268"/>
        <w:gridCol w:w="2269"/>
      </w:tblGrid>
      <w:tr>
        <w:trPr>
          <w:trHeight w:val="340"/>
        </w:trPr>
        <w:tc>
          <w:tcPr>
            <w:tcW w:w="411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p>
          <w:p>
            <w:pPr>
              <w:jc w:val="center"/>
              <w:rPr>
                <w:b/>
                <w:bCs/>
                <w:sz w:val="24"/>
                <w:szCs w:val="24"/>
                <w:lang w:val="en-PH" w:eastAsia="en-PH"/>
              </w:rPr>
            </w:pPr>
            <w:r>
              <w:rPr>
                <w:b/>
                <w:bCs/>
                <w:sz w:val="24"/>
                <w:szCs w:val="24"/>
                <w:lang w:val="en-PH" w:eastAsia="en-PH"/>
              </w:rPr>
              <w:t>Other Payable</w:t>
            </w:r>
          </w:p>
        </w:tc>
        <w:tc>
          <w:tcPr>
            <w:tcW w:w="226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1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Payables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26,964,250.60 </w:t>
            </w:r>
          </w:p>
        </w:tc>
        <w:tc>
          <w:tcPr>
            <w:tcW w:w="226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73,845,618.88 </w:t>
            </w:r>
          </w:p>
        </w:tc>
      </w:tr>
      <w:tr>
        <w:trPr>
          <w:trHeight w:val="340"/>
        </w:trPr>
        <w:tc>
          <w:tcPr>
            <w:tcW w:w="411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6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26,964,250.60 </w:t>
            </w:r>
          </w:p>
        </w:tc>
        <w:tc>
          <w:tcPr>
            <w:tcW w:w="226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73,845,618.88 </w:t>
            </w:r>
          </w:p>
        </w:tc>
      </w:tr>
    </w:tbl>
    <w:p>
      <w:pPr>
        <w:jc w:val="both"/>
        <w:rPr>
          <w:sz w:val="24"/>
          <w:szCs w:val="24"/>
        </w:rPr>
      </w:pPr>
    </w:p>
    <w:p>
      <w:pPr>
        <w:spacing w:line="276" w:lineRule="auto"/>
        <w:ind w:left="709"/>
        <w:jc w:val="both"/>
        <w:rPr>
          <w:rFonts w:eastAsia="Calibri"/>
          <w:bCs/>
          <w:sz w:val="24"/>
          <w:szCs w:val="24"/>
          <w:lang w:val="en-PH"/>
        </w:rPr>
      </w:pPr>
      <w:r>
        <w:rPr>
          <w:rFonts w:eastAsia="Calibri"/>
          <w:bCs/>
          <w:sz w:val="24"/>
          <w:szCs w:val="24"/>
          <w:lang w:val="en-PH"/>
        </w:rPr>
        <w:t>Other Payables account consist of deductions from the salaries of employees other than the mandatory deductions, subject to remittance to other parties and institutions (e.g. banks, LGU cooperative, etc.). It also includes liabilities incurred for grants and assistance given to eligible clients.</w:t>
      </w:r>
    </w:p>
    <w:p>
      <w:pPr>
        <w:jc w:val="both"/>
        <w:rPr>
          <w:rFonts w:eastAsia="Calibri"/>
          <w:bCs/>
          <w:sz w:val="24"/>
          <w:szCs w:val="24"/>
          <w:lang w:val="en-PH"/>
        </w:rPr>
      </w:pPr>
    </w:p>
    <w:p>
      <w:pPr>
        <w:jc w:val="both"/>
        <w:rPr>
          <w:b/>
          <w:bCs/>
          <w:sz w:val="24"/>
          <w:szCs w:val="24"/>
        </w:rPr>
      </w:pPr>
      <w:r>
        <w:rPr>
          <w:b/>
          <w:bCs/>
          <w:sz w:val="24"/>
          <w:szCs w:val="24"/>
        </w:rPr>
        <w:t>Note 18 - Tax Revenue</w:t>
      </w:r>
    </w:p>
    <w:p>
      <w:pPr>
        <w:jc w:val="both"/>
        <w:rPr>
          <w:rFonts w:eastAsia="Calibri"/>
          <w:b/>
          <w:sz w:val="24"/>
          <w:szCs w:val="24"/>
          <w:lang w:val="en-PH"/>
        </w:rPr>
      </w:pPr>
    </w:p>
    <w:p>
      <w:pPr>
        <w:spacing w:line="276" w:lineRule="auto"/>
        <w:ind w:left="720"/>
        <w:jc w:val="both"/>
        <w:rPr>
          <w:sz w:val="24"/>
          <w:szCs w:val="24"/>
        </w:rPr>
      </w:pPr>
      <w:r>
        <w:rPr>
          <w:sz w:val="24"/>
          <w:szCs w:val="24"/>
          <w:lang w:val="en-PH" w:eastAsia="en-PH"/>
        </w:rPr>
        <w:t xml:space="preserve">This comprised the following group of accounts with </w:t>
      </w:r>
      <w:r>
        <w:rPr>
          <w:sz w:val="24"/>
          <w:szCs w:val="24"/>
        </w:rPr>
        <w:t>the comparative figure for the year ended 2022 and 2021.</w:t>
      </w:r>
    </w:p>
    <w:p>
      <w:pPr>
        <w:ind w:left="720"/>
        <w:jc w:val="both"/>
        <w:rPr>
          <w:sz w:val="24"/>
          <w:szCs w:val="24"/>
        </w:rPr>
      </w:pPr>
    </w:p>
    <w:tbl>
      <w:tblPr>
        <w:tblW w:w="8647" w:type="dxa"/>
        <w:tblInd w:w="817" w:type="dxa"/>
        <w:tblLayout w:type="fixed"/>
        <w:tblLook w:val="04A0" w:firstRow="1" w:lastRow="0" w:firstColumn="1" w:lastColumn="0" w:noHBand="0" w:noVBand="1"/>
      </w:tblPr>
      <w:tblGrid>
        <w:gridCol w:w="3984"/>
        <w:gridCol w:w="2331"/>
        <w:gridCol w:w="2332"/>
      </w:tblGrid>
      <w:tr>
        <w:trPr>
          <w:trHeight w:val="340"/>
        </w:trPr>
        <w:tc>
          <w:tcPr>
            <w:tcW w:w="3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w:t>
            </w:r>
          </w:p>
        </w:tc>
        <w:tc>
          <w:tcPr>
            <w:tcW w:w="233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33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Individual and Corporation</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5,896,908.09</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5,457,557.57</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Property</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104,414,866.26</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104,714,064.74</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Goods and Services</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142,985,823.83</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172,292,948.04</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Others</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50,152,396.58</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Fines and Penalties</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12,027,915.75</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12,246,105.03</w:t>
            </w:r>
          </w:p>
        </w:tc>
      </w:tr>
      <w:tr>
        <w:trPr>
          <w:trHeight w:val="340"/>
        </w:trPr>
        <w:tc>
          <w:tcPr>
            <w:tcW w:w="398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Share from National Taxes</w:t>
            </w:r>
          </w:p>
        </w:tc>
        <w:tc>
          <w:tcPr>
            <w:tcW w:w="233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1,248,221,550.00</w:t>
            </w:r>
          </w:p>
        </w:tc>
        <w:tc>
          <w:tcPr>
            <w:tcW w:w="233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889,288,639.00</w:t>
            </w:r>
          </w:p>
        </w:tc>
      </w:tr>
      <w:tr>
        <w:trPr>
          <w:trHeight w:val="340"/>
        </w:trPr>
        <w:tc>
          <w:tcPr>
            <w:tcW w:w="398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331" w:type="dxa"/>
            <w:tcBorders>
              <w:top w:val="single" w:sz="4" w:space="0" w:color="A6A6A6"/>
              <w:left w:val="nil"/>
              <w:bottom w:val="double" w:sz="6" w:space="0" w:color="A6A6A6"/>
              <w:right w:val="nil"/>
            </w:tcBorders>
            <w:shd w:val="clear" w:color="auto" w:fill="auto"/>
            <w:noWrap/>
            <w:vAlign w:val="center"/>
            <w:hideMark/>
          </w:tcPr>
          <w:p>
            <w:pPr>
              <w:ind w:firstLineChars="7" w:firstLine="17"/>
              <w:jc w:val="right"/>
              <w:rPr>
                <w:b/>
                <w:bCs/>
                <w:sz w:val="24"/>
                <w:szCs w:val="24"/>
                <w:lang w:val="en-PH" w:eastAsia="en-PH"/>
              </w:rPr>
            </w:pPr>
            <w:r>
              <w:rPr>
                <w:b/>
                <w:bCs/>
                <w:sz w:val="24"/>
                <w:szCs w:val="24"/>
                <w:lang w:val="en-PH" w:eastAsia="en-PH"/>
              </w:rPr>
              <w:t>1,563,699,460.51</w:t>
            </w:r>
          </w:p>
        </w:tc>
        <w:tc>
          <w:tcPr>
            <w:tcW w:w="2332"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1,183,999,314.38</w:t>
            </w:r>
          </w:p>
        </w:tc>
      </w:tr>
    </w:tbl>
    <w:p>
      <w:pPr>
        <w:jc w:val="both"/>
        <w:rPr>
          <w:rFonts w:eastAsia="Calibri"/>
          <w:b/>
          <w:sz w:val="24"/>
          <w:szCs w:val="24"/>
          <w:lang w:val="en-PH"/>
        </w:rPr>
      </w:pPr>
    </w:p>
    <w:p>
      <w:pPr>
        <w:ind w:left="1134"/>
        <w:jc w:val="both"/>
        <w:rPr>
          <w:b/>
          <w:sz w:val="24"/>
          <w:szCs w:val="24"/>
          <w:lang w:val="en-PH" w:eastAsia="en-PH"/>
        </w:rPr>
      </w:pPr>
      <w:r>
        <w:rPr>
          <w:rFonts w:eastAsia="Calibri"/>
          <w:b/>
          <w:sz w:val="24"/>
          <w:szCs w:val="24"/>
          <w:lang w:val="en-PH"/>
        </w:rPr>
        <w:t xml:space="preserve">18.1 </w:t>
      </w:r>
      <w:r>
        <w:rPr>
          <w:b/>
          <w:sz w:val="24"/>
          <w:szCs w:val="24"/>
          <w:lang w:val="en-PH" w:eastAsia="en-PH"/>
        </w:rPr>
        <w:t>Tax Revenue - Individual and Corporation</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b/>
          <w:sz w:val="24"/>
          <w:szCs w:val="24"/>
          <w:lang w:val="en-PH" w:eastAsia="en-PH"/>
        </w:rPr>
      </w:pPr>
    </w:p>
    <w:tbl>
      <w:tblPr>
        <w:tblW w:w="7938" w:type="dxa"/>
        <w:tblInd w:w="1526" w:type="dxa"/>
        <w:tblLayout w:type="fixed"/>
        <w:tblLook w:val="04A0" w:firstRow="1" w:lastRow="0" w:firstColumn="1" w:lastColumn="0" w:noHBand="0" w:noVBand="1"/>
      </w:tblPr>
      <w:tblGrid>
        <w:gridCol w:w="3544"/>
        <w:gridCol w:w="2197"/>
        <w:gridCol w:w="2197"/>
      </w:tblGrid>
      <w:tr>
        <w:trPr>
          <w:trHeight w:val="283"/>
        </w:trPr>
        <w:tc>
          <w:tcPr>
            <w:tcW w:w="354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 - Individual and Corporation</w:t>
            </w:r>
          </w:p>
        </w:tc>
        <w:tc>
          <w:tcPr>
            <w:tcW w:w="219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9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Professional Tax </w:t>
            </w:r>
          </w:p>
        </w:tc>
        <w:tc>
          <w:tcPr>
            <w:tcW w:w="219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253,490.00</w:t>
            </w:r>
          </w:p>
        </w:tc>
        <w:tc>
          <w:tcPr>
            <w:tcW w:w="219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245,025.00</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Community Tax</w:t>
            </w:r>
          </w:p>
        </w:tc>
        <w:tc>
          <w:tcPr>
            <w:tcW w:w="219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5,643,418.09</w:t>
            </w:r>
          </w:p>
        </w:tc>
        <w:tc>
          <w:tcPr>
            <w:tcW w:w="219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5,212,532.57</w:t>
            </w:r>
          </w:p>
        </w:tc>
      </w:tr>
      <w:tr>
        <w:trPr>
          <w:trHeight w:val="283"/>
        </w:trPr>
        <w:tc>
          <w:tcPr>
            <w:tcW w:w="354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9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5,896,908.09</w:t>
            </w:r>
          </w:p>
        </w:tc>
        <w:tc>
          <w:tcPr>
            <w:tcW w:w="2197"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5,457,557.57</w:t>
            </w:r>
          </w:p>
        </w:tc>
      </w:tr>
    </w:tbl>
    <w:p>
      <w:pPr>
        <w:ind w:firstLine="720"/>
        <w:jc w:val="both"/>
        <w:rPr>
          <w:b/>
          <w:sz w:val="24"/>
          <w:szCs w:val="24"/>
          <w:lang w:val="en-PH" w:eastAsia="en-PH"/>
        </w:rPr>
      </w:pPr>
    </w:p>
    <w:p>
      <w:pPr>
        <w:ind w:left="1134"/>
        <w:jc w:val="both"/>
        <w:rPr>
          <w:b/>
          <w:sz w:val="24"/>
          <w:szCs w:val="24"/>
          <w:lang w:val="en-PH" w:eastAsia="en-PH"/>
        </w:rPr>
      </w:pPr>
      <w:r>
        <w:rPr>
          <w:b/>
          <w:sz w:val="24"/>
          <w:szCs w:val="24"/>
          <w:lang w:val="en-PH" w:eastAsia="en-PH"/>
        </w:rPr>
        <w:t>18.2 Tax Revenue – Property</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spacing w:line="276" w:lineRule="auto"/>
        <w:ind w:left="720"/>
        <w:jc w:val="both"/>
        <w:rPr>
          <w:b/>
          <w:sz w:val="24"/>
          <w:szCs w:val="24"/>
          <w:lang w:val="en-PH" w:eastAsia="en-PH"/>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 - Property</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Real Property Tax - Basic</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48,459,860.09</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44,414,878.58</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Discount on Real Property Tax - Basic</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(3,568,765.84)</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(3,152,274.10)</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Special Education Tax</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60,429,884.91</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63,354,364.73</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Discount on Special Education Tax</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(5,099,330.32)</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(4,591,616.02)</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Real Property Transfer Tax</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4,193,217.42</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4,688,711.55</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15" w:firstLine="33"/>
              <w:jc w:val="right"/>
              <w:rPr>
                <w:b/>
                <w:bCs/>
                <w:sz w:val="22"/>
                <w:szCs w:val="22"/>
                <w:lang w:val="en-PH" w:eastAsia="en-PH"/>
              </w:rPr>
            </w:pPr>
            <w:r>
              <w:rPr>
                <w:b/>
                <w:bCs/>
                <w:sz w:val="22"/>
                <w:szCs w:val="22"/>
                <w:lang w:val="en-PH" w:eastAsia="en-PH"/>
              </w:rPr>
              <w:t>104,414,866.26</w:t>
            </w:r>
          </w:p>
        </w:tc>
        <w:tc>
          <w:tcPr>
            <w:tcW w:w="1985"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104,714,064.74</w:t>
            </w:r>
          </w:p>
        </w:tc>
      </w:tr>
    </w:tbl>
    <w:p>
      <w:pPr>
        <w:jc w:val="both"/>
        <w:rPr>
          <w:b/>
          <w:sz w:val="24"/>
          <w:szCs w:val="24"/>
          <w:lang w:val="en-PH" w:eastAsia="en-PH"/>
        </w:rPr>
      </w:pPr>
    </w:p>
    <w:p>
      <w:pPr>
        <w:ind w:left="1134"/>
        <w:jc w:val="both"/>
        <w:rPr>
          <w:b/>
          <w:sz w:val="24"/>
          <w:szCs w:val="24"/>
          <w:lang w:val="en-PH" w:eastAsia="en-PH"/>
        </w:rPr>
      </w:pPr>
      <w:r>
        <w:rPr>
          <w:b/>
          <w:sz w:val="24"/>
          <w:szCs w:val="24"/>
          <w:lang w:val="en-PH" w:eastAsia="en-PH"/>
        </w:rPr>
        <w:t>18.3 Tax Revenue - Goods and Services</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p>
      <w:pPr>
        <w:ind w:left="720"/>
        <w:jc w:val="both"/>
        <w:rPr>
          <w:sz w:val="24"/>
          <w:szCs w:val="24"/>
        </w:rPr>
      </w:pPr>
    </w:p>
    <w:p>
      <w:pPr>
        <w:ind w:left="720"/>
        <w:jc w:val="both"/>
        <w:rPr>
          <w:sz w:val="24"/>
          <w:szCs w:val="24"/>
        </w:rPr>
      </w:pPr>
    </w:p>
    <w:p>
      <w:pPr>
        <w:ind w:left="720"/>
        <w:jc w:val="both"/>
        <w:rPr>
          <w:sz w:val="24"/>
          <w:szCs w:val="24"/>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 - Goods and Services</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Business Tax </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131,220,754.43</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153,819,834.51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on Sand, Gravel, and Other Quarry Products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1,372,716.45</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3,418,089.82</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on Delivery Vans and Trucks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3,001,468.75</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2,460,206.25</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Amusement Tax</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3,210,125.82</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441,866.53</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Franchise Tax</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4,180,758.38</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12,152,950.93</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142,985,823.83</w:t>
            </w:r>
          </w:p>
        </w:tc>
        <w:tc>
          <w:tcPr>
            <w:tcW w:w="1985"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172,292,948.04</w:t>
            </w:r>
          </w:p>
        </w:tc>
      </w:tr>
    </w:tbl>
    <w:p>
      <w:pPr>
        <w:jc w:val="both"/>
        <w:rPr>
          <w:b/>
          <w:sz w:val="24"/>
          <w:szCs w:val="24"/>
          <w:lang w:val="en-PH" w:eastAsia="en-PH"/>
        </w:rPr>
      </w:pPr>
    </w:p>
    <w:p>
      <w:pPr>
        <w:ind w:left="1134"/>
        <w:jc w:val="both"/>
        <w:rPr>
          <w:b/>
          <w:sz w:val="24"/>
          <w:szCs w:val="24"/>
          <w:lang w:val="en-PH" w:eastAsia="en-PH"/>
        </w:rPr>
      </w:pPr>
      <w:r>
        <w:rPr>
          <w:b/>
          <w:sz w:val="24"/>
          <w:szCs w:val="24"/>
          <w:lang w:val="en-PH" w:eastAsia="en-PH"/>
        </w:rPr>
        <w:t>18.4 Tax Revenue – Others</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 - Others</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Taxes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50,152,396.58</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50,152,396.58</w:t>
            </w:r>
          </w:p>
        </w:tc>
        <w:tc>
          <w:tcPr>
            <w:tcW w:w="198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0.00</w:t>
            </w:r>
          </w:p>
        </w:tc>
      </w:tr>
    </w:tbl>
    <w:p>
      <w:pPr>
        <w:ind w:firstLine="720"/>
        <w:jc w:val="both"/>
        <w:rPr>
          <w:b/>
          <w:sz w:val="24"/>
          <w:szCs w:val="24"/>
          <w:lang w:val="en-PH" w:eastAsia="en-PH"/>
        </w:rPr>
      </w:pPr>
    </w:p>
    <w:p>
      <w:pPr>
        <w:spacing w:line="276" w:lineRule="auto"/>
        <w:ind w:left="1418"/>
        <w:jc w:val="both"/>
        <w:rPr>
          <w:bCs/>
          <w:sz w:val="24"/>
          <w:szCs w:val="24"/>
          <w:lang w:val="en-PH" w:eastAsia="en-PH"/>
        </w:rPr>
      </w:pPr>
      <w:r>
        <w:rPr>
          <w:bCs/>
          <w:sz w:val="24"/>
          <w:szCs w:val="24"/>
          <w:lang w:val="en-PH" w:eastAsia="en-PH"/>
        </w:rPr>
        <w:t>This collection was initially accounted for in the Business Tax account, however, it was reclassified to this account due to its details as stated in the official receipt as “other business tax”.</w:t>
      </w:r>
    </w:p>
    <w:p>
      <w:pPr>
        <w:ind w:firstLine="720"/>
        <w:jc w:val="both"/>
        <w:rPr>
          <w:b/>
          <w:sz w:val="24"/>
          <w:szCs w:val="24"/>
          <w:lang w:val="en-PH" w:eastAsia="en-PH"/>
        </w:rPr>
      </w:pPr>
    </w:p>
    <w:p>
      <w:pPr>
        <w:ind w:left="1134"/>
        <w:jc w:val="both"/>
        <w:rPr>
          <w:b/>
          <w:sz w:val="24"/>
          <w:szCs w:val="24"/>
          <w:lang w:val="en-PH" w:eastAsia="en-PH"/>
        </w:rPr>
      </w:pPr>
      <w:r>
        <w:rPr>
          <w:b/>
          <w:sz w:val="24"/>
          <w:szCs w:val="24"/>
          <w:lang w:val="en-PH" w:eastAsia="en-PH"/>
        </w:rPr>
        <w:t>18.5 Tax Revenue - Fines and Penalties</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firstLine="720"/>
        <w:jc w:val="both"/>
        <w:rPr>
          <w:b/>
          <w:sz w:val="24"/>
          <w:szCs w:val="24"/>
          <w:lang w:val="en-PH" w:eastAsia="en-PH"/>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 Revenue - Fines and Penalties</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Fines and Penalties - Taxes on Individual and Corp</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144,311.94</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4,961,851.92</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Fines and Penalties - Property Taxes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7,672,783.21</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7,284,253.11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Fines and Penalties - Taxes on Goods and Services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1,643,267.21</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 Revenue - Fines and Penalties - Other Taxes</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2,567,553.39</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12,027,915.75</w:t>
            </w:r>
          </w:p>
        </w:tc>
        <w:tc>
          <w:tcPr>
            <w:tcW w:w="1985" w:type="dxa"/>
            <w:tcBorders>
              <w:top w:val="single" w:sz="4" w:space="0" w:color="A6A6A6"/>
              <w:left w:val="nil"/>
              <w:bottom w:val="double" w:sz="6" w:space="0" w:color="A6A6A6"/>
              <w:right w:val="nil"/>
            </w:tcBorders>
            <w:shd w:val="clear" w:color="auto" w:fill="auto"/>
            <w:noWrap/>
            <w:vAlign w:val="center"/>
            <w:hideMark/>
          </w:tcPr>
          <w:p>
            <w:pPr>
              <w:rPr>
                <w:b/>
                <w:bCs/>
                <w:sz w:val="22"/>
                <w:szCs w:val="22"/>
                <w:lang w:val="en-PH" w:eastAsia="en-PH"/>
              </w:rPr>
            </w:pPr>
            <w:r>
              <w:rPr>
                <w:b/>
                <w:bCs/>
                <w:sz w:val="22"/>
                <w:szCs w:val="22"/>
                <w:lang w:val="en-PH" w:eastAsia="en-PH"/>
              </w:rPr>
              <w:t xml:space="preserve">         12,246,105.03</w:t>
            </w:r>
          </w:p>
        </w:tc>
      </w:tr>
    </w:tbl>
    <w:p>
      <w:pPr>
        <w:ind w:firstLine="720"/>
        <w:jc w:val="both"/>
        <w:rPr>
          <w:b/>
          <w:sz w:val="24"/>
          <w:szCs w:val="24"/>
          <w:lang w:val="en-PH" w:eastAsia="en-PH"/>
        </w:rPr>
      </w:pPr>
    </w:p>
    <w:p>
      <w:pPr>
        <w:ind w:left="1134"/>
        <w:jc w:val="both"/>
        <w:rPr>
          <w:b/>
          <w:sz w:val="24"/>
          <w:szCs w:val="24"/>
          <w:lang w:val="en-PH" w:eastAsia="en-PH"/>
        </w:rPr>
      </w:pPr>
      <w:r>
        <w:rPr>
          <w:b/>
          <w:sz w:val="24"/>
          <w:szCs w:val="24"/>
          <w:lang w:val="en-PH" w:eastAsia="en-PH"/>
        </w:rPr>
        <w:t>18.6 Share from National Taxes</w:t>
      </w:r>
    </w:p>
    <w:p>
      <w:pPr>
        <w:ind w:firstLine="720"/>
        <w:jc w:val="both"/>
        <w:rPr>
          <w:b/>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Share from National Taxes</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Share from Internal Revenue Collections (IRA)</w:t>
            </w:r>
          </w:p>
        </w:tc>
        <w:tc>
          <w:tcPr>
            <w:tcW w:w="198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1,248,221,550.00</w:t>
            </w:r>
          </w:p>
        </w:tc>
        <w:tc>
          <w:tcPr>
            <w:tcW w:w="198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889,216,030.00</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15" w:firstLine="33"/>
              <w:jc w:val="right"/>
              <w:rPr>
                <w:b/>
                <w:bCs/>
                <w:sz w:val="22"/>
                <w:szCs w:val="22"/>
                <w:lang w:val="en-PH" w:eastAsia="en-PH"/>
              </w:rPr>
            </w:pPr>
            <w:r>
              <w:rPr>
                <w:b/>
                <w:bCs/>
                <w:sz w:val="22"/>
                <w:szCs w:val="22"/>
                <w:lang w:val="en-PH" w:eastAsia="en-PH"/>
              </w:rPr>
              <w:t>1,248,221,550.00</w:t>
            </w:r>
          </w:p>
        </w:tc>
        <w:tc>
          <w:tcPr>
            <w:tcW w:w="1985"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889,216,030.00</w:t>
            </w:r>
          </w:p>
        </w:tc>
      </w:tr>
    </w:tbl>
    <w:p>
      <w:pPr>
        <w:ind w:firstLine="720"/>
        <w:jc w:val="both"/>
        <w:rPr>
          <w:b/>
          <w:bCs/>
          <w:sz w:val="24"/>
          <w:szCs w:val="24"/>
          <w:lang w:val="en-PH" w:eastAsia="en-PH"/>
        </w:rPr>
      </w:pPr>
    </w:p>
    <w:p>
      <w:pPr>
        <w:spacing w:line="276" w:lineRule="auto"/>
        <w:ind w:left="1418"/>
        <w:jc w:val="both"/>
        <w:rPr>
          <w:sz w:val="24"/>
          <w:szCs w:val="24"/>
          <w:lang w:val="en-PH" w:eastAsia="en-PH"/>
        </w:rPr>
      </w:pPr>
      <w:r>
        <w:rPr>
          <w:sz w:val="24"/>
          <w:szCs w:val="24"/>
          <w:lang w:val="en-PH" w:eastAsia="en-PH"/>
        </w:rPr>
        <w:t>The National Tax Allotment (NTA) for the year 2022 has increased by 40.37% with increased value of Php 359,005,520.00</w:t>
      </w:r>
    </w:p>
    <w:p>
      <w:pPr>
        <w:jc w:val="both"/>
        <w:rPr>
          <w:b/>
          <w:bCs/>
          <w:sz w:val="24"/>
          <w:szCs w:val="24"/>
          <w:lang w:val="en-PH" w:eastAsia="en-PH"/>
        </w:rPr>
      </w:pPr>
    </w:p>
    <w:p>
      <w:pPr>
        <w:jc w:val="both"/>
        <w:rPr>
          <w:b/>
          <w:bCs/>
          <w:sz w:val="24"/>
          <w:szCs w:val="24"/>
        </w:rPr>
      </w:pPr>
      <w:r>
        <w:rPr>
          <w:b/>
          <w:bCs/>
          <w:sz w:val="24"/>
          <w:szCs w:val="24"/>
        </w:rPr>
        <w:t>Note 19 – Service and Business Income</w:t>
      </w:r>
    </w:p>
    <w:p>
      <w:pPr>
        <w:jc w:val="both"/>
        <w:rPr>
          <w:sz w:val="24"/>
          <w:szCs w:val="24"/>
          <w:lang w:val="en-PH" w:eastAsia="en-PH"/>
        </w:rPr>
      </w:pPr>
    </w:p>
    <w:p>
      <w:pPr>
        <w:spacing w:line="276" w:lineRule="auto"/>
        <w:ind w:left="720"/>
        <w:jc w:val="both"/>
        <w:rPr>
          <w:rFonts w:eastAsia="Calibri"/>
          <w:bCs/>
          <w:sz w:val="24"/>
          <w:szCs w:val="24"/>
          <w:lang w:val="en-PH"/>
        </w:rPr>
      </w:pPr>
      <w:r>
        <w:rPr>
          <w:sz w:val="24"/>
          <w:szCs w:val="24"/>
          <w:lang w:val="en-PH" w:eastAsia="en-PH"/>
        </w:rPr>
        <w:t xml:space="preserve">This comprised the following group of accounts with </w:t>
      </w:r>
      <w:r>
        <w:rPr>
          <w:sz w:val="24"/>
          <w:szCs w:val="24"/>
        </w:rPr>
        <w:t>the comparative figure for the year ended 2022 and 2021</w:t>
      </w:r>
    </w:p>
    <w:p>
      <w:pPr>
        <w:jc w:val="both"/>
        <w:rPr>
          <w:rFonts w:eastAsia="Calibri"/>
          <w:bCs/>
          <w:sz w:val="24"/>
          <w:szCs w:val="24"/>
          <w:lang w:val="en-PH"/>
        </w:rPr>
      </w:pPr>
    </w:p>
    <w:tbl>
      <w:tblPr>
        <w:tblW w:w="8647" w:type="dxa"/>
        <w:tblInd w:w="817" w:type="dxa"/>
        <w:tblLayout w:type="fixed"/>
        <w:tblLook w:val="04A0" w:firstRow="1" w:lastRow="0" w:firstColumn="1" w:lastColumn="0" w:noHBand="0" w:noVBand="1"/>
      </w:tblPr>
      <w:tblGrid>
        <w:gridCol w:w="4270"/>
        <w:gridCol w:w="2188"/>
        <w:gridCol w:w="2189"/>
      </w:tblGrid>
      <w:tr>
        <w:trPr>
          <w:trHeight w:val="340"/>
        </w:trPr>
        <w:tc>
          <w:tcPr>
            <w:tcW w:w="427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Service and Business Income</w:t>
            </w:r>
          </w:p>
        </w:tc>
        <w:tc>
          <w:tcPr>
            <w:tcW w:w="218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8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27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Service Income</w:t>
            </w:r>
          </w:p>
        </w:tc>
        <w:tc>
          <w:tcPr>
            <w:tcW w:w="218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53,643,786.97</w:t>
            </w:r>
          </w:p>
        </w:tc>
        <w:tc>
          <w:tcPr>
            <w:tcW w:w="218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51,945,012.66</w:t>
            </w:r>
          </w:p>
        </w:tc>
      </w:tr>
      <w:tr>
        <w:trPr>
          <w:trHeight w:val="340"/>
        </w:trPr>
        <w:tc>
          <w:tcPr>
            <w:tcW w:w="427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Business Income</w:t>
            </w:r>
          </w:p>
        </w:tc>
        <w:tc>
          <w:tcPr>
            <w:tcW w:w="218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116,831,886.16</w:t>
            </w:r>
          </w:p>
        </w:tc>
        <w:tc>
          <w:tcPr>
            <w:tcW w:w="218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93,682,035.82</w:t>
            </w:r>
          </w:p>
        </w:tc>
      </w:tr>
      <w:tr>
        <w:trPr>
          <w:trHeight w:val="340"/>
        </w:trPr>
        <w:tc>
          <w:tcPr>
            <w:tcW w:w="427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88"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170,475,673.13</w:t>
            </w:r>
          </w:p>
        </w:tc>
        <w:tc>
          <w:tcPr>
            <w:tcW w:w="2189"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145,627,048.48</w:t>
            </w:r>
          </w:p>
        </w:tc>
      </w:tr>
    </w:tbl>
    <w:p>
      <w:pPr>
        <w:jc w:val="both"/>
        <w:rPr>
          <w:sz w:val="24"/>
          <w:szCs w:val="24"/>
        </w:rPr>
      </w:pPr>
    </w:p>
    <w:p>
      <w:pPr>
        <w:ind w:left="1134"/>
        <w:jc w:val="both"/>
        <w:rPr>
          <w:b/>
          <w:bCs/>
          <w:sz w:val="24"/>
          <w:szCs w:val="24"/>
          <w:lang w:val="en-PH" w:eastAsia="en-PH"/>
        </w:rPr>
      </w:pPr>
      <w:r>
        <w:rPr>
          <w:b/>
          <w:bCs/>
          <w:sz w:val="24"/>
          <w:szCs w:val="24"/>
        </w:rPr>
        <w:t xml:space="preserve">19.1 </w:t>
      </w:r>
      <w:r>
        <w:rPr>
          <w:b/>
          <w:bCs/>
          <w:sz w:val="24"/>
          <w:szCs w:val="24"/>
          <w:lang w:val="en-PH" w:eastAsia="en-PH"/>
        </w:rPr>
        <w:t>Service Income</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3827"/>
        <w:gridCol w:w="2055"/>
        <w:gridCol w:w="2056"/>
      </w:tblGrid>
      <w:tr>
        <w:trPr>
          <w:trHeight w:val="283"/>
          <w:tblHeader/>
        </w:trPr>
        <w:tc>
          <w:tcPr>
            <w:tcW w:w="38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Service Income</w:t>
            </w:r>
          </w:p>
        </w:tc>
        <w:tc>
          <w:tcPr>
            <w:tcW w:w="205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05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Permit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30,243,321.71</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27,950,096.70</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Registration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2,339,741.60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927,476.40</w:t>
            </w:r>
          </w:p>
        </w:tc>
      </w:tr>
      <w:tr>
        <w:trPr>
          <w:trHeight w:val="283"/>
        </w:trPr>
        <w:tc>
          <w:tcPr>
            <w:tcW w:w="382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Registration Plates, Tags and Stickers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712,928.00</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Clearance and Certification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9,968,210.36</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10,777,111.99</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Supervision and Regulation Enforcement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1,907,305.00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4,376,013.94</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Inspection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4,279,146.59</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3,716,893.82</w:t>
            </w:r>
          </w:p>
        </w:tc>
      </w:tr>
      <w:tr>
        <w:trPr>
          <w:trHeight w:val="283"/>
        </w:trPr>
        <w:tc>
          <w:tcPr>
            <w:tcW w:w="3827" w:type="dxa"/>
            <w:tcBorders>
              <w:top w:val="nil"/>
              <w:left w:val="nil"/>
              <w:bottom w:val="nil"/>
              <w:right w:val="nil"/>
            </w:tcBorders>
            <w:shd w:val="clear" w:color="auto" w:fill="auto"/>
            <w:noWrap/>
            <w:vAlign w:val="center"/>
            <w:hideMark/>
          </w:tcPr>
          <w:p>
            <w:pPr>
              <w:rPr>
                <w:sz w:val="24"/>
                <w:szCs w:val="24"/>
                <w:lang w:val="en-PH" w:eastAsia="en-PH"/>
              </w:rPr>
            </w:pPr>
            <w:r>
              <w:rPr>
                <w:sz w:val="24"/>
                <w:szCs w:val="24"/>
                <w:lang w:val="en-PH" w:eastAsia="en-PH"/>
              </w:rPr>
              <w:t>Verification and Authentication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651,712.00</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Processing Fees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1,173,975.00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1,388,827.96</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Fees for Sealing and Licensing of Weights and Measures</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64,820.00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387,780.00</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Fines and Penalties - Service Income </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1,450,041.71</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528,242.85</w:t>
            </w:r>
          </w:p>
        </w:tc>
      </w:tr>
      <w:tr>
        <w:trPr>
          <w:trHeight w:val="283"/>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Service Income</w:t>
            </w:r>
          </w:p>
        </w:tc>
        <w:tc>
          <w:tcPr>
            <w:tcW w:w="205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2,217,225.00</w:t>
            </w:r>
          </w:p>
        </w:tc>
        <w:tc>
          <w:tcPr>
            <w:tcW w:w="205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527,929.00</w:t>
            </w:r>
          </w:p>
        </w:tc>
      </w:tr>
      <w:tr>
        <w:trPr>
          <w:trHeight w:val="283"/>
        </w:trPr>
        <w:tc>
          <w:tcPr>
            <w:tcW w:w="382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55"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53,643,786.97</w:t>
            </w:r>
          </w:p>
        </w:tc>
        <w:tc>
          <w:tcPr>
            <w:tcW w:w="2056"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51,945,012.66</w:t>
            </w:r>
          </w:p>
        </w:tc>
      </w:tr>
    </w:tbl>
    <w:p>
      <w:pPr>
        <w:jc w:val="both"/>
        <w:rPr>
          <w:b/>
          <w:bCs/>
          <w:sz w:val="24"/>
          <w:szCs w:val="24"/>
          <w:lang w:val="en-PH" w:eastAsia="en-PH"/>
        </w:rPr>
      </w:pPr>
    </w:p>
    <w:p>
      <w:pPr>
        <w:ind w:left="1134"/>
        <w:jc w:val="both"/>
        <w:rPr>
          <w:b/>
          <w:bCs/>
          <w:sz w:val="24"/>
          <w:szCs w:val="24"/>
          <w:lang w:val="en-PH" w:eastAsia="en-PH"/>
        </w:rPr>
      </w:pPr>
      <w:r>
        <w:rPr>
          <w:b/>
          <w:bCs/>
          <w:sz w:val="24"/>
          <w:szCs w:val="24"/>
          <w:lang w:val="en-PH" w:eastAsia="en-PH"/>
        </w:rPr>
        <w:t>19.2 Business Income</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3892"/>
        <w:gridCol w:w="2023"/>
        <w:gridCol w:w="2023"/>
      </w:tblGrid>
      <w:tr>
        <w:trPr>
          <w:trHeight w:val="283"/>
          <w:tblHeader/>
        </w:trPr>
        <w:tc>
          <w:tcPr>
            <w:tcW w:w="389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Business Income</w:t>
            </w:r>
          </w:p>
        </w:tc>
        <w:tc>
          <w:tcPr>
            <w:tcW w:w="202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02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Rent Income </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41,923,430.33</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38,062,439.83</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Road Network Fees </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11,413,212.99</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10,320,356.09</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Parking Fees </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1,195,022.50</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798,273.00</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Receipts from Market Operations</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18,585,354.13</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11,742,188.85</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Receipts from Slaughterhouse Operations</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5,084,956.81</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7,172,166.00</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lastRenderedPageBreak/>
              <w:t>Receipts from Cemetery Operations</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5,776,854.00</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4,422,170.00</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Sales Revenue</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23,186,418.07</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16,752,591.19</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Garbage Fees</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778,684.20</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349,690.00</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Hospital Fees</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2,858,273.00</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1,629,607.00</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Interest Income </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723,892.42</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498,300.18</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Fines and Penalties - Business Income </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2,201,262.83</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1,934,253.68</w:t>
            </w:r>
          </w:p>
        </w:tc>
      </w:tr>
      <w:tr>
        <w:trPr>
          <w:trHeight w:val="283"/>
        </w:trPr>
        <w:tc>
          <w:tcPr>
            <w:tcW w:w="389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Business Income</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3,104,524.88</w:t>
            </w:r>
          </w:p>
        </w:tc>
        <w:tc>
          <w:tcPr>
            <w:tcW w:w="202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283"/>
        </w:trPr>
        <w:tc>
          <w:tcPr>
            <w:tcW w:w="389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23"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116,831,886.16</w:t>
            </w:r>
          </w:p>
        </w:tc>
        <w:tc>
          <w:tcPr>
            <w:tcW w:w="2023"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93,682,035.82</w:t>
            </w:r>
          </w:p>
        </w:tc>
      </w:tr>
    </w:tbl>
    <w:p>
      <w:pPr>
        <w:jc w:val="both"/>
        <w:rPr>
          <w:sz w:val="24"/>
          <w:szCs w:val="24"/>
        </w:rPr>
      </w:pPr>
    </w:p>
    <w:p>
      <w:pPr>
        <w:spacing w:line="276" w:lineRule="auto"/>
        <w:ind w:left="1418"/>
        <w:jc w:val="both"/>
        <w:rPr>
          <w:sz w:val="24"/>
          <w:szCs w:val="24"/>
        </w:rPr>
      </w:pPr>
      <w:r>
        <w:rPr>
          <w:sz w:val="24"/>
          <w:szCs w:val="24"/>
        </w:rPr>
        <w:t>The type of business income that has a top value is the rent income, which comprised of the following rental details:</w:t>
      </w:r>
    </w:p>
    <w:p>
      <w:pPr>
        <w:ind w:left="720"/>
        <w:jc w:val="both"/>
        <w:rPr>
          <w:sz w:val="24"/>
          <w:szCs w:val="24"/>
        </w:rPr>
      </w:pPr>
    </w:p>
    <w:tbl>
      <w:tblPr>
        <w:tblW w:w="7938" w:type="dxa"/>
        <w:tblInd w:w="1526" w:type="dxa"/>
        <w:tblLook w:val="04A0" w:firstRow="1" w:lastRow="0" w:firstColumn="1" w:lastColumn="0" w:noHBand="0" w:noVBand="1"/>
      </w:tblPr>
      <w:tblGrid>
        <w:gridCol w:w="5242"/>
        <w:gridCol w:w="2696"/>
      </w:tblGrid>
      <w:tr>
        <w:trPr>
          <w:trHeight w:val="283"/>
          <w:tblHeader/>
        </w:trPr>
        <w:tc>
          <w:tcPr>
            <w:tcW w:w="524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Rental Income</w:t>
            </w:r>
          </w:p>
        </w:tc>
        <w:tc>
          <w:tcPr>
            <w:tcW w:w="269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242"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Rental for Stalls</w:t>
            </w:r>
          </w:p>
        </w:tc>
        <w:tc>
          <w:tcPr>
            <w:tcW w:w="269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41,401,086.06</w:t>
            </w:r>
          </w:p>
        </w:tc>
      </w:tr>
      <w:tr>
        <w:trPr>
          <w:trHeight w:val="283"/>
        </w:trPr>
        <w:tc>
          <w:tcPr>
            <w:tcW w:w="5242"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Rental for Heavy Equipments</w:t>
            </w:r>
          </w:p>
        </w:tc>
        <w:tc>
          <w:tcPr>
            <w:tcW w:w="269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391,179.14</w:t>
            </w:r>
          </w:p>
        </w:tc>
      </w:tr>
      <w:tr>
        <w:trPr>
          <w:trHeight w:val="283"/>
        </w:trPr>
        <w:tc>
          <w:tcPr>
            <w:tcW w:w="5242"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Rental for Panabo Gym &amp; ARF</w:t>
            </w:r>
          </w:p>
        </w:tc>
        <w:tc>
          <w:tcPr>
            <w:tcW w:w="269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73,703.80</w:t>
            </w:r>
          </w:p>
        </w:tc>
      </w:tr>
      <w:tr>
        <w:trPr>
          <w:trHeight w:val="283"/>
        </w:trPr>
        <w:tc>
          <w:tcPr>
            <w:tcW w:w="524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Rental for BESP Kauswagan</w:t>
            </w:r>
          </w:p>
        </w:tc>
        <w:tc>
          <w:tcPr>
            <w:tcW w:w="269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30,000.00 </w:t>
            </w:r>
          </w:p>
        </w:tc>
      </w:tr>
      <w:tr>
        <w:trPr>
          <w:trHeight w:val="283"/>
        </w:trPr>
        <w:tc>
          <w:tcPr>
            <w:tcW w:w="5242"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Rental for BESP Malativas</w:t>
            </w:r>
          </w:p>
        </w:tc>
        <w:tc>
          <w:tcPr>
            <w:tcW w:w="269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18,361.33</w:t>
            </w:r>
          </w:p>
        </w:tc>
      </w:tr>
      <w:tr>
        <w:trPr>
          <w:trHeight w:val="283"/>
        </w:trPr>
        <w:tc>
          <w:tcPr>
            <w:tcW w:w="5242" w:type="dxa"/>
            <w:tcBorders>
              <w:top w:val="nil"/>
              <w:left w:val="nil"/>
              <w:bottom w:val="single" w:sz="4" w:space="0" w:color="A6A6A6"/>
              <w:right w:val="nil"/>
            </w:tcBorders>
            <w:shd w:val="clear" w:color="auto" w:fill="auto"/>
            <w:noWrap/>
            <w:vAlign w:val="bottom"/>
            <w:hideMark/>
          </w:tcPr>
          <w:p>
            <w:pPr>
              <w:rPr>
                <w:sz w:val="24"/>
                <w:szCs w:val="24"/>
                <w:lang w:val="en-PH" w:eastAsia="en-PH"/>
              </w:rPr>
            </w:pPr>
            <w:r>
              <w:rPr>
                <w:sz w:val="24"/>
                <w:szCs w:val="24"/>
                <w:lang w:val="en-PH" w:eastAsia="en-PH"/>
              </w:rPr>
              <w:t>Rental for Farm Tractor</w:t>
            </w:r>
          </w:p>
        </w:tc>
        <w:tc>
          <w:tcPr>
            <w:tcW w:w="2696" w:type="dxa"/>
            <w:tcBorders>
              <w:top w:val="nil"/>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9,100.00</w:t>
            </w:r>
          </w:p>
        </w:tc>
      </w:tr>
      <w:tr>
        <w:trPr>
          <w:trHeight w:val="283"/>
        </w:trPr>
        <w:tc>
          <w:tcPr>
            <w:tcW w:w="524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69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41,923,430.33 </w:t>
            </w:r>
          </w:p>
        </w:tc>
      </w:tr>
    </w:tbl>
    <w:p>
      <w:pPr>
        <w:jc w:val="both"/>
        <w:rPr>
          <w:sz w:val="24"/>
          <w:szCs w:val="24"/>
        </w:rPr>
      </w:pPr>
    </w:p>
    <w:p>
      <w:pPr>
        <w:spacing w:line="276" w:lineRule="auto"/>
        <w:ind w:left="1418"/>
        <w:jc w:val="both"/>
        <w:rPr>
          <w:sz w:val="24"/>
          <w:szCs w:val="24"/>
        </w:rPr>
      </w:pPr>
      <w:r>
        <w:rPr>
          <w:sz w:val="24"/>
          <w:szCs w:val="24"/>
        </w:rPr>
        <w:t>The type of business income that is second top value is the sales revenue, which comprised of following type of sales:</w:t>
      </w:r>
    </w:p>
    <w:p>
      <w:pPr>
        <w:ind w:left="720"/>
        <w:jc w:val="both"/>
        <w:rPr>
          <w:sz w:val="24"/>
          <w:szCs w:val="24"/>
        </w:rPr>
      </w:pPr>
    </w:p>
    <w:tbl>
      <w:tblPr>
        <w:tblW w:w="7938" w:type="dxa"/>
        <w:tblInd w:w="1526" w:type="dxa"/>
        <w:tblLook w:val="04A0" w:firstRow="1" w:lastRow="0" w:firstColumn="1" w:lastColumn="0" w:noHBand="0" w:noVBand="1"/>
      </w:tblPr>
      <w:tblGrid>
        <w:gridCol w:w="5263"/>
        <w:gridCol w:w="2675"/>
      </w:tblGrid>
      <w:tr>
        <w:trPr>
          <w:trHeight w:val="283"/>
        </w:trPr>
        <w:tc>
          <w:tcPr>
            <w:tcW w:w="526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Sales Revenue</w:t>
            </w:r>
          </w:p>
        </w:tc>
        <w:tc>
          <w:tcPr>
            <w:tcW w:w="267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Cemetery Lot</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12,307,293.25</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Bone Crypt</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4,504,266.00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Coffin Crypt</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2,037,828.00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Tissue Culture</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1,705,646.10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of Bid Documents-BAC</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1,525,081.33</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Annex Plot</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407,937.00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AF-51 Stubs</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272,995.00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BESP Mabunao Water System</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142,061.39</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CTC Stubs</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97,400.00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Fingerlings</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66,550.00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Coconut/Buko</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52,985.00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Cash Tickets Stubs</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33,820.00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Agri-Demo Stocks</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17,700.00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Used Oil</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10,500.00</w:t>
            </w:r>
          </w:p>
        </w:tc>
      </w:tr>
      <w:tr>
        <w:trPr>
          <w:trHeight w:val="283"/>
        </w:trPr>
        <w:tc>
          <w:tcPr>
            <w:tcW w:w="5263" w:type="dxa"/>
            <w:tcBorders>
              <w:top w:val="nil"/>
              <w:left w:val="nil"/>
              <w:bottom w:val="nil"/>
              <w:right w:val="nil"/>
            </w:tcBorders>
            <w:shd w:val="clear" w:color="auto" w:fill="auto"/>
            <w:noWrap/>
            <w:vAlign w:val="bottom"/>
            <w:hideMark/>
          </w:tcPr>
          <w:p>
            <w:pPr>
              <w:rPr>
                <w:sz w:val="24"/>
                <w:szCs w:val="24"/>
                <w:lang w:val="en-PH" w:eastAsia="en-PH"/>
              </w:rPr>
            </w:pPr>
            <w:r>
              <w:rPr>
                <w:sz w:val="24"/>
                <w:szCs w:val="24"/>
                <w:lang w:val="en-PH" w:eastAsia="en-PH"/>
              </w:rPr>
              <w:t>Sales from Scrap</w:t>
            </w:r>
          </w:p>
        </w:tc>
        <w:tc>
          <w:tcPr>
            <w:tcW w:w="26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4,275.00</w:t>
            </w:r>
          </w:p>
        </w:tc>
      </w:tr>
      <w:tr>
        <w:trPr>
          <w:trHeight w:val="283"/>
        </w:trPr>
        <w:tc>
          <w:tcPr>
            <w:tcW w:w="5263" w:type="dxa"/>
            <w:tcBorders>
              <w:top w:val="nil"/>
              <w:left w:val="nil"/>
              <w:bottom w:val="single" w:sz="4" w:space="0" w:color="A6A6A6"/>
              <w:right w:val="nil"/>
            </w:tcBorders>
            <w:shd w:val="clear" w:color="auto" w:fill="auto"/>
            <w:noWrap/>
            <w:vAlign w:val="bottom"/>
            <w:hideMark/>
          </w:tcPr>
          <w:p>
            <w:pPr>
              <w:rPr>
                <w:sz w:val="24"/>
                <w:szCs w:val="24"/>
                <w:lang w:val="en-PH" w:eastAsia="en-PH"/>
              </w:rPr>
            </w:pPr>
            <w:r>
              <w:rPr>
                <w:sz w:val="24"/>
                <w:szCs w:val="24"/>
                <w:lang w:val="en-PH" w:eastAsia="en-PH"/>
              </w:rPr>
              <w:t>Sales from Culled Tilapia</w:t>
            </w:r>
          </w:p>
        </w:tc>
        <w:tc>
          <w:tcPr>
            <w:tcW w:w="2675" w:type="dxa"/>
            <w:tcBorders>
              <w:top w:val="nil"/>
              <w:left w:val="nil"/>
              <w:bottom w:val="single" w:sz="4" w:space="0" w:color="A6A6A6"/>
              <w:right w:val="nil"/>
            </w:tcBorders>
            <w:shd w:val="clear" w:color="auto" w:fill="auto"/>
            <w:noWrap/>
            <w:vAlign w:val="center"/>
            <w:hideMark/>
          </w:tcPr>
          <w:p>
            <w:pPr>
              <w:jc w:val="right"/>
              <w:rPr>
                <w:sz w:val="24"/>
                <w:szCs w:val="24"/>
                <w:lang w:val="en-PH" w:eastAsia="en-PH"/>
              </w:rPr>
            </w:pPr>
            <w:r>
              <w:rPr>
                <w:sz w:val="24"/>
                <w:szCs w:val="24"/>
                <w:lang w:val="en-PH" w:eastAsia="en-PH"/>
              </w:rPr>
              <w:t>80.00</w:t>
            </w:r>
          </w:p>
        </w:tc>
      </w:tr>
      <w:tr>
        <w:trPr>
          <w:trHeight w:val="283"/>
        </w:trPr>
        <w:tc>
          <w:tcPr>
            <w:tcW w:w="526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67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23,186,418.07</w:t>
            </w:r>
          </w:p>
        </w:tc>
      </w:tr>
    </w:tbl>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b/>
          <w:bCs/>
          <w:sz w:val="24"/>
          <w:szCs w:val="24"/>
        </w:rPr>
      </w:pPr>
      <w:r>
        <w:rPr>
          <w:b/>
          <w:bCs/>
          <w:sz w:val="24"/>
          <w:szCs w:val="24"/>
        </w:rPr>
        <w:t>Note 20 – Transfers and Subsidy</w:t>
      </w:r>
    </w:p>
    <w:p>
      <w:pPr>
        <w:jc w:val="both"/>
        <w:rPr>
          <w:b/>
          <w:bCs/>
          <w:sz w:val="24"/>
          <w:szCs w:val="24"/>
        </w:rPr>
      </w:pPr>
    </w:p>
    <w:p>
      <w:pPr>
        <w:spacing w:line="276" w:lineRule="auto"/>
        <w:ind w:left="720"/>
        <w:jc w:val="both"/>
        <w:rPr>
          <w:sz w:val="24"/>
          <w:szCs w:val="24"/>
        </w:rPr>
      </w:pPr>
      <w:r>
        <w:rPr>
          <w:sz w:val="24"/>
          <w:szCs w:val="24"/>
          <w:lang w:val="en-PH" w:eastAsia="en-PH"/>
        </w:rPr>
        <w:t xml:space="preserve">This comprised the following group of accounts with </w:t>
      </w:r>
      <w:r>
        <w:rPr>
          <w:sz w:val="24"/>
          <w:szCs w:val="24"/>
        </w:rPr>
        <w:t>the comparative figure for the year ended 2022 and 2021.</w:t>
      </w:r>
    </w:p>
    <w:p>
      <w:pPr>
        <w:ind w:left="720"/>
        <w:jc w:val="both"/>
        <w:rPr>
          <w:b/>
          <w:bCs/>
          <w:sz w:val="24"/>
          <w:szCs w:val="24"/>
        </w:rPr>
      </w:pPr>
    </w:p>
    <w:tbl>
      <w:tblPr>
        <w:tblW w:w="8647" w:type="dxa"/>
        <w:tblInd w:w="817" w:type="dxa"/>
        <w:tblLook w:val="04A0" w:firstRow="1" w:lastRow="0" w:firstColumn="1" w:lastColumn="0" w:noHBand="0" w:noVBand="1"/>
      </w:tblPr>
      <w:tblGrid>
        <w:gridCol w:w="4382"/>
        <w:gridCol w:w="2528"/>
        <w:gridCol w:w="1737"/>
      </w:tblGrid>
      <w:tr>
        <w:trPr>
          <w:trHeight w:val="340"/>
        </w:trPr>
        <w:tc>
          <w:tcPr>
            <w:tcW w:w="438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Transfers and Subsidy</w:t>
            </w:r>
          </w:p>
        </w:tc>
        <w:tc>
          <w:tcPr>
            <w:tcW w:w="252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73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38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w:t>
            </w:r>
          </w:p>
        </w:tc>
        <w:tc>
          <w:tcPr>
            <w:tcW w:w="2528"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10,612,957.54</w:t>
            </w:r>
          </w:p>
        </w:tc>
        <w:tc>
          <w:tcPr>
            <w:tcW w:w="173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153,047,594.01</w:t>
            </w:r>
          </w:p>
        </w:tc>
      </w:tr>
      <w:tr>
        <w:trPr>
          <w:trHeight w:val="340"/>
        </w:trPr>
        <w:tc>
          <w:tcPr>
            <w:tcW w:w="438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52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10,612,957.54</w:t>
            </w:r>
          </w:p>
        </w:tc>
        <w:tc>
          <w:tcPr>
            <w:tcW w:w="1737"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153,047,594.01</w:t>
            </w:r>
          </w:p>
        </w:tc>
      </w:tr>
    </w:tbl>
    <w:p>
      <w:pPr>
        <w:jc w:val="both"/>
        <w:rPr>
          <w:b/>
          <w:bCs/>
          <w:sz w:val="24"/>
          <w:szCs w:val="24"/>
        </w:rPr>
      </w:pPr>
    </w:p>
    <w:p>
      <w:pPr>
        <w:ind w:left="1134"/>
        <w:jc w:val="both"/>
        <w:rPr>
          <w:b/>
          <w:bCs/>
          <w:sz w:val="24"/>
          <w:szCs w:val="24"/>
        </w:rPr>
      </w:pPr>
      <w:r>
        <w:rPr>
          <w:b/>
          <w:bCs/>
          <w:sz w:val="24"/>
          <w:szCs w:val="24"/>
        </w:rPr>
        <w:t>20.1 Subsidy</w:t>
      </w:r>
    </w:p>
    <w:p>
      <w:pPr>
        <w:jc w:val="both"/>
        <w:rPr>
          <w:b/>
          <w:bCs/>
          <w:sz w:val="24"/>
          <w:szCs w:val="24"/>
        </w:rPr>
      </w:pPr>
    </w:p>
    <w:p>
      <w:pPr>
        <w:spacing w:line="276" w:lineRule="auto"/>
        <w:ind w:left="1418"/>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3929"/>
        <w:gridCol w:w="2004"/>
        <w:gridCol w:w="2005"/>
      </w:tblGrid>
      <w:tr>
        <w:trPr>
          <w:trHeight w:val="283"/>
          <w:tblHeader/>
        </w:trPr>
        <w:tc>
          <w:tcPr>
            <w:tcW w:w="392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Subsidy</w:t>
            </w:r>
          </w:p>
        </w:tc>
        <w:tc>
          <w:tcPr>
            <w:tcW w:w="200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00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 from GF Proper/Other Special Accounts</w:t>
            </w:r>
          </w:p>
        </w:tc>
        <w:tc>
          <w:tcPr>
            <w:tcW w:w="200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c>
          <w:tcPr>
            <w:tcW w:w="200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8,834,221.14</w:t>
            </w:r>
          </w:p>
        </w:tc>
      </w:tr>
      <w:tr>
        <w:trPr>
          <w:trHeight w:val="283"/>
        </w:trPr>
        <w:tc>
          <w:tcPr>
            <w:tcW w:w="39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 from Local Economic Enterprises</w:t>
            </w:r>
          </w:p>
        </w:tc>
        <w:tc>
          <w:tcPr>
            <w:tcW w:w="2004"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10,612,957.54</w:t>
            </w:r>
          </w:p>
        </w:tc>
        <w:tc>
          <w:tcPr>
            <w:tcW w:w="200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8,994,159.87</w:t>
            </w:r>
          </w:p>
        </w:tc>
      </w:tr>
      <w:tr>
        <w:trPr>
          <w:trHeight w:val="283"/>
        </w:trPr>
        <w:tc>
          <w:tcPr>
            <w:tcW w:w="392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004"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10,612,957.54</w:t>
            </w:r>
          </w:p>
        </w:tc>
        <w:tc>
          <w:tcPr>
            <w:tcW w:w="2005"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17,828,381.01</w:t>
            </w:r>
          </w:p>
        </w:tc>
      </w:tr>
    </w:tbl>
    <w:p>
      <w:pPr>
        <w:jc w:val="both"/>
        <w:rPr>
          <w:b/>
          <w:bCs/>
          <w:sz w:val="24"/>
          <w:szCs w:val="24"/>
        </w:rPr>
      </w:pPr>
    </w:p>
    <w:p>
      <w:pPr>
        <w:ind w:left="1418"/>
        <w:jc w:val="both"/>
        <w:rPr>
          <w:sz w:val="24"/>
          <w:szCs w:val="24"/>
        </w:rPr>
      </w:pPr>
      <w:r>
        <w:rPr>
          <w:sz w:val="24"/>
          <w:szCs w:val="24"/>
        </w:rPr>
        <w:t>The reciprocal account balances during the year 2022 are as per below table:</w:t>
      </w:r>
    </w:p>
    <w:p>
      <w:pPr>
        <w:jc w:val="both"/>
        <w:rPr>
          <w:b/>
          <w:bCs/>
          <w:sz w:val="24"/>
          <w:szCs w:val="24"/>
        </w:rPr>
      </w:pPr>
    </w:p>
    <w:tbl>
      <w:tblPr>
        <w:tblW w:w="883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1528"/>
        <w:gridCol w:w="1837"/>
        <w:gridCol w:w="1490"/>
        <w:gridCol w:w="1613"/>
      </w:tblGrid>
      <w:tr>
        <w:trPr>
          <w:trHeight w:val="327"/>
        </w:trPr>
        <w:tc>
          <w:tcPr>
            <w:tcW w:w="2362" w:type="dxa"/>
            <w:shd w:val="clear" w:color="auto" w:fill="auto"/>
            <w:noWrap/>
            <w:vAlign w:val="bottom"/>
            <w:hideMark/>
          </w:tcPr>
          <w:p>
            <w:pPr>
              <w:rPr>
                <w:sz w:val="24"/>
                <w:szCs w:val="24"/>
                <w:lang w:val="en-PH" w:eastAsia="en-PH"/>
              </w:rPr>
            </w:pPr>
            <w:r>
              <w:rPr>
                <w:sz w:val="24"/>
                <w:szCs w:val="24"/>
                <w:lang w:val="en-PH" w:eastAsia="en-PH"/>
              </w:rPr>
              <w:t> </w:t>
            </w:r>
          </w:p>
        </w:tc>
        <w:tc>
          <w:tcPr>
            <w:tcW w:w="4855" w:type="dxa"/>
            <w:gridSpan w:val="3"/>
            <w:shd w:val="clear" w:color="auto" w:fill="auto"/>
            <w:noWrap/>
            <w:vAlign w:val="center"/>
            <w:hideMark/>
          </w:tcPr>
          <w:p>
            <w:pPr>
              <w:jc w:val="center"/>
              <w:rPr>
                <w:b/>
                <w:bCs/>
                <w:sz w:val="24"/>
                <w:szCs w:val="24"/>
                <w:lang w:val="en-PH" w:eastAsia="en-PH"/>
              </w:rPr>
            </w:pPr>
            <w:r>
              <w:rPr>
                <w:b/>
                <w:bCs/>
                <w:sz w:val="24"/>
                <w:szCs w:val="24"/>
                <w:lang w:val="en-PH" w:eastAsia="en-PH"/>
              </w:rPr>
              <w:t>Subsidy to Local Economics Enterprise</w:t>
            </w:r>
          </w:p>
        </w:tc>
        <w:tc>
          <w:tcPr>
            <w:tcW w:w="1613" w:type="dxa"/>
            <w:shd w:val="clear" w:color="auto" w:fill="auto"/>
            <w:noWrap/>
            <w:vAlign w:val="bottom"/>
            <w:hideMark/>
          </w:tcPr>
          <w:p>
            <w:pPr>
              <w:rPr>
                <w:sz w:val="24"/>
                <w:szCs w:val="24"/>
                <w:lang w:val="en-PH" w:eastAsia="en-PH"/>
              </w:rPr>
            </w:pPr>
            <w:r>
              <w:rPr>
                <w:sz w:val="24"/>
                <w:szCs w:val="24"/>
                <w:lang w:val="en-PH" w:eastAsia="en-PH"/>
              </w:rPr>
              <w:t> </w:t>
            </w:r>
          </w:p>
        </w:tc>
      </w:tr>
      <w:tr>
        <w:trPr>
          <w:trHeight w:val="656"/>
        </w:trPr>
        <w:tc>
          <w:tcPr>
            <w:tcW w:w="2362" w:type="dxa"/>
            <w:shd w:val="clear" w:color="auto" w:fill="auto"/>
            <w:vAlign w:val="center"/>
            <w:hideMark/>
          </w:tcPr>
          <w:p>
            <w:pPr>
              <w:rPr>
                <w:b/>
                <w:bCs/>
                <w:sz w:val="24"/>
                <w:szCs w:val="24"/>
                <w:lang w:val="en-PH" w:eastAsia="en-PH"/>
              </w:rPr>
            </w:pPr>
            <w:r>
              <w:rPr>
                <w:b/>
                <w:bCs/>
                <w:sz w:val="24"/>
                <w:szCs w:val="24"/>
                <w:lang w:val="en-PH" w:eastAsia="en-PH"/>
              </w:rPr>
              <w:t>Subsidy from Local Economics Enterprise</w:t>
            </w:r>
          </w:p>
        </w:tc>
        <w:tc>
          <w:tcPr>
            <w:tcW w:w="1528" w:type="dxa"/>
            <w:shd w:val="clear" w:color="auto" w:fill="auto"/>
            <w:vAlign w:val="center"/>
            <w:hideMark/>
          </w:tcPr>
          <w:p>
            <w:pPr>
              <w:jc w:val="center"/>
              <w:rPr>
                <w:sz w:val="24"/>
                <w:szCs w:val="24"/>
                <w:lang w:val="en-PH" w:eastAsia="en-PH"/>
              </w:rPr>
            </w:pPr>
            <w:r>
              <w:rPr>
                <w:sz w:val="24"/>
                <w:szCs w:val="24"/>
                <w:lang w:val="en-PH" w:eastAsia="en-PH"/>
              </w:rPr>
              <w:t>Cemetery Operation</w:t>
            </w:r>
          </w:p>
        </w:tc>
        <w:tc>
          <w:tcPr>
            <w:tcW w:w="1837" w:type="dxa"/>
            <w:shd w:val="clear" w:color="auto" w:fill="auto"/>
            <w:vAlign w:val="center"/>
            <w:hideMark/>
          </w:tcPr>
          <w:p>
            <w:pPr>
              <w:jc w:val="center"/>
              <w:rPr>
                <w:sz w:val="24"/>
                <w:szCs w:val="24"/>
                <w:lang w:val="en-PH" w:eastAsia="en-PH"/>
              </w:rPr>
            </w:pPr>
            <w:r>
              <w:rPr>
                <w:sz w:val="24"/>
                <w:szCs w:val="24"/>
                <w:lang w:val="en-PH" w:eastAsia="en-PH"/>
              </w:rPr>
              <w:t>Slaughterhouse Operation</w:t>
            </w:r>
          </w:p>
        </w:tc>
        <w:tc>
          <w:tcPr>
            <w:tcW w:w="1490" w:type="dxa"/>
            <w:shd w:val="clear" w:color="auto" w:fill="auto"/>
            <w:vAlign w:val="center"/>
            <w:hideMark/>
          </w:tcPr>
          <w:p>
            <w:pPr>
              <w:jc w:val="center"/>
              <w:rPr>
                <w:sz w:val="24"/>
                <w:szCs w:val="24"/>
                <w:lang w:val="en-PH" w:eastAsia="en-PH"/>
              </w:rPr>
            </w:pPr>
            <w:r>
              <w:rPr>
                <w:sz w:val="24"/>
                <w:szCs w:val="24"/>
                <w:lang w:val="en-PH" w:eastAsia="en-PH"/>
              </w:rPr>
              <w:t>Terminal Operation</w:t>
            </w:r>
          </w:p>
        </w:tc>
        <w:tc>
          <w:tcPr>
            <w:tcW w:w="1613" w:type="dxa"/>
            <w:shd w:val="clear" w:color="auto" w:fill="auto"/>
            <w:vAlign w:val="center"/>
            <w:hideMark/>
          </w:tcPr>
          <w:p>
            <w:pPr>
              <w:jc w:val="center"/>
              <w:rPr>
                <w:b/>
                <w:bCs/>
                <w:sz w:val="24"/>
                <w:szCs w:val="24"/>
                <w:lang w:val="en-PH" w:eastAsia="en-PH"/>
              </w:rPr>
            </w:pPr>
            <w:r>
              <w:rPr>
                <w:b/>
                <w:bCs/>
                <w:sz w:val="24"/>
                <w:szCs w:val="24"/>
                <w:lang w:val="en-PH" w:eastAsia="en-PH"/>
              </w:rPr>
              <w:t>Total</w:t>
            </w:r>
          </w:p>
        </w:tc>
      </w:tr>
      <w:tr>
        <w:trPr>
          <w:trHeight w:val="327"/>
        </w:trPr>
        <w:tc>
          <w:tcPr>
            <w:tcW w:w="2362" w:type="dxa"/>
            <w:shd w:val="clear" w:color="auto" w:fill="auto"/>
            <w:noWrap/>
            <w:vAlign w:val="center"/>
            <w:hideMark/>
          </w:tcPr>
          <w:p>
            <w:pPr>
              <w:rPr>
                <w:sz w:val="24"/>
                <w:szCs w:val="24"/>
                <w:lang w:val="en-PH" w:eastAsia="en-PH"/>
              </w:rPr>
            </w:pPr>
            <w:r>
              <w:rPr>
                <w:sz w:val="24"/>
                <w:szCs w:val="24"/>
                <w:lang w:val="en-PH" w:eastAsia="en-PH"/>
              </w:rPr>
              <w:t>Cemetery Operation</w:t>
            </w:r>
          </w:p>
        </w:tc>
        <w:tc>
          <w:tcPr>
            <w:tcW w:w="1528" w:type="dxa"/>
            <w:shd w:val="clear" w:color="auto" w:fill="auto"/>
            <w:noWrap/>
            <w:vAlign w:val="center"/>
            <w:hideMark/>
          </w:tcPr>
          <w:p>
            <w:pPr>
              <w:jc w:val="right"/>
              <w:rPr>
                <w:sz w:val="24"/>
                <w:szCs w:val="24"/>
                <w:lang w:val="en-PH" w:eastAsia="en-PH"/>
              </w:rPr>
            </w:pPr>
          </w:p>
        </w:tc>
        <w:tc>
          <w:tcPr>
            <w:tcW w:w="1837" w:type="dxa"/>
            <w:shd w:val="clear" w:color="auto" w:fill="auto"/>
            <w:noWrap/>
            <w:vAlign w:val="center"/>
            <w:hideMark/>
          </w:tcPr>
          <w:p>
            <w:pPr>
              <w:jc w:val="right"/>
              <w:rPr>
                <w:sz w:val="24"/>
                <w:szCs w:val="24"/>
                <w:lang w:val="en-PH" w:eastAsia="en-PH"/>
              </w:rPr>
            </w:pPr>
            <w:r>
              <w:rPr>
                <w:sz w:val="24"/>
                <w:szCs w:val="24"/>
                <w:lang w:val="en-PH" w:eastAsia="en-PH"/>
              </w:rPr>
              <w:t>3,535,243.99</w:t>
            </w:r>
          </w:p>
        </w:tc>
        <w:tc>
          <w:tcPr>
            <w:tcW w:w="1490" w:type="dxa"/>
            <w:shd w:val="clear" w:color="auto" w:fill="auto"/>
            <w:noWrap/>
            <w:vAlign w:val="center"/>
            <w:hideMark/>
          </w:tcPr>
          <w:p>
            <w:pPr>
              <w:jc w:val="right"/>
              <w:rPr>
                <w:sz w:val="24"/>
                <w:szCs w:val="24"/>
                <w:lang w:val="en-PH" w:eastAsia="en-PH"/>
              </w:rPr>
            </w:pPr>
            <w:r>
              <w:rPr>
                <w:sz w:val="24"/>
                <w:szCs w:val="24"/>
                <w:lang w:val="en-PH" w:eastAsia="en-PH"/>
              </w:rPr>
              <w:t>407026.45</w:t>
            </w:r>
          </w:p>
        </w:tc>
        <w:tc>
          <w:tcPr>
            <w:tcW w:w="1613" w:type="dxa"/>
            <w:shd w:val="clear" w:color="auto" w:fill="auto"/>
            <w:noWrap/>
            <w:vAlign w:val="center"/>
            <w:hideMark/>
          </w:tcPr>
          <w:p>
            <w:pPr>
              <w:jc w:val="right"/>
              <w:rPr>
                <w:sz w:val="24"/>
                <w:szCs w:val="24"/>
                <w:lang w:val="en-PH" w:eastAsia="en-PH"/>
              </w:rPr>
            </w:pPr>
            <w:r>
              <w:rPr>
                <w:sz w:val="24"/>
                <w:szCs w:val="24"/>
                <w:lang w:val="en-PH" w:eastAsia="en-PH"/>
              </w:rPr>
              <w:t>3,942,270.44</w:t>
            </w:r>
          </w:p>
        </w:tc>
      </w:tr>
      <w:tr>
        <w:trPr>
          <w:trHeight w:val="327"/>
        </w:trPr>
        <w:tc>
          <w:tcPr>
            <w:tcW w:w="2362" w:type="dxa"/>
            <w:shd w:val="clear" w:color="auto" w:fill="auto"/>
            <w:noWrap/>
            <w:vAlign w:val="center"/>
            <w:hideMark/>
          </w:tcPr>
          <w:p>
            <w:pPr>
              <w:rPr>
                <w:sz w:val="24"/>
                <w:szCs w:val="24"/>
                <w:lang w:val="en-PH" w:eastAsia="en-PH"/>
              </w:rPr>
            </w:pPr>
            <w:r>
              <w:rPr>
                <w:sz w:val="24"/>
                <w:szCs w:val="24"/>
                <w:lang w:val="en-PH" w:eastAsia="en-PH"/>
              </w:rPr>
              <w:t>Market Operation</w:t>
            </w:r>
          </w:p>
        </w:tc>
        <w:tc>
          <w:tcPr>
            <w:tcW w:w="1528" w:type="dxa"/>
            <w:shd w:val="clear" w:color="auto" w:fill="auto"/>
            <w:noWrap/>
            <w:vAlign w:val="center"/>
            <w:hideMark/>
          </w:tcPr>
          <w:p>
            <w:pPr>
              <w:jc w:val="right"/>
              <w:rPr>
                <w:sz w:val="24"/>
                <w:szCs w:val="24"/>
                <w:lang w:val="en-PH" w:eastAsia="en-PH"/>
              </w:rPr>
            </w:pPr>
            <w:r>
              <w:rPr>
                <w:sz w:val="24"/>
                <w:szCs w:val="24"/>
                <w:lang w:val="en-PH" w:eastAsia="en-PH"/>
              </w:rPr>
              <w:t>3,670,429.01</w:t>
            </w:r>
          </w:p>
        </w:tc>
        <w:tc>
          <w:tcPr>
            <w:tcW w:w="1837" w:type="dxa"/>
            <w:shd w:val="clear" w:color="auto" w:fill="auto"/>
            <w:noWrap/>
            <w:vAlign w:val="center"/>
            <w:hideMark/>
          </w:tcPr>
          <w:p>
            <w:pPr>
              <w:jc w:val="right"/>
              <w:rPr>
                <w:sz w:val="24"/>
                <w:szCs w:val="24"/>
                <w:lang w:val="en-PH" w:eastAsia="en-PH"/>
              </w:rPr>
            </w:pPr>
          </w:p>
        </w:tc>
        <w:tc>
          <w:tcPr>
            <w:tcW w:w="1490" w:type="dxa"/>
            <w:shd w:val="clear" w:color="auto" w:fill="auto"/>
            <w:noWrap/>
            <w:vAlign w:val="center"/>
            <w:hideMark/>
          </w:tcPr>
          <w:p>
            <w:pPr>
              <w:jc w:val="right"/>
              <w:rPr>
                <w:sz w:val="24"/>
                <w:szCs w:val="24"/>
                <w:lang w:val="en-PH" w:eastAsia="en-PH"/>
              </w:rPr>
            </w:pPr>
            <w:r>
              <w:rPr>
                <w:sz w:val="24"/>
                <w:szCs w:val="24"/>
                <w:lang w:val="en-PH" w:eastAsia="en-PH"/>
              </w:rPr>
              <w:t>1,391,359.03</w:t>
            </w:r>
          </w:p>
        </w:tc>
        <w:tc>
          <w:tcPr>
            <w:tcW w:w="1613" w:type="dxa"/>
            <w:shd w:val="clear" w:color="auto" w:fill="auto"/>
            <w:noWrap/>
            <w:vAlign w:val="center"/>
            <w:hideMark/>
          </w:tcPr>
          <w:p>
            <w:pPr>
              <w:jc w:val="right"/>
              <w:rPr>
                <w:sz w:val="24"/>
                <w:szCs w:val="24"/>
                <w:lang w:val="en-PH" w:eastAsia="en-PH"/>
              </w:rPr>
            </w:pPr>
            <w:r>
              <w:rPr>
                <w:sz w:val="24"/>
                <w:szCs w:val="24"/>
                <w:lang w:val="en-PH" w:eastAsia="en-PH"/>
              </w:rPr>
              <w:t>5,061,788.04</w:t>
            </w:r>
          </w:p>
        </w:tc>
      </w:tr>
      <w:tr>
        <w:trPr>
          <w:trHeight w:val="327"/>
        </w:trPr>
        <w:tc>
          <w:tcPr>
            <w:tcW w:w="2362" w:type="dxa"/>
            <w:shd w:val="clear" w:color="auto" w:fill="auto"/>
            <w:noWrap/>
            <w:vAlign w:val="center"/>
            <w:hideMark/>
          </w:tcPr>
          <w:p>
            <w:pPr>
              <w:rPr>
                <w:sz w:val="24"/>
                <w:szCs w:val="24"/>
                <w:lang w:val="en-PH" w:eastAsia="en-PH"/>
              </w:rPr>
            </w:pPr>
            <w:r>
              <w:rPr>
                <w:sz w:val="24"/>
                <w:szCs w:val="24"/>
                <w:lang w:val="en-PH" w:eastAsia="en-PH"/>
              </w:rPr>
              <w:t>Terminal Operation</w:t>
            </w:r>
          </w:p>
        </w:tc>
        <w:tc>
          <w:tcPr>
            <w:tcW w:w="1528" w:type="dxa"/>
            <w:shd w:val="clear" w:color="auto" w:fill="auto"/>
            <w:noWrap/>
            <w:vAlign w:val="center"/>
            <w:hideMark/>
          </w:tcPr>
          <w:p>
            <w:pPr>
              <w:jc w:val="right"/>
              <w:rPr>
                <w:sz w:val="24"/>
                <w:szCs w:val="24"/>
                <w:lang w:val="en-PH" w:eastAsia="en-PH"/>
              </w:rPr>
            </w:pPr>
          </w:p>
        </w:tc>
        <w:tc>
          <w:tcPr>
            <w:tcW w:w="1837" w:type="dxa"/>
            <w:shd w:val="clear" w:color="auto" w:fill="auto"/>
            <w:noWrap/>
            <w:vAlign w:val="center"/>
            <w:hideMark/>
          </w:tcPr>
          <w:p>
            <w:pPr>
              <w:jc w:val="right"/>
              <w:rPr>
                <w:sz w:val="24"/>
                <w:szCs w:val="24"/>
                <w:lang w:val="en-PH" w:eastAsia="en-PH"/>
              </w:rPr>
            </w:pPr>
            <w:r>
              <w:rPr>
                <w:sz w:val="24"/>
                <w:szCs w:val="24"/>
                <w:lang w:val="en-PH" w:eastAsia="en-PH"/>
              </w:rPr>
              <w:t>1,608,899.06</w:t>
            </w:r>
          </w:p>
        </w:tc>
        <w:tc>
          <w:tcPr>
            <w:tcW w:w="1490" w:type="dxa"/>
            <w:shd w:val="clear" w:color="auto" w:fill="auto"/>
            <w:noWrap/>
            <w:vAlign w:val="center"/>
            <w:hideMark/>
          </w:tcPr>
          <w:p>
            <w:pPr>
              <w:jc w:val="right"/>
              <w:rPr>
                <w:sz w:val="24"/>
                <w:szCs w:val="24"/>
                <w:lang w:val="en-PH" w:eastAsia="en-PH"/>
              </w:rPr>
            </w:pPr>
          </w:p>
        </w:tc>
        <w:tc>
          <w:tcPr>
            <w:tcW w:w="1613" w:type="dxa"/>
            <w:shd w:val="clear" w:color="auto" w:fill="auto"/>
            <w:noWrap/>
            <w:vAlign w:val="center"/>
            <w:hideMark/>
          </w:tcPr>
          <w:p>
            <w:pPr>
              <w:jc w:val="right"/>
              <w:rPr>
                <w:sz w:val="24"/>
                <w:szCs w:val="24"/>
                <w:lang w:val="en-PH" w:eastAsia="en-PH"/>
              </w:rPr>
            </w:pPr>
            <w:r>
              <w:rPr>
                <w:sz w:val="24"/>
                <w:szCs w:val="24"/>
                <w:lang w:val="en-PH" w:eastAsia="en-PH"/>
              </w:rPr>
              <w:t>1,608,899.06</w:t>
            </w:r>
          </w:p>
        </w:tc>
      </w:tr>
      <w:tr>
        <w:trPr>
          <w:trHeight w:val="344"/>
        </w:trPr>
        <w:tc>
          <w:tcPr>
            <w:tcW w:w="2362" w:type="dxa"/>
            <w:shd w:val="clear" w:color="auto" w:fill="auto"/>
            <w:noWrap/>
            <w:vAlign w:val="center"/>
            <w:hideMark/>
          </w:tcPr>
          <w:p>
            <w:pPr>
              <w:rPr>
                <w:b/>
                <w:bCs/>
                <w:sz w:val="24"/>
                <w:szCs w:val="24"/>
                <w:lang w:val="en-PH" w:eastAsia="en-PH"/>
              </w:rPr>
            </w:pPr>
            <w:r>
              <w:rPr>
                <w:b/>
                <w:bCs/>
                <w:sz w:val="24"/>
                <w:szCs w:val="24"/>
                <w:lang w:val="en-PH" w:eastAsia="en-PH"/>
              </w:rPr>
              <w:t>Total</w:t>
            </w:r>
          </w:p>
        </w:tc>
        <w:tc>
          <w:tcPr>
            <w:tcW w:w="1528" w:type="dxa"/>
            <w:shd w:val="clear" w:color="auto" w:fill="auto"/>
            <w:noWrap/>
            <w:vAlign w:val="center"/>
            <w:hideMark/>
          </w:tcPr>
          <w:p>
            <w:pPr>
              <w:jc w:val="right"/>
              <w:rPr>
                <w:b/>
                <w:bCs/>
                <w:sz w:val="24"/>
                <w:szCs w:val="24"/>
                <w:lang w:val="en-PH" w:eastAsia="en-PH"/>
              </w:rPr>
            </w:pPr>
            <w:r>
              <w:rPr>
                <w:b/>
                <w:bCs/>
                <w:sz w:val="24"/>
                <w:szCs w:val="24"/>
                <w:lang w:val="en-PH" w:eastAsia="en-PH"/>
              </w:rPr>
              <w:t>3,670,429.01</w:t>
            </w:r>
          </w:p>
        </w:tc>
        <w:tc>
          <w:tcPr>
            <w:tcW w:w="1837" w:type="dxa"/>
            <w:shd w:val="clear" w:color="auto" w:fill="auto"/>
            <w:noWrap/>
            <w:vAlign w:val="center"/>
            <w:hideMark/>
          </w:tcPr>
          <w:p>
            <w:pPr>
              <w:jc w:val="right"/>
              <w:rPr>
                <w:b/>
                <w:bCs/>
                <w:sz w:val="24"/>
                <w:szCs w:val="24"/>
                <w:lang w:val="en-PH" w:eastAsia="en-PH"/>
              </w:rPr>
            </w:pPr>
            <w:r>
              <w:rPr>
                <w:b/>
                <w:bCs/>
                <w:sz w:val="24"/>
                <w:szCs w:val="24"/>
                <w:lang w:val="en-PH" w:eastAsia="en-PH"/>
              </w:rPr>
              <w:t>5,144,143.05</w:t>
            </w:r>
          </w:p>
        </w:tc>
        <w:tc>
          <w:tcPr>
            <w:tcW w:w="1490" w:type="dxa"/>
            <w:shd w:val="clear" w:color="auto" w:fill="auto"/>
            <w:noWrap/>
            <w:vAlign w:val="center"/>
            <w:hideMark/>
          </w:tcPr>
          <w:p>
            <w:pPr>
              <w:jc w:val="right"/>
              <w:rPr>
                <w:b/>
                <w:bCs/>
                <w:sz w:val="24"/>
                <w:szCs w:val="24"/>
                <w:lang w:val="en-PH" w:eastAsia="en-PH"/>
              </w:rPr>
            </w:pPr>
            <w:r>
              <w:rPr>
                <w:b/>
                <w:bCs/>
                <w:sz w:val="24"/>
                <w:szCs w:val="24"/>
                <w:lang w:val="en-PH" w:eastAsia="en-PH"/>
              </w:rPr>
              <w:t>1,798,385.48</w:t>
            </w:r>
          </w:p>
        </w:tc>
        <w:tc>
          <w:tcPr>
            <w:tcW w:w="1613" w:type="dxa"/>
            <w:shd w:val="clear" w:color="auto" w:fill="auto"/>
            <w:noWrap/>
            <w:vAlign w:val="center"/>
            <w:hideMark/>
          </w:tcPr>
          <w:p>
            <w:pPr>
              <w:jc w:val="right"/>
              <w:rPr>
                <w:b/>
                <w:bCs/>
                <w:sz w:val="24"/>
                <w:szCs w:val="24"/>
                <w:lang w:val="en-PH" w:eastAsia="en-PH"/>
              </w:rPr>
            </w:pPr>
            <w:r>
              <w:rPr>
                <w:b/>
                <w:bCs/>
                <w:sz w:val="24"/>
                <w:szCs w:val="24"/>
                <w:lang w:val="en-PH" w:eastAsia="en-PH"/>
              </w:rPr>
              <w:t>10,612,957.54</w:t>
            </w:r>
          </w:p>
        </w:tc>
      </w:tr>
    </w:tbl>
    <w:p>
      <w:pPr>
        <w:jc w:val="both"/>
        <w:rPr>
          <w:b/>
          <w:bCs/>
          <w:sz w:val="24"/>
          <w:szCs w:val="24"/>
        </w:rPr>
      </w:pPr>
    </w:p>
    <w:p>
      <w:pPr>
        <w:jc w:val="both"/>
        <w:rPr>
          <w:b/>
          <w:bCs/>
          <w:sz w:val="24"/>
          <w:szCs w:val="24"/>
        </w:rPr>
      </w:pPr>
      <w:r>
        <w:rPr>
          <w:b/>
          <w:bCs/>
          <w:sz w:val="24"/>
          <w:szCs w:val="24"/>
        </w:rPr>
        <w:t>Note 21 – Shares, Grants and Donations</w:t>
      </w:r>
    </w:p>
    <w:p>
      <w:pPr>
        <w:jc w:val="both"/>
        <w:rPr>
          <w:b/>
          <w:bCs/>
          <w:sz w:val="24"/>
          <w:szCs w:val="24"/>
          <w:lang w:val="en-PH" w:eastAsia="en-PH"/>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ind w:left="720"/>
        <w:jc w:val="both"/>
        <w:rPr>
          <w:sz w:val="24"/>
          <w:szCs w:val="24"/>
        </w:rPr>
      </w:pPr>
    </w:p>
    <w:tbl>
      <w:tblPr>
        <w:tblW w:w="8647" w:type="dxa"/>
        <w:tblInd w:w="817" w:type="dxa"/>
        <w:tblBorders>
          <w:bottom w:val="double" w:sz="6" w:space="0" w:color="A6A6A6"/>
        </w:tblBorders>
        <w:tblLayout w:type="fixed"/>
        <w:tblLook w:val="04A0" w:firstRow="1" w:lastRow="0" w:firstColumn="1" w:lastColumn="0" w:noHBand="0" w:noVBand="1"/>
      </w:tblPr>
      <w:tblGrid>
        <w:gridCol w:w="4369"/>
        <w:gridCol w:w="2139"/>
        <w:gridCol w:w="2139"/>
      </w:tblGrid>
      <w:tr>
        <w:trPr>
          <w:trHeight w:val="340"/>
        </w:trPr>
        <w:tc>
          <w:tcPr>
            <w:tcW w:w="4369" w:type="dxa"/>
            <w:tcBorders>
              <w:bottom w:val="single" w:sz="4" w:space="0" w:color="A6A6A6" w:themeColor="background1" w:themeShade="A6"/>
            </w:tcBorders>
            <w:shd w:val="clear" w:color="auto" w:fill="auto"/>
            <w:vAlign w:val="center"/>
            <w:hideMark/>
          </w:tcPr>
          <w:p>
            <w:pPr>
              <w:jc w:val="center"/>
              <w:rPr>
                <w:b/>
                <w:bCs/>
                <w:sz w:val="24"/>
                <w:szCs w:val="24"/>
                <w:lang w:val="en-PH" w:eastAsia="en-PH"/>
              </w:rPr>
            </w:pPr>
            <w:r>
              <w:rPr>
                <w:b/>
                <w:bCs/>
                <w:sz w:val="24"/>
                <w:szCs w:val="24"/>
                <w:lang w:val="en-PH" w:eastAsia="en-PH"/>
              </w:rPr>
              <w:t>Shares, Grants and Donations</w:t>
            </w:r>
          </w:p>
        </w:tc>
        <w:tc>
          <w:tcPr>
            <w:tcW w:w="2139" w:type="dxa"/>
            <w:tcBorders>
              <w:bottom w:val="single" w:sz="4" w:space="0" w:color="A6A6A6" w:themeColor="background1" w:themeShade="A6"/>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39" w:type="dxa"/>
            <w:tcBorders>
              <w:bottom w:val="single" w:sz="4" w:space="0" w:color="A6A6A6" w:themeColor="background1" w:themeShade="A6"/>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369" w:type="dxa"/>
            <w:tcBorders>
              <w:top w:val="single" w:sz="4" w:space="0" w:color="A6A6A6" w:themeColor="background1" w:themeShade="A6"/>
              <w:bottom w:val="single" w:sz="4" w:space="0" w:color="A6A6A6" w:themeColor="background1" w:themeShade="A6"/>
            </w:tcBorders>
            <w:shd w:val="clear" w:color="auto" w:fill="auto"/>
            <w:vAlign w:val="center"/>
            <w:hideMark/>
          </w:tcPr>
          <w:p>
            <w:pPr>
              <w:rPr>
                <w:b/>
                <w:bCs/>
                <w:sz w:val="24"/>
                <w:szCs w:val="24"/>
                <w:lang w:val="en-PH" w:eastAsia="en-PH"/>
              </w:rPr>
            </w:pPr>
            <w:r>
              <w:rPr>
                <w:b/>
                <w:bCs/>
                <w:sz w:val="24"/>
                <w:szCs w:val="24"/>
                <w:lang w:val="en-PH" w:eastAsia="en-PH"/>
              </w:rPr>
              <w:t>Share</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1,523,631.25 </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1,192,785.32 </w:t>
            </w:r>
          </w:p>
        </w:tc>
      </w:tr>
      <w:tr>
        <w:trPr>
          <w:trHeight w:val="340"/>
        </w:trPr>
        <w:tc>
          <w:tcPr>
            <w:tcW w:w="4369" w:type="dxa"/>
            <w:tcBorders>
              <w:top w:val="single" w:sz="4" w:space="0" w:color="A6A6A6" w:themeColor="background1" w:themeShade="A6"/>
              <w:bottom w:val="single" w:sz="4" w:space="0" w:color="A6A6A6" w:themeColor="background1" w:themeShade="A6"/>
            </w:tcBorders>
            <w:shd w:val="clear" w:color="auto" w:fill="auto"/>
            <w:vAlign w:val="center"/>
            <w:hideMark/>
          </w:tcPr>
          <w:p>
            <w:pPr>
              <w:ind w:firstLineChars="132" w:firstLine="317"/>
              <w:rPr>
                <w:sz w:val="24"/>
                <w:szCs w:val="24"/>
                <w:lang w:val="en-PH" w:eastAsia="en-PH"/>
              </w:rPr>
            </w:pPr>
            <w:r>
              <w:rPr>
                <w:sz w:val="24"/>
                <w:szCs w:val="24"/>
                <w:lang w:val="en-PH" w:eastAsia="en-PH"/>
              </w:rPr>
              <w:t>Share from PCSO</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center"/>
            <w:hideMark/>
          </w:tcPr>
          <w:p>
            <w:pPr>
              <w:jc w:val="right"/>
              <w:rPr>
                <w:sz w:val="24"/>
                <w:szCs w:val="24"/>
                <w:lang w:val="en-PH" w:eastAsia="en-PH"/>
              </w:rPr>
            </w:pPr>
            <w:r>
              <w:rPr>
                <w:sz w:val="24"/>
                <w:szCs w:val="24"/>
                <w:lang w:val="en-PH" w:eastAsia="en-PH"/>
              </w:rPr>
              <w:t xml:space="preserve">1,523,631.25 </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bottom"/>
            <w:hideMark/>
          </w:tcPr>
          <w:p>
            <w:pPr>
              <w:jc w:val="right"/>
              <w:rPr>
                <w:sz w:val="24"/>
                <w:szCs w:val="24"/>
                <w:lang w:val="en-PH" w:eastAsia="en-PH"/>
              </w:rPr>
            </w:pPr>
            <w:r>
              <w:rPr>
                <w:sz w:val="24"/>
                <w:szCs w:val="24"/>
                <w:lang w:val="en-PH" w:eastAsia="en-PH"/>
              </w:rPr>
              <w:t xml:space="preserve">1,192,785.32 </w:t>
            </w:r>
          </w:p>
        </w:tc>
      </w:tr>
      <w:tr>
        <w:trPr>
          <w:trHeight w:val="340"/>
        </w:trPr>
        <w:tc>
          <w:tcPr>
            <w:tcW w:w="4369" w:type="dxa"/>
            <w:tcBorders>
              <w:top w:val="single" w:sz="4" w:space="0" w:color="A6A6A6" w:themeColor="background1" w:themeShade="A6"/>
              <w:bottom w:val="single" w:sz="4" w:space="0" w:color="A6A6A6" w:themeColor="background1" w:themeShade="A6"/>
            </w:tcBorders>
            <w:shd w:val="clear" w:color="auto" w:fill="auto"/>
            <w:vAlign w:val="center"/>
            <w:hideMark/>
          </w:tcPr>
          <w:p>
            <w:pPr>
              <w:rPr>
                <w:b/>
                <w:bCs/>
                <w:sz w:val="24"/>
                <w:szCs w:val="24"/>
                <w:lang w:val="en-PH" w:eastAsia="en-PH"/>
              </w:rPr>
            </w:pPr>
            <w:r>
              <w:rPr>
                <w:b/>
                <w:bCs/>
                <w:sz w:val="24"/>
                <w:szCs w:val="24"/>
                <w:lang w:val="en-PH" w:eastAsia="en-PH"/>
              </w:rPr>
              <w:t>Grants and Donations</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83,016,227.99 </w:t>
            </w:r>
          </w:p>
        </w:tc>
        <w:tc>
          <w:tcPr>
            <w:tcW w:w="2139" w:type="dxa"/>
            <w:tcBorders>
              <w:top w:val="single" w:sz="4" w:space="0" w:color="A6A6A6" w:themeColor="background1" w:themeShade="A6"/>
              <w:bottom w:val="single" w:sz="4" w:space="0" w:color="A6A6A6" w:themeColor="background1" w:themeShade="A6"/>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3,355,968.30 </w:t>
            </w:r>
          </w:p>
        </w:tc>
      </w:tr>
      <w:tr>
        <w:trPr>
          <w:trHeight w:val="340"/>
        </w:trPr>
        <w:tc>
          <w:tcPr>
            <w:tcW w:w="4369" w:type="dxa"/>
            <w:tcBorders>
              <w:top w:val="single" w:sz="4" w:space="0" w:color="A6A6A6" w:themeColor="background1" w:themeShade="A6"/>
              <w:bottom w:val="nil"/>
            </w:tcBorders>
            <w:shd w:val="clear" w:color="auto" w:fill="auto"/>
            <w:vAlign w:val="center"/>
            <w:hideMark/>
          </w:tcPr>
          <w:p>
            <w:pPr>
              <w:ind w:firstLineChars="132" w:firstLine="317"/>
              <w:rPr>
                <w:sz w:val="24"/>
                <w:szCs w:val="24"/>
                <w:lang w:val="en-PH" w:eastAsia="en-PH"/>
              </w:rPr>
            </w:pPr>
            <w:r>
              <w:rPr>
                <w:sz w:val="24"/>
                <w:szCs w:val="24"/>
                <w:lang w:val="en-PH" w:eastAsia="en-PH"/>
              </w:rPr>
              <w:t>Grants and Donations in Cash</w:t>
            </w:r>
          </w:p>
        </w:tc>
        <w:tc>
          <w:tcPr>
            <w:tcW w:w="2139" w:type="dxa"/>
            <w:tcBorders>
              <w:top w:val="single" w:sz="4" w:space="0" w:color="A6A6A6" w:themeColor="background1" w:themeShade="A6"/>
              <w:bottom w:val="nil"/>
            </w:tcBorders>
            <w:shd w:val="clear" w:color="auto" w:fill="auto"/>
            <w:noWrap/>
            <w:vAlign w:val="center"/>
            <w:hideMark/>
          </w:tcPr>
          <w:p>
            <w:pPr>
              <w:jc w:val="right"/>
              <w:rPr>
                <w:sz w:val="24"/>
                <w:szCs w:val="24"/>
                <w:lang w:val="en-PH" w:eastAsia="en-PH"/>
              </w:rPr>
            </w:pPr>
            <w:r>
              <w:rPr>
                <w:sz w:val="24"/>
                <w:szCs w:val="24"/>
                <w:lang w:val="en-PH" w:eastAsia="en-PH"/>
              </w:rPr>
              <w:t xml:space="preserve">77,266,392.51 </w:t>
            </w:r>
          </w:p>
        </w:tc>
        <w:tc>
          <w:tcPr>
            <w:tcW w:w="2139" w:type="dxa"/>
            <w:tcBorders>
              <w:top w:val="single" w:sz="4" w:space="0" w:color="A6A6A6" w:themeColor="background1" w:themeShade="A6"/>
              <w:bottom w:val="nil"/>
            </w:tcBorders>
            <w:shd w:val="clear" w:color="auto" w:fill="auto"/>
            <w:noWrap/>
            <w:vAlign w:val="bottom"/>
            <w:hideMark/>
          </w:tcPr>
          <w:p>
            <w:pPr>
              <w:jc w:val="right"/>
              <w:rPr>
                <w:sz w:val="24"/>
                <w:szCs w:val="24"/>
                <w:lang w:val="en-PH" w:eastAsia="en-PH"/>
              </w:rPr>
            </w:pPr>
            <w:r>
              <w:rPr>
                <w:sz w:val="24"/>
                <w:szCs w:val="24"/>
                <w:lang w:val="en-PH" w:eastAsia="en-PH"/>
              </w:rPr>
              <w:t>0.00</w:t>
            </w:r>
          </w:p>
        </w:tc>
      </w:tr>
      <w:tr>
        <w:trPr>
          <w:trHeight w:val="340"/>
        </w:trPr>
        <w:tc>
          <w:tcPr>
            <w:tcW w:w="4369" w:type="dxa"/>
            <w:tcBorders>
              <w:bottom w:val="single" w:sz="4" w:space="0" w:color="A6A6A6" w:themeColor="background1" w:themeShade="A6"/>
            </w:tcBorders>
            <w:shd w:val="clear" w:color="auto" w:fill="auto"/>
            <w:vAlign w:val="center"/>
            <w:hideMark/>
          </w:tcPr>
          <w:p>
            <w:pPr>
              <w:ind w:firstLineChars="132" w:firstLine="317"/>
              <w:rPr>
                <w:sz w:val="24"/>
                <w:szCs w:val="24"/>
                <w:lang w:val="en-PH" w:eastAsia="en-PH"/>
              </w:rPr>
            </w:pPr>
            <w:r>
              <w:rPr>
                <w:sz w:val="24"/>
                <w:szCs w:val="24"/>
                <w:lang w:val="en-PH" w:eastAsia="en-PH"/>
              </w:rPr>
              <w:t xml:space="preserve">Grants and Donations in Kind </w:t>
            </w:r>
          </w:p>
        </w:tc>
        <w:tc>
          <w:tcPr>
            <w:tcW w:w="2139" w:type="dxa"/>
            <w:tcBorders>
              <w:bottom w:val="single" w:sz="4" w:space="0" w:color="A6A6A6" w:themeColor="background1" w:themeShade="A6"/>
            </w:tcBorders>
            <w:shd w:val="clear" w:color="auto" w:fill="auto"/>
            <w:noWrap/>
            <w:vAlign w:val="center"/>
            <w:hideMark/>
          </w:tcPr>
          <w:p>
            <w:pPr>
              <w:jc w:val="right"/>
              <w:rPr>
                <w:sz w:val="24"/>
                <w:szCs w:val="24"/>
                <w:lang w:val="en-PH" w:eastAsia="en-PH"/>
              </w:rPr>
            </w:pPr>
            <w:r>
              <w:rPr>
                <w:sz w:val="24"/>
                <w:szCs w:val="24"/>
                <w:lang w:val="en-PH" w:eastAsia="en-PH"/>
              </w:rPr>
              <w:t xml:space="preserve">5,749,835.48 </w:t>
            </w:r>
          </w:p>
        </w:tc>
        <w:tc>
          <w:tcPr>
            <w:tcW w:w="2139" w:type="dxa"/>
            <w:tcBorders>
              <w:bottom w:val="single" w:sz="4" w:space="0" w:color="A6A6A6" w:themeColor="background1" w:themeShade="A6"/>
            </w:tcBorders>
            <w:shd w:val="clear" w:color="auto" w:fill="auto"/>
            <w:noWrap/>
            <w:vAlign w:val="bottom"/>
            <w:hideMark/>
          </w:tcPr>
          <w:p>
            <w:pPr>
              <w:jc w:val="right"/>
              <w:rPr>
                <w:sz w:val="24"/>
                <w:szCs w:val="24"/>
                <w:lang w:val="en-PH" w:eastAsia="en-PH"/>
              </w:rPr>
            </w:pPr>
            <w:r>
              <w:rPr>
                <w:sz w:val="24"/>
                <w:szCs w:val="24"/>
                <w:lang w:val="en-PH" w:eastAsia="en-PH"/>
              </w:rPr>
              <w:t xml:space="preserve">3,355,968.30 </w:t>
            </w:r>
          </w:p>
        </w:tc>
      </w:tr>
      <w:tr>
        <w:trPr>
          <w:trHeight w:val="340"/>
        </w:trPr>
        <w:tc>
          <w:tcPr>
            <w:tcW w:w="4369" w:type="dxa"/>
            <w:tcBorders>
              <w:top w:val="single" w:sz="4" w:space="0" w:color="A6A6A6" w:themeColor="background1" w:themeShade="A6"/>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39" w:type="dxa"/>
            <w:tcBorders>
              <w:top w:val="single" w:sz="4" w:space="0" w:color="A6A6A6" w:themeColor="background1" w:themeShade="A6"/>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84,539,859.24 </w:t>
            </w:r>
          </w:p>
        </w:tc>
        <w:tc>
          <w:tcPr>
            <w:tcW w:w="2139" w:type="dxa"/>
            <w:tcBorders>
              <w:top w:val="single" w:sz="4" w:space="0" w:color="A6A6A6" w:themeColor="background1" w:themeShade="A6"/>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4,548,753.62 </w:t>
            </w:r>
          </w:p>
        </w:tc>
      </w:tr>
    </w:tbl>
    <w:p>
      <w:pPr>
        <w:ind w:left="720"/>
        <w:jc w:val="both"/>
        <w:rPr>
          <w:sz w:val="24"/>
          <w:szCs w:val="24"/>
        </w:rPr>
      </w:pPr>
    </w:p>
    <w:p>
      <w:pPr>
        <w:spacing w:line="276" w:lineRule="auto"/>
        <w:ind w:left="720"/>
        <w:jc w:val="both"/>
        <w:rPr>
          <w:b/>
          <w:bCs/>
          <w:sz w:val="24"/>
          <w:szCs w:val="24"/>
        </w:rPr>
      </w:pPr>
      <w:r>
        <w:rPr>
          <w:sz w:val="24"/>
          <w:szCs w:val="24"/>
        </w:rPr>
        <w:t>The high amount accounted in this group of accounts is the Grants and Donations in Cash. The transfer from the national government account was used to reverse the source of funds for the actual disbursement during the year ended 2021 for the various trust funds, however due to the unavailability of this account in version 2 of engas, the grants and donation in cash account was used instead.</w:t>
      </w:r>
    </w:p>
    <w:p>
      <w:pPr>
        <w:jc w:val="both"/>
        <w:rPr>
          <w:b/>
          <w:bCs/>
          <w:sz w:val="24"/>
          <w:szCs w:val="24"/>
        </w:rPr>
      </w:pPr>
    </w:p>
    <w:p>
      <w:pPr>
        <w:jc w:val="both"/>
        <w:rPr>
          <w:b/>
          <w:bCs/>
          <w:sz w:val="24"/>
          <w:szCs w:val="24"/>
        </w:rPr>
      </w:pPr>
      <w:r>
        <w:rPr>
          <w:b/>
          <w:bCs/>
          <w:sz w:val="24"/>
          <w:szCs w:val="24"/>
        </w:rPr>
        <w:t>Note 22 – Miscellaneous Income</w:t>
      </w:r>
    </w:p>
    <w:p>
      <w:pPr>
        <w:jc w:val="both"/>
        <w:rPr>
          <w:b/>
          <w:bCs/>
          <w:sz w:val="24"/>
          <w:szCs w:val="24"/>
        </w:rPr>
      </w:pPr>
    </w:p>
    <w:p>
      <w:pPr>
        <w:spacing w:line="276" w:lineRule="auto"/>
        <w:ind w:left="720"/>
        <w:jc w:val="both"/>
        <w:rPr>
          <w:sz w:val="24"/>
          <w:szCs w:val="24"/>
        </w:rPr>
      </w:pPr>
      <w:r>
        <w:rPr>
          <w:sz w:val="24"/>
          <w:szCs w:val="24"/>
          <w:lang w:val="en-PH" w:eastAsia="en-PH"/>
        </w:rPr>
        <w:t xml:space="preserve">This comprised the following accounts with </w:t>
      </w:r>
      <w:r>
        <w:rPr>
          <w:sz w:val="24"/>
          <w:szCs w:val="24"/>
        </w:rPr>
        <w:t>the comparative figure for the year ended 2022 and 2021.</w:t>
      </w:r>
    </w:p>
    <w:p>
      <w:pPr>
        <w:jc w:val="both"/>
        <w:rPr>
          <w:b/>
          <w:bCs/>
          <w:sz w:val="24"/>
          <w:szCs w:val="24"/>
          <w:lang w:val="en-PH" w:eastAsia="en-PH"/>
        </w:rPr>
      </w:pPr>
    </w:p>
    <w:p>
      <w:pPr>
        <w:jc w:val="both"/>
        <w:rPr>
          <w:b/>
          <w:bCs/>
          <w:sz w:val="24"/>
          <w:szCs w:val="24"/>
          <w:lang w:val="en-PH" w:eastAsia="en-PH"/>
        </w:rPr>
      </w:pPr>
    </w:p>
    <w:tbl>
      <w:tblPr>
        <w:tblW w:w="8647" w:type="dxa"/>
        <w:tblInd w:w="817" w:type="dxa"/>
        <w:tblLayout w:type="fixed"/>
        <w:tblLook w:val="04A0" w:firstRow="1" w:lastRow="0" w:firstColumn="1" w:lastColumn="0" w:noHBand="0" w:noVBand="1"/>
      </w:tblPr>
      <w:tblGrid>
        <w:gridCol w:w="4382"/>
        <w:gridCol w:w="2132"/>
        <w:gridCol w:w="2133"/>
      </w:tblGrid>
      <w:tr>
        <w:trPr>
          <w:trHeight w:val="340"/>
        </w:trPr>
        <w:tc>
          <w:tcPr>
            <w:tcW w:w="438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Miscellaneous Income</w:t>
            </w:r>
          </w:p>
        </w:tc>
        <w:tc>
          <w:tcPr>
            <w:tcW w:w="213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3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38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Miscellaneous Income</w:t>
            </w:r>
          </w:p>
        </w:tc>
        <w:tc>
          <w:tcPr>
            <w:tcW w:w="2132"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2,218,956.25</w:t>
            </w:r>
          </w:p>
        </w:tc>
        <w:tc>
          <w:tcPr>
            <w:tcW w:w="213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1,643,931.51</w:t>
            </w:r>
          </w:p>
        </w:tc>
      </w:tr>
      <w:tr>
        <w:trPr>
          <w:trHeight w:val="340"/>
        </w:trPr>
        <w:tc>
          <w:tcPr>
            <w:tcW w:w="438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3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2,218,956.25</w:t>
            </w:r>
          </w:p>
        </w:tc>
        <w:tc>
          <w:tcPr>
            <w:tcW w:w="2133"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1,643,931.51</w:t>
            </w:r>
          </w:p>
        </w:tc>
      </w:tr>
    </w:tbl>
    <w:p>
      <w:pPr>
        <w:jc w:val="both"/>
        <w:rPr>
          <w:b/>
          <w:bCs/>
          <w:sz w:val="24"/>
          <w:szCs w:val="24"/>
        </w:rPr>
      </w:pPr>
    </w:p>
    <w:p>
      <w:pPr>
        <w:jc w:val="both"/>
        <w:rPr>
          <w:b/>
          <w:bCs/>
          <w:sz w:val="24"/>
          <w:szCs w:val="24"/>
        </w:rPr>
      </w:pPr>
      <w:r>
        <w:rPr>
          <w:b/>
          <w:bCs/>
          <w:sz w:val="24"/>
          <w:szCs w:val="24"/>
        </w:rPr>
        <w:t>Note 23 – Personnel Services</w:t>
      </w:r>
    </w:p>
    <w:p>
      <w:pPr>
        <w:jc w:val="both"/>
        <w:rPr>
          <w:b/>
          <w:bCs/>
          <w:sz w:val="24"/>
          <w:szCs w:val="24"/>
        </w:rPr>
      </w:pPr>
    </w:p>
    <w:p>
      <w:pPr>
        <w:spacing w:line="276" w:lineRule="auto"/>
        <w:ind w:left="720"/>
        <w:jc w:val="both"/>
        <w:rPr>
          <w:sz w:val="24"/>
          <w:szCs w:val="24"/>
        </w:rPr>
      </w:pPr>
      <w:r>
        <w:rPr>
          <w:sz w:val="24"/>
          <w:szCs w:val="24"/>
          <w:lang w:val="en-PH" w:eastAsia="en-PH"/>
        </w:rPr>
        <w:t xml:space="preserve">This comprised the following group of accounts with </w:t>
      </w:r>
      <w:r>
        <w:rPr>
          <w:sz w:val="24"/>
          <w:szCs w:val="24"/>
        </w:rPr>
        <w:t>the comparative figure for the year ended 2022 and 2021.</w:t>
      </w:r>
    </w:p>
    <w:p>
      <w:pPr>
        <w:ind w:left="720"/>
        <w:jc w:val="both"/>
        <w:rPr>
          <w:sz w:val="24"/>
          <w:szCs w:val="24"/>
        </w:rPr>
      </w:pPr>
    </w:p>
    <w:tbl>
      <w:tblPr>
        <w:tblW w:w="8647" w:type="dxa"/>
        <w:tblInd w:w="817" w:type="dxa"/>
        <w:tblLayout w:type="fixed"/>
        <w:tblLook w:val="04A0" w:firstRow="1" w:lastRow="0" w:firstColumn="1" w:lastColumn="0" w:noHBand="0" w:noVBand="1"/>
      </w:tblPr>
      <w:tblGrid>
        <w:gridCol w:w="4215"/>
        <w:gridCol w:w="2216"/>
        <w:gridCol w:w="2216"/>
      </w:tblGrid>
      <w:tr>
        <w:trPr>
          <w:trHeight w:val="359"/>
        </w:trPr>
        <w:tc>
          <w:tcPr>
            <w:tcW w:w="421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Personnel Services</w:t>
            </w:r>
          </w:p>
        </w:tc>
        <w:tc>
          <w:tcPr>
            <w:tcW w:w="221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1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59"/>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Salaries and Wages</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237,813,592.76</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217,376,276.57</w:t>
            </w:r>
          </w:p>
        </w:tc>
      </w:tr>
      <w:tr>
        <w:trPr>
          <w:trHeight w:val="359"/>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Compensation</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179,612,651.70</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119,140,536.46</w:t>
            </w:r>
          </w:p>
        </w:tc>
      </w:tr>
      <w:tr>
        <w:trPr>
          <w:trHeight w:val="359"/>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Personnel Benefit Contributions</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34,753,940.12</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31,469,733.06</w:t>
            </w:r>
          </w:p>
        </w:tc>
      </w:tr>
      <w:tr>
        <w:trPr>
          <w:trHeight w:val="359"/>
        </w:trPr>
        <w:tc>
          <w:tcPr>
            <w:tcW w:w="421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Personnel Benefits</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12,245,091.69</w:t>
            </w:r>
          </w:p>
        </w:tc>
        <w:tc>
          <w:tcPr>
            <w:tcW w:w="221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16,109,086.73</w:t>
            </w:r>
          </w:p>
        </w:tc>
      </w:tr>
      <w:tr>
        <w:trPr>
          <w:trHeight w:val="359"/>
        </w:trPr>
        <w:tc>
          <w:tcPr>
            <w:tcW w:w="421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1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464,425,276.27</w:t>
            </w:r>
          </w:p>
        </w:tc>
        <w:tc>
          <w:tcPr>
            <w:tcW w:w="221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384,095,632.82</w:t>
            </w:r>
          </w:p>
        </w:tc>
      </w:tr>
    </w:tbl>
    <w:p>
      <w:pPr>
        <w:jc w:val="both"/>
        <w:rPr>
          <w:b/>
          <w:bCs/>
          <w:sz w:val="24"/>
          <w:szCs w:val="24"/>
        </w:rPr>
      </w:pPr>
    </w:p>
    <w:p>
      <w:pPr>
        <w:ind w:left="1134"/>
        <w:jc w:val="both"/>
        <w:rPr>
          <w:b/>
          <w:bCs/>
          <w:sz w:val="24"/>
          <w:szCs w:val="24"/>
          <w:lang w:val="en-PH" w:eastAsia="en-PH"/>
        </w:rPr>
      </w:pPr>
      <w:r>
        <w:rPr>
          <w:b/>
          <w:bCs/>
          <w:sz w:val="24"/>
          <w:szCs w:val="24"/>
        </w:rPr>
        <w:t xml:space="preserve">23.1 </w:t>
      </w:r>
      <w:r>
        <w:rPr>
          <w:b/>
          <w:bCs/>
          <w:sz w:val="24"/>
          <w:szCs w:val="24"/>
          <w:lang w:val="en-PH" w:eastAsia="en-PH"/>
        </w:rPr>
        <w:t>Salaries and Wages</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spacing w:line="276" w:lineRule="auto"/>
        <w:ind w:left="720"/>
        <w:jc w:val="both"/>
        <w:rPr>
          <w:b/>
          <w:bCs/>
          <w:sz w:val="24"/>
          <w:szCs w:val="24"/>
          <w:lang w:val="en-PH" w:eastAsia="en-PH"/>
        </w:rPr>
      </w:pPr>
    </w:p>
    <w:tbl>
      <w:tblPr>
        <w:tblW w:w="7938" w:type="dxa"/>
        <w:tblInd w:w="1526" w:type="dxa"/>
        <w:tblLayout w:type="fixed"/>
        <w:tblLook w:val="04A0" w:firstRow="1" w:lastRow="0" w:firstColumn="1" w:lastColumn="0" w:noHBand="0" w:noVBand="1"/>
      </w:tblPr>
      <w:tblGrid>
        <w:gridCol w:w="4246"/>
        <w:gridCol w:w="1846"/>
        <w:gridCol w:w="1846"/>
      </w:tblGrid>
      <w:tr>
        <w:trPr>
          <w:trHeight w:val="307"/>
        </w:trPr>
        <w:tc>
          <w:tcPr>
            <w:tcW w:w="42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Salaries and Wages</w:t>
            </w:r>
          </w:p>
        </w:tc>
        <w:tc>
          <w:tcPr>
            <w:tcW w:w="18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84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07"/>
        </w:trPr>
        <w:tc>
          <w:tcPr>
            <w:tcW w:w="424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Salaries and Wages - Regular</w:t>
            </w:r>
          </w:p>
        </w:tc>
        <w:tc>
          <w:tcPr>
            <w:tcW w:w="18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197,407,219.24</w:t>
            </w:r>
          </w:p>
        </w:tc>
        <w:tc>
          <w:tcPr>
            <w:tcW w:w="18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179,498,455.47</w:t>
            </w:r>
          </w:p>
        </w:tc>
      </w:tr>
      <w:tr>
        <w:trPr>
          <w:trHeight w:val="307"/>
        </w:trPr>
        <w:tc>
          <w:tcPr>
            <w:tcW w:w="424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Salaries and Wages - Casual/Contractual</w:t>
            </w:r>
          </w:p>
        </w:tc>
        <w:tc>
          <w:tcPr>
            <w:tcW w:w="18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40,406,373.52</w:t>
            </w:r>
          </w:p>
        </w:tc>
        <w:tc>
          <w:tcPr>
            <w:tcW w:w="184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37,877,821.10</w:t>
            </w:r>
          </w:p>
        </w:tc>
      </w:tr>
      <w:tr>
        <w:trPr>
          <w:trHeight w:val="337"/>
        </w:trPr>
        <w:tc>
          <w:tcPr>
            <w:tcW w:w="424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846"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237,813,592.76</w:t>
            </w:r>
          </w:p>
        </w:tc>
        <w:tc>
          <w:tcPr>
            <w:tcW w:w="1846"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217,376,276.57</w:t>
            </w:r>
          </w:p>
        </w:tc>
      </w:tr>
    </w:tbl>
    <w:p>
      <w:pPr>
        <w:jc w:val="both"/>
        <w:rPr>
          <w:b/>
          <w:bCs/>
          <w:sz w:val="24"/>
          <w:szCs w:val="24"/>
          <w:lang w:val="en-PH" w:eastAsia="en-PH"/>
        </w:rPr>
      </w:pPr>
    </w:p>
    <w:p>
      <w:pPr>
        <w:spacing w:line="276" w:lineRule="auto"/>
        <w:ind w:left="1418"/>
        <w:jc w:val="both"/>
        <w:rPr>
          <w:sz w:val="24"/>
          <w:szCs w:val="24"/>
          <w:lang w:val="en-PH" w:eastAsia="en-PH"/>
        </w:rPr>
      </w:pPr>
      <w:r>
        <w:rPr>
          <w:sz w:val="24"/>
          <w:szCs w:val="24"/>
          <w:lang w:val="en-PH" w:eastAsia="en-PH"/>
        </w:rPr>
        <w:t>The increase in salaries and wages was mainly due to the increased number of permanent employees by 21 headcounts and the implementation of the third tranche of the salary standardization law.</w:t>
      </w:r>
    </w:p>
    <w:p>
      <w:pPr>
        <w:ind w:left="1134"/>
        <w:jc w:val="both"/>
        <w:rPr>
          <w:b/>
          <w:bCs/>
          <w:sz w:val="24"/>
          <w:szCs w:val="24"/>
          <w:lang w:val="en-PH" w:eastAsia="en-PH"/>
        </w:rPr>
      </w:pPr>
    </w:p>
    <w:p>
      <w:pPr>
        <w:ind w:left="1134"/>
        <w:jc w:val="both"/>
        <w:rPr>
          <w:b/>
          <w:bCs/>
          <w:sz w:val="24"/>
          <w:szCs w:val="24"/>
          <w:lang w:val="en-PH" w:eastAsia="en-PH"/>
        </w:rPr>
      </w:pPr>
    </w:p>
    <w:p>
      <w:pPr>
        <w:ind w:left="1134"/>
        <w:jc w:val="both"/>
        <w:rPr>
          <w:b/>
          <w:bCs/>
          <w:sz w:val="24"/>
          <w:szCs w:val="24"/>
          <w:lang w:val="en-PH" w:eastAsia="en-PH"/>
        </w:rPr>
      </w:pPr>
    </w:p>
    <w:p>
      <w:pPr>
        <w:ind w:left="1134"/>
        <w:jc w:val="both"/>
        <w:rPr>
          <w:b/>
          <w:bCs/>
          <w:sz w:val="24"/>
          <w:szCs w:val="24"/>
          <w:lang w:val="en-PH" w:eastAsia="en-PH"/>
        </w:rPr>
      </w:pPr>
    </w:p>
    <w:p>
      <w:pPr>
        <w:ind w:left="1134"/>
        <w:jc w:val="both"/>
        <w:rPr>
          <w:b/>
          <w:bCs/>
          <w:sz w:val="24"/>
          <w:szCs w:val="24"/>
          <w:lang w:val="en-PH" w:eastAsia="en-PH"/>
        </w:rPr>
      </w:pPr>
      <w:r>
        <w:rPr>
          <w:b/>
          <w:bCs/>
          <w:sz w:val="24"/>
          <w:szCs w:val="24"/>
          <w:lang w:val="en-PH" w:eastAsia="en-PH"/>
        </w:rPr>
        <w:t>23.2 Other Compensation</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spacing w:line="276" w:lineRule="auto"/>
        <w:ind w:left="1418"/>
        <w:jc w:val="both"/>
        <w:rPr>
          <w:sz w:val="24"/>
          <w:szCs w:val="24"/>
        </w:rPr>
      </w:pPr>
    </w:p>
    <w:tbl>
      <w:tblPr>
        <w:tblW w:w="7987" w:type="dxa"/>
        <w:tblInd w:w="1526" w:type="dxa"/>
        <w:tblLayout w:type="fixed"/>
        <w:tblLook w:val="04A0" w:firstRow="1" w:lastRow="0" w:firstColumn="1" w:lastColumn="0" w:noHBand="0" w:noVBand="1"/>
      </w:tblPr>
      <w:tblGrid>
        <w:gridCol w:w="4357"/>
        <w:gridCol w:w="1815"/>
        <w:gridCol w:w="1815"/>
      </w:tblGrid>
      <w:tr>
        <w:trPr>
          <w:trHeight w:val="283"/>
          <w:tblHeader/>
        </w:trPr>
        <w:tc>
          <w:tcPr>
            <w:tcW w:w="4357"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Other Compensation</w:t>
            </w:r>
          </w:p>
        </w:tc>
        <w:tc>
          <w:tcPr>
            <w:tcW w:w="1815"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2022</w:t>
            </w:r>
          </w:p>
        </w:tc>
        <w:tc>
          <w:tcPr>
            <w:tcW w:w="1815" w:type="dxa"/>
            <w:tcBorders>
              <w:top w:val="nil"/>
              <w:left w:val="nil"/>
              <w:bottom w:val="single" w:sz="4" w:space="0" w:color="A6A6A6"/>
              <w:right w:val="nil"/>
            </w:tcBorders>
            <w:shd w:val="clear" w:color="auto" w:fill="auto"/>
            <w:vAlign w:val="center"/>
            <w:hideMark/>
          </w:tcPr>
          <w:p>
            <w:pPr>
              <w:jc w:val="center"/>
              <w:rPr>
                <w:b/>
                <w:bCs/>
                <w:sz w:val="22"/>
                <w:szCs w:val="22"/>
                <w:lang w:val="en-PH" w:eastAsia="en-PH"/>
              </w:rPr>
            </w:pPr>
            <w:r>
              <w:rPr>
                <w:b/>
                <w:bCs/>
                <w:sz w:val="22"/>
                <w:szCs w:val="22"/>
                <w:lang w:val="en-PH" w:eastAsia="en-PH"/>
              </w:rPr>
              <w:t>2021</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Personal Economic Relief Allowance (PERA)</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20,913,542.97</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20,077,028.41</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Representation Allowance (RA)</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3,410,662.50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3,298,950.00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Transportation Allowance (TA)</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972,562.50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909,409.09</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Clothing/Uniform Allowance</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4,872,000.00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4,884,000.00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Subsistence Allowance</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1,209,054.70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941,504.54</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Laundry Allowance</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50,870.30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121,387.39</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Productivity Incentive Allowance</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4,353,500.00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4,287,000.00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Honoraria</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27,318,756.68</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2,548,780.97</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Hazard Pay</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10,718,022.89</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6,337,157.79</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Longevity Pay</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735,000.00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285,000.00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Overtime and Night Pay</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4,561,747.28</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4,361,686.67</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Year End Bonus</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20,531,645.40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18,138,903.40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Cash Gift</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4,601,000.00</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4,255,000.00</w:t>
            </w:r>
          </w:p>
        </w:tc>
      </w:tr>
      <w:tr>
        <w:trPr>
          <w:trHeight w:val="283"/>
        </w:trPr>
        <w:tc>
          <w:tcPr>
            <w:tcW w:w="4357" w:type="dxa"/>
            <w:tcBorders>
              <w:top w:val="nil"/>
              <w:left w:val="nil"/>
              <w:bottom w:val="nil"/>
              <w:right w:val="nil"/>
            </w:tcBorders>
            <w:shd w:val="clear" w:color="auto" w:fill="auto"/>
            <w:vAlign w:val="center"/>
            <w:hideMark/>
          </w:tcPr>
          <w:p>
            <w:pPr>
              <w:rPr>
                <w:sz w:val="22"/>
                <w:szCs w:val="22"/>
                <w:lang w:val="en-PH" w:eastAsia="en-PH"/>
              </w:rPr>
            </w:pPr>
            <w:r>
              <w:rPr>
                <w:sz w:val="22"/>
                <w:szCs w:val="22"/>
                <w:lang w:val="en-PH" w:eastAsia="en-PH"/>
              </w:rPr>
              <w:t>Other Bonuses and Allowances</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75,364,286.48</w:t>
            </w:r>
          </w:p>
        </w:tc>
        <w:tc>
          <w:tcPr>
            <w:tcW w:w="1815" w:type="dxa"/>
            <w:tcBorders>
              <w:top w:val="nil"/>
              <w:left w:val="nil"/>
              <w:bottom w:val="nil"/>
              <w:right w:val="nil"/>
            </w:tcBorders>
            <w:shd w:val="clear" w:color="auto" w:fill="auto"/>
            <w:noWrap/>
            <w:vAlign w:val="center"/>
            <w:hideMark/>
          </w:tcPr>
          <w:p>
            <w:pPr>
              <w:jc w:val="right"/>
              <w:rPr>
                <w:sz w:val="22"/>
                <w:szCs w:val="22"/>
                <w:lang w:val="en-PH" w:eastAsia="en-PH"/>
              </w:rPr>
            </w:pPr>
            <w:r>
              <w:rPr>
                <w:sz w:val="22"/>
                <w:szCs w:val="22"/>
                <w:lang w:val="en-PH" w:eastAsia="en-PH"/>
              </w:rPr>
              <w:t>48,694,728.20</w:t>
            </w:r>
          </w:p>
        </w:tc>
      </w:tr>
      <w:tr>
        <w:trPr>
          <w:trHeight w:val="283"/>
        </w:trPr>
        <w:tc>
          <w:tcPr>
            <w:tcW w:w="4357" w:type="dxa"/>
            <w:tcBorders>
              <w:top w:val="single" w:sz="4" w:space="0" w:color="A6A6A6"/>
              <w:left w:val="nil"/>
              <w:bottom w:val="double" w:sz="6" w:space="0" w:color="A6A6A6"/>
              <w:right w:val="nil"/>
            </w:tcBorders>
            <w:shd w:val="clear" w:color="auto" w:fill="auto"/>
            <w:vAlign w:val="center"/>
            <w:hideMark/>
          </w:tcPr>
          <w:p>
            <w:pPr>
              <w:rPr>
                <w:b/>
                <w:bCs/>
                <w:sz w:val="22"/>
                <w:szCs w:val="22"/>
                <w:lang w:val="en-PH" w:eastAsia="en-PH"/>
              </w:rPr>
            </w:pPr>
            <w:r>
              <w:rPr>
                <w:b/>
                <w:bCs/>
                <w:sz w:val="22"/>
                <w:szCs w:val="22"/>
                <w:lang w:val="en-PH" w:eastAsia="en-PH"/>
              </w:rPr>
              <w:t>Total</w:t>
            </w:r>
          </w:p>
        </w:tc>
        <w:tc>
          <w:tcPr>
            <w:tcW w:w="1815"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179,612,651.70</w:t>
            </w:r>
          </w:p>
        </w:tc>
        <w:tc>
          <w:tcPr>
            <w:tcW w:w="1815" w:type="dxa"/>
            <w:tcBorders>
              <w:top w:val="single" w:sz="4" w:space="0" w:color="A6A6A6"/>
              <w:left w:val="nil"/>
              <w:bottom w:val="double" w:sz="6" w:space="0" w:color="A6A6A6"/>
              <w:right w:val="nil"/>
            </w:tcBorders>
            <w:shd w:val="clear" w:color="auto" w:fill="auto"/>
            <w:noWrap/>
            <w:vAlign w:val="center"/>
            <w:hideMark/>
          </w:tcPr>
          <w:p>
            <w:pPr>
              <w:jc w:val="right"/>
              <w:rPr>
                <w:b/>
                <w:bCs/>
                <w:sz w:val="22"/>
                <w:szCs w:val="22"/>
                <w:lang w:val="en-PH" w:eastAsia="en-PH"/>
              </w:rPr>
            </w:pPr>
            <w:r>
              <w:rPr>
                <w:b/>
                <w:bCs/>
                <w:sz w:val="22"/>
                <w:szCs w:val="22"/>
                <w:lang w:val="en-PH" w:eastAsia="en-PH"/>
              </w:rPr>
              <w:t>119,140,536.46</w:t>
            </w:r>
          </w:p>
        </w:tc>
      </w:tr>
    </w:tbl>
    <w:p>
      <w:pPr>
        <w:jc w:val="both"/>
        <w:rPr>
          <w:b/>
          <w:bCs/>
          <w:sz w:val="24"/>
          <w:szCs w:val="24"/>
          <w:lang w:val="en-PH" w:eastAsia="en-PH"/>
        </w:rPr>
      </w:pPr>
    </w:p>
    <w:p>
      <w:pPr>
        <w:spacing w:line="276" w:lineRule="auto"/>
        <w:ind w:left="1418"/>
        <w:jc w:val="both"/>
        <w:rPr>
          <w:sz w:val="24"/>
          <w:szCs w:val="24"/>
          <w:lang w:val="en-PH" w:eastAsia="en-PH"/>
        </w:rPr>
      </w:pPr>
      <w:r>
        <w:rPr>
          <w:sz w:val="24"/>
          <w:szCs w:val="24"/>
          <w:lang w:val="en-PH" w:eastAsia="en-PH"/>
        </w:rPr>
        <w:t>The increase in the other compensation accounts was mainly due to the grants of Service Recognition Incentive (SRI) which increased to Php 20,000.00 for each regular and casual employee, grants of gratuity pay to Job Orders Php 5,000.00 each as per Administrative Order No. 03 series 2022 and Budget Circular 2022-5 dated December 28, 2022.</w:t>
      </w:r>
    </w:p>
    <w:p>
      <w:pPr>
        <w:jc w:val="both"/>
        <w:rPr>
          <w:b/>
          <w:bCs/>
          <w:sz w:val="24"/>
          <w:szCs w:val="24"/>
          <w:lang w:val="en-PH" w:eastAsia="en-PH"/>
        </w:rPr>
      </w:pPr>
    </w:p>
    <w:p>
      <w:pPr>
        <w:ind w:left="1134"/>
        <w:jc w:val="both"/>
        <w:rPr>
          <w:b/>
          <w:bCs/>
          <w:sz w:val="24"/>
          <w:szCs w:val="24"/>
          <w:lang w:val="en-PH" w:eastAsia="en-PH"/>
        </w:rPr>
      </w:pPr>
      <w:r>
        <w:rPr>
          <w:b/>
          <w:bCs/>
          <w:sz w:val="24"/>
          <w:szCs w:val="24"/>
          <w:lang w:val="en-PH" w:eastAsia="en-PH"/>
        </w:rPr>
        <w:t>23.3 Personnel Benefit Contributions</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jc w:val="both"/>
        <w:rPr>
          <w:sz w:val="24"/>
          <w:szCs w:val="24"/>
        </w:rPr>
      </w:pPr>
    </w:p>
    <w:tbl>
      <w:tblPr>
        <w:tblW w:w="7938" w:type="dxa"/>
        <w:tblInd w:w="1526" w:type="dxa"/>
        <w:tblLayout w:type="fixed"/>
        <w:tblLook w:val="04A0" w:firstRow="1" w:lastRow="0" w:firstColumn="1" w:lastColumn="0" w:noHBand="0" w:noVBand="1"/>
      </w:tblPr>
      <w:tblGrid>
        <w:gridCol w:w="4357"/>
        <w:gridCol w:w="1790"/>
        <w:gridCol w:w="1791"/>
      </w:tblGrid>
      <w:tr>
        <w:trPr>
          <w:trHeight w:val="283"/>
        </w:trPr>
        <w:tc>
          <w:tcPr>
            <w:tcW w:w="435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Personnel Benefit Contributions</w:t>
            </w:r>
          </w:p>
        </w:tc>
        <w:tc>
          <w:tcPr>
            <w:tcW w:w="179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79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35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Retirement and Life Insurance Premiums</w:t>
            </w:r>
          </w:p>
        </w:tc>
        <w:tc>
          <w:tcPr>
            <w:tcW w:w="1790"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28,622,134.09</w:t>
            </w:r>
          </w:p>
        </w:tc>
        <w:tc>
          <w:tcPr>
            <w:tcW w:w="179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26,325,059.05</w:t>
            </w:r>
          </w:p>
        </w:tc>
      </w:tr>
      <w:tr>
        <w:trPr>
          <w:trHeight w:val="283"/>
        </w:trPr>
        <w:tc>
          <w:tcPr>
            <w:tcW w:w="435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Pag-IBIG Contributions</w:t>
            </w:r>
          </w:p>
        </w:tc>
        <w:tc>
          <w:tcPr>
            <w:tcW w:w="1790"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1,077,219.27</w:t>
            </w:r>
          </w:p>
        </w:tc>
        <w:tc>
          <w:tcPr>
            <w:tcW w:w="179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1,045,271.64</w:t>
            </w:r>
          </w:p>
        </w:tc>
      </w:tr>
      <w:tr>
        <w:trPr>
          <w:trHeight w:val="283"/>
        </w:trPr>
        <w:tc>
          <w:tcPr>
            <w:tcW w:w="435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PhilHealth Contributions</w:t>
            </w:r>
          </w:p>
        </w:tc>
        <w:tc>
          <w:tcPr>
            <w:tcW w:w="1790"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3,995,587.80</w:t>
            </w:r>
          </w:p>
        </w:tc>
        <w:tc>
          <w:tcPr>
            <w:tcW w:w="179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3,071,702.37</w:t>
            </w:r>
          </w:p>
        </w:tc>
      </w:tr>
      <w:tr>
        <w:trPr>
          <w:trHeight w:val="283"/>
        </w:trPr>
        <w:tc>
          <w:tcPr>
            <w:tcW w:w="435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Employees Compensation Insurance Premiums</w:t>
            </w:r>
          </w:p>
        </w:tc>
        <w:tc>
          <w:tcPr>
            <w:tcW w:w="1790"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1,058,998.96</w:t>
            </w:r>
          </w:p>
        </w:tc>
        <w:tc>
          <w:tcPr>
            <w:tcW w:w="1791"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1,027,700.00</w:t>
            </w:r>
          </w:p>
        </w:tc>
      </w:tr>
      <w:tr>
        <w:trPr>
          <w:trHeight w:val="283"/>
        </w:trPr>
        <w:tc>
          <w:tcPr>
            <w:tcW w:w="435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790"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34,753,940.12</w:t>
            </w:r>
          </w:p>
        </w:tc>
        <w:tc>
          <w:tcPr>
            <w:tcW w:w="1791"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31,469,733.06</w:t>
            </w:r>
          </w:p>
        </w:tc>
      </w:tr>
    </w:tbl>
    <w:p>
      <w:pPr>
        <w:jc w:val="both"/>
        <w:rPr>
          <w:b/>
          <w:bCs/>
          <w:sz w:val="24"/>
          <w:szCs w:val="24"/>
          <w:lang w:val="en-PH" w:eastAsia="en-PH"/>
        </w:rPr>
      </w:pPr>
    </w:p>
    <w:p>
      <w:pPr>
        <w:ind w:left="1134"/>
        <w:jc w:val="both"/>
        <w:rPr>
          <w:b/>
          <w:bCs/>
          <w:sz w:val="24"/>
          <w:szCs w:val="24"/>
          <w:lang w:val="en-PH" w:eastAsia="en-PH"/>
        </w:rPr>
      </w:pPr>
      <w:r>
        <w:rPr>
          <w:b/>
          <w:bCs/>
          <w:sz w:val="24"/>
          <w:szCs w:val="24"/>
          <w:lang w:val="en-PH" w:eastAsia="en-PH"/>
        </w:rPr>
        <w:t>23.4 Other Personnel Benefits</w:t>
      </w:r>
    </w:p>
    <w:p>
      <w:pPr>
        <w:spacing w:line="276" w:lineRule="auto"/>
        <w:ind w:left="720"/>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rPr>
      </w:pPr>
    </w:p>
    <w:p>
      <w:pPr>
        <w:ind w:left="720"/>
        <w:jc w:val="both"/>
        <w:rPr>
          <w:sz w:val="24"/>
          <w:szCs w:val="24"/>
        </w:rPr>
      </w:pPr>
    </w:p>
    <w:p>
      <w:pPr>
        <w:ind w:left="720"/>
        <w:jc w:val="both"/>
        <w:rPr>
          <w:sz w:val="24"/>
          <w:szCs w:val="24"/>
        </w:rPr>
      </w:pPr>
    </w:p>
    <w:tbl>
      <w:tblPr>
        <w:tblW w:w="7938" w:type="dxa"/>
        <w:tblInd w:w="1526" w:type="dxa"/>
        <w:tblLayout w:type="fixed"/>
        <w:tblLook w:val="04A0" w:firstRow="1" w:lastRow="0" w:firstColumn="1" w:lastColumn="0" w:noHBand="0" w:noVBand="1"/>
      </w:tblPr>
      <w:tblGrid>
        <w:gridCol w:w="3806"/>
        <w:gridCol w:w="2289"/>
        <w:gridCol w:w="1843"/>
      </w:tblGrid>
      <w:tr>
        <w:trPr>
          <w:trHeight w:val="283"/>
        </w:trPr>
        <w:tc>
          <w:tcPr>
            <w:tcW w:w="380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Other Personnel Benefits</w:t>
            </w:r>
          </w:p>
        </w:tc>
        <w:tc>
          <w:tcPr>
            <w:tcW w:w="228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84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80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Terminal Leave Benefits</w:t>
            </w:r>
          </w:p>
        </w:tc>
        <w:tc>
          <w:tcPr>
            <w:tcW w:w="228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7,889,980.02</w:t>
            </w:r>
          </w:p>
        </w:tc>
        <w:tc>
          <w:tcPr>
            <w:tcW w:w="184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3,289,017.18</w:t>
            </w:r>
          </w:p>
        </w:tc>
      </w:tr>
      <w:tr>
        <w:trPr>
          <w:trHeight w:val="283"/>
        </w:trPr>
        <w:tc>
          <w:tcPr>
            <w:tcW w:w="3806"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Personnel Benefits</w:t>
            </w:r>
          </w:p>
        </w:tc>
        <w:tc>
          <w:tcPr>
            <w:tcW w:w="2289"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4,355,111.67</w:t>
            </w:r>
          </w:p>
        </w:tc>
        <w:tc>
          <w:tcPr>
            <w:tcW w:w="1843"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12,820,069.55</w:t>
            </w:r>
          </w:p>
        </w:tc>
      </w:tr>
      <w:tr>
        <w:trPr>
          <w:trHeight w:val="283"/>
        </w:trPr>
        <w:tc>
          <w:tcPr>
            <w:tcW w:w="3806"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89" w:type="dxa"/>
            <w:tcBorders>
              <w:top w:val="single" w:sz="4" w:space="0" w:color="A6A6A6"/>
              <w:left w:val="nil"/>
              <w:bottom w:val="double" w:sz="6" w:space="0" w:color="A6A6A6"/>
              <w:right w:val="nil"/>
            </w:tcBorders>
            <w:shd w:val="clear" w:color="auto" w:fill="auto"/>
            <w:noWrap/>
            <w:vAlign w:val="center"/>
            <w:hideMark/>
          </w:tcPr>
          <w:p>
            <w:pPr>
              <w:ind w:firstLineChars="200" w:firstLine="442"/>
              <w:jc w:val="right"/>
              <w:rPr>
                <w:b/>
                <w:bCs/>
                <w:sz w:val="22"/>
                <w:szCs w:val="22"/>
                <w:lang w:val="en-PH" w:eastAsia="en-PH"/>
              </w:rPr>
            </w:pPr>
            <w:r>
              <w:rPr>
                <w:b/>
                <w:bCs/>
                <w:sz w:val="22"/>
                <w:szCs w:val="22"/>
                <w:lang w:val="en-PH" w:eastAsia="en-PH"/>
              </w:rPr>
              <w:t>12,245,091.69</w:t>
            </w:r>
          </w:p>
        </w:tc>
        <w:tc>
          <w:tcPr>
            <w:tcW w:w="1843" w:type="dxa"/>
            <w:tcBorders>
              <w:top w:val="single" w:sz="4" w:space="0" w:color="A6A6A6"/>
              <w:left w:val="nil"/>
              <w:bottom w:val="double" w:sz="6" w:space="0" w:color="A6A6A6"/>
              <w:right w:val="nil"/>
            </w:tcBorders>
            <w:shd w:val="clear" w:color="auto" w:fill="auto"/>
            <w:noWrap/>
            <w:vAlign w:val="center"/>
            <w:hideMark/>
          </w:tcPr>
          <w:p>
            <w:pPr>
              <w:ind w:firstLineChars="15" w:firstLine="33"/>
              <w:jc w:val="right"/>
              <w:rPr>
                <w:b/>
                <w:bCs/>
                <w:sz w:val="22"/>
                <w:szCs w:val="22"/>
                <w:lang w:val="en-PH" w:eastAsia="en-PH"/>
              </w:rPr>
            </w:pPr>
            <w:r>
              <w:rPr>
                <w:b/>
                <w:bCs/>
                <w:sz w:val="22"/>
                <w:szCs w:val="22"/>
                <w:lang w:val="en-PH" w:eastAsia="en-PH"/>
              </w:rPr>
              <w:t>16,109,086.73</w:t>
            </w:r>
          </w:p>
        </w:tc>
      </w:tr>
    </w:tbl>
    <w:p>
      <w:pPr>
        <w:ind w:left="720"/>
        <w:jc w:val="both"/>
        <w:rPr>
          <w:sz w:val="24"/>
          <w:szCs w:val="24"/>
        </w:rPr>
      </w:pPr>
    </w:p>
    <w:p>
      <w:pPr>
        <w:spacing w:line="276" w:lineRule="auto"/>
        <w:ind w:left="1418"/>
        <w:jc w:val="both"/>
        <w:rPr>
          <w:sz w:val="24"/>
          <w:szCs w:val="24"/>
          <w:lang w:val="en-PH" w:eastAsia="en-PH"/>
        </w:rPr>
      </w:pPr>
      <w:r>
        <w:rPr>
          <w:sz w:val="24"/>
          <w:szCs w:val="24"/>
        </w:rPr>
        <w:t xml:space="preserve">The terminal leave benefits have increased due to terminal leave of officials amounting to Php </w:t>
      </w:r>
      <w:r>
        <w:rPr>
          <w:sz w:val="24"/>
          <w:szCs w:val="24"/>
          <w:lang w:val="en-PH" w:eastAsia="en-PH"/>
        </w:rPr>
        <w:t>5,632,604.53, retires and resigned employees amounting to Php 2,257,375.49.</w:t>
      </w:r>
    </w:p>
    <w:p>
      <w:pPr>
        <w:jc w:val="both"/>
        <w:rPr>
          <w:sz w:val="24"/>
          <w:szCs w:val="24"/>
          <w:lang w:val="en-PH" w:eastAsia="en-PH"/>
        </w:rPr>
      </w:pPr>
    </w:p>
    <w:p>
      <w:pPr>
        <w:jc w:val="both"/>
        <w:rPr>
          <w:b/>
          <w:bCs/>
          <w:sz w:val="24"/>
          <w:szCs w:val="24"/>
        </w:rPr>
      </w:pPr>
      <w:r>
        <w:rPr>
          <w:b/>
          <w:bCs/>
          <w:sz w:val="24"/>
          <w:szCs w:val="24"/>
        </w:rPr>
        <w:t>Note 24 – Maintenance and Other Operating Expenses</w:t>
      </w:r>
    </w:p>
    <w:p>
      <w:pPr>
        <w:jc w:val="both"/>
        <w:rPr>
          <w:b/>
          <w:bCs/>
          <w:sz w:val="24"/>
          <w:szCs w:val="24"/>
        </w:rPr>
      </w:pPr>
    </w:p>
    <w:p>
      <w:pPr>
        <w:spacing w:line="276" w:lineRule="auto"/>
        <w:ind w:left="720"/>
        <w:jc w:val="both"/>
        <w:rPr>
          <w:sz w:val="24"/>
          <w:szCs w:val="24"/>
        </w:rPr>
      </w:pPr>
      <w:r>
        <w:rPr>
          <w:sz w:val="24"/>
          <w:szCs w:val="24"/>
          <w:lang w:val="en-PH" w:eastAsia="en-PH"/>
        </w:rPr>
        <w:t xml:space="preserve">This comprised of the following group of accounts with </w:t>
      </w:r>
      <w:r>
        <w:rPr>
          <w:sz w:val="24"/>
          <w:szCs w:val="24"/>
        </w:rPr>
        <w:t>the comparative figure for the year ended 2022 and 2021.</w:t>
      </w:r>
    </w:p>
    <w:p>
      <w:pPr>
        <w:jc w:val="both"/>
        <w:rPr>
          <w:b/>
          <w:bCs/>
          <w:sz w:val="24"/>
          <w:szCs w:val="24"/>
        </w:rPr>
      </w:pPr>
    </w:p>
    <w:tbl>
      <w:tblPr>
        <w:tblW w:w="8647" w:type="dxa"/>
        <w:tblInd w:w="817" w:type="dxa"/>
        <w:tblLayout w:type="fixed"/>
        <w:tblLook w:val="04A0" w:firstRow="1" w:lastRow="0" w:firstColumn="1" w:lastColumn="0" w:noHBand="0" w:noVBand="1"/>
      </w:tblPr>
      <w:tblGrid>
        <w:gridCol w:w="4143"/>
        <w:gridCol w:w="2252"/>
        <w:gridCol w:w="2252"/>
      </w:tblGrid>
      <w:tr>
        <w:trPr>
          <w:trHeight w:val="340"/>
        </w:trPr>
        <w:tc>
          <w:tcPr>
            <w:tcW w:w="414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Maintenance and Other Operating Expenses</w:t>
            </w:r>
          </w:p>
        </w:tc>
        <w:tc>
          <w:tcPr>
            <w:tcW w:w="22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Traveling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3,446,873.12</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1,231,503.00</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Training and Scholarship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34,749,976.68</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28,503,170.91</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Supplies and Materials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136,322,521.08</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85,977,839.57</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Utility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86,693,064.20</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64,699,046.70</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Communication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4,284,016.83</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3,342,164.39</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Awards/Rewards and Prizes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4,555,350.00</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5,826,650.00</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Survey, Research, Exploration and Dev’t</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66,598.00</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309,000.00</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Confidential, Intelligence and Extraordinary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17,733,440.00</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22,002,292.51</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Professional Services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23,947,781.47</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50,129,832.13</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General Services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124,809,871.30</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130,856,479.39</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Repairs and Maintenance</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27,104,227.66</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21,018,441.92</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Financial Assistance/Subsidy</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13,252,957.54</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20,488,381.01</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Transfer</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7,851,889.73</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Taxes, Insurance Premiums and Other Fees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3,070,602.87</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4,552,770.54</w:t>
            </w:r>
          </w:p>
        </w:tc>
      </w:tr>
      <w:tr>
        <w:trPr>
          <w:trHeight w:val="340"/>
        </w:trPr>
        <w:tc>
          <w:tcPr>
            <w:tcW w:w="414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Maintenance and Operating Expenses</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60,293,754.16</w:t>
            </w:r>
          </w:p>
        </w:tc>
        <w:tc>
          <w:tcPr>
            <w:tcW w:w="22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73,924,112.10</w:t>
            </w:r>
          </w:p>
        </w:tc>
      </w:tr>
      <w:tr>
        <w:trPr>
          <w:trHeight w:val="340"/>
        </w:trPr>
        <w:tc>
          <w:tcPr>
            <w:tcW w:w="414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5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548,182,924.64</w:t>
            </w:r>
          </w:p>
        </w:tc>
        <w:tc>
          <w:tcPr>
            <w:tcW w:w="225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512,861,684.17</w:t>
            </w:r>
          </w:p>
        </w:tc>
      </w:tr>
    </w:tbl>
    <w:p>
      <w:pPr>
        <w:jc w:val="both"/>
        <w:rPr>
          <w:b/>
          <w:bCs/>
          <w:sz w:val="24"/>
          <w:szCs w:val="24"/>
        </w:rPr>
      </w:pPr>
    </w:p>
    <w:p>
      <w:pPr>
        <w:ind w:left="1134"/>
        <w:jc w:val="both"/>
        <w:rPr>
          <w:b/>
          <w:bCs/>
          <w:sz w:val="24"/>
          <w:szCs w:val="24"/>
          <w:lang w:val="en-PH" w:eastAsia="en-PH"/>
        </w:rPr>
      </w:pPr>
      <w:r>
        <w:rPr>
          <w:b/>
          <w:bCs/>
          <w:sz w:val="24"/>
          <w:szCs w:val="24"/>
        </w:rPr>
        <w:t xml:space="preserve">24.1 </w:t>
      </w:r>
      <w:r>
        <w:rPr>
          <w:b/>
          <w:bCs/>
          <w:sz w:val="24"/>
          <w:szCs w:val="24"/>
          <w:lang w:val="en-PH" w:eastAsia="en-PH"/>
        </w:rPr>
        <w:t>Traveling Expenses</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4158"/>
        <w:gridCol w:w="1890"/>
        <w:gridCol w:w="1890"/>
      </w:tblGrid>
      <w:tr>
        <w:trPr>
          <w:trHeight w:val="283"/>
        </w:trPr>
        <w:tc>
          <w:tcPr>
            <w:tcW w:w="415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Traveling Expenses</w:t>
            </w:r>
          </w:p>
        </w:tc>
        <w:tc>
          <w:tcPr>
            <w:tcW w:w="189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89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158"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Traveling Expenses - Local</w:t>
            </w:r>
          </w:p>
        </w:tc>
        <w:tc>
          <w:tcPr>
            <w:tcW w:w="189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3,446,873.12</w:t>
            </w:r>
          </w:p>
        </w:tc>
        <w:tc>
          <w:tcPr>
            <w:tcW w:w="189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1,231,503.00</w:t>
            </w:r>
          </w:p>
        </w:tc>
      </w:tr>
      <w:tr>
        <w:trPr>
          <w:trHeight w:val="283"/>
        </w:trPr>
        <w:tc>
          <w:tcPr>
            <w:tcW w:w="4158"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890"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3,446,873.12</w:t>
            </w:r>
          </w:p>
        </w:tc>
        <w:tc>
          <w:tcPr>
            <w:tcW w:w="1890"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1,231,503.00</w:t>
            </w:r>
          </w:p>
        </w:tc>
      </w:tr>
    </w:tbl>
    <w:p>
      <w:pPr>
        <w:jc w:val="both"/>
        <w:rPr>
          <w:sz w:val="24"/>
          <w:szCs w:val="24"/>
          <w:lang w:val="en-PH" w:eastAsia="en-PH"/>
        </w:rPr>
      </w:pPr>
    </w:p>
    <w:p>
      <w:pPr>
        <w:spacing w:line="276" w:lineRule="auto"/>
        <w:ind w:left="1418"/>
        <w:jc w:val="both"/>
        <w:rPr>
          <w:sz w:val="24"/>
          <w:szCs w:val="24"/>
          <w:lang w:val="en-PH" w:eastAsia="en-PH"/>
        </w:rPr>
      </w:pPr>
      <w:r>
        <w:rPr>
          <w:sz w:val="24"/>
          <w:szCs w:val="24"/>
          <w:lang w:val="en-PH" w:eastAsia="en-PH"/>
        </w:rPr>
        <w:t>The travel expenses increased during the year 2022 due to the lift of travel restrictions due to pandemic.</w:t>
      </w:r>
    </w:p>
    <w:p>
      <w:pPr>
        <w:ind w:left="1134"/>
        <w:jc w:val="both"/>
        <w:rPr>
          <w:b/>
          <w:bCs/>
          <w:sz w:val="24"/>
          <w:szCs w:val="24"/>
        </w:rPr>
      </w:pPr>
    </w:p>
    <w:p>
      <w:pPr>
        <w:ind w:left="1134"/>
        <w:jc w:val="both"/>
        <w:rPr>
          <w:b/>
          <w:bCs/>
          <w:sz w:val="24"/>
          <w:szCs w:val="24"/>
          <w:lang w:val="en-PH" w:eastAsia="en-PH"/>
        </w:rPr>
      </w:pPr>
      <w:r>
        <w:rPr>
          <w:b/>
          <w:bCs/>
          <w:sz w:val="24"/>
          <w:szCs w:val="24"/>
        </w:rPr>
        <w:t xml:space="preserve">24.2 </w:t>
      </w:r>
      <w:r>
        <w:rPr>
          <w:b/>
          <w:bCs/>
          <w:sz w:val="24"/>
          <w:szCs w:val="24"/>
          <w:lang w:val="en-PH" w:eastAsia="en-PH"/>
        </w:rPr>
        <w:t>Training and Scholarship Expenses</w:t>
      </w:r>
    </w:p>
    <w:p>
      <w:pPr>
        <w:jc w:val="both"/>
        <w:rPr>
          <w:b/>
          <w:bCs/>
          <w:sz w:val="24"/>
          <w:szCs w:val="24"/>
          <w:lang w:val="en-PH" w:eastAsia="en-PH"/>
        </w:rPr>
      </w:pPr>
    </w:p>
    <w:p>
      <w:pPr>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rPr>
      </w:pPr>
    </w:p>
    <w:tbl>
      <w:tblPr>
        <w:tblW w:w="7938" w:type="dxa"/>
        <w:tblInd w:w="1526" w:type="dxa"/>
        <w:tblLook w:val="04A0" w:firstRow="1" w:lastRow="0" w:firstColumn="1" w:lastColumn="0" w:noHBand="0" w:noVBand="1"/>
      </w:tblPr>
      <w:tblGrid>
        <w:gridCol w:w="4252"/>
        <w:gridCol w:w="1701"/>
        <w:gridCol w:w="1985"/>
      </w:tblGrid>
      <w:tr>
        <w:trPr>
          <w:trHeight w:val="283"/>
        </w:trPr>
        <w:tc>
          <w:tcPr>
            <w:tcW w:w="42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Training and Scholarship Expenses</w:t>
            </w:r>
          </w:p>
        </w:tc>
        <w:tc>
          <w:tcPr>
            <w:tcW w:w="170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Training Expenses</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22,836,356.89</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21,041,919.51</w:t>
            </w:r>
          </w:p>
        </w:tc>
      </w:tr>
      <w:tr>
        <w:trPr>
          <w:trHeight w:val="283"/>
        </w:trPr>
        <w:tc>
          <w:tcPr>
            <w:tcW w:w="4252"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Scholarship Grants/Expenses</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11,913,619.79</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7,461,251.40</w:t>
            </w:r>
          </w:p>
        </w:tc>
      </w:tr>
      <w:tr>
        <w:trPr>
          <w:trHeight w:val="283"/>
        </w:trPr>
        <w:tc>
          <w:tcPr>
            <w:tcW w:w="4252"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701"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34,749,976.68</w:t>
            </w:r>
          </w:p>
        </w:tc>
        <w:tc>
          <w:tcPr>
            <w:tcW w:w="1985"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28,503,170.91</w:t>
            </w:r>
          </w:p>
        </w:tc>
      </w:tr>
    </w:tbl>
    <w:p>
      <w:pPr>
        <w:jc w:val="both"/>
        <w:rPr>
          <w:b/>
          <w:bCs/>
          <w:sz w:val="24"/>
          <w:szCs w:val="24"/>
        </w:rPr>
      </w:pPr>
      <w:r>
        <w:rPr>
          <w:b/>
          <w:bCs/>
          <w:sz w:val="24"/>
          <w:szCs w:val="24"/>
        </w:rPr>
        <w:tab/>
      </w:r>
    </w:p>
    <w:p>
      <w:pPr>
        <w:ind w:left="1134"/>
        <w:jc w:val="both"/>
        <w:rPr>
          <w:b/>
          <w:bCs/>
          <w:sz w:val="24"/>
          <w:szCs w:val="24"/>
          <w:lang w:val="en-PH" w:eastAsia="en-PH"/>
        </w:rPr>
      </w:pPr>
      <w:r>
        <w:rPr>
          <w:b/>
          <w:bCs/>
          <w:sz w:val="24"/>
          <w:szCs w:val="24"/>
        </w:rPr>
        <w:t xml:space="preserve">24.3 </w:t>
      </w:r>
      <w:r>
        <w:rPr>
          <w:b/>
          <w:bCs/>
          <w:sz w:val="24"/>
          <w:szCs w:val="24"/>
          <w:lang w:val="en-PH" w:eastAsia="en-PH"/>
        </w:rPr>
        <w:t>Supplies and Materials Expenses</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jc w:val="both"/>
        <w:rPr>
          <w:sz w:val="24"/>
          <w:szCs w:val="24"/>
          <w:lang w:val="en-PH" w:eastAsia="en-PH"/>
        </w:rPr>
      </w:pPr>
    </w:p>
    <w:tbl>
      <w:tblPr>
        <w:tblW w:w="7938" w:type="dxa"/>
        <w:tblInd w:w="1526" w:type="dxa"/>
        <w:tblLook w:val="04A0" w:firstRow="1" w:lastRow="0" w:firstColumn="1" w:lastColumn="0" w:noHBand="0" w:noVBand="1"/>
      </w:tblPr>
      <w:tblGrid>
        <w:gridCol w:w="4125"/>
        <w:gridCol w:w="1828"/>
        <w:gridCol w:w="1985"/>
      </w:tblGrid>
      <w:tr>
        <w:trPr>
          <w:trHeight w:val="283"/>
        </w:trPr>
        <w:tc>
          <w:tcPr>
            <w:tcW w:w="412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Supplies and Materials Expenses</w:t>
            </w:r>
          </w:p>
        </w:tc>
        <w:tc>
          <w:tcPr>
            <w:tcW w:w="182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Office Supplies Expenses </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5,720,347.15</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4,874,368.94</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Accountable Forms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215,623.04</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2,765,260.12</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Non-Accountable Forms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537,948.00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106,960.00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Animal/Zoological Supplies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1,368,979.00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1,323,549.50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Food Supplies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12,892,506.75</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5,648,180.20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Welfare Goods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9,250,000.00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Drugs and Medicines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11,915,739.97</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7,535,344.23</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Medical, Dental and Laboratory Supplies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5,385,262.80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7,616,738.50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Fuel, Oil and Lubricants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56,903,141.11</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37,110,983.78</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Agricultural and Marine Supplies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9,977,009.00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3,540,401.50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Textbooks and Instructional Materials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123,993.40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283"/>
        </w:trPr>
        <w:tc>
          <w:tcPr>
            <w:tcW w:w="412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Supplies and Materials Expenses</w:t>
            </w:r>
          </w:p>
        </w:tc>
        <w:tc>
          <w:tcPr>
            <w:tcW w:w="182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22,031,970.86</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15,456,052.80</w:t>
            </w:r>
          </w:p>
        </w:tc>
      </w:tr>
      <w:tr>
        <w:trPr>
          <w:trHeight w:val="283"/>
        </w:trPr>
        <w:tc>
          <w:tcPr>
            <w:tcW w:w="412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828"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136,322,521.08</w:t>
            </w:r>
          </w:p>
        </w:tc>
        <w:tc>
          <w:tcPr>
            <w:tcW w:w="1985"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85,977,839.57</w:t>
            </w:r>
          </w:p>
        </w:tc>
      </w:tr>
    </w:tbl>
    <w:p>
      <w:pPr>
        <w:jc w:val="both"/>
        <w:rPr>
          <w:sz w:val="24"/>
          <w:szCs w:val="24"/>
          <w:lang w:val="en-PH" w:eastAsia="en-PH"/>
        </w:rPr>
      </w:pPr>
    </w:p>
    <w:p>
      <w:pPr>
        <w:ind w:left="1134"/>
        <w:jc w:val="both"/>
        <w:rPr>
          <w:b/>
          <w:bCs/>
          <w:sz w:val="24"/>
          <w:szCs w:val="24"/>
          <w:lang w:val="en-PH" w:eastAsia="en-PH"/>
        </w:rPr>
      </w:pPr>
      <w:r>
        <w:rPr>
          <w:b/>
          <w:bCs/>
          <w:sz w:val="24"/>
          <w:szCs w:val="24"/>
        </w:rPr>
        <w:t xml:space="preserve">24.4 </w:t>
      </w:r>
      <w:r>
        <w:rPr>
          <w:b/>
          <w:bCs/>
          <w:sz w:val="24"/>
          <w:szCs w:val="24"/>
          <w:lang w:val="en-PH" w:eastAsia="en-PH"/>
        </w:rPr>
        <w:t>Utility Expenses</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jc w:val="both"/>
        <w:rPr>
          <w:sz w:val="24"/>
          <w:szCs w:val="24"/>
          <w:lang w:val="en-PH" w:eastAsia="en-PH"/>
        </w:rPr>
      </w:pPr>
    </w:p>
    <w:tbl>
      <w:tblPr>
        <w:tblW w:w="7938" w:type="dxa"/>
        <w:tblInd w:w="1526" w:type="dxa"/>
        <w:tblLook w:val="04A0" w:firstRow="1" w:lastRow="0" w:firstColumn="1" w:lastColumn="0" w:noHBand="0" w:noVBand="1"/>
      </w:tblPr>
      <w:tblGrid>
        <w:gridCol w:w="3544"/>
        <w:gridCol w:w="2314"/>
        <w:gridCol w:w="2080"/>
      </w:tblGrid>
      <w:tr>
        <w:trPr>
          <w:trHeight w:val="283"/>
        </w:trPr>
        <w:tc>
          <w:tcPr>
            <w:tcW w:w="354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Utility Expenses</w:t>
            </w:r>
          </w:p>
        </w:tc>
        <w:tc>
          <w:tcPr>
            <w:tcW w:w="231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08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Water Expenses</w:t>
            </w:r>
          </w:p>
        </w:tc>
        <w:tc>
          <w:tcPr>
            <w:tcW w:w="231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4,827,150.61</w:t>
            </w:r>
          </w:p>
        </w:tc>
        <w:tc>
          <w:tcPr>
            <w:tcW w:w="20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6,558,154.16</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Electricity Expenses</w:t>
            </w:r>
          </w:p>
        </w:tc>
        <w:tc>
          <w:tcPr>
            <w:tcW w:w="231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81,865,913.59</w:t>
            </w:r>
          </w:p>
        </w:tc>
        <w:tc>
          <w:tcPr>
            <w:tcW w:w="20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58,140,892.54</w:t>
            </w:r>
          </w:p>
        </w:tc>
      </w:tr>
      <w:tr>
        <w:trPr>
          <w:trHeight w:val="283"/>
        </w:trPr>
        <w:tc>
          <w:tcPr>
            <w:tcW w:w="354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314"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86,693,064.20</w:t>
            </w:r>
          </w:p>
        </w:tc>
        <w:tc>
          <w:tcPr>
            <w:tcW w:w="2080"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64,699,046.70</w:t>
            </w:r>
          </w:p>
        </w:tc>
      </w:tr>
    </w:tbl>
    <w:p>
      <w:pPr>
        <w:jc w:val="both"/>
        <w:rPr>
          <w:b/>
          <w:bCs/>
          <w:sz w:val="24"/>
          <w:szCs w:val="24"/>
        </w:rPr>
      </w:pPr>
    </w:p>
    <w:p>
      <w:pPr>
        <w:jc w:val="both"/>
        <w:rPr>
          <w:b/>
          <w:bCs/>
          <w:sz w:val="24"/>
          <w:szCs w:val="24"/>
        </w:rPr>
      </w:pPr>
    </w:p>
    <w:p>
      <w:pPr>
        <w:jc w:val="both"/>
        <w:rPr>
          <w:b/>
          <w:bCs/>
          <w:sz w:val="24"/>
          <w:szCs w:val="24"/>
        </w:rPr>
      </w:pPr>
    </w:p>
    <w:p>
      <w:pPr>
        <w:jc w:val="both"/>
        <w:rPr>
          <w:b/>
          <w:bCs/>
          <w:sz w:val="24"/>
          <w:szCs w:val="24"/>
        </w:rPr>
      </w:pPr>
    </w:p>
    <w:p>
      <w:pPr>
        <w:ind w:left="1134"/>
        <w:jc w:val="both"/>
        <w:rPr>
          <w:sz w:val="24"/>
          <w:szCs w:val="24"/>
          <w:lang w:val="en-PH" w:eastAsia="en-PH"/>
        </w:rPr>
      </w:pPr>
      <w:r>
        <w:rPr>
          <w:b/>
          <w:bCs/>
          <w:sz w:val="24"/>
          <w:szCs w:val="24"/>
        </w:rPr>
        <w:t xml:space="preserve">24.5 </w:t>
      </w:r>
      <w:r>
        <w:rPr>
          <w:b/>
          <w:bCs/>
          <w:sz w:val="24"/>
          <w:szCs w:val="24"/>
          <w:lang w:val="en-PH" w:eastAsia="en-PH"/>
        </w:rPr>
        <w:t>Communication Expenses</w:t>
      </w:r>
    </w:p>
    <w:p>
      <w:pPr>
        <w:jc w:val="both"/>
        <w:rPr>
          <w:sz w:val="24"/>
          <w:szCs w:val="24"/>
          <w:lang w:val="en-PH" w:eastAsia="en-PH"/>
        </w:rPr>
      </w:pPr>
    </w:p>
    <w:p>
      <w:pPr>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rPr>
      </w:pPr>
    </w:p>
    <w:tbl>
      <w:tblPr>
        <w:tblW w:w="7938" w:type="dxa"/>
        <w:tblInd w:w="1526" w:type="dxa"/>
        <w:tblLook w:val="04A0" w:firstRow="1" w:lastRow="0" w:firstColumn="1" w:lastColumn="0" w:noHBand="0" w:noVBand="1"/>
      </w:tblPr>
      <w:tblGrid>
        <w:gridCol w:w="3969"/>
        <w:gridCol w:w="1843"/>
        <w:gridCol w:w="2126"/>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Communication Expenses</w:t>
            </w:r>
          </w:p>
        </w:tc>
        <w:tc>
          <w:tcPr>
            <w:tcW w:w="184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Postage and Courier Services </w:t>
            </w:r>
          </w:p>
        </w:tc>
        <w:tc>
          <w:tcPr>
            <w:tcW w:w="184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23,250.00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2,315.00</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Telephone Expenses</w:t>
            </w:r>
          </w:p>
        </w:tc>
        <w:tc>
          <w:tcPr>
            <w:tcW w:w="184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2,563,880.16</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1,700,836.27</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Internet Subscription Expenses</w:t>
            </w:r>
          </w:p>
        </w:tc>
        <w:tc>
          <w:tcPr>
            <w:tcW w:w="184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1,533,433.73</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1,463,827.90</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Cable, Satellite, Telegraph and Radio Expenses</w:t>
            </w:r>
          </w:p>
        </w:tc>
        <w:tc>
          <w:tcPr>
            <w:tcW w:w="184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163,452.94</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175,185.22</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843"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4,284,016.83</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3,342,164.39</w:t>
            </w:r>
          </w:p>
        </w:tc>
      </w:tr>
    </w:tbl>
    <w:p>
      <w:pPr>
        <w:jc w:val="both"/>
        <w:rPr>
          <w:b/>
          <w:bCs/>
          <w:sz w:val="24"/>
          <w:szCs w:val="24"/>
        </w:rPr>
      </w:pPr>
      <w:r>
        <w:rPr>
          <w:b/>
          <w:bCs/>
          <w:sz w:val="24"/>
          <w:szCs w:val="24"/>
        </w:rPr>
        <w:tab/>
      </w:r>
    </w:p>
    <w:p>
      <w:pPr>
        <w:ind w:left="1134"/>
        <w:jc w:val="both"/>
        <w:rPr>
          <w:b/>
          <w:bCs/>
          <w:sz w:val="24"/>
          <w:szCs w:val="24"/>
          <w:lang w:val="en-PH" w:eastAsia="en-PH"/>
        </w:rPr>
      </w:pPr>
      <w:r>
        <w:rPr>
          <w:b/>
          <w:bCs/>
          <w:sz w:val="24"/>
          <w:szCs w:val="24"/>
        </w:rPr>
        <w:t xml:space="preserve">24.6 </w:t>
      </w:r>
      <w:r>
        <w:rPr>
          <w:b/>
          <w:bCs/>
          <w:sz w:val="24"/>
          <w:szCs w:val="24"/>
          <w:lang w:val="en-PH" w:eastAsia="en-PH"/>
        </w:rPr>
        <w:t>Awards/Rewards and Prizes</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jc w:val="both"/>
        <w:rPr>
          <w:sz w:val="24"/>
          <w:szCs w:val="24"/>
          <w:lang w:val="en-PH" w:eastAsia="en-PH"/>
        </w:rPr>
      </w:pPr>
    </w:p>
    <w:tbl>
      <w:tblPr>
        <w:tblW w:w="7938" w:type="dxa"/>
        <w:tblInd w:w="1526" w:type="dxa"/>
        <w:tblLook w:val="04A0" w:firstRow="1" w:lastRow="0" w:firstColumn="1" w:lastColumn="0" w:noHBand="0" w:noVBand="1"/>
      </w:tblPr>
      <w:tblGrid>
        <w:gridCol w:w="3544"/>
        <w:gridCol w:w="2268"/>
        <w:gridCol w:w="2126"/>
      </w:tblGrid>
      <w:tr>
        <w:trPr>
          <w:trHeight w:val="283"/>
        </w:trPr>
        <w:tc>
          <w:tcPr>
            <w:tcW w:w="354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Awards/Rewards and Prizes</w:t>
            </w:r>
          </w:p>
        </w:tc>
        <w:tc>
          <w:tcPr>
            <w:tcW w:w="226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Awards/Rewards Expenses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35,000.00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7,950.00</w:t>
            </w:r>
          </w:p>
        </w:tc>
      </w:tr>
      <w:tr>
        <w:trPr>
          <w:trHeight w:val="283"/>
        </w:trPr>
        <w:tc>
          <w:tcPr>
            <w:tcW w:w="35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Prizes</w:t>
            </w:r>
          </w:p>
        </w:tc>
        <w:tc>
          <w:tcPr>
            <w:tcW w:w="2268"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4,520,350.00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5,818,700.00</w:t>
            </w:r>
          </w:p>
        </w:tc>
      </w:tr>
      <w:tr>
        <w:trPr>
          <w:trHeight w:val="283"/>
        </w:trPr>
        <w:tc>
          <w:tcPr>
            <w:tcW w:w="354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68"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4,555,350.00</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5,826,650.00</w:t>
            </w:r>
          </w:p>
        </w:tc>
      </w:tr>
    </w:tbl>
    <w:p>
      <w:pPr>
        <w:jc w:val="both"/>
        <w:rPr>
          <w:b/>
          <w:bCs/>
          <w:sz w:val="24"/>
          <w:szCs w:val="24"/>
          <w:lang w:val="en-PH" w:eastAsia="en-PH"/>
        </w:rPr>
      </w:pPr>
    </w:p>
    <w:p>
      <w:pPr>
        <w:ind w:left="1134"/>
        <w:jc w:val="both"/>
        <w:rPr>
          <w:b/>
          <w:bCs/>
          <w:sz w:val="24"/>
          <w:szCs w:val="24"/>
          <w:lang w:val="en-PH" w:eastAsia="en-PH"/>
        </w:rPr>
      </w:pPr>
      <w:r>
        <w:rPr>
          <w:b/>
          <w:bCs/>
          <w:sz w:val="24"/>
          <w:szCs w:val="24"/>
        </w:rPr>
        <w:t xml:space="preserve">24.7 </w:t>
      </w:r>
      <w:r>
        <w:rPr>
          <w:b/>
          <w:bCs/>
          <w:sz w:val="24"/>
          <w:szCs w:val="24"/>
          <w:lang w:val="en-PH" w:eastAsia="en-PH"/>
        </w:rPr>
        <w:t>Survey, Research, Exploration, and Development</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 with </w:t>
      </w:r>
      <w:r>
        <w:rPr>
          <w:sz w:val="24"/>
          <w:szCs w:val="24"/>
        </w:rPr>
        <w:t>the comparative figure for the year ended 2022 and 2021.</w:t>
      </w:r>
    </w:p>
    <w:p>
      <w:pPr>
        <w:jc w:val="both"/>
        <w:rPr>
          <w:sz w:val="24"/>
          <w:szCs w:val="24"/>
          <w:lang w:val="en-PH" w:eastAsia="en-PH"/>
        </w:rPr>
      </w:pPr>
    </w:p>
    <w:tbl>
      <w:tblPr>
        <w:tblW w:w="7938" w:type="dxa"/>
        <w:tblInd w:w="1526" w:type="dxa"/>
        <w:tblLook w:val="04A0" w:firstRow="1" w:lastRow="0" w:firstColumn="1" w:lastColumn="0" w:noHBand="0" w:noVBand="1"/>
      </w:tblPr>
      <w:tblGrid>
        <w:gridCol w:w="3685"/>
        <w:gridCol w:w="2127"/>
        <w:gridCol w:w="2126"/>
      </w:tblGrid>
      <w:tr>
        <w:trPr>
          <w:trHeight w:val="283"/>
        </w:trPr>
        <w:tc>
          <w:tcPr>
            <w:tcW w:w="36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Survey, Research, Exploration, and Development</w:t>
            </w:r>
          </w:p>
        </w:tc>
        <w:tc>
          <w:tcPr>
            <w:tcW w:w="21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685"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Survey Expenses</w:t>
            </w:r>
          </w:p>
        </w:tc>
        <w:tc>
          <w:tcPr>
            <w:tcW w:w="212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66,598.00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309,000.00</w:t>
            </w:r>
          </w:p>
        </w:tc>
      </w:tr>
      <w:tr>
        <w:trPr>
          <w:trHeight w:val="283"/>
        </w:trPr>
        <w:tc>
          <w:tcPr>
            <w:tcW w:w="3685"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2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66,598.00</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309,000.00</w:t>
            </w:r>
          </w:p>
        </w:tc>
      </w:tr>
    </w:tbl>
    <w:p>
      <w:pPr>
        <w:jc w:val="both"/>
        <w:rPr>
          <w:b/>
          <w:bCs/>
          <w:sz w:val="24"/>
          <w:szCs w:val="24"/>
        </w:rPr>
      </w:pPr>
    </w:p>
    <w:p>
      <w:pPr>
        <w:ind w:left="1134"/>
        <w:jc w:val="both"/>
        <w:rPr>
          <w:b/>
          <w:bCs/>
          <w:sz w:val="24"/>
          <w:szCs w:val="24"/>
          <w:lang w:val="en-PH" w:eastAsia="en-PH"/>
        </w:rPr>
      </w:pPr>
      <w:r>
        <w:rPr>
          <w:b/>
          <w:bCs/>
          <w:sz w:val="24"/>
          <w:szCs w:val="24"/>
        </w:rPr>
        <w:t xml:space="preserve">24.8 </w:t>
      </w:r>
      <w:r>
        <w:rPr>
          <w:b/>
          <w:bCs/>
          <w:sz w:val="24"/>
          <w:szCs w:val="24"/>
          <w:lang w:val="en-PH" w:eastAsia="en-PH"/>
        </w:rPr>
        <w:t>Confidential, Intelligence, and Extraordinary Expenses</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lang w:val="en-PH" w:eastAsia="en-PH"/>
        </w:rPr>
      </w:pPr>
    </w:p>
    <w:tbl>
      <w:tblPr>
        <w:tblW w:w="7938" w:type="dxa"/>
        <w:tblInd w:w="1526" w:type="dxa"/>
        <w:tblLook w:val="04A0" w:firstRow="1" w:lastRow="0" w:firstColumn="1" w:lastColumn="0" w:noHBand="0" w:noVBand="1"/>
      </w:tblPr>
      <w:tblGrid>
        <w:gridCol w:w="3827"/>
        <w:gridCol w:w="1985"/>
        <w:gridCol w:w="2126"/>
      </w:tblGrid>
      <w:tr>
        <w:trPr>
          <w:trHeight w:val="340"/>
        </w:trPr>
        <w:tc>
          <w:tcPr>
            <w:tcW w:w="38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Confidential, Intelligence and Extraordinary Expenses</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Confidential Expenses</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17,090,000.00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21,330,000.00</w:t>
            </w:r>
          </w:p>
        </w:tc>
      </w:tr>
      <w:tr>
        <w:trPr>
          <w:trHeight w:val="340"/>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Extraordinary and Miscellaneous Expenses</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643,440.00</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672,292.51</w:t>
            </w:r>
          </w:p>
        </w:tc>
      </w:tr>
      <w:tr>
        <w:trPr>
          <w:trHeight w:val="340"/>
        </w:trPr>
        <w:tc>
          <w:tcPr>
            <w:tcW w:w="382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5"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17,733,440.00</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22,002,292.51</w:t>
            </w:r>
          </w:p>
        </w:tc>
      </w:tr>
    </w:tbl>
    <w:p>
      <w:pPr>
        <w:jc w:val="both"/>
        <w:rPr>
          <w:sz w:val="24"/>
          <w:szCs w:val="24"/>
          <w:lang w:val="en-PH" w:eastAsia="en-PH"/>
        </w:rPr>
      </w:pPr>
    </w:p>
    <w:p>
      <w:pPr>
        <w:jc w:val="both"/>
        <w:rPr>
          <w:sz w:val="24"/>
          <w:szCs w:val="24"/>
          <w:lang w:val="en-PH" w:eastAsia="en-PH"/>
        </w:rPr>
      </w:pPr>
    </w:p>
    <w:p>
      <w:pPr>
        <w:jc w:val="both"/>
        <w:rPr>
          <w:sz w:val="24"/>
          <w:szCs w:val="24"/>
          <w:lang w:val="en-PH" w:eastAsia="en-PH"/>
        </w:rPr>
      </w:pPr>
    </w:p>
    <w:p>
      <w:pPr>
        <w:jc w:val="both"/>
        <w:rPr>
          <w:sz w:val="24"/>
          <w:szCs w:val="24"/>
          <w:lang w:val="en-PH" w:eastAsia="en-PH"/>
        </w:rPr>
      </w:pPr>
    </w:p>
    <w:p>
      <w:pPr>
        <w:ind w:left="1134"/>
        <w:jc w:val="both"/>
        <w:rPr>
          <w:b/>
          <w:bCs/>
          <w:sz w:val="24"/>
          <w:szCs w:val="24"/>
          <w:lang w:val="en-PH" w:eastAsia="en-PH"/>
        </w:rPr>
      </w:pPr>
      <w:r>
        <w:rPr>
          <w:b/>
          <w:bCs/>
          <w:sz w:val="24"/>
          <w:szCs w:val="24"/>
        </w:rPr>
        <w:t xml:space="preserve">24.9 </w:t>
      </w:r>
      <w:r>
        <w:rPr>
          <w:b/>
          <w:bCs/>
          <w:sz w:val="24"/>
          <w:szCs w:val="24"/>
          <w:lang w:val="en-PH" w:eastAsia="en-PH"/>
        </w:rPr>
        <w:t>Professional Services</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jc w:val="both"/>
        <w:rPr>
          <w:sz w:val="24"/>
          <w:szCs w:val="24"/>
          <w:lang w:val="en-PH" w:eastAsia="en-PH"/>
        </w:rPr>
      </w:pPr>
    </w:p>
    <w:tbl>
      <w:tblPr>
        <w:tblW w:w="7938" w:type="dxa"/>
        <w:tblInd w:w="1526" w:type="dxa"/>
        <w:tblLook w:val="04A0" w:firstRow="1" w:lastRow="0" w:firstColumn="1" w:lastColumn="0" w:noHBand="0" w:noVBand="1"/>
      </w:tblPr>
      <w:tblGrid>
        <w:gridCol w:w="3260"/>
        <w:gridCol w:w="2552"/>
        <w:gridCol w:w="2126"/>
      </w:tblGrid>
      <w:tr>
        <w:trPr>
          <w:trHeight w:val="283"/>
        </w:trPr>
        <w:tc>
          <w:tcPr>
            <w:tcW w:w="326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Professional Services</w:t>
            </w:r>
          </w:p>
        </w:tc>
        <w:tc>
          <w:tcPr>
            <w:tcW w:w="2552"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26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Auditing Services</w:t>
            </w:r>
          </w:p>
        </w:tc>
        <w:tc>
          <w:tcPr>
            <w:tcW w:w="25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179,035.35 </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146,850.48 </w:t>
            </w:r>
          </w:p>
        </w:tc>
      </w:tr>
      <w:tr>
        <w:trPr>
          <w:trHeight w:val="283"/>
        </w:trPr>
        <w:tc>
          <w:tcPr>
            <w:tcW w:w="326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Other Professional Services</w:t>
            </w:r>
          </w:p>
        </w:tc>
        <w:tc>
          <w:tcPr>
            <w:tcW w:w="2552"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23,768,746.12</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49,982,981.65</w:t>
            </w:r>
          </w:p>
        </w:tc>
      </w:tr>
      <w:tr>
        <w:trPr>
          <w:trHeight w:val="283"/>
        </w:trPr>
        <w:tc>
          <w:tcPr>
            <w:tcW w:w="326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552"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23,947,781.47</w:t>
            </w:r>
          </w:p>
        </w:tc>
        <w:tc>
          <w:tcPr>
            <w:tcW w:w="2126"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50,129,832.13</w:t>
            </w:r>
          </w:p>
        </w:tc>
      </w:tr>
    </w:tbl>
    <w:p>
      <w:pPr>
        <w:jc w:val="both"/>
        <w:rPr>
          <w:sz w:val="24"/>
          <w:szCs w:val="24"/>
          <w:lang w:val="en-PH" w:eastAsia="en-PH"/>
        </w:rPr>
      </w:pPr>
    </w:p>
    <w:p>
      <w:pPr>
        <w:ind w:left="1134"/>
        <w:jc w:val="both"/>
        <w:rPr>
          <w:b/>
          <w:bCs/>
          <w:sz w:val="24"/>
          <w:szCs w:val="24"/>
          <w:lang w:val="en-PH" w:eastAsia="en-PH"/>
        </w:rPr>
      </w:pPr>
      <w:r>
        <w:rPr>
          <w:b/>
          <w:bCs/>
          <w:sz w:val="24"/>
          <w:szCs w:val="24"/>
        </w:rPr>
        <w:t xml:space="preserve">24.10 </w:t>
      </w:r>
      <w:r>
        <w:rPr>
          <w:b/>
          <w:bCs/>
          <w:sz w:val="24"/>
          <w:szCs w:val="24"/>
          <w:lang w:val="en-PH" w:eastAsia="en-PH"/>
        </w:rPr>
        <w:t>General Services</w:t>
      </w:r>
    </w:p>
    <w:p>
      <w:pPr>
        <w:jc w:val="both"/>
        <w:rPr>
          <w:b/>
          <w:bCs/>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accounts with </w:t>
      </w:r>
      <w:r>
        <w:rPr>
          <w:sz w:val="24"/>
          <w:szCs w:val="24"/>
        </w:rPr>
        <w:t>the comparative figure for the year ended 2022 and 2021.</w:t>
      </w:r>
    </w:p>
    <w:p>
      <w:pPr>
        <w:ind w:left="720"/>
        <w:jc w:val="both"/>
        <w:rPr>
          <w:sz w:val="24"/>
          <w:szCs w:val="24"/>
        </w:rPr>
      </w:pPr>
    </w:p>
    <w:tbl>
      <w:tblPr>
        <w:tblW w:w="7938" w:type="dxa"/>
        <w:tblInd w:w="1526" w:type="dxa"/>
        <w:tblLayout w:type="fixed"/>
        <w:tblLook w:val="04A0" w:firstRow="1" w:lastRow="0" w:firstColumn="1" w:lastColumn="0" w:noHBand="0" w:noVBand="1"/>
      </w:tblPr>
      <w:tblGrid>
        <w:gridCol w:w="4111"/>
        <w:gridCol w:w="1913"/>
        <w:gridCol w:w="1914"/>
      </w:tblGrid>
      <w:tr>
        <w:trPr>
          <w:trHeight w:val="293"/>
        </w:trPr>
        <w:tc>
          <w:tcPr>
            <w:tcW w:w="411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General Services</w:t>
            </w:r>
          </w:p>
        </w:tc>
        <w:tc>
          <w:tcPr>
            <w:tcW w:w="191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1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22"/>
        </w:trPr>
        <w:tc>
          <w:tcPr>
            <w:tcW w:w="4111"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Environment/Sanitary Services</w:t>
            </w:r>
          </w:p>
        </w:tc>
        <w:tc>
          <w:tcPr>
            <w:tcW w:w="191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6,481,413.58</w:t>
            </w:r>
          </w:p>
        </w:tc>
        <w:tc>
          <w:tcPr>
            <w:tcW w:w="191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4,706,663.76</w:t>
            </w:r>
          </w:p>
        </w:tc>
      </w:tr>
      <w:tr>
        <w:trPr>
          <w:trHeight w:val="322"/>
        </w:trPr>
        <w:tc>
          <w:tcPr>
            <w:tcW w:w="4111" w:type="dxa"/>
            <w:tcBorders>
              <w:top w:val="nil"/>
              <w:left w:val="nil"/>
              <w:bottom w:val="nil"/>
              <w:right w:val="nil"/>
            </w:tcBorders>
            <w:shd w:val="clear" w:color="auto" w:fill="auto"/>
            <w:vAlign w:val="center"/>
            <w:hideMark/>
          </w:tcPr>
          <w:p>
            <w:pPr>
              <w:ind w:left="851" w:hanging="851"/>
              <w:rPr>
                <w:sz w:val="24"/>
                <w:szCs w:val="24"/>
                <w:lang w:val="en-PH" w:eastAsia="en-PH"/>
              </w:rPr>
            </w:pPr>
            <w:r>
              <w:rPr>
                <w:sz w:val="24"/>
                <w:szCs w:val="24"/>
                <w:lang w:val="en-PH" w:eastAsia="en-PH"/>
              </w:rPr>
              <w:t>Other General Services</w:t>
            </w:r>
          </w:p>
        </w:tc>
        <w:tc>
          <w:tcPr>
            <w:tcW w:w="1913"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118,328,457.72</w:t>
            </w:r>
          </w:p>
        </w:tc>
        <w:tc>
          <w:tcPr>
            <w:tcW w:w="191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126,149,815.63</w:t>
            </w:r>
          </w:p>
        </w:tc>
      </w:tr>
      <w:tr>
        <w:trPr>
          <w:trHeight w:val="307"/>
        </w:trPr>
        <w:tc>
          <w:tcPr>
            <w:tcW w:w="4111"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13"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124,809,871.30</w:t>
            </w:r>
          </w:p>
        </w:tc>
        <w:tc>
          <w:tcPr>
            <w:tcW w:w="1914"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130,856,479.39</w:t>
            </w:r>
          </w:p>
        </w:tc>
      </w:tr>
    </w:tbl>
    <w:p>
      <w:pPr>
        <w:jc w:val="both"/>
        <w:rPr>
          <w:sz w:val="24"/>
          <w:szCs w:val="24"/>
          <w:lang w:val="en-PH" w:eastAsia="en-PH"/>
        </w:rPr>
      </w:pPr>
      <w:r>
        <w:rPr>
          <w:sz w:val="24"/>
          <w:szCs w:val="24"/>
          <w:lang w:val="en-PH" w:eastAsia="en-PH"/>
        </w:rPr>
        <w:tab/>
      </w:r>
    </w:p>
    <w:p>
      <w:pPr>
        <w:spacing w:line="276" w:lineRule="auto"/>
        <w:ind w:left="1418"/>
        <w:jc w:val="both"/>
        <w:rPr>
          <w:sz w:val="24"/>
          <w:szCs w:val="24"/>
          <w:lang w:val="en-PH" w:eastAsia="en-PH"/>
        </w:rPr>
      </w:pPr>
      <w:r>
        <w:rPr>
          <w:sz w:val="24"/>
          <w:szCs w:val="24"/>
          <w:lang w:val="en-PH" w:eastAsia="en-PH"/>
        </w:rPr>
        <w:t>The type of cost accounted for in these accounts was the cost of the Job Order for the year 2022.</w:t>
      </w:r>
    </w:p>
    <w:p>
      <w:pPr>
        <w:ind w:left="1134"/>
        <w:jc w:val="both"/>
        <w:rPr>
          <w:b/>
          <w:bCs/>
          <w:sz w:val="24"/>
          <w:szCs w:val="24"/>
        </w:rPr>
      </w:pPr>
    </w:p>
    <w:p>
      <w:pPr>
        <w:ind w:left="1134"/>
        <w:jc w:val="both"/>
        <w:rPr>
          <w:sz w:val="24"/>
          <w:szCs w:val="24"/>
          <w:lang w:val="en-PH" w:eastAsia="en-PH"/>
        </w:rPr>
      </w:pPr>
      <w:r>
        <w:rPr>
          <w:b/>
          <w:bCs/>
          <w:sz w:val="24"/>
          <w:szCs w:val="24"/>
        </w:rPr>
        <w:t xml:space="preserve">24.11 </w:t>
      </w:r>
      <w:r>
        <w:rPr>
          <w:b/>
          <w:bCs/>
          <w:sz w:val="24"/>
          <w:szCs w:val="24"/>
          <w:lang w:val="en-PH" w:eastAsia="en-PH"/>
        </w:rPr>
        <w:t>Repairs and Maintenance</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group of accounts with </w:t>
      </w:r>
      <w:r>
        <w:rPr>
          <w:sz w:val="24"/>
          <w:szCs w:val="24"/>
        </w:rPr>
        <w:t>the comparative figure for the year ended 2022 and 2021.</w:t>
      </w:r>
    </w:p>
    <w:p>
      <w:pPr>
        <w:jc w:val="both"/>
        <w:rPr>
          <w:sz w:val="24"/>
          <w:szCs w:val="24"/>
          <w:lang w:val="en-PH" w:eastAsia="en-PH"/>
        </w:rPr>
      </w:pPr>
    </w:p>
    <w:tbl>
      <w:tblPr>
        <w:tblW w:w="7938" w:type="dxa"/>
        <w:tblInd w:w="1526" w:type="dxa"/>
        <w:tblLayout w:type="fixed"/>
        <w:tblLook w:val="04A0" w:firstRow="1" w:lastRow="0" w:firstColumn="1" w:lastColumn="0" w:noHBand="0" w:noVBand="1"/>
      </w:tblPr>
      <w:tblGrid>
        <w:gridCol w:w="3969"/>
        <w:gridCol w:w="1984"/>
        <w:gridCol w:w="1985"/>
      </w:tblGrid>
      <w:tr>
        <w:trPr>
          <w:trHeight w:val="283"/>
        </w:trPr>
        <w:tc>
          <w:tcPr>
            <w:tcW w:w="396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Repairs and Maintenance</w:t>
            </w:r>
          </w:p>
        </w:tc>
        <w:tc>
          <w:tcPr>
            <w:tcW w:w="19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 &amp; M - Infrastructure Assets</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8,164,957.90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663,548.43</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 &amp; M - Buildings and Other Structures</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2,331,741.81</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2,246,700.13</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R &amp; M - Machinery and Equipment </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9,181,495.52</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9,244,895.32</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R &amp; M - Transportation Equipment  </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7,426,032.43</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8,428,882.04</w:t>
            </w:r>
          </w:p>
        </w:tc>
      </w:tr>
      <w:tr>
        <w:trPr>
          <w:trHeight w:val="283"/>
        </w:trPr>
        <w:tc>
          <w:tcPr>
            <w:tcW w:w="396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 &amp; M - Other PPE</w:t>
            </w:r>
          </w:p>
        </w:tc>
        <w:tc>
          <w:tcPr>
            <w:tcW w:w="19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434,416.00</w:t>
            </w:r>
          </w:p>
        </w:tc>
      </w:tr>
      <w:tr>
        <w:trPr>
          <w:trHeight w:val="283"/>
        </w:trPr>
        <w:tc>
          <w:tcPr>
            <w:tcW w:w="396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984"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27,104,227.66</w:t>
            </w:r>
          </w:p>
        </w:tc>
        <w:tc>
          <w:tcPr>
            <w:tcW w:w="1985"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21,018,441.92</w:t>
            </w:r>
          </w:p>
        </w:tc>
      </w:tr>
    </w:tbl>
    <w:p>
      <w:pPr>
        <w:ind w:left="1134"/>
        <w:jc w:val="both"/>
        <w:rPr>
          <w:b/>
          <w:bCs/>
          <w:sz w:val="24"/>
          <w:szCs w:val="24"/>
        </w:rPr>
      </w:pPr>
    </w:p>
    <w:p>
      <w:pPr>
        <w:ind w:left="1134"/>
        <w:jc w:val="both"/>
        <w:rPr>
          <w:b/>
          <w:bCs/>
          <w:sz w:val="24"/>
          <w:szCs w:val="24"/>
          <w:lang w:val="en-PH" w:eastAsia="en-PH"/>
        </w:rPr>
      </w:pPr>
      <w:r>
        <w:rPr>
          <w:b/>
          <w:bCs/>
          <w:sz w:val="24"/>
          <w:szCs w:val="24"/>
        </w:rPr>
        <w:t xml:space="preserve">24.12 </w:t>
      </w:r>
      <w:r>
        <w:rPr>
          <w:b/>
          <w:bCs/>
          <w:sz w:val="24"/>
          <w:szCs w:val="24"/>
          <w:lang w:val="en-PH" w:eastAsia="en-PH"/>
        </w:rPr>
        <w:t>Financial Assistance/Subsidy</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group of accounts with </w:t>
      </w:r>
      <w:r>
        <w:rPr>
          <w:sz w:val="24"/>
          <w:szCs w:val="24"/>
        </w:rPr>
        <w:t>the comparative figure for the year ended 2022 and 2021</w:t>
      </w:r>
    </w:p>
    <w:p>
      <w:pPr>
        <w:ind w:left="720"/>
        <w:jc w:val="both"/>
        <w:rPr>
          <w:sz w:val="24"/>
          <w:szCs w:val="24"/>
          <w:lang w:val="en-PH" w:eastAsia="en-PH"/>
        </w:rPr>
      </w:pPr>
    </w:p>
    <w:tbl>
      <w:tblPr>
        <w:tblW w:w="7938" w:type="dxa"/>
        <w:tblInd w:w="1526" w:type="dxa"/>
        <w:tblLook w:val="04A0" w:firstRow="1" w:lastRow="0" w:firstColumn="1" w:lastColumn="0" w:noHBand="0" w:noVBand="1"/>
      </w:tblPr>
      <w:tblGrid>
        <w:gridCol w:w="4173"/>
        <w:gridCol w:w="1780"/>
        <w:gridCol w:w="1985"/>
      </w:tblGrid>
      <w:tr>
        <w:trPr>
          <w:trHeight w:val="297"/>
          <w:tblHeader/>
        </w:trPr>
        <w:tc>
          <w:tcPr>
            <w:tcW w:w="417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Financial Assistance/Subsidy</w:t>
            </w:r>
          </w:p>
        </w:tc>
        <w:tc>
          <w:tcPr>
            <w:tcW w:w="178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98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27"/>
        </w:trPr>
        <w:tc>
          <w:tcPr>
            <w:tcW w:w="417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 to Other Local Government Units</w:t>
            </w:r>
          </w:p>
        </w:tc>
        <w:tc>
          <w:tcPr>
            <w:tcW w:w="17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2,640,000.00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2,660,000.00</w:t>
            </w:r>
          </w:p>
        </w:tc>
      </w:tr>
      <w:tr>
        <w:trPr>
          <w:trHeight w:val="327"/>
        </w:trPr>
        <w:tc>
          <w:tcPr>
            <w:tcW w:w="417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lastRenderedPageBreak/>
              <w:t>Subsidy to General Fund Proper/Special Accounts</w:t>
            </w:r>
          </w:p>
        </w:tc>
        <w:tc>
          <w:tcPr>
            <w:tcW w:w="17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17,828,381.01</w:t>
            </w:r>
          </w:p>
        </w:tc>
      </w:tr>
      <w:tr>
        <w:trPr>
          <w:trHeight w:val="327"/>
        </w:trPr>
        <w:tc>
          <w:tcPr>
            <w:tcW w:w="417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 to Other Funds</w:t>
            </w:r>
          </w:p>
        </w:tc>
        <w:tc>
          <w:tcPr>
            <w:tcW w:w="17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407,026.45</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327"/>
        </w:trPr>
        <w:tc>
          <w:tcPr>
            <w:tcW w:w="417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Subsidy to Local Economic Enterprises</w:t>
            </w:r>
          </w:p>
        </w:tc>
        <w:tc>
          <w:tcPr>
            <w:tcW w:w="178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10,205,931.09</w:t>
            </w:r>
          </w:p>
        </w:tc>
        <w:tc>
          <w:tcPr>
            <w:tcW w:w="198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0.00</w:t>
            </w:r>
          </w:p>
        </w:tc>
      </w:tr>
      <w:tr>
        <w:trPr>
          <w:trHeight w:val="312"/>
        </w:trPr>
        <w:tc>
          <w:tcPr>
            <w:tcW w:w="417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780" w:type="dxa"/>
            <w:tcBorders>
              <w:top w:val="single" w:sz="4" w:space="0" w:color="A6A6A6"/>
              <w:left w:val="nil"/>
              <w:bottom w:val="double" w:sz="6" w:space="0" w:color="A6A6A6"/>
              <w:right w:val="nil"/>
            </w:tcBorders>
            <w:shd w:val="clear" w:color="auto" w:fill="auto"/>
            <w:noWrap/>
            <w:vAlign w:val="center"/>
            <w:hideMark/>
          </w:tcPr>
          <w:p>
            <w:pPr>
              <w:ind w:leftChars="-14" w:left="1" w:hangingChars="12" w:hanging="29"/>
              <w:jc w:val="right"/>
              <w:rPr>
                <w:b/>
                <w:bCs/>
                <w:sz w:val="24"/>
                <w:szCs w:val="24"/>
                <w:highlight w:val="yellow"/>
                <w:lang w:val="en-PH" w:eastAsia="en-PH"/>
              </w:rPr>
            </w:pPr>
            <w:r>
              <w:rPr>
                <w:b/>
                <w:bCs/>
                <w:sz w:val="24"/>
                <w:szCs w:val="24"/>
                <w:lang w:val="en-PH" w:eastAsia="en-PH"/>
              </w:rPr>
              <w:t>13,252,957.54</w:t>
            </w:r>
          </w:p>
        </w:tc>
        <w:tc>
          <w:tcPr>
            <w:tcW w:w="1985"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highlight w:val="yellow"/>
                <w:lang w:val="en-PH" w:eastAsia="en-PH"/>
              </w:rPr>
            </w:pPr>
            <w:r>
              <w:rPr>
                <w:b/>
                <w:bCs/>
                <w:sz w:val="24"/>
                <w:szCs w:val="24"/>
                <w:lang w:val="en-PH" w:eastAsia="en-PH"/>
              </w:rPr>
              <w:t>20,488,381.01</w:t>
            </w:r>
          </w:p>
        </w:tc>
      </w:tr>
    </w:tbl>
    <w:p>
      <w:pPr>
        <w:jc w:val="both"/>
        <w:rPr>
          <w:sz w:val="24"/>
          <w:szCs w:val="24"/>
          <w:lang w:val="en-PH" w:eastAsia="en-PH"/>
        </w:rPr>
      </w:pPr>
    </w:p>
    <w:p>
      <w:pPr>
        <w:spacing w:line="276" w:lineRule="auto"/>
        <w:ind w:left="1418"/>
        <w:jc w:val="both"/>
        <w:rPr>
          <w:b/>
          <w:bCs/>
          <w:sz w:val="24"/>
          <w:szCs w:val="24"/>
        </w:rPr>
      </w:pPr>
      <w:r>
        <w:rPr>
          <w:sz w:val="24"/>
          <w:szCs w:val="24"/>
        </w:rPr>
        <w:t>Subsidy to Local Government Units refers to the City’s mandatory financial assistance to its forty (40) Barangay provided under Section 324 (c) of R.A. 7160</w:t>
      </w:r>
    </w:p>
    <w:p>
      <w:pPr>
        <w:jc w:val="both"/>
        <w:rPr>
          <w:sz w:val="24"/>
          <w:szCs w:val="24"/>
        </w:rPr>
      </w:pPr>
      <w:r>
        <w:rPr>
          <w:b/>
          <w:bCs/>
          <w:sz w:val="24"/>
          <w:szCs w:val="24"/>
        </w:rPr>
        <w:tab/>
      </w:r>
    </w:p>
    <w:p>
      <w:pPr>
        <w:spacing w:line="276" w:lineRule="auto"/>
        <w:ind w:left="1418"/>
        <w:jc w:val="both"/>
        <w:rPr>
          <w:sz w:val="24"/>
          <w:szCs w:val="24"/>
        </w:rPr>
      </w:pPr>
      <w:r>
        <w:rPr>
          <w:sz w:val="24"/>
          <w:szCs w:val="24"/>
        </w:rPr>
        <w:t>Subsidy to other fund should have been accounted as Subsidy to Local Economics Enterprise as it’s a subsidy from cemetery operation to terminal operation.</w:t>
      </w:r>
    </w:p>
    <w:p>
      <w:pPr>
        <w:ind w:left="1418"/>
        <w:jc w:val="both"/>
        <w:rPr>
          <w:sz w:val="24"/>
          <w:szCs w:val="24"/>
        </w:rPr>
      </w:pPr>
    </w:p>
    <w:p>
      <w:pPr>
        <w:spacing w:line="276" w:lineRule="auto"/>
        <w:ind w:left="1418"/>
        <w:jc w:val="both"/>
        <w:rPr>
          <w:sz w:val="24"/>
          <w:szCs w:val="24"/>
        </w:rPr>
      </w:pPr>
      <w:r>
        <w:rPr>
          <w:sz w:val="24"/>
          <w:szCs w:val="24"/>
        </w:rPr>
        <w:t xml:space="preserve">For subsidy to Local Economics Enterprise please refer to </w:t>
      </w:r>
      <w:r>
        <w:rPr>
          <w:b/>
          <w:bCs/>
          <w:sz w:val="24"/>
          <w:szCs w:val="24"/>
        </w:rPr>
        <w:t xml:space="preserve">Note 20.1 </w:t>
      </w:r>
      <w:r>
        <w:rPr>
          <w:sz w:val="24"/>
          <w:szCs w:val="24"/>
        </w:rPr>
        <w:t>for its reciprocal account.</w:t>
      </w:r>
    </w:p>
    <w:p>
      <w:pPr>
        <w:ind w:left="1134"/>
        <w:jc w:val="both"/>
        <w:rPr>
          <w:b/>
          <w:bCs/>
          <w:sz w:val="24"/>
          <w:szCs w:val="24"/>
        </w:rPr>
      </w:pPr>
    </w:p>
    <w:p>
      <w:pPr>
        <w:ind w:left="1134"/>
        <w:jc w:val="both"/>
        <w:rPr>
          <w:b/>
          <w:bCs/>
          <w:sz w:val="24"/>
          <w:szCs w:val="24"/>
          <w:lang w:val="en-PH" w:eastAsia="en-PH"/>
        </w:rPr>
      </w:pPr>
      <w:r>
        <w:rPr>
          <w:b/>
          <w:bCs/>
          <w:sz w:val="24"/>
          <w:szCs w:val="24"/>
        </w:rPr>
        <w:t xml:space="preserve">24.13 </w:t>
      </w:r>
      <w:r>
        <w:rPr>
          <w:b/>
          <w:bCs/>
          <w:sz w:val="24"/>
          <w:szCs w:val="24"/>
          <w:lang w:val="en-PH" w:eastAsia="en-PH"/>
        </w:rPr>
        <w:t>Transfer</w:t>
      </w:r>
    </w:p>
    <w:p>
      <w:pPr>
        <w:jc w:val="both"/>
        <w:rPr>
          <w:b/>
          <w:bCs/>
          <w:sz w:val="24"/>
          <w:szCs w:val="24"/>
          <w:lang w:val="en-PH" w:eastAsia="en-PH"/>
        </w:rPr>
      </w:pPr>
    </w:p>
    <w:p>
      <w:pPr>
        <w:ind w:left="1418"/>
        <w:jc w:val="both"/>
        <w:rPr>
          <w:sz w:val="24"/>
          <w:szCs w:val="24"/>
          <w:lang w:val="en-PH" w:eastAsia="en-PH"/>
        </w:rPr>
      </w:pPr>
      <w:r>
        <w:rPr>
          <w:sz w:val="24"/>
          <w:szCs w:val="24"/>
          <w:lang w:val="en-PH" w:eastAsia="en-PH"/>
        </w:rPr>
        <w:tab/>
        <w:t>This comprised of the following account.</w:t>
      </w:r>
    </w:p>
    <w:p>
      <w:pPr>
        <w:jc w:val="both"/>
        <w:rPr>
          <w:sz w:val="24"/>
          <w:szCs w:val="24"/>
          <w:lang w:val="en-PH" w:eastAsia="en-PH"/>
        </w:rPr>
      </w:pPr>
    </w:p>
    <w:tbl>
      <w:tblPr>
        <w:tblW w:w="7975" w:type="dxa"/>
        <w:tblInd w:w="1526" w:type="dxa"/>
        <w:tblLayout w:type="fixed"/>
        <w:tblLook w:val="04A0" w:firstRow="1" w:lastRow="0" w:firstColumn="1" w:lastColumn="0" w:noHBand="0" w:noVBand="1"/>
      </w:tblPr>
      <w:tblGrid>
        <w:gridCol w:w="4444"/>
        <w:gridCol w:w="1765"/>
        <w:gridCol w:w="1766"/>
      </w:tblGrid>
      <w:tr>
        <w:trPr>
          <w:trHeight w:val="330"/>
        </w:trPr>
        <w:tc>
          <w:tcPr>
            <w:tcW w:w="444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Transfers</w:t>
            </w:r>
          </w:p>
        </w:tc>
        <w:tc>
          <w:tcPr>
            <w:tcW w:w="176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76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585"/>
        </w:trPr>
        <w:tc>
          <w:tcPr>
            <w:tcW w:w="4444"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Transfers of Unspent Current Year DRRM Funds to the Trust Funds</w:t>
            </w:r>
          </w:p>
        </w:tc>
        <w:tc>
          <w:tcPr>
            <w:tcW w:w="1765"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7,851,889.73 </w:t>
            </w:r>
          </w:p>
        </w:tc>
        <w:tc>
          <w:tcPr>
            <w:tcW w:w="176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 xml:space="preserve">                               35,206,494.46</w:t>
            </w:r>
          </w:p>
        </w:tc>
      </w:tr>
      <w:tr>
        <w:trPr>
          <w:trHeight w:val="340"/>
        </w:trPr>
        <w:tc>
          <w:tcPr>
            <w:tcW w:w="444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1765"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 xml:space="preserve">7,851,889.73 </w:t>
            </w:r>
          </w:p>
        </w:tc>
        <w:tc>
          <w:tcPr>
            <w:tcW w:w="1766" w:type="dxa"/>
            <w:tcBorders>
              <w:top w:val="single" w:sz="4" w:space="0" w:color="A6A6A6"/>
              <w:left w:val="nil"/>
              <w:bottom w:val="double" w:sz="6" w:space="0" w:color="A6A6A6"/>
              <w:right w:val="nil"/>
            </w:tcBorders>
            <w:shd w:val="clear" w:color="auto" w:fill="auto"/>
            <w:noWrap/>
            <w:vAlign w:val="center"/>
            <w:hideMark/>
          </w:tcPr>
          <w:p>
            <w:pPr>
              <w:ind w:firstLineChars="25" w:firstLine="60"/>
              <w:jc w:val="right"/>
              <w:rPr>
                <w:b/>
                <w:bCs/>
                <w:sz w:val="24"/>
                <w:szCs w:val="24"/>
                <w:lang w:val="en-PH" w:eastAsia="en-PH"/>
              </w:rPr>
            </w:pPr>
            <w:r>
              <w:rPr>
                <w:b/>
                <w:bCs/>
                <w:sz w:val="24"/>
                <w:szCs w:val="24"/>
                <w:lang w:val="en-PH" w:eastAsia="en-PH"/>
              </w:rPr>
              <w:t xml:space="preserve">35,206,494.46   </w:t>
            </w:r>
          </w:p>
        </w:tc>
      </w:tr>
    </w:tbl>
    <w:p>
      <w:pPr>
        <w:jc w:val="both"/>
        <w:rPr>
          <w:sz w:val="24"/>
          <w:szCs w:val="24"/>
          <w:lang w:val="en-PH" w:eastAsia="en-PH"/>
        </w:rPr>
      </w:pPr>
    </w:p>
    <w:p>
      <w:pPr>
        <w:spacing w:line="276" w:lineRule="auto"/>
        <w:ind w:left="1418"/>
        <w:jc w:val="both"/>
        <w:rPr>
          <w:b/>
          <w:bCs/>
          <w:sz w:val="24"/>
          <w:szCs w:val="24"/>
        </w:rPr>
      </w:pPr>
      <w:r>
        <w:rPr>
          <w:sz w:val="24"/>
          <w:szCs w:val="24"/>
        </w:rPr>
        <w:t>This account is an</w:t>
      </w:r>
      <w:r>
        <w:rPr>
          <w:b/>
          <w:bCs/>
          <w:sz w:val="24"/>
          <w:szCs w:val="24"/>
        </w:rPr>
        <w:t xml:space="preserve"> </w:t>
      </w:r>
      <w:r>
        <w:rPr>
          <w:sz w:val="24"/>
          <w:szCs w:val="24"/>
        </w:rPr>
        <w:t xml:space="preserve">unexpended Calamity Fund under General Fund which was transferred yearly to Trust Fund for the implementation of various projects of the LGUs which relates to disaster risk reduction. During the year, the City recognized transfer of the unexpended balance of CY 2022 5% Calamity Fund to Special Trust Fund amounting Php 7,851,889.73. </w:t>
      </w:r>
    </w:p>
    <w:p>
      <w:pPr>
        <w:jc w:val="both"/>
        <w:rPr>
          <w:b/>
          <w:bCs/>
          <w:sz w:val="24"/>
          <w:szCs w:val="24"/>
        </w:rPr>
      </w:pPr>
    </w:p>
    <w:p>
      <w:pPr>
        <w:ind w:left="1134"/>
        <w:jc w:val="both"/>
        <w:rPr>
          <w:sz w:val="24"/>
          <w:szCs w:val="24"/>
          <w:lang w:val="en-PH" w:eastAsia="en-PH"/>
        </w:rPr>
      </w:pPr>
      <w:r>
        <w:rPr>
          <w:b/>
          <w:bCs/>
          <w:sz w:val="24"/>
          <w:szCs w:val="24"/>
        </w:rPr>
        <w:t xml:space="preserve">24.14 </w:t>
      </w:r>
      <w:r>
        <w:rPr>
          <w:b/>
          <w:bCs/>
          <w:sz w:val="24"/>
          <w:szCs w:val="24"/>
          <w:lang w:val="en-PH" w:eastAsia="en-PH"/>
        </w:rPr>
        <w:t>Taxes, Insurance Premiums and Other Fees</w:t>
      </w:r>
    </w:p>
    <w:p>
      <w:pPr>
        <w:jc w:val="both"/>
        <w:rPr>
          <w:sz w:val="24"/>
          <w:szCs w:val="24"/>
          <w:lang w:val="en-PH" w:eastAsia="en-PH"/>
        </w:rPr>
      </w:pPr>
    </w:p>
    <w:p>
      <w:pPr>
        <w:spacing w:line="276" w:lineRule="auto"/>
        <w:ind w:left="1418"/>
        <w:jc w:val="both"/>
        <w:rPr>
          <w:sz w:val="24"/>
          <w:szCs w:val="24"/>
        </w:rPr>
      </w:pPr>
      <w:r>
        <w:rPr>
          <w:sz w:val="24"/>
          <w:szCs w:val="24"/>
          <w:lang w:val="en-PH" w:eastAsia="en-PH"/>
        </w:rPr>
        <w:t xml:space="preserve">This comprised of the following group of accounts with </w:t>
      </w:r>
      <w:r>
        <w:rPr>
          <w:sz w:val="24"/>
          <w:szCs w:val="24"/>
        </w:rPr>
        <w:t>the comparative figure for the year ended 2022 and 2021.</w:t>
      </w:r>
    </w:p>
    <w:p>
      <w:pPr>
        <w:ind w:left="720"/>
        <w:jc w:val="both"/>
        <w:rPr>
          <w:sz w:val="24"/>
          <w:szCs w:val="24"/>
          <w:lang w:val="en-PH" w:eastAsia="en-PH"/>
        </w:rPr>
      </w:pPr>
    </w:p>
    <w:tbl>
      <w:tblPr>
        <w:tblW w:w="7938" w:type="dxa"/>
        <w:tblInd w:w="1526" w:type="dxa"/>
        <w:tblLook w:val="04A0" w:firstRow="1" w:lastRow="0" w:firstColumn="1" w:lastColumn="0" w:noHBand="0" w:noVBand="1"/>
      </w:tblPr>
      <w:tblGrid>
        <w:gridCol w:w="3827"/>
        <w:gridCol w:w="2410"/>
        <w:gridCol w:w="1701"/>
      </w:tblGrid>
      <w:tr>
        <w:trPr>
          <w:trHeight w:val="294"/>
        </w:trPr>
        <w:tc>
          <w:tcPr>
            <w:tcW w:w="382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Taxes, Insurance Premiums and Other Fees</w:t>
            </w:r>
          </w:p>
        </w:tc>
        <w:tc>
          <w:tcPr>
            <w:tcW w:w="241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70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24"/>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Taxes, Duties and Licenses</w:t>
            </w:r>
          </w:p>
        </w:tc>
        <w:tc>
          <w:tcPr>
            <w:tcW w:w="241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390,327.84</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594,146.61</w:t>
            </w:r>
          </w:p>
        </w:tc>
      </w:tr>
      <w:tr>
        <w:trPr>
          <w:trHeight w:val="324"/>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Fidelity Bond Premiums </w:t>
            </w:r>
          </w:p>
        </w:tc>
        <w:tc>
          <w:tcPr>
            <w:tcW w:w="241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376,038.75</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369,341.25</w:t>
            </w:r>
          </w:p>
        </w:tc>
      </w:tr>
      <w:tr>
        <w:trPr>
          <w:trHeight w:val="324"/>
        </w:trPr>
        <w:tc>
          <w:tcPr>
            <w:tcW w:w="3827"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Insurance Expenses</w:t>
            </w:r>
          </w:p>
        </w:tc>
        <w:tc>
          <w:tcPr>
            <w:tcW w:w="2410"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2,304,236.28</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3,589,282.68</w:t>
            </w:r>
          </w:p>
        </w:tc>
      </w:tr>
      <w:tr>
        <w:trPr>
          <w:trHeight w:val="309"/>
        </w:trPr>
        <w:tc>
          <w:tcPr>
            <w:tcW w:w="3827"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410"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3,070,602.87</w:t>
            </w:r>
          </w:p>
        </w:tc>
        <w:tc>
          <w:tcPr>
            <w:tcW w:w="1701"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4,552,770.54</w:t>
            </w:r>
          </w:p>
        </w:tc>
      </w:tr>
    </w:tbl>
    <w:p>
      <w:pPr>
        <w:jc w:val="both"/>
        <w:rPr>
          <w:sz w:val="24"/>
          <w:szCs w:val="24"/>
          <w:lang w:val="en-PH" w:eastAsia="en-PH"/>
        </w:rPr>
      </w:pPr>
    </w:p>
    <w:p>
      <w:pPr>
        <w:jc w:val="both"/>
        <w:rPr>
          <w:sz w:val="24"/>
          <w:szCs w:val="24"/>
          <w:lang w:val="en-PH" w:eastAsia="en-PH"/>
        </w:rPr>
      </w:pPr>
    </w:p>
    <w:p>
      <w:pPr>
        <w:jc w:val="both"/>
        <w:rPr>
          <w:sz w:val="24"/>
          <w:szCs w:val="24"/>
          <w:lang w:val="en-PH" w:eastAsia="en-PH"/>
        </w:rPr>
      </w:pPr>
    </w:p>
    <w:p>
      <w:pPr>
        <w:jc w:val="both"/>
        <w:rPr>
          <w:sz w:val="24"/>
          <w:szCs w:val="24"/>
          <w:lang w:val="en-PH" w:eastAsia="en-PH"/>
        </w:rPr>
      </w:pPr>
    </w:p>
    <w:p>
      <w:pPr>
        <w:jc w:val="both"/>
        <w:rPr>
          <w:sz w:val="24"/>
          <w:szCs w:val="24"/>
          <w:lang w:val="en-PH" w:eastAsia="en-PH"/>
        </w:rPr>
      </w:pPr>
    </w:p>
    <w:p>
      <w:pPr>
        <w:ind w:left="1134"/>
        <w:jc w:val="both"/>
        <w:rPr>
          <w:sz w:val="24"/>
          <w:szCs w:val="24"/>
          <w:lang w:val="en-PH" w:eastAsia="en-PH"/>
        </w:rPr>
      </w:pPr>
      <w:r>
        <w:rPr>
          <w:b/>
          <w:bCs/>
          <w:sz w:val="24"/>
          <w:szCs w:val="24"/>
        </w:rPr>
        <w:t xml:space="preserve">24.15 </w:t>
      </w:r>
      <w:r>
        <w:rPr>
          <w:b/>
          <w:bCs/>
          <w:sz w:val="24"/>
          <w:szCs w:val="24"/>
          <w:lang w:val="en-PH" w:eastAsia="en-PH"/>
        </w:rPr>
        <w:t>Other Maintenance and Operating Expenses</w:t>
      </w:r>
    </w:p>
    <w:p>
      <w:pPr>
        <w:jc w:val="both"/>
        <w:rPr>
          <w:sz w:val="24"/>
          <w:szCs w:val="24"/>
          <w:lang w:val="en-PH" w:eastAsia="en-PH"/>
        </w:rPr>
      </w:pPr>
    </w:p>
    <w:p>
      <w:pPr>
        <w:spacing w:line="276" w:lineRule="auto"/>
        <w:ind w:left="1418"/>
        <w:jc w:val="both"/>
        <w:rPr>
          <w:b/>
          <w:bCs/>
          <w:sz w:val="24"/>
          <w:szCs w:val="24"/>
        </w:rPr>
      </w:pPr>
      <w:r>
        <w:rPr>
          <w:sz w:val="24"/>
          <w:szCs w:val="24"/>
          <w:lang w:val="en-PH" w:eastAsia="en-PH"/>
        </w:rPr>
        <w:t xml:space="preserve">This comprised of the following group of accounts with </w:t>
      </w:r>
      <w:r>
        <w:rPr>
          <w:sz w:val="24"/>
          <w:szCs w:val="24"/>
        </w:rPr>
        <w:t>the comparative figure for the year ended 2022 and 2021.</w:t>
      </w:r>
      <w:r>
        <w:rPr>
          <w:b/>
          <w:bCs/>
          <w:sz w:val="24"/>
          <w:szCs w:val="24"/>
        </w:rPr>
        <w:tab/>
      </w:r>
    </w:p>
    <w:p>
      <w:pPr>
        <w:ind w:left="720"/>
        <w:jc w:val="both"/>
        <w:rPr>
          <w:b/>
          <w:bCs/>
          <w:sz w:val="24"/>
          <w:szCs w:val="24"/>
        </w:rPr>
      </w:pPr>
    </w:p>
    <w:tbl>
      <w:tblPr>
        <w:tblW w:w="7938" w:type="dxa"/>
        <w:tblInd w:w="1526" w:type="dxa"/>
        <w:tblLook w:val="04A0" w:firstRow="1" w:lastRow="0" w:firstColumn="1" w:lastColumn="0" w:noHBand="0" w:noVBand="1"/>
      </w:tblPr>
      <w:tblGrid>
        <w:gridCol w:w="4120"/>
        <w:gridCol w:w="2117"/>
        <w:gridCol w:w="1701"/>
      </w:tblGrid>
      <w:tr>
        <w:trPr>
          <w:trHeight w:val="294"/>
          <w:tblHeader/>
        </w:trPr>
        <w:tc>
          <w:tcPr>
            <w:tcW w:w="412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Other Maintenance and Operating Expenses</w:t>
            </w:r>
          </w:p>
        </w:tc>
        <w:tc>
          <w:tcPr>
            <w:tcW w:w="211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170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Advertising Expenses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581,914.50</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733,785.00</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Printing and Publication Expenses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1,357,388.50</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1,814,734.00</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Representation Expenses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7,434,423.05</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8,738,314.40</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Rent Expenses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3,557,713.00</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3,476,288.15</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Membership Dues and Contributions to Organizations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576,000.00</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377,000.00</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Subscription Expenses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238,918.54</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137,144.00</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Donations</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25,245,140.77</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50,787,191.68</w:t>
            </w:r>
          </w:p>
        </w:tc>
      </w:tr>
      <w:tr>
        <w:trPr>
          <w:trHeight w:val="324"/>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Other Maintenance and Operating Expenses  </w:t>
            </w:r>
          </w:p>
        </w:tc>
        <w:tc>
          <w:tcPr>
            <w:tcW w:w="211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21,302,255.80</w:t>
            </w:r>
          </w:p>
        </w:tc>
        <w:tc>
          <w:tcPr>
            <w:tcW w:w="17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7,859,654.87</w:t>
            </w:r>
          </w:p>
        </w:tc>
      </w:tr>
      <w:tr>
        <w:trPr>
          <w:trHeight w:val="309"/>
        </w:trPr>
        <w:tc>
          <w:tcPr>
            <w:tcW w:w="412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1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60,293,754.16</w:t>
            </w:r>
          </w:p>
        </w:tc>
        <w:tc>
          <w:tcPr>
            <w:tcW w:w="1701" w:type="dxa"/>
            <w:tcBorders>
              <w:top w:val="single" w:sz="4" w:space="0" w:color="A6A6A6"/>
              <w:left w:val="nil"/>
              <w:bottom w:val="double" w:sz="6" w:space="0" w:color="A6A6A6"/>
              <w:right w:val="nil"/>
            </w:tcBorders>
            <w:shd w:val="clear" w:color="auto" w:fill="auto"/>
            <w:noWrap/>
            <w:vAlign w:val="center"/>
            <w:hideMark/>
          </w:tcPr>
          <w:p>
            <w:pPr>
              <w:ind w:firstLineChars="14" w:firstLine="34"/>
              <w:jc w:val="right"/>
              <w:rPr>
                <w:b/>
                <w:bCs/>
                <w:sz w:val="24"/>
                <w:szCs w:val="24"/>
                <w:lang w:val="en-PH" w:eastAsia="en-PH"/>
              </w:rPr>
            </w:pPr>
            <w:r>
              <w:rPr>
                <w:b/>
                <w:bCs/>
                <w:sz w:val="24"/>
                <w:szCs w:val="24"/>
                <w:lang w:val="en-PH" w:eastAsia="en-PH"/>
              </w:rPr>
              <w:t>73,924,112.10</w:t>
            </w:r>
          </w:p>
        </w:tc>
      </w:tr>
    </w:tbl>
    <w:p>
      <w:pPr>
        <w:jc w:val="both"/>
        <w:rPr>
          <w:b/>
          <w:bCs/>
          <w:sz w:val="24"/>
          <w:szCs w:val="24"/>
        </w:rPr>
      </w:pPr>
    </w:p>
    <w:p>
      <w:pPr>
        <w:ind w:left="1418"/>
        <w:jc w:val="both"/>
        <w:rPr>
          <w:b/>
          <w:bCs/>
          <w:sz w:val="24"/>
          <w:szCs w:val="24"/>
        </w:rPr>
      </w:pPr>
      <w:r>
        <w:rPr>
          <w:sz w:val="24"/>
          <w:szCs w:val="24"/>
        </w:rPr>
        <w:t xml:space="preserve">This group of accounts mainly comprises a high amount of Donations and Other MOOE. </w:t>
      </w:r>
    </w:p>
    <w:p>
      <w:pPr>
        <w:jc w:val="both"/>
        <w:rPr>
          <w:b/>
          <w:bCs/>
          <w:sz w:val="24"/>
          <w:szCs w:val="24"/>
        </w:rPr>
      </w:pPr>
      <w:r>
        <w:rPr>
          <w:b/>
          <w:bCs/>
          <w:sz w:val="24"/>
          <w:szCs w:val="24"/>
        </w:rPr>
        <w:tab/>
      </w:r>
    </w:p>
    <w:tbl>
      <w:tblPr>
        <w:tblW w:w="7938" w:type="dxa"/>
        <w:tblInd w:w="1526" w:type="dxa"/>
        <w:tblLook w:val="04A0" w:firstRow="1" w:lastRow="0" w:firstColumn="1" w:lastColumn="0" w:noHBand="0" w:noVBand="1"/>
      </w:tblPr>
      <w:tblGrid>
        <w:gridCol w:w="5829"/>
        <w:gridCol w:w="2109"/>
      </w:tblGrid>
      <w:tr>
        <w:trPr>
          <w:trHeight w:val="324"/>
        </w:trPr>
        <w:tc>
          <w:tcPr>
            <w:tcW w:w="582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Donations</w:t>
            </w:r>
          </w:p>
        </w:tc>
        <w:tc>
          <w:tcPr>
            <w:tcW w:w="2109"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Amount</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Senior Citizen Burial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8,163,000.00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Limited Financial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5,687,665.06</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Hospitalization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4,778,293.71</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Philhealth Indigent Enrollment Payment</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4,618,232.00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Sulong Dunong Educational Assistance  </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962,000.00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Paupers Burial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635,500.00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PSA-Philippine Statistic Authority</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199,950.00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Aid to Indigent Drug Dependent of the City</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90,000.00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Fire Victims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48,000.00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Centenarian Benefits  </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30,000.00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ASF Culling and Depopulation</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16,500.00</w:t>
            </w:r>
          </w:p>
        </w:tc>
      </w:tr>
      <w:tr>
        <w:trPr>
          <w:trHeight w:val="324"/>
        </w:trPr>
        <w:tc>
          <w:tcPr>
            <w:tcW w:w="5829"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Shelter assistance</w:t>
            </w:r>
          </w:p>
        </w:tc>
        <w:tc>
          <w:tcPr>
            <w:tcW w:w="2109"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16,000.00</w:t>
            </w:r>
          </w:p>
        </w:tc>
      </w:tr>
      <w:tr>
        <w:trPr>
          <w:trHeight w:val="324"/>
        </w:trPr>
        <w:tc>
          <w:tcPr>
            <w:tcW w:w="5829"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109"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25,245,140.77</w:t>
            </w:r>
          </w:p>
        </w:tc>
      </w:tr>
    </w:tbl>
    <w:p>
      <w:pPr>
        <w:jc w:val="both"/>
        <w:rPr>
          <w:b/>
          <w:bCs/>
          <w:sz w:val="24"/>
          <w:szCs w:val="24"/>
        </w:rPr>
      </w:pPr>
    </w:p>
    <w:p>
      <w:pPr>
        <w:spacing w:line="276" w:lineRule="auto"/>
        <w:ind w:left="1418"/>
        <w:jc w:val="both"/>
        <w:rPr>
          <w:sz w:val="24"/>
          <w:szCs w:val="24"/>
        </w:rPr>
      </w:pPr>
      <w:r>
        <w:rPr>
          <w:sz w:val="24"/>
          <w:szCs w:val="24"/>
        </w:rPr>
        <w:t>The items accounted for in the Other Maintenance and Operating Expenses account were mainly the costs of various events of the LGU during the year.</w:t>
      </w:r>
    </w:p>
    <w:p>
      <w:pPr>
        <w:jc w:val="both"/>
        <w:rPr>
          <w:b/>
          <w:bCs/>
          <w:sz w:val="24"/>
          <w:szCs w:val="24"/>
        </w:rPr>
      </w:pPr>
    </w:p>
    <w:p>
      <w:pPr>
        <w:jc w:val="both"/>
        <w:rPr>
          <w:b/>
          <w:bCs/>
          <w:sz w:val="24"/>
          <w:szCs w:val="24"/>
        </w:rPr>
      </w:pPr>
      <w:r>
        <w:rPr>
          <w:b/>
          <w:bCs/>
          <w:sz w:val="24"/>
          <w:szCs w:val="24"/>
        </w:rPr>
        <w:t>Note 25 – Financial Expenses</w:t>
      </w:r>
    </w:p>
    <w:p>
      <w:pPr>
        <w:jc w:val="both"/>
        <w:rPr>
          <w:b/>
          <w:bCs/>
          <w:sz w:val="24"/>
          <w:szCs w:val="24"/>
        </w:rPr>
      </w:pPr>
    </w:p>
    <w:p>
      <w:pPr>
        <w:spacing w:line="276" w:lineRule="auto"/>
        <w:ind w:left="720"/>
        <w:jc w:val="both"/>
        <w:rPr>
          <w:b/>
          <w:bCs/>
          <w:sz w:val="24"/>
          <w:szCs w:val="24"/>
        </w:rPr>
      </w:pPr>
      <w:r>
        <w:rPr>
          <w:sz w:val="24"/>
          <w:szCs w:val="24"/>
        </w:rPr>
        <w:t>This comprised of the following group of account with the comparative figure for the year ended 2022 and 2021.</w:t>
      </w:r>
      <w:r>
        <w:rPr>
          <w:b/>
          <w:bCs/>
          <w:sz w:val="24"/>
          <w:szCs w:val="24"/>
        </w:rPr>
        <w:tab/>
      </w:r>
    </w:p>
    <w:p>
      <w:pPr>
        <w:spacing w:line="276" w:lineRule="auto"/>
        <w:ind w:left="720"/>
        <w:jc w:val="both"/>
        <w:rPr>
          <w:b/>
          <w:bCs/>
          <w:sz w:val="24"/>
          <w:szCs w:val="24"/>
        </w:rPr>
      </w:pPr>
    </w:p>
    <w:p>
      <w:pPr>
        <w:ind w:left="720"/>
        <w:jc w:val="both"/>
        <w:rPr>
          <w:b/>
          <w:bCs/>
          <w:sz w:val="24"/>
          <w:szCs w:val="24"/>
        </w:rPr>
      </w:pPr>
    </w:p>
    <w:tbl>
      <w:tblPr>
        <w:tblW w:w="8647" w:type="dxa"/>
        <w:tblInd w:w="817" w:type="dxa"/>
        <w:tblLook w:val="04A0" w:firstRow="1" w:lastRow="0" w:firstColumn="1" w:lastColumn="0" w:noHBand="0" w:noVBand="1"/>
      </w:tblPr>
      <w:tblGrid>
        <w:gridCol w:w="4188"/>
        <w:gridCol w:w="2284"/>
        <w:gridCol w:w="2175"/>
      </w:tblGrid>
      <w:tr>
        <w:trPr>
          <w:trHeight w:val="340"/>
        </w:trPr>
        <w:tc>
          <w:tcPr>
            <w:tcW w:w="418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Financial Expenses</w:t>
            </w:r>
          </w:p>
        </w:tc>
        <w:tc>
          <w:tcPr>
            <w:tcW w:w="22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7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88"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Interest Expenses </w:t>
            </w:r>
          </w:p>
        </w:tc>
        <w:tc>
          <w:tcPr>
            <w:tcW w:w="22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18,659,263.43</w:t>
            </w:r>
          </w:p>
        </w:tc>
        <w:tc>
          <w:tcPr>
            <w:tcW w:w="21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10,687,840.50</w:t>
            </w:r>
          </w:p>
        </w:tc>
      </w:tr>
      <w:tr>
        <w:trPr>
          <w:trHeight w:val="340"/>
        </w:trPr>
        <w:tc>
          <w:tcPr>
            <w:tcW w:w="4188"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Other Financial Charges </w:t>
            </w:r>
          </w:p>
        </w:tc>
        <w:tc>
          <w:tcPr>
            <w:tcW w:w="22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2,839,342.00</w:t>
            </w:r>
          </w:p>
        </w:tc>
        <w:tc>
          <w:tcPr>
            <w:tcW w:w="21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340"/>
        </w:trPr>
        <w:tc>
          <w:tcPr>
            <w:tcW w:w="4188"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84"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21,498,605.43</w:t>
            </w:r>
          </w:p>
        </w:tc>
        <w:tc>
          <w:tcPr>
            <w:tcW w:w="217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10,687,840.50</w:t>
            </w:r>
          </w:p>
        </w:tc>
      </w:tr>
    </w:tbl>
    <w:p>
      <w:pPr>
        <w:jc w:val="both"/>
        <w:rPr>
          <w:b/>
          <w:bCs/>
          <w:sz w:val="24"/>
          <w:szCs w:val="24"/>
        </w:rPr>
      </w:pPr>
    </w:p>
    <w:p>
      <w:pPr>
        <w:spacing w:line="276" w:lineRule="auto"/>
        <w:ind w:left="720"/>
        <w:jc w:val="both"/>
        <w:rPr>
          <w:sz w:val="24"/>
          <w:szCs w:val="24"/>
        </w:rPr>
      </w:pPr>
      <w:r>
        <w:rPr>
          <w:sz w:val="24"/>
          <w:szCs w:val="24"/>
        </w:rPr>
        <w:t>The interest expense accounted pertains to interest expenses of various loans and the other financial charges pertains to documentary stamp of various loans of the city government.</w:t>
      </w:r>
    </w:p>
    <w:p>
      <w:pPr>
        <w:jc w:val="both"/>
        <w:rPr>
          <w:b/>
          <w:bCs/>
          <w:sz w:val="24"/>
          <w:szCs w:val="24"/>
        </w:rPr>
      </w:pPr>
    </w:p>
    <w:p>
      <w:pPr>
        <w:jc w:val="both"/>
        <w:rPr>
          <w:b/>
          <w:bCs/>
          <w:sz w:val="24"/>
          <w:szCs w:val="24"/>
        </w:rPr>
      </w:pPr>
      <w:r>
        <w:rPr>
          <w:b/>
          <w:bCs/>
          <w:sz w:val="24"/>
          <w:szCs w:val="24"/>
        </w:rPr>
        <w:t>Note 26 – Cost of Sales</w:t>
      </w:r>
    </w:p>
    <w:p>
      <w:pPr>
        <w:jc w:val="both"/>
        <w:rPr>
          <w:b/>
          <w:bCs/>
          <w:sz w:val="24"/>
          <w:szCs w:val="24"/>
        </w:rPr>
      </w:pPr>
      <w:r>
        <w:rPr>
          <w:b/>
          <w:bCs/>
          <w:sz w:val="24"/>
          <w:szCs w:val="24"/>
        </w:rPr>
        <w:tab/>
      </w:r>
    </w:p>
    <w:p>
      <w:pPr>
        <w:ind w:left="720"/>
        <w:jc w:val="both"/>
        <w:rPr>
          <w:sz w:val="24"/>
          <w:szCs w:val="24"/>
        </w:rPr>
      </w:pPr>
      <w:r>
        <w:rPr>
          <w:sz w:val="24"/>
          <w:szCs w:val="24"/>
        </w:rPr>
        <w:t>This comprised of the below account with the comparative figure for the year ended 2022 and 2021.</w:t>
      </w:r>
    </w:p>
    <w:p>
      <w:pPr>
        <w:ind w:left="720"/>
        <w:jc w:val="both"/>
        <w:rPr>
          <w:b/>
          <w:bCs/>
          <w:sz w:val="24"/>
          <w:szCs w:val="24"/>
        </w:rPr>
      </w:pPr>
    </w:p>
    <w:tbl>
      <w:tblPr>
        <w:tblW w:w="8647" w:type="dxa"/>
        <w:tblInd w:w="817" w:type="dxa"/>
        <w:tblLook w:val="04A0" w:firstRow="1" w:lastRow="0" w:firstColumn="1" w:lastColumn="0" w:noHBand="0" w:noVBand="1"/>
      </w:tblPr>
      <w:tblGrid>
        <w:gridCol w:w="4188"/>
        <w:gridCol w:w="2284"/>
        <w:gridCol w:w="2175"/>
      </w:tblGrid>
      <w:tr>
        <w:trPr>
          <w:trHeight w:val="340"/>
        </w:trPr>
        <w:tc>
          <w:tcPr>
            <w:tcW w:w="4188"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Cost of Sales</w:t>
            </w:r>
          </w:p>
        </w:tc>
        <w:tc>
          <w:tcPr>
            <w:tcW w:w="228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75"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88"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Cost of Sales</w:t>
            </w:r>
          </w:p>
        </w:tc>
        <w:tc>
          <w:tcPr>
            <w:tcW w:w="2284"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2,881,429.33</w:t>
            </w:r>
          </w:p>
        </w:tc>
        <w:tc>
          <w:tcPr>
            <w:tcW w:w="2175"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2,157,631.59</w:t>
            </w:r>
          </w:p>
        </w:tc>
      </w:tr>
      <w:tr>
        <w:trPr>
          <w:trHeight w:val="340"/>
        </w:trPr>
        <w:tc>
          <w:tcPr>
            <w:tcW w:w="4188"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84"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2,881,429.33</w:t>
            </w:r>
          </w:p>
        </w:tc>
        <w:tc>
          <w:tcPr>
            <w:tcW w:w="2175"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2,157,631.59</w:t>
            </w:r>
          </w:p>
        </w:tc>
      </w:tr>
    </w:tbl>
    <w:p>
      <w:pPr>
        <w:jc w:val="both"/>
        <w:rPr>
          <w:b/>
          <w:bCs/>
          <w:sz w:val="24"/>
          <w:szCs w:val="24"/>
        </w:rPr>
      </w:pPr>
    </w:p>
    <w:p>
      <w:pPr>
        <w:spacing w:line="276" w:lineRule="auto"/>
        <w:ind w:left="720"/>
        <w:jc w:val="both"/>
        <w:rPr>
          <w:sz w:val="24"/>
          <w:szCs w:val="24"/>
        </w:rPr>
      </w:pPr>
      <w:r>
        <w:rPr>
          <w:sz w:val="24"/>
          <w:szCs w:val="24"/>
        </w:rPr>
        <w:t>The Cost of Sales pertains to the costs of cemetery lot sold during the year as per below details:</w:t>
      </w:r>
    </w:p>
    <w:p>
      <w:pPr>
        <w:ind w:left="720"/>
        <w:jc w:val="both"/>
        <w:rPr>
          <w:sz w:val="24"/>
          <w:szCs w:val="24"/>
        </w:rPr>
      </w:pPr>
    </w:p>
    <w:tbl>
      <w:tblPr>
        <w:tblW w:w="8647" w:type="dxa"/>
        <w:tblInd w:w="817" w:type="dxa"/>
        <w:tblLook w:val="04A0" w:firstRow="1" w:lastRow="0" w:firstColumn="1" w:lastColumn="0" w:noHBand="0" w:noVBand="1"/>
      </w:tblPr>
      <w:tblGrid>
        <w:gridCol w:w="1997"/>
        <w:gridCol w:w="2069"/>
        <w:gridCol w:w="1924"/>
        <w:gridCol w:w="2657"/>
      </w:tblGrid>
      <w:tr>
        <w:trPr>
          <w:trHeight w:val="306"/>
        </w:trPr>
        <w:tc>
          <w:tcPr>
            <w:tcW w:w="199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 xml:space="preserve">Particulars </w:t>
            </w:r>
          </w:p>
        </w:tc>
        <w:tc>
          <w:tcPr>
            <w:tcW w:w="2069" w:type="dxa"/>
            <w:tcBorders>
              <w:top w:val="nil"/>
              <w:left w:val="nil"/>
              <w:bottom w:val="single" w:sz="4" w:space="0" w:color="A6A6A6"/>
              <w:right w:val="nil"/>
            </w:tcBorders>
            <w:shd w:val="clear" w:color="auto" w:fill="auto"/>
            <w:noWrap/>
            <w:vAlign w:val="bottom"/>
            <w:hideMark/>
          </w:tcPr>
          <w:p>
            <w:pPr>
              <w:jc w:val="center"/>
              <w:rPr>
                <w:b/>
                <w:bCs/>
                <w:sz w:val="24"/>
                <w:szCs w:val="24"/>
                <w:lang w:val="en-PH" w:eastAsia="en-PH"/>
              </w:rPr>
            </w:pPr>
            <w:r>
              <w:rPr>
                <w:b/>
                <w:bCs/>
                <w:sz w:val="24"/>
                <w:szCs w:val="24"/>
                <w:lang w:val="en-PH" w:eastAsia="en-PH"/>
              </w:rPr>
              <w:t>No. of Lot Sold</w:t>
            </w:r>
          </w:p>
        </w:tc>
        <w:tc>
          <w:tcPr>
            <w:tcW w:w="1924"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 xml:space="preserve"> Unit Price </w:t>
            </w:r>
          </w:p>
        </w:tc>
        <w:tc>
          <w:tcPr>
            <w:tcW w:w="2657" w:type="dxa"/>
            <w:tcBorders>
              <w:top w:val="nil"/>
              <w:left w:val="nil"/>
              <w:bottom w:val="single" w:sz="4" w:space="0" w:color="A6A6A6"/>
              <w:right w:val="nil"/>
            </w:tcBorders>
            <w:shd w:val="clear" w:color="auto" w:fill="auto"/>
            <w:noWrap/>
            <w:vAlign w:val="bottom"/>
            <w:hideMark/>
          </w:tcPr>
          <w:p>
            <w:pPr>
              <w:jc w:val="center"/>
              <w:rPr>
                <w:b/>
                <w:bCs/>
                <w:sz w:val="24"/>
                <w:szCs w:val="24"/>
                <w:lang w:val="en-PH" w:eastAsia="en-PH"/>
              </w:rPr>
            </w:pPr>
            <w:r>
              <w:rPr>
                <w:b/>
                <w:bCs/>
                <w:sz w:val="24"/>
                <w:szCs w:val="24"/>
                <w:lang w:val="en-PH" w:eastAsia="en-PH"/>
              </w:rPr>
              <w:t>Total Cost of Sales</w:t>
            </w:r>
          </w:p>
        </w:tc>
      </w:tr>
      <w:tr>
        <w:trPr>
          <w:trHeight w:val="306"/>
        </w:trPr>
        <w:tc>
          <w:tcPr>
            <w:tcW w:w="1997" w:type="dxa"/>
            <w:tcBorders>
              <w:top w:val="nil"/>
              <w:left w:val="nil"/>
              <w:bottom w:val="nil"/>
              <w:right w:val="nil"/>
            </w:tcBorders>
            <w:shd w:val="clear" w:color="auto" w:fill="auto"/>
            <w:vAlign w:val="center"/>
            <w:hideMark/>
          </w:tcPr>
          <w:p>
            <w:pPr>
              <w:jc w:val="both"/>
              <w:rPr>
                <w:sz w:val="24"/>
                <w:szCs w:val="24"/>
                <w:lang w:val="en-PH" w:eastAsia="en-PH"/>
              </w:rPr>
            </w:pPr>
            <w:r>
              <w:rPr>
                <w:sz w:val="24"/>
                <w:szCs w:val="24"/>
                <w:lang w:val="en-PH" w:eastAsia="en-PH"/>
              </w:rPr>
              <w:t>Lawn Lots</w:t>
            </w:r>
          </w:p>
        </w:tc>
        <w:tc>
          <w:tcPr>
            <w:tcW w:w="2069" w:type="dxa"/>
            <w:tcBorders>
              <w:top w:val="nil"/>
              <w:left w:val="nil"/>
              <w:bottom w:val="nil"/>
              <w:right w:val="nil"/>
            </w:tcBorders>
            <w:shd w:val="clear" w:color="auto" w:fill="auto"/>
            <w:noWrap/>
            <w:vAlign w:val="bottom"/>
            <w:hideMark/>
          </w:tcPr>
          <w:p>
            <w:pPr>
              <w:jc w:val="center"/>
              <w:rPr>
                <w:sz w:val="24"/>
                <w:szCs w:val="24"/>
                <w:lang w:val="en-PH" w:eastAsia="en-PH"/>
              </w:rPr>
            </w:pPr>
            <w:r>
              <w:rPr>
                <w:sz w:val="24"/>
                <w:szCs w:val="24"/>
                <w:lang w:val="en-PH" w:eastAsia="en-PH"/>
              </w:rPr>
              <w:t>386</w:t>
            </w:r>
          </w:p>
        </w:tc>
        <w:tc>
          <w:tcPr>
            <w:tcW w:w="1924" w:type="dxa"/>
            <w:tcBorders>
              <w:top w:val="nil"/>
              <w:left w:val="nil"/>
              <w:bottom w:val="nil"/>
              <w:right w:val="nil"/>
            </w:tcBorders>
            <w:shd w:val="clear" w:color="auto" w:fill="auto"/>
            <w:noWrap/>
            <w:vAlign w:val="bottom"/>
            <w:hideMark/>
          </w:tcPr>
          <w:p>
            <w:pPr>
              <w:jc w:val="right"/>
              <w:rPr>
                <w:b/>
                <w:bCs/>
                <w:sz w:val="24"/>
                <w:szCs w:val="24"/>
                <w:lang w:val="en-PH" w:eastAsia="en-PH"/>
              </w:rPr>
            </w:pPr>
            <w:r>
              <w:rPr>
                <w:b/>
                <w:bCs/>
                <w:sz w:val="24"/>
                <w:szCs w:val="24"/>
                <w:lang w:val="en-PH" w:eastAsia="en-PH"/>
              </w:rPr>
              <w:t>4,677.43</w:t>
            </w:r>
          </w:p>
        </w:tc>
        <w:tc>
          <w:tcPr>
            <w:tcW w:w="265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1,805,487.98 </w:t>
            </w:r>
          </w:p>
        </w:tc>
      </w:tr>
      <w:tr>
        <w:trPr>
          <w:trHeight w:val="306"/>
        </w:trPr>
        <w:tc>
          <w:tcPr>
            <w:tcW w:w="1997" w:type="dxa"/>
            <w:tcBorders>
              <w:top w:val="nil"/>
              <w:left w:val="nil"/>
              <w:bottom w:val="single" w:sz="4" w:space="0" w:color="A6A6A6"/>
              <w:right w:val="nil"/>
            </w:tcBorders>
            <w:shd w:val="clear" w:color="auto" w:fill="auto"/>
            <w:vAlign w:val="center"/>
            <w:hideMark/>
          </w:tcPr>
          <w:p>
            <w:pPr>
              <w:jc w:val="both"/>
              <w:rPr>
                <w:sz w:val="24"/>
                <w:szCs w:val="24"/>
                <w:lang w:val="en-PH" w:eastAsia="en-PH"/>
              </w:rPr>
            </w:pPr>
            <w:r>
              <w:rPr>
                <w:sz w:val="24"/>
                <w:szCs w:val="24"/>
                <w:lang w:val="en-PH" w:eastAsia="en-PH"/>
              </w:rPr>
              <w:t>Lawn Lots</w:t>
            </w:r>
          </w:p>
        </w:tc>
        <w:tc>
          <w:tcPr>
            <w:tcW w:w="2069" w:type="dxa"/>
            <w:tcBorders>
              <w:top w:val="nil"/>
              <w:left w:val="nil"/>
              <w:bottom w:val="nil"/>
              <w:right w:val="nil"/>
            </w:tcBorders>
            <w:shd w:val="clear" w:color="auto" w:fill="auto"/>
            <w:noWrap/>
            <w:vAlign w:val="bottom"/>
            <w:hideMark/>
          </w:tcPr>
          <w:p>
            <w:pPr>
              <w:jc w:val="center"/>
              <w:rPr>
                <w:sz w:val="24"/>
                <w:szCs w:val="24"/>
                <w:lang w:val="en-PH" w:eastAsia="en-PH"/>
              </w:rPr>
            </w:pPr>
            <w:r>
              <w:rPr>
                <w:sz w:val="24"/>
                <w:szCs w:val="24"/>
                <w:lang w:val="en-PH" w:eastAsia="en-PH"/>
              </w:rPr>
              <w:t>303</w:t>
            </w:r>
          </w:p>
        </w:tc>
        <w:tc>
          <w:tcPr>
            <w:tcW w:w="1924" w:type="dxa"/>
            <w:tcBorders>
              <w:top w:val="nil"/>
              <w:left w:val="nil"/>
              <w:bottom w:val="nil"/>
              <w:right w:val="nil"/>
            </w:tcBorders>
            <w:shd w:val="clear" w:color="auto" w:fill="auto"/>
            <w:noWrap/>
            <w:vAlign w:val="bottom"/>
            <w:hideMark/>
          </w:tcPr>
          <w:p>
            <w:pPr>
              <w:jc w:val="right"/>
              <w:rPr>
                <w:b/>
                <w:bCs/>
                <w:sz w:val="24"/>
                <w:szCs w:val="24"/>
                <w:lang w:val="en-PH" w:eastAsia="en-PH"/>
              </w:rPr>
            </w:pPr>
            <w:r>
              <w:rPr>
                <w:b/>
                <w:bCs/>
                <w:sz w:val="24"/>
                <w:szCs w:val="24"/>
                <w:lang w:val="en-PH" w:eastAsia="en-PH"/>
              </w:rPr>
              <w:t>3,550.97</w:t>
            </w:r>
          </w:p>
        </w:tc>
        <w:tc>
          <w:tcPr>
            <w:tcW w:w="2657"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 xml:space="preserve">           1,075,943.91 </w:t>
            </w:r>
          </w:p>
        </w:tc>
      </w:tr>
      <w:tr>
        <w:trPr>
          <w:trHeight w:val="321"/>
        </w:trPr>
        <w:tc>
          <w:tcPr>
            <w:tcW w:w="1997" w:type="dxa"/>
            <w:tcBorders>
              <w:top w:val="nil"/>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 xml:space="preserve"> Total </w:t>
            </w:r>
          </w:p>
        </w:tc>
        <w:tc>
          <w:tcPr>
            <w:tcW w:w="2069" w:type="dxa"/>
            <w:tcBorders>
              <w:top w:val="single" w:sz="4" w:space="0" w:color="A6A6A6"/>
              <w:left w:val="nil"/>
              <w:bottom w:val="double" w:sz="6" w:space="0" w:color="A6A6A6"/>
              <w:right w:val="nil"/>
            </w:tcBorders>
            <w:shd w:val="clear" w:color="auto" w:fill="auto"/>
            <w:noWrap/>
            <w:vAlign w:val="center"/>
            <w:hideMark/>
          </w:tcPr>
          <w:p>
            <w:pPr>
              <w:ind w:firstLineChars="200" w:firstLine="482"/>
              <w:rPr>
                <w:b/>
                <w:bCs/>
                <w:sz w:val="24"/>
                <w:szCs w:val="24"/>
                <w:lang w:val="en-PH" w:eastAsia="en-PH"/>
              </w:rPr>
            </w:pPr>
            <w:r>
              <w:rPr>
                <w:b/>
                <w:bCs/>
                <w:sz w:val="24"/>
                <w:szCs w:val="24"/>
                <w:lang w:val="en-PH" w:eastAsia="en-PH"/>
              </w:rPr>
              <w:t> </w:t>
            </w:r>
          </w:p>
        </w:tc>
        <w:tc>
          <w:tcPr>
            <w:tcW w:w="1924"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 </w:t>
            </w:r>
          </w:p>
        </w:tc>
        <w:tc>
          <w:tcPr>
            <w:tcW w:w="2657"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 xml:space="preserve">    2,881,431.89 </w:t>
            </w:r>
          </w:p>
        </w:tc>
      </w:tr>
    </w:tbl>
    <w:p>
      <w:pPr>
        <w:ind w:left="720"/>
        <w:jc w:val="both"/>
        <w:rPr>
          <w:sz w:val="24"/>
          <w:szCs w:val="24"/>
        </w:rPr>
      </w:pPr>
    </w:p>
    <w:p>
      <w:pPr>
        <w:spacing w:line="276" w:lineRule="auto"/>
        <w:ind w:left="720"/>
        <w:jc w:val="both"/>
        <w:rPr>
          <w:sz w:val="24"/>
          <w:szCs w:val="24"/>
        </w:rPr>
      </w:pPr>
      <w:r>
        <w:rPr>
          <w:sz w:val="24"/>
          <w:szCs w:val="24"/>
        </w:rPr>
        <w:t>The variance amounting to Php 2.56 is due to rounding off the figure during the manual entries period covered January to July 2022.</w:t>
      </w:r>
    </w:p>
    <w:p>
      <w:pPr>
        <w:jc w:val="both"/>
        <w:rPr>
          <w:sz w:val="24"/>
          <w:szCs w:val="24"/>
        </w:rPr>
      </w:pPr>
    </w:p>
    <w:p>
      <w:pPr>
        <w:jc w:val="both"/>
        <w:rPr>
          <w:b/>
          <w:bCs/>
          <w:sz w:val="24"/>
          <w:szCs w:val="24"/>
        </w:rPr>
      </w:pPr>
      <w:r>
        <w:rPr>
          <w:b/>
          <w:bCs/>
          <w:sz w:val="24"/>
          <w:szCs w:val="24"/>
        </w:rPr>
        <w:t>Note 27 – Non-Cash Expenses</w:t>
      </w:r>
    </w:p>
    <w:p>
      <w:pPr>
        <w:jc w:val="both"/>
        <w:rPr>
          <w:b/>
          <w:bCs/>
          <w:sz w:val="24"/>
          <w:szCs w:val="24"/>
        </w:rPr>
      </w:pPr>
    </w:p>
    <w:p>
      <w:pPr>
        <w:spacing w:line="276" w:lineRule="auto"/>
        <w:ind w:left="720"/>
        <w:jc w:val="both"/>
        <w:rPr>
          <w:sz w:val="24"/>
          <w:szCs w:val="24"/>
        </w:rPr>
      </w:pPr>
      <w:r>
        <w:rPr>
          <w:sz w:val="24"/>
          <w:szCs w:val="24"/>
        </w:rPr>
        <w:t>These major accounts comprised the following of the following group of accounts with the comparative figures for the year ended 2022 and 2021</w:t>
      </w:r>
    </w:p>
    <w:p>
      <w:pPr>
        <w:jc w:val="both"/>
        <w:rPr>
          <w:b/>
          <w:bCs/>
          <w:sz w:val="24"/>
          <w:szCs w:val="24"/>
        </w:rPr>
      </w:pPr>
    </w:p>
    <w:tbl>
      <w:tblPr>
        <w:tblW w:w="8647" w:type="dxa"/>
        <w:tblInd w:w="817" w:type="dxa"/>
        <w:tblLook w:val="04A0" w:firstRow="1" w:lastRow="0" w:firstColumn="1" w:lastColumn="0" w:noHBand="0" w:noVBand="1"/>
      </w:tblPr>
      <w:tblGrid>
        <w:gridCol w:w="4120"/>
        <w:gridCol w:w="2401"/>
        <w:gridCol w:w="2126"/>
      </w:tblGrid>
      <w:tr>
        <w:trPr>
          <w:trHeight w:val="340"/>
          <w:tblHeader/>
        </w:trPr>
        <w:tc>
          <w:tcPr>
            <w:tcW w:w="4120"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Non-Cash Expenses</w:t>
            </w:r>
          </w:p>
        </w:tc>
        <w:tc>
          <w:tcPr>
            <w:tcW w:w="2401"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126"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20" w:type="dxa"/>
            <w:tcBorders>
              <w:top w:val="nil"/>
              <w:left w:val="nil"/>
              <w:bottom w:val="nil"/>
              <w:right w:val="nil"/>
            </w:tcBorders>
            <w:shd w:val="clear" w:color="auto" w:fill="auto"/>
            <w:vAlign w:val="center"/>
            <w:hideMark/>
          </w:tcPr>
          <w:p>
            <w:pPr>
              <w:rPr>
                <w:b/>
                <w:bCs/>
                <w:sz w:val="24"/>
                <w:szCs w:val="24"/>
                <w:lang w:val="en-PH" w:eastAsia="en-PH"/>
              </w:rPr>
            </w:pPr>
            <w:r>
              <w:rPr>
                <w:b/>
                <w:bCs/>
                <w:sz w:val="24"/>
                <w:szCs w:val="24"/>
                <w:lang w:val="en-PH" w:eastAsia="en-PH"/>
              </w:rPr>
              <w:t>Depreciation</w:t>
            </w:r>
          </w:p>
        </w:tc>
        <w:tc>
          <w:tcPr>
            <w:tcW w:w="2401" w:type="dxa"/>
            <w:tcBorders>
              <w:top w:val="nil"/>
              <w:left w:val="nil"/>
              <w:bottom w:val="nil"/>
              <w:right w:val="nil"/>
            </w:tcBorders>
            <w:shd w:val="clear" w:color="auto" w:fill="auto"/>
            <w:vAlign w:val="center"/>
            <w:hideMark/>
          </w:tcPr>
          <w:p>
            <w:pPr>
              <w:jc w:val="right"/>
              <w:rPr>
                <w:b/>
                <w:bCs/>
                <w:sz w:val="24"/>
                <w:szCs w:val="24"/>
                <w:lang w:val="en-PH" w:eastAsia="en-PH"/>
              </w:rPr>
            </w:pPr>
            <w:r>
              <w:rPr>
                <w:b/>
                <w:bCs/>
                <w:sz w:val="24"/>
                <w:szCs w:val="24"/>
                <w:lang w:val="en-PH" w:eastAsia="en-PH"/>
              </w:rPr>
              <w:t>123,892,784.56</w:t>
            </w:r>
          </w:p>
        </w:tc>
        <w:tc>
          <w:tcPr>
            <w:tcW w:w="2126" w:type="dxa"/>
            <w:tcBorders>
              <w:top w:val="nil"/>
              <w:left w:val="nil"/>
              <w:bottom w:val="nil"/>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120,428,525.97</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Investment Property</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938,177.76</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Land Improvements</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2,329,271.90</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1,639,612.12</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Infrastructure Assets</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42,763,124.78</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19,557,488.35</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Buildings and Other Structures</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24,736,850.75</w:t>
            </w:r>
          </w:p>
        </w:tc>
        <w:tc>
          <w:tcPr>
            <w:tcW w:w="2126"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eastAsia="en-PH"/>
              </w:rPr>
              <w:t>49,934,349.98</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 xml:space="preserve">Depreciation - Machinery  and Equipment </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33,815,524.31</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28,372,243.01</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Transportation Equipment</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9,546,752.64</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11,620,391.01</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lastRenderedPageBreak/>
              <w:t xml:space="preserve">Depreciation - Furniture, Fixtures and Books  </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1,001,444.62</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1,095,582.48</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Depreciation - Other Property, Plant and Equipment</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8,761,637.80</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eastAsia="en-PH"/>
              </w:rPr>
              <w:t>8,208,859.02</w:t>
            </w:r>
          </w:p>
        </w:tc>
      </w:tr>
      <w:tr>
        <w:trPr>
          <w:trHeight w:val="340"/>
        </w:trPr>
        <w:tc>
          <w:tcPr>
            <w:tcW w:w="4120" w:type="dxa"/>
            <w:tcBorders>
              <w:top w:val="nil"/>
              <w:left w:val="nil"/>
              <w:bottom w:val="nil"/>
              <w:right w:val="nil"/>
            </w:tcBorders>
            <w:shd w:val="clear" w:color="auto" w:fill="auto"/>
            <w:vAlign w:val="center"/>
            <w:hideMark/>
          </w:tcPr>
          <w:p>
            <w:pPr>
              <w:jc w:val="right"/>
              <w:rPr>
                <w:sz w:val="24"/>
                <w:szCs w:val="24"/>
                <w:lang w:val="en-PH" w:eastAsia="en-PH"/>
              </w:rPr>
            </w:pP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p>
        </w:tc>
      </w:tr>
      <w:tr>
        <w:trPr>
          <w:trHeight w:val="340"/>
        </w:trPr>
        <w:tc>
          <w:tcPr>
            <w:tcW w:w="4120" w:type="dxa"/>
            <w:tcBorders>
              <w:top w:val="nil"/>
              <w:left w:val="nil"/>
              <w:bottom w:val="single" w:sz="4" w:space="0" w:color="A6A6A6"/>
              <w:right w:val="nil"/>
            </w:tcBorders>
            <w:shd w:val="clear" w:color="auto" w:fill="auto"/>
            <w:vAlign w:val="center"/>
            <w:hideMark/>
          </w:tcPr>
          <w:p>
            <w:pPr>
              <w:rPr>
                <w:b/>
                <w:bCs/>
                <w:sz w:val="24"/>
                <w:szCs w:val="24"/>
                <w:lang w:val="en-PH" w:eastAsia="en-PH"/>
              </w:rPr>
            </w:pPr>
            <w:r>
              <w:rPr>
                <w:b/>
                <w:bCs/>
                <w:sz w:val="24"/>
                <w:szCs w:val="24"/>
                <w:lang w:val="en-PH" w:eastAsia="en-PH"/>
              </w:rPr>
              <w:t>Amortization</w:t>
            </w:r>
          </w:p>
        </w:tc>
        <w:tc>
          <w:tcPr>
            <w:tcW w:w="2401" w:type="dxa"/>
            <w:tcBorders>
              <w:top w:val="nil"/>
              <w:left w:val="nil"/>
              <w:bottom w:val="single" w:sz="4"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30,316.67</w:t>
            </w:r>
          </w:p>
        </w:tc>
        <w:tc>
          <w:tcPr>
            <w:tcW w:w="2126" w:type="dxa"/>
            <w:tcBorders>
              <w:top w:val="nil"/>
              <w:left w:val="nil"/>
              <w:bottom w:val="single" w:sz="4"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348,952.42</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Amortization - Intangible Assets</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30,316.67</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348,952.42</w:t>
            </w:r>
          </w:p>
        </w:tc>
      </w:tr>
      <w:tr>
        <w:trPr>
          <w:trHeight w:val="340"/>
        </w:trPr>
        <w:tc>
          <w:tcPr>
            <w:tcW w:w="4120" w:type="dxa"/>
            <w:tcBorders>
              <w:top w:val="nil"/>
              <w:left w:val="nil"/>
              <w:bottom w:val="nil"/>
              <w:right w:val="nil"/>
            </w:tcBorders>
            <w:shd w:val="clear" w:color="auto" w:fill="auto"/>
            <w:vAlign w:val="center"/>
            <w:hideMark/>
          </w:tcPr>
          <w:p>
            <w:pPr>
              <w:jc w:val="right"/>
              <w:rPr>
                <w:sz w:val="24"/>
                <w:szCs w:val="24"/>
                <w:lang w:val="en-PH" w:eastAsia="en-PH"/>
              </w:rPr>
            </w:pP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p>
        </w:tc>
      </w:tr>
      <w:tr>
        <w:trPr>
          <w:trHeight w:val="340"/>
        </w:trPr>
        <w:tc>
          <w:tcPr>
            <w:tcW w:w="4120" w:type="dxa"/>
            <w:tcBorders>
              <w:top w:val="nil"/>
              <w:left w:val="nil"/>
              <w:bottom w:val="single" w:sz="4" w:space="0" w:color="A6A6A6"/>
              <w:right w:val="nil"/>
            </w:tcBorders>
            <w:shd w:val="clear" w:color="auto" w:fill="auto"/>
            <w:vAlign w:val="center"/>
            <w:hideMark/>
          </w:tcPr>
          <w:p>
            <w:pPr>
              <w:rPr>
                <w:b/>
                <w:bCs/>
                <w:sz w:val="24"/>
                <w:szCs w:val="24"/>
                <w:lang w:val="en-PH" w:eastAsia="en-PH"/>
              </w:rPr>
            </w:pPr>
            <w:r>
              <w:rPr>
                <w:b/>
                <w:bCs/>
                <w:sz w:val="24"/>
                <w:szCs w:val="24"/>
                <w:lang w:val="en-PH" w:eastAsia="en-PH"/>
              </w:rPr>
              <w:t>Losses</w:t>
            </w:r>
          </w:p>
        </w:tc>
        <w:tc>
          <w:tcPr>
            <w:tcW w:w="2401" w:type="dxa"/>
            <w:tcBorders>
              <w:top w:val="nil"/>
              <w:left w:val="nil"/>
              <w:bottom w:val="single" w:sz="4"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2,647.87</w:t>
            </w:r>
          </w:p>
        </w:tc>
        <w:tc>
          <w:tcPr>
            <w:tcW w:w="2126" w:type="dxa"/>
            <w:tcBorders>
              <w:top w:val="nil"/>
              <w:left w:val="nil"/>
              <w:bottom w:val="single" w:sz="4" w:space="0" w:color="A6A6A6"/>
              <w:right w:val="nil"/>
            </w:tcBorders>
            <w:shd w:val="clear" w:color="auto" w:fill="auto"/>
            <w:vAlign w:val="center"/>
            <w:hideMark/>
          </w:tcPr>
          <w:p>
            <w:pPr>
              <w:jc w:val="right"/>
              <w:rPr>
                <w:b/>
                <w:bCs/>
                <w:sz w:val="24"/>
                <w:szCs w:val="24"/>
                <w:lang w:val="en-PH" w:eastAsia="en-PH"/>
              </w:rPr>
            </w:pPr>
            <w:r>
              <w:rPr>
                <w:b/>
                <w:bCs/>
                <w:sz w:val="24"/>
                <w:szCs w:val="24"/>
                <w:lang w:val="en-PH" w:eastAsia="en-PH"/>
              </w:rPr>
              <w:t>0.00</w:t>
            </w:r>
          </w:p>
        </w:tc>
      </w:tr>
      <w:tr>
        <w:trPr>
          <w:trHeight w:val="340"/>
        </w:trPr>
        <w:tc>
          <w:tcPr>
            <w:tcW w:w="4120"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Loss on Sale of Property, Plant, and Equipment</w:t>
            </w:r>
          </w:p>
        </w:tc>
        <w:tc>
          <w:tcPr>
            <w:tcW w:w="2401"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2,647.87</w:t>
            </w:r>
          </w:p>
        </w:tc>
        <w:tc>
          <w:tcPr>
            <w:tcW w:w="2126" w:type="dxa"/>
            <w:tcBorders>
              <w:top w:val="nil"/>
              <w:left w:val="nil"/>
              <w:bottom w:val="nil"/>
              <w:right w:val="nil"/>
            </w:tcBorders>
            <w:shd w:val="clear" w:color="auto" w:fill="auto"/>
            <w:noWrap/>
            <w:vAlign w:val="center"/>
            <w:hideMark/>
          </w:tcPr>
          <w:p>
            <w:pPr>
              <w:jc w:val="right"/>
              <w:rPr>
                <w:sz w:val="24"/>
                <w:szCs w:val="24"/>
                <w:lang w:val="en-PH" w:eastAsia="en-PH"/>
              </w:rPr>
            </w:pPr>
            <w:r>
              <w:rPr>
                <w:sz w:val="24"/>
                <w:szCs w:val="24"/>
                <w:lang w:val="en-PH" w:eastAsia="en-PH"/>
              </w:rPr>
              <w:t>0.00</w:t>
            </w:r>
          </w:p>
        </w:tc>
      </w:tr>
      <w:tr>
        <w:trPr>
          <w:trHeight w:val="340"/>
        </w:trPr>
        <w:tc>
          <w:tcPr>
            <w:tcW w:w="4120"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401" w:type="dxa"/>
            <w:tcBorders>
              <w:top w:val="single" w:sz="4" w:space="0" w:color="A6A6A6"/>
              <w:left w:val="nil"/>
              <w:bottom w:val="double" w:sz="6" w:space="0" w:color="A6A6A6"/>
              <w:right w:val="nil"/>
            </w:tcBorders>
            <w:shd w:val="clear" w:color="auto" w:fill="auto"/>
            <w:noWrap/>
            <w:vAlign w:val="center"/>
            <w:hideMark/>
          </w:tcPr>
          <w:p>
            <w:pPr>
              <w:ind w:firstLineChars="200" w:firstLine="482"/>
              <w:jc w:val="right"/>
              <w:rPr>
                <w:b/>
                <w:bCs/>
                <w:sz w:val="24"/>
                <w:szCs w:val="24"/>
                <w:lang w:val="en-PH" w:eastAsia="en-PH"/>
              </w:rPr>
            </w:pPr>
            <w:r>
              <w:rPr>
                <w:b/>
                <w:bCs/>
                <w:sz w:val="24"/>
                <w:szCs w:val="24"/>
                <w:lang w:val="en-PH" w:eastAsia="en-PH"/>
              </w:rPr>
              <w:t>123,925,749.10</w:t>
            </w:r>
          </w:p>
        </w:tc>
        <w:tc>
          <w:tcPr>
            <w:tcW w:w="2126"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120,777,478.39</w:t>
            </w:r>
          </w:p>
        </w:tc>
      </w:tr>
    </w:tbl>
    <w:p>
      <w:pPr>
        <w:jc w:val="both"/>
        <w:rPr>
          <w:b/>
          <w:bCs/>
          <w:sz w:val="24"/>
          <w:szCs w:val="24"/>
        </w:rPr>
      </w:pPr>
    </w:p>
    <w:p>
      <w:pPr>
        <w:spacing w:line="276" w:lineRule="auto"/>
        <w:ind w:left="720"/>
        <w:jc w:val="both"/>
        <w:rPr>
          <w:sz w:val="24"/>
          <w:szCs w:val="24"/>
        </w:rPr>
      </w:pPr>
      <w:r>
        <w:rPr>
          <w:sz w:val="24"/>
          <w:szCs w:val="24"/>
        </w:rPr>
        <w:t>The depreciation during the year was recognized and computed manually for the period covered from January to July 2022. However, upon the effectivity of the use of the upgraded version of eNGAS, the depreciation entry was automatically generated thru the system for the period covered from August to December 2022.</w:t>
      </w:r>
    </w:p>
    <w:p>
      <w:pPr>
        <w:jc w:val="both"/>
        <w:rPr>
          <w:b/>
          <w:bCs/>
          <w:sz w:val="24"/>
          <w:szCs w:val="24"/>
        </w:rPr>
      </w:pPr>
    </w:p>
    <w:p>
      <w:pPr>
        <w:jc w:val="both"/>
        <w:rPr>
          <w:b/>
          <w:bCs/>
          <w:sz w:val="24"/>
          <w:szCs w:val="24"/>
        </w:rPr>
      </w:pPr>
      <w:r>
        <w:rPr>
          <w:b/>
          <w:bCs/>
          <w:sz w:val="24"/>
          <w:szCs w:val="24"/>
        </w:rPr>
        <w:t>Note 28 – Prior Period Adjustments</w:t>
      </w:r>
    </w:p>
    <w:p>
      <w:pPr>
        <w:jc w:val="both"/>
        <w:rPr>
          <w:b/>
          <w:bCs/>
          <w:sz w:val="24"/>
          <w:szCs w:val="24"/>
        </w:rPr>
      </w:pPr>
      <w:r>
        <w:rPr>
          <w:b/>
          <w:bCs/>
          <w:sz w:val="24"/>
          <w:szCs w:val="24"/>
        </w:rPr>
        <w:tab/>
      </w:r>
    </w:p>
    <w:p>
      <w:pPr>
        <w:spacing w:line="276" w:lineRule="auto"/>
        <w:ind w:left="720"/>
        <w:jc w:val="both"/>
        <w:rPr>
          <w:sz w:val="24"/>
          <w:szCs w:val="24"/>
        </w:rPr>
      </w:pPr>
      <w:r>
        <w:rPr>
          <w:sz w:val="24"/>
          <w:szCs w:val="24"/>
        </w:rPr>
        <w:t>The prior period adjustment is used to record adjustments due to errors and due to changes in accounting policies. Below are the various type of expenses and income related to the prior year/s duly adjusted and recognized during the year 2022.</w:t>
      </w:r>
    </w:p>
    <w:p>
      <w:pPr>
        <w:jc w:val="both"/>
        <w:rPr>
          <w:b/>
          <w:bCs/>
          <w:sz w:val="24"/>
          <w:szCs w:val="24"/>
        </w:rPr>
      </w:pPr>
    </w:p>
    <w:tbl>
      <w:tblPr>
        <w:tblW w:w="873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5"/>
        <w:gridCol w:w="2217"/>
      </w:tblGrid>
      <w:tr>
        <w:trPr>
          <w:trHeight w:val="271"/>
          <w:tblHeader/>
        </w:trPr>
        <w:tc>
          <w:tcPr>
            <w:tcW w:w="6515" w:type="dxa"/>
            <w:shd w:val="clear" w:color="auto" w:fill="auto"/>
            <w:vAlign w:val="center"/>
            <w:hideMark/>
          </w:tcPr>
          <w:p>
            <w:pPr>
              <w:rPr>
                <w:b/>
                <w:bCs/>
                <w:sz w:val="24"/>
                <w:szCs w:val="24"/>
                <w:lang w:val="en-PH" w:eastAsia="en-PH"/>
              </w:rPr>
            </w:pPr>
            <w:r>
              <w:rPr>
                <w:b/>
                <w:bCs/>
                <w:sz w:val="24"/>
                <w:szCs w:val="24"/>
                <w:lang w:val="en-PH" w:eastAsia="en-PH"/>
              </w:rPr>
              <w:t xml:space="preserve">Total Prior Year Expenses Adjustment &amp; Recognition </w:t>
            </w:r>
          </w:p>
        </w:tc>
        <w:tc>
          <w:tcPr>
            <w:tcW w:w="2217" w:type="dxa"/>
            <w:shd w:val="clear" w:color="auto" w:fill="auto"/>
            <w:noWrap/>
            <w:vAlign w:val="center"/>
            <w:hideMark/>
          </w:tcPr>
          <w:p>
            <w:pPr>
              <w:jc w:val="right"/>
              <w:rPr>
                <w:b/>
                <w:bCs/>
                <w:sz w:val="24"/>
                <w:szCs w:val="24"/>
                <w:lang w:val="en-PH" w:eastAsia="en-PH"/>
              </w:rPr>
            </w:pPr>
            <w:r>
              <w:rPr>
                <w:b/>
                <w:bCs/>
                <w:sz w:val="24"/>
                <w:szCs w:val="24"/>
                <w:lang w:val="en-PH" w:eastAsia="en-PH"/>
              </w:rPr>
              <w:t>137,705,704.13</w:t>
            </w:r>
          </w:p>
        </w:tc>
      </w:tr>
      <w:tr>
        <w:trPr>
          <w:trHeight w:val="271"/>
        </w:trPr>
        <w:tc>
          <w:tcPr>
            <w:tcW w:w="6515" w:type="dxa"/>
            <w:shd w:val="clear" w:color="auto" w:fill="auto"/>
            <w:vAlign w:val="center"/>
            <w:hideMark/>
          </w:tcPr>
          <w:p>
            <w:pPr>
              <w:ind w:firstLineChars="100" w:firstLine="240"/>
              <w:rPr>
                <w:sz w:val="24"/>
                <w:szCs w:val="24"/>
                <w:lang w:val="en-PH" w:eastAsia="en-PH"/>
              </w:rPr>
            </w:pPr>
            <w:r>
              <w:rPr>
                <w:sz w:val="24"/>
                <w:szCs w:val="24"/>
                <w:lang w:val="en-PH" w:eastAsia="en-PH"/>
              </w:rPr>
              <w:t>Accountable Forms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(2,060,547.22)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Advertising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54,720.00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Agricultural Supplies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(251,908.40)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 xml:space="preserve">Agricultural &amp; Marine Supplies Expenses  </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311,969.25</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Animal &amp; Zoological Supplies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374,846.50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Auditing Services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16,015.00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Books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9,995.00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Brigada Eskwela</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1,442,269.88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Construction Materials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16,588,253.00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Cost of Sales/Cost of Goods Sold</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2,157,630.08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 IT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(2,051,181.48)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Depreciation-Buildings and Other Structures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(2,152,638.93)</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Depreciation-Communication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(342,177.10)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Depreciation-Furniture, Fixtures and Books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(7,972,361.19)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Depreciation-Land Improvement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(483.60)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Depreciation-Machinery &amp;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(44,352,431.62)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Depreciation-Military, Police and Security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(204,686.22)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Depreciation-Other Property Plant and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(403,426.66)</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Depreciation-Transportation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(275,840.52)</w:t>
            </w:r>
          </w:p>
        </w:tc>
      </w:tr>
      <w:tr>
        <w:trPr>
          <w:trHeight w:val="271"/>
        </w:trPr>
        <w:tc>
          <w:tcPr>
            <w:tcW w:w="6515" w:type="dxa"/>
            <w:shd w:val="clear" w:color="auto" w:fill="auto"/>
            <w:noWrap/>
            <w:vAlign w:val="bottom"/>
          </w:tcPr>
          <w:p>
            <w:pPr>
              <w:ind w:firstLineChars="100" w:firstLine="240"/>
              <w:rPr>
                <w:sz w:val="24"/>
                <w:szCs w:val="24"/>
                <w:lang w:val="en-PH" w:eastAsia="en-PH"/>
              </w:rPr>
            </w:pPr>
            <w:r>
              <w:rPr>
                <w:sz w:val="24"/>
                <w:szCs w:val="24"/>
                <w:lang w:val="en-PH" w:eastAsia="en-PH"/>
              </w:rPr>
              <w:t>Depreciation of Infrastructure Assets</w:t>
            </w:r>
          </w:p>
        </w:tc>
        <w:tc>
          <w:tcPr>
            <w:tcW w:w="2217" w:type="dxa"/>
            <w:shd w:val="clear" w:color="auto" w:fill="auto"/>
            <w:noWrap/>
            <w:vAlign w:val="bottom"/>
          </w:tcPr>
          <w:p>
            <w:pPr>
              <w:jc w:val="right"/>
              <w:rPr>
                <w:sz w:val="24"/>
                <w:szCs w:val="24"/>
                <w:lang w:val="en-PH" w:eastAsia="en-PH"/>
              </w:rPr>
            </w:pPr>
            <w:r>
              <w:rPr>
                <w:sz w:val="24"/>
                <w:szCs w:val="24"/>
                <w:lang w:val="en-PH" w:eastAsia="en-PH"/>
              </w:rPr>
              <w:t>1,348,848.63</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Donation</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7,609.93</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lastRenderedPageBreak/>
              <w:t>Drainage Maintenance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1,738,881.68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Drugs &amp; Medicine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4,076,564.90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Electricity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1,904,658.52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Financial Charges (Doc Stamps)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71,736.00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Food Supplies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2,687,908.93</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Fuel, oil and lubricant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10,078,775.31</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Furniture and Fixtures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239,447.00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Hazard/Subsistence Pay</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108,146.58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Honorarium</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330,506.24</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ICT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1,052,610.02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Insurance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(12,926.29)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Intelligence/Confidential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7,110,000.00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Interest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3,386,894.47</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Internet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89,893.35</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Job Order-Extension of Services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99,883.42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Livestock Inventory &amp; Breeding Stocks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119,850.00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Meals &amp; Snacks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40,000.00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Medical, Dental &amp; Laboratory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1,959,390.40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Motor Vehicles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295,840.00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Office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531,494.00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Office Supplies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3,250,275.86</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Adjustments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134,312.10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Assets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910,488.35</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Bonuses and Allowances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931,674.57</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General Services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30,741.91</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Machinery and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491,240.00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Prior Year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(1,556,827.64)</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Professional Services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(451,131.04)</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Property, Plant and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693,236.00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 Supplies and Materials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32,999,256.49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Overtime and Night Pay</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563,629.97</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Pag-Ibig Contributions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100.00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Personnel Benefit Cont. (ECC Cont,PHIC Cont, Pag-Ibig Cont)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3,987.48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Personnel Economic Relief Allowance (PERA)</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5,636.36</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Printing and Publication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247,480.00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Rent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1,496.00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Repair &amp; Maintenance - Land Improvements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1,533,862.40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Repair &amp; Maintenance-Machinery &amp;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358,723.00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Repair &amp; Maintenance-Transportation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1,224,242.00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Repair and Maintenance - Other Infrastructure Assets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29,567,139.69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Repairs and Maintenance-Buildings and Other Structures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5,305,288.09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Representation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98,881.10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Salaried and Wages-Casual/Contractual</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21,434.44</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Salaries and Wages- Regular</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315,893.00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Semi-Expendable Property</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63,381,779.92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Subsidy to Other Funds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(414,081.54)</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Subsidy to Other LGUs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(3,225,380.17)</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lastRenderedPageBreak/>
              <w:t>Survey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486,170.00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Taxes, Duties and Licenses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79,090.99</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Technical and Scientific Equipment</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341,344.00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Telephone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40,767.77</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Terminal Leave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(38,446.21)</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Training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760,635.00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Travelling Expense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656,325.00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Water Expenses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802,410.38</w:t>
            </w:r>
          </w:p>
        </w:tc>
      </w:tr>
      <w:tr>
        <w:trPr>
          <w:trHeight w:val="271"/>
        </w:trPr>
        <w:tc>
          <w:tcPr>
            <w:tcW w:w="6515" w:type="dxa"/>
            <w:shd w:val="clear" w:color="auto" w:fill="auto"/>
            <w:vAlign w:val="center"/>
            <w:hideMark/>
          </w:tcPr>
          <w:p>
            <w:pPr>
              <w:rPr>
                <w:b/>
                <w:bCs/>
                <w:sz w:val="24"/>
                <w:szCs w:val="24"/>
                <w:lang w:val="en-PH" w:eastAsia="en-PH"/>
              </w:rPr>
            </w:pPr>
            <w:r>
              <w:rPr>
                <w:b/>
                <w:bCs/>
                <w:sz w:val="24"/>
                <w:szCs w:val="24"/>
                <w:lang w:val="en-PH" w:eastAsia="en-PH"/>
              </w:rPr>
              <w:t>Total Prior Year Income Adjustment &amp; Recognition</w:t>
            </w:r>
          </w:p>
        </w:tc>
        <w:tc>
          <w:tcPr>
            <w:tcW w:w="2217" w:type="dxa"/>
            <w:shd w:val="clear" w:color="auto" w:fill="auto"/>
            <w:noWrap/>
            <w:vAlign w:val="center"/>
            <w:hideMark/>
          </w:tcPr>
          <w:p>
            <w:pPr>
              <w:jc w:val="right"/>
              <w:rPr>
                <w:b/>
                <w:bCs/>
                <w:sz w:val="24"/>
                <w:szCs w:val="24"/>
                <w:lang w:val="en-PH" w:eastAsia="en-PH"/>
              </w:rPr>
            </w:pPr>
            <w:r>
              <w:rPr>
                <w:b/>
                <w:bCs/>
                <w:sz w:val="24"/>
                <w:szCs w:val="24"/>
                <w:lang w:val="en-PH" w:eastAsia="en-PH"/>
              </w:rPr>
              <w:t>(9,764,160.55)</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Equipment Rental</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203,745.22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Income from Grants and Donation</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(9,080,581.98)</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Interest Income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(172,952.56)</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Liquidated Damages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(98,345.72)</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Others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(0.60)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Permit Fees</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(257,007.00)</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 xml:space="preserve">Sales from BESP Mabunao Water System  </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(211,017.91)</w:t>
            </w:r>
          </w:p>
        </w:tc>
      </w:tr>
      <w:tr>
        <w:trPr>
          <w:trHeight w:val="271"/>
        </w:trPr>
        <w:tc>
          <w:tcPr>
            <w:tcW w:w="6515" w:type="dxa"/>
            <w:shd w:val="clear" w:color="auto" w:fill="auto"/>
            <w:noWrap/>
            <w:vAlign w:val="bottom"/>
            <w:hideMark/>
          </w:tcPr>
          <w:p>
            <w:pPr>
              <w:ind w:firstLineChars="100" w:firstLine="240"/>
              <w:rPr>
                <w:sz w:val="24"/>
                <w:szCs w:val="24"/>
                <w:lang w:val="en-PH" w:eastAsia="en-PH"/>
              </w:rPr>
            </w:pPr>
            <w:r>
              <w:rPr>
                <w:sz w:val="24"/>
                <w:szCs w:val="24"/>
                <w:lang w:val="en-PH" w:eastAsia="en-PH"/>
              </w:rPr>
              <w:t>Sales Revenue</w:t>
            </w:r>
          </w:p>
        </w:tc>
        <w:tc>
          <w:tcPr>
            <w:tcW w:w="2217" w:type="dxa"/>
            <w:shd w:val="clear" w:color="auto" w:fill="auto"/>
            <w:noWrap/>
            <w:vAlign w:val="bottom"/>
            <w:hideMark/>
          </w:tcPr>
          <w:p>
            <w:pPr>
              <w:jc w:val="right"/>
              <w:rPr>
                <w:sz w:val="24"/>
                <w:szCs w:val="24"/>
                <w:lang w:val="en-PH" w:eastAsia="en-PH"/>
              </w:rPr>
            </w:pPr>
            <w:r>
              <w:rPr>
                <w:sz w:val="24"/>
                <w:szCs w:val="24"/>
                <w:lang w:val="en-PH" w:eastAsia="en-PH"/>
              </w:rPr>
              <w:t>(148,000.00)</w:t>
            </w:r>
          </w:p>
        </w:tc>
      </w:tr>
      <w:tr>
        <w:trPr>
          <w:trHeight w:val="285"/>
        </w:trPr>
        <w:tc>
          <w:tcPr>
            <w:tcW w:w="6515" w:type="dxa"/>
            <w:shd w:val="clear" w:color="auto" w:fill="auto"/>
            <w:vAlign w:val="center"/>
          </w:tcPr>
          <w:p>
            <w:pPr>
              <w:rPr>
                <w:b/>
                <w:bCs/>
                <w:sz w:val="24"/>
                <w:szCs w:val="24"/>
                <w:lang w:val="en-PH" w:eastAsia="en-PH"/>
              </w:rPr>
            </w:pPr>
            <w:r>
              <w:rPr>
                <w:b/>
                <w:bCs/>
                <w:sz w:val="24"/>
                <w:szCs w:val="24"/>
                <w:lang w:val="en-PH" w:eastAsia="en-PH"/>
              </w:rPr>
              <w:t>Total</w:t>
            </w:r>
          </w:p>
        </w:tc>
        <w:tc>
          <w:tcPr>
            <w:tcW w:w="2217" w:type="dxa"/>
            <w:shd w:val="clear" w:color="auto" w:fill="auto"/>
            <w:noWrap/>
            <w:vAlign w:val="center"/>
          </w:tcPr>
          <w:p>
            <w:pPr>
              <w:jc w:val="right"/>
              <w:rPr>
                <w:b/>
                <w:bCs/>
                <w:sz w:val="24"/>
                <w:szCs w:val="24"/>
                <w:lang w:val="en-PH" w:eastAsia="en-PH"/>
              </w:rPr>
            </w:pPr>
            <w:r>
              <w:rPr>
                <w:b/>
                <w:bCs/>
                <w:sz w:val="24"/>
                <w:szCs w:val="24"/>
                <w:lang w:val="en-PH" w:eastAsia="en-PH"/>
              </w:rPr>
              <w:t>127,941,543.58</w:t>
            </w:r>
          </w:p>
        </w:tc>
      </w:tr>
    </w:tbl>
    <w:p>
      <w:pPr>
        <w:jc w:val="both"/>
        <w:rPr>
          <w:b/>
          <w:bCs/>
          <w:sz w:val="24"/>
          <w:szCs w:val="24"/>
        </w:rPr>
      </w:pPr>
    </w:p>
    <w:p>
      <w:pPr>
        <w:jc w:val="both"/>
        <w:rPr>
          <w:b/>
          <w:bCs/>
          <w:sz w:val="24"/>
          <w:szCs w:val="24"/>
        </w:rPr>
      </w:pPr>
      <w:r>
        <w:rPr>
          <w:b/>
          <w:bCs/>
          <w:sz w:val="24"/>
          <w:szCs w:val="24"/>
        </w:rPr>
        <w:t>Note 29 – Government Equity</w:t>
      </w:r>
    </w:p>
    <w:p>
      <w:pPr>
        <w:jc w:val="both"/>
        <w:rPr>
          <w:b/>
          <w:bCs/>
          <w:sz w:val="24"/>
          <w:szCs w:val="24"/>
        </w:rPr>
      </w:pPr>
    </w:p>
    <w:p>
      <w:pPr>
        <w:spacing w:line="276" w:lineRule="auto"/>
        <w:ind w:left="720"/>
        <w:jc w:val="both"/>
        <w:rPr>
          <w:sz w:val="24"/>
          <w:szCs w:val="24"/>
        </w:rPr>
      </w:pPr>
      <w:r>
        <w:rPr>
          <w:sz w:val="24"/>
          <w:szCs w:val="24"/>
        </w:rPr>
        <w:t>This account shows the cumulative results of normal operations of the city government including prior period adjustments, effect of changes in accounting policy. Below is the comparative figure for the year ended 2022 and 2021.</w:t>
      </w:r>
    </w:p>
    <w:p>
      <w:pPr>
        <w:ind w:left="720"/>
        <w:jc w:val="both"/>
        <w:rPr>
          <w:b/>
          <w:bCs/>
          <w:sz w:val="24"/>
          <w:szCs w:val="24"/>
        </w:rPr>
      </w:pPr>
    </w:p>
    <w:tbl>
      <w:tblPr>
        <w:tblW w:w="8647" w:type="dxa"/>
        <w:tblInd w:w="817" w:type="dxa"/>
        <w:tblLayout w:type="fixed"/>
        <w:tblLook w:val="04A0" w:firstRow="1" w:lastRow="0" w:firstColumn="1" w:lastColumn="0" w:noHBand="0" w:noVBand="1"/>
      </w:tblPr>
      <w:tblGrid>
        <w:gridCol w:w="4173"/>
        <w:gridCol w:w="2237"/>
        <w:gridCol w:w="2237"/>
      </w:tblGrid>
      <w:tr>
        <w:trPr>
          <w:trHeight w:val="340"/>
        </w:trPr>
        <w:tc>
          <w:tcPr>
            <w:tcW w:w="4173"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Government Equity</w:t>
            </w:r>
          </w:p>
        </w:tc>
        <w:tc>
          <w:tcPr>
            <w:tcW w:w="223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2022</w:t>
            </w:r>
          </w:p>
        </w:tc>
        <w:tc>
          <w:tcPr>
            <w:tcW w:w="2237" w:type="dxa"/>
            <w:tcBorders>
              <w:top w:val="nil"/>
              <w:left w:val="nil"/>
              <w:bottom w:val="single" w:sz="4" w:space="0" w:color="A6A6A6"/>
              <w:right w:val="nil"/>
            </w:tcBorders>
            <w:shd w:val="clear" w:color="auto" w:fill="auto"/>
            <w:vAlign w:val="center"/>
            <w:hideMark/>
          </w:tcPr>
          <w:p>
            <w:pPr>
              <w:jc w:val="center"/>
              <w:rPr>
                <w:b/>
                <w:bCs/>
                <w:sz w:val="24"/>
                <w:szCs w:val="24"/>
                <w:lang w:val="en-PH" w:eastAsia="en-PH"/>
              </w:rPr>
            </w:pPr>
            <w:r>
              <w:rPr>
                <w:b/>
                <w:bCs/>
                <w:sz w:val="24"/>
                <w:szCs w:val="24"/>
                <w:lang w:val="en-PH" w:eastAsia="en-PH"/>
              </w:rPr>
              <w:t>2021</w:t>
            </w:r>
          </w:p>
        </w:tc>
      </w:tr>
      <w:tr>
        <w:trPr>
          <w:trHeight w:val="340"/>
        </w:trPr>
        <w:tc>
          <w:tcPr>
            <w:tcW w:w="4173" w:type="dxa"/>
            <w:tcBorders>
              <w:top w:val="nil"/>
              <w:left w:val="nil"/>
              <w:bottom w:val="nil"/>
              <w:right w:val="nil"/>
            </w:tcBorders>
            <w:shd w:val="clear" w:color="auto" w:fill="auto"/>
            <w:vAlign w:val="center"/>
            <w:hideMark/>
          </w:tcPr>
          <w:p>
            <w:pPr>
              <w:rPr>
                <w:sz w:val="24"/>
                <w:szCs w:val="24"/>
                <w:lang w:val="en-PH" w:eastAsia="en-PH"/>
              </w:rPr>
            </w:pPr>
            <w:r>
              <w:rPr>
                <w:sz w:val="24"/>
                <w:szCs w:val="24"/>
                <w:lang w:val="en-PH" w:eastAsia="en-PH"/>
              </w:rPr>
              <w:t>Government Equity</w:t>
            </w:r>
          </w:p>
        </w:tc>
        <w:tc>
          <w:tcPr>
            <w:tcW w:w="223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3,565,520,932.94</w:t>
            </w:r>
          </w:p>
        </w:tc>
        <w:tc>
          <w:tcPr>
            <w:tcW w:w="2237" w:type="dxa"/>
            <w:tcBorders>
              <w:top w:val="nil"/>
              <w:left w:val="nil"/>
              <w:bottom w:val="nil"/>
              <w:right w:val="nil"/>
            </w:tcBorders>
            <w:shd w:val="clear" w:color="auto" w:fill="auto"/>
            <w:vAlign w:val="center"/>
            <w:hideMark/>
          </w:tcPr>
          <w:p>
            <w:pPr>
              <w:jc w:val="right"/>
              <w:rPr>
                <w:sz w:val="24"/>
                <w:szCs w:val="24"/>
                <w:lang w:val="en-PH" w:eastAsia="en-PH"/>
              </w:rPr>
            </w:pPr>
            <w:r>
              <w:rPr>
                <w:sz w:val="24"/>
                <w:szCs w:val="24"/>
                <w:lang w:val="en-PH" w:eastAsia="en-PH"/>
              </w:rPr>
              <w:t>3,037,667,367.13</w:t>
            </w:r>
          </w:p>
        </w:tc>
      </w:tr>
      <w:tr>
        <w:trPr>
          <w:trHeight w:val="340"/>
        </w:trPr>
        <w:tc>
          <w:tcPr>
            <w:tcW w:w="4173" w:type="dxa"/>
            <w:tcBorders>
              <w:top w:val="single" w:sz="4" w:space="0" w:color="A6A6A6"/>
              <w:left w:val="nil"/>
              <w:bottom w:val="double" w:sz="6" w:space="0" w:color="A6A6A6"/>
              <w:right w:val="nil"/>
            </w:tcBorders>
            <w:shd w:val="clear" w:color="auto" w:fill="auto"/>
            <w:vAlign w:val="center"/>
            <w:hideMark/>
          </w:tcPr>
          <w:p>
            <w:pPr>
              <w:rPr>
                <w:b/>
                <w:bCs/>
                <w:sz w:val="24"/>
                <w:szCs w:val="24"/>
                <w:lang w:val="en-PH" w:eastAsia="en-PH"/>
              </w:rPr>
            </w:pPr>
            <w:r>
              <w:rPr>
                <w:b/>
                <w:bCs/>
                <w:sz w:val="24"/>
                <w:szCs w:val="24"/>
                <w:lang w:val="en-PH" w:eastAsia="en-PH"/>
              </w:rPr>
              <w:t>Total</w:t>
            </w:r>
          </w:p>
        </w:tc>
        <w:tc>
          <w:tcPr>
            <w:tcW w:w="2237"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3,565,520,932.94</w:t>
            </w:r>
          </w:p>
        </w:tc>
        <w:tc>
          <w:tcPr>
            <w:tcW w:w="2237" w:type="dxa"/>
            <w:tcBorders>
              <w:top w:val="single" w:sz="4" w:space="0" w:color="A6A6A6"/>
              <w:left w:val="nil"/>
              <w:bottom w:val="double" w:sz="6" w:space="0" w:color="A6A6A6"/>
              <w:right w:val="nil"/>
            </w:tcBorders>
            <w:shd w:val="clear" w:color="auto" w:fill="auto"/>
            <w:noWrap/>
            <w:vAlign w:val="center"/>
            <w:hideMark/>
          </w:tcPr>
          <w:p>
            <w:pPr>
              <w:jc w:val="right"/>
              <w:rPr>
                <w:b/>
                <w:bCs/>
                <w:sz w:val="24"/>
                <w:szCs w:val="24"/>
                <w:lang w:val="en-PH" w:eastAsia="en-PH"/>
              </w:rPr>
            </w:pPr>
            <w:r>
              <w:rPr>
                <w:b/>
                <w:bCs/>
                <w:sz w:val="24"/>
                <w:szCs w:val="24"/>
                <w:lang w:val="en-PH" w:eastAsia="en-PH"/>
              </w:rPr>
              <w:t>3,037,667,367.13</w:t>
            </w:r>
          </w:p>
        </w:tc>
      </w:tr>
    </w:tbl>
    <w:p>
      <w:pPr>
        <w:ind w:left="720"/>
        <w:jc w:val="both"/>
        <w:rPr>
          <w:sz w:val="24"/>
          <w:szCs w:val="24"/>
        </w:rPr>
      </w:pPr>
    </w:p>
    <w:p>
      <w:pPr>
        <w:spacing w:line="276" w:lineRule="auto"/>
        <w:ind w:left="720"/>
        <w:jc w:val="both"/>
        <w:rPr>
          <w:sz w:val="24"/>
          <w:szCs w:val="24"/>
        </w:rPr>
      </w:pPr>
      <w:r>
        <w:rPr>
          <w:sz w:val="24"/>
          <w:szCs w:val="24"/>
        </w:rPr>
        <w:t>Reconciliation made for government equity account is as per below, the variance that arise as per the system balance is due to the additional entries for the depreciation and cost of sales which has been manually accounted last year end 2021 and it was overlooked to be accounted in the system on the following year 2022. This variance will be accounted on the first month of year 2023 accordingly.</w:t>
      </w:r>
    </w:p>
    <w:p>
      <w:pPr>
        <w:ind w:left="720"/>
        <w:jc w:val="both"/>
        <w:rPr>
          <w:sz w:val="24"/>
          <w:szCs w:val="24"/>
        </w:rPr>
      </w:pPr>
    </w:p>
    <w:tbl>
      <w:tblPr>
        <w:tblW w:w="862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4"/>
        <w:gridCol w:w="2036"/>
      </w:tblGrid>
      <w:tr>
        <w:trPr>
          <w:trHeight w:val="283"/>
        </w:trPr>
        <w:tc>
          <w:tcPr>
            <w:tcW w:w="6584" w:type="dxa"/>
            <w:shd w:val="clear" w:color="auto" w:fill="auto"/>
            <w:noWrap/>
            <w:vAlign w:val="center"/>
            <w:hideMark/>
          </w:tcPr>
          <w:p>
            <w:pPr>
              <w:jc w:val="center"/>
              <w:rPr>
                <w:b/>
                <w:bCs/>
                <w:sz w:val="24"/>
                <w:szCs w:val="24"/>
                <w:lang w:val="en-PH" w:eastAsia="en-PH"/>
              </w:rPr>
            </w:pPr>
            <w:r>
              <w:rPr>
                <w:b/>
                <w:bCs/>
                <w:sz w:val="24"/>
                <w:szCs w:val="24"/>
                <w:lang w:val="en-PH" w:eastAsia="en-PH"/>
              </w:rPr>
              <w:t>Particulars</w:t>
            </w:r>
          </w:p>
        </w:tc>
        <w:tc>
          <w:tcPr>
            <w:tcW w:w="2036" w:type="dxa"/>
            <w:shd w:val="clear" w:color="auto" w:fill="auto"/>
            <w:noWrap/>
            <w:vAlign w:val="center"/>
            <w:hideMark/>
          </w:tcPr>
          <w:p>
            <w:pPr>
              <w:jc w:val="right"/>
              <w:rPr>
                <w:b/>
                <w:bCs/>
                <w:sz w:val="24"/>
                <w:szCs w:val="24"/>
                <w:lang w:val="en-PH" w:eastAsia="en-PH"/>
              </w:rPr>
            </w:pPr>
            <w:r>
              <w:rPr>
                <w:b/>
                <w:bCs/>
                <w:sz w:val="24"/>
                <w:szCs w:val="24"/>
                <w:lang w:val="en-PH" w:eastAsia="en-PH"/>
              </w:rPr>
              <w:t xml:space="preserve"> Amount </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Beginning Balance</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3,027,056,416.39</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Prior Period Adjustments</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(127,941,543.58)</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Surplus (Deficit) for the period</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670,632,901.90</w:t>
            </w:r>
          </w:p>
        </w:tc>
      </w:tr>
      <w:tr>
        <w:trPr>
          <w:trHeight w:val="283"/>
        </w:trPr>
        <w:tc>
          <w:tcPr>
            <w:tcW w:w="8620" w:type="dxa"/>
            <w:gridSpan w:val="2"/>
            <w:shd w:val="clear" w:color="auto" w:fill="auto"/>
            <w:noWrap/>
            <w:vAlign w:val="center"/>
            <w:hideMark/>
          </w:tcPr>
          <w:p>
            <w:pPr>
              <w:rPr>
                <w:i/>
                <w:iCs/>
                <w:sz w:val="24"/>
                <w:szCs w:val="24"/>
                <w:lang w:val="en-PH" w:eastAsia="en-PH"/>
              </w:rPr>
            </w:pPr>
            <w:r>
              <w:rPr>
                <w:i/>
                <w:iCs/>
                <w:sz w:val="24"/>
                <w:szCs w:val="24"/>
                <w:lang w:val="en-PH" w:eastAsia="en-PH"/>
              </w:rPr>
              <w:t>Manual adjustments made during YE 2021, not accounted in the system.</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Depreciation of Infra Assets &amp; PPE</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1,625,849.77</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Cost of Sales manually accounted</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2,157,631.59</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Adjustment during set-up/conversion to engas v2</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(1,180,411.48)</w:t>
            </w:r>
          </w:p>
        </w:tc>
      </w:tr>
      <w:tr>
        <w:trPr>
          <w:trHeight w:val="283"/>
        </w:trPr>
        <w:tc>
          <w:tcPr>
            <w:tcW w:w="6584" w:type="dxa"/>
            <w:shd w:val="clear" w:color="auto" w:fill="auto"/>
            <w:noWrap/>
            <w:vAlign w:val="center"/>
            <w:hideMark/>
          </w:tcPr>
          <w:p>
            <w:pPr>
              <w:rPr>
                <w:sz w:val="24"/>
                <w:szCs w:val="24"/>
                <w:lang w:val="en-PH" w:eastAsia="en-PH"/>
              </w:rPr>
            </w:pPr>
            <w:r>
              <w:rPr>
                <w:sz w:val="24"/>
                <w:szCs w:val="24"/>
                <w:lang w:val="en-PH" w:eastAsia="en-PH"/>
              </w:rPr>
              <w:t>Operating Lease Receivable adjustment manually accounted</w:t>
            </w:r>
          </w:p>
        </w:tc>
        <w:tc>
          <w:tcPr>
            <w:tcW w:w="2036" w:type="dxa"/>
            <w:shd w:val="clear" w:color="auto" w:fill="auto"/>
            <w:noWrap/>
            <w:vAlign w:val="center"/>
            <w:hideMark/>
          </w:tcPr>
          <w:p>
            <w:pPr>
              <w:jc w:val="right"/>
              <w:rPr>
                <w:sz w:val="24"/>
                <w:szCs w:val="24"/>
                <w:lang w:val="en-PH" w:eastAsia="en-PH"/>
              </w:rPr>
            </w:pPr>
            <w:r>
              <w:rPr>
                <w:sz w:val="24"/>
                <w:szCs w:val="24"/>
                <w:lang w:val="en-PH" w:eastAsia="en-PH"/>
              </w:rPr>
              <w:t>(1,622,494.77)</w:t>
            </w:r>
          </w:p>
        </w:tc>
      </w:tr>
      <w:tr>
        <w:trPr>
          <w:trHeight w:val="283"/>
        </w:trPr>
        <w:tc>
          <w:tcPr>
            <w:tcW w:w="6584" w:type="dxa"/>
            <w:shd w:val="clear" w:color="auto" w:fill="auto"/>
            <w:noWrap/>
            <w:vAlign w:val="center"/>
            <w:hideMark/>
          </w:tcPr>
          <w:p>
            <w:pPr>
              <w:rPr>
                <w:b/>
                <w:bCs/>
                <w:sz w:val="24"/>
                <w:szCs w:val="24"/>
                <w:lang w:val="en-PH" w:eastAsia="en-PH"/>
              </w:rPr>
            </w:pPr>
            <w:r>
              <w:rPr>
                <w:b/>
                <w:bCs/>
                <w:sz w:val="24"/>
                <w:szCs w:val="24"/>
                <w:lang w:val="en-PH" w:eastAsia="en-PH"/>
              </w:rPr>
              <w:t>Ending Balance</w:t>
            </w:r>
          </w:p>
        </w:tc>
        <w:tc>
          <w:tcPr>
            <w:tcW w:w="2036" w:type="dxa"/>
            <w:shd w:val="clear" w:color="auto" w:fill="auto"/>
            <w:noWrap/>
            <w:vAlign w:val="center"/>
            <w:hideMark/>
          </w:tcPr>
          <w:p>
            <w:pPr>
              <w:jc w:val="right"/>
              <w:rPr>
                <w:b/>
                <w:bCs/>
                <w:sz w:val="24"/>
                <w:szCs w:val="24"/>
                <w:lang w:val="en-PH" w:eastAsia="en-PH"/>
              </w:rPr>
            </w:pPr>
            <w:r>
              <w:rPr>
                <w:b/>
                <w:bCs/>
                <w:sz w:val="24"/>
                <w:szCs w:val="24"/>
                <w:lang w:val="en-PH" w:eastAsia="en-PH"/>
              </w:rPr>
              <w:t>3,570,728,349.82</w:t>
            </w:r>
          </w:p>
        </w:tc>
      </w:tr>
    </w:tbl>
    <w:p>
      <w:pPr>
        <w:ind w:left="720"/>
        <w:jc w:val="both"/>
        <w:rPr>
          <w:sz w:val="24"/>
          <w:szCs w:val="24"/>
        </w:rPr>
      </w:pPr>
    </w:p>
    <w:sectPr>
      <w:pgSz w:w="11906" w:h="16838" w:code="9"/>
      <w:pgMar w:top="1440" w:right="1077" w:bottom="12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0183243"/>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NoSpacing"/>
      <w:rPr>
        <w:rFonts w:ascii="Times New Roman" w:hAnsi="Times New Roman" w:cs="Times New Roman"/>
        <w:sz w:val="28"/>
        <w:szCs w:val="28"/>
      </w:rPr>
    </w:pPr>
    <w:r>
      <w:rPr>
        <w:rFonts w:ascii="Times New Roman" w:hAnsi="Times New Roman" w:cs="Times New Roman"/>
        <w:sz w:val="28"/>
        <w:szCs w:val="28"/>
      </w:rPr>
      <w:t>Notes to Consolidated Financial Statements</w:t>
    </w:r>
  </w:p>
  <w:p>
    <w:pPr>
      <w:pBdr>
        <w:bottom w:val="single" w:sz="12" w:space="1" w:color="auto"/>
      </w:pBdr>
      <w:jc w:val="both"/>
      <w:rPr>
        <w:i/>
        <w:sz w:val="22"/>
        <w:szCs w:val="24"/>
      </w:rPr>
    </w:pPr>
    <w:r>
      <w:rPr>
        <w:i/>
        <w:sz w:val="22"/>
        <w:szCs w:val="24"/>
      </w:rPr>
      <w:t>(All amounts in Philippine Peso unless otherwise stated)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31B99"/>
    <w:multiLevelType w:val="multilevel"/>
    <w:tmpl w:val="3409001D"/>
    <w:styleLink w:val="Style2"/>
    <w:lvl w:ilvl="0">
      <w:start w:val="10"/>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CAB2C94"/>
    <w:multiLevelType w:val="hybridMultilevel"/>
    <w:tmpl w:val="DB746F92"/>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59E7DB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082CC6"/>
    <w:multiLevelType w:val="multilevel"/>
    <w:tmpl w:val="B934A6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16626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B63D2B"/>
    <w:multiLevelType w:val="hybridMultilevel"/>
    <w:tmpl w:val="CFCEA558"/>
    <w:lvl w:ilvl="0" w:tplc="34090017">
      <w:start w:val="1"/>
      <w:numFmt w:val="lowerLetter"/>
      <w:lvlText w:val="%1)"/>
      <w:lvlJc w:val="lef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2A48518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C61CDF"/>
    <w:multiLevelType w:val="multilevel"/>
    <w:tmpl w:val="80BE5FD8"/>
    <w:lvl w:ilvl="0">
      <w:start w:val="1"/>
      <w:numFmt w:val="decimal"/>
      <w:lvlText w:val="%1."/>
      <w:lvlJc w:val="left"/>
      <w:pPr>
        <w:ind w:left="360" w:hanging="360"/>
      </w:pPr>
      <w:rPr>
        <w:rFonts w:hint="default"/>
      </w:rPr>
    </w:lvl>
    <w:lvl w:ilvl="1">
      <w:start w:val="1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02A5A26"/>
    <w:multiLevelType w:val="multilevel"/>
    <w:tmpl w:val="66BE221A"/>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F5586C"/>
    <w:multiLevelType w:val="hybridMultilevel"/>
    <w:tmpl w:val="181A0F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1D35E3"/>
    <w:multiLevelType w:val="hybridMultilevel"/>
    <w:tmpl w:val="005C3D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D2252C8"/>
    <w:multiLevelType w:val="hybridMultilevel"/>
    <w:tmpl w:val="AADC516E"/>
    <w:lvl w:ilvl="0" w:tplc="66CAD106">
      <w:start w:val="1"/>
      <w:numFmt w:val="lowerLetter"/>
      <w:lvlText w:val="%1."/>
      <w:lvlJc w:val="left"/>
      <w:pPr>
        <w:ind w:left="360" w:hanging="360"/>
      </w:pPr>
      <w:rPr>
        <w:rFonts w:hint="default"/>
      </w:rPr>
    </w:lvl>
    <w:lvl w:ilvl="1" w:tplc="7ABC11B0">
      <w:start w:val="1"/>
      <w:numFmt w:val="lowerLetter"/>
      <w:lvlText w:val="%2."/>
      <w:lvlJc w:val="left"/>
      <w:pPr>
        <w:ind w:left="360" w:hanging="360"/>
      </w:pPr>
      <w:rPr>
        <w:b w:val="0"/>
        <w:i/>
      </w:rPr>
    </w:lvl>
    <w:lvl w:ilvl="2" w:tplc="CDDC0482">
      <w:start w:val="1"/>
      <w:numFmt w:val="upperLetter"/>
      <w:lvlText w:val="%3."/>
      <w:lvlJc w:val="left"/>
      <w:pPr>
        <w:ind w:left="720" w:hanging="360"/>
      </w:pPr>
      <w:rPr>
        <w:rFonts w:hint="default"/>
      </w:rPr>
    </w:lvl>
    <w:lvl w:ilvl="3" w:tplc="6CCE7AD4">
      <w:start w:val="1"/>
      <w:numFmt w:val="lowerLetter"/>
      <w:lvlText w:val="%4)"/>
      <w:lvlJc w:val="left"/>
      <w:pPr>
        <w:ind w:left="1080" w:hanging="360"/>
      </w:pPr>
      <w:rPr>
        <w:rFonts w:hint="default"/>
      </w:rPr>
    </w:lvl>
    <w:lvl w:ilvl="4" w:tplc="04090019">
      <w:start w:val="1"/>
      <w:numFmt w:val="lowerLetter"/>
      <w:lvlText w:val="%5."/>
      <w:lvlJc w:val="left"/>
      <w:pPr>
        <w:ind w:left="4410" w:hanging="360"/>
      </w:pPr>
    </w:lvl>
    <w:lvl w:ilvl="5" w:tplc="2D8CB1C6">
      <w:start w:val="2"/>
      <w:numFmt w:val="upperLetter"/>
      <w:lvlText w:val="%6)"/>
      <w:lvlJc w:val="left"/>
      <w:pPr>
        <w:ind w:left="5310" w:hanging="360"/>
      </w:pPr>
      <w:rPr>
        <w:rFonts w:hint="default"/>
      </w:r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58894489"/>
    <w:multiLevelType w:val="multilevel"/>
    <w:tmpl w:val="FDE255B6"/>
    <w:lvl w:ilvl="0">
      <w:start w:val="10"/>
      <w:numFmt w:val="decimal"/>
      <w:lvlText w:val="%1"/>
      <w:lvlJc w:val="left"/>
      <w:pPr>
        <w:ind w:left="600" w:hanging="600"/>
      </w:pPr>
      <w:rPr>
        <w:rFonts w:hint="default"/>
      </w:rPr>
    </w:lvl>
    <w:lvl w:ilvl="1">
      <w:start w:val="3"/>
      <w:numFmt w:val="decimal"/>
      <w:lvlText w:val="%1.%2"/>
      <w:lvlJc w:val="left"/>
      <w:pPr>
        <w:ind w:left="1200" w:hanging="60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3" w15:restartNumberingAfterBreak="0">
    <w:nsid w:val="5E0816E0"/>
    <w:multiLevelType w:val="multilevel"/>
    <w:tmpl w:val="71926AB0"/>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07231B1"/>
    <w:multiLevelType w:val="multilevel"/>
    <w:tmpl w:val="2A3450AA"/>
    <w:lvl w:ilvl="0">
      <w:start w:val="7"/>
      <w:numFmt w:val="decimal"/>
      <w:lvlText w:val="%1"/>
      <w:lvlJc w:val="left"/>
      <w:pPr>
        <w:ind w:left="360" w:hanging="360"/>
      </w:pPr>
      <w:rPr>
        <w:rFonts w:hint="default"/>
        <w:color w:val="auto"/>
        <w:sz w:val="24"/>
      </w:rPr>
    </w:lvl>
    <w:lvl w:ilvl="1">
      <w:start w:val="2"/>
      <w:numFmt w:val="decimal"/>
      <w:lvlText w:val="%1.%2"/>
      <w:lvlJc w:val="left"/>
      <w:pPr>
        <w:ind w:left="1080" w:hanging="360"/>
      </w:pPr>
      <w:rPr>
        <w:rFonts w:hint="default"/>
        <w:color w:val="auto"/>
        <w:sz w:val="24"/>
      </w:rPr>
    </w:lvl>
    <w:lvl w:ilvl="2">
      <w:start w:val="1"/>
      <w:numFmt w:val="decimal"/>
      <w:lvlText w:val="%1.%2.%3"/>
      <w:lvlJc w:val="left"/>
      <w:pPr>
        <w:ind w:left="2160" w:hanging="720"/>
      </w:pPr>
      <w:rPr>
        <w:rFonts w:hint="default"/>
        <w:color w:val="auto"/>
        <w:sz w:val="24"/>
      </w:rPr>
    </w:lvl>
    <w:lvl w:ilvl="3">
      <w:start w:val="1"/>
      <w:numFmt w:val="decimal"/>
      <w:lvlText w:val="%1.%2.%3.%4"/>
      <w:lvlJc w:val="left"/>
      <w:pPr>
        <w:ind w:left="2880" w:hanging="720"/>
      </w:pPr>
      <w:rPr>
        <w:rFonts w:hint="default"/>
        <w:color w:val="auto"/>
        <w:sz w:val="24"/>
      </w:rPr>
    </w:lvl>
    <w:lvl w:ilvl="4">
      <w:start w:val="1"/>
      <w:numFmt w:val="decimal"/>
      <w:lvlText w:val="%1.%2.%3.%4.%5"/>
      <w:lvlJc w:val="left"/>
      <w:pPr>
        <w:ind w:left="3960" w:hanging="1080"/>
      </w:pPr>
      <w:rPr>
        <w:rFonts w:hint="default"/>
        <w:color w:val="auto"/>
        <w:sz w:val="24"/>
      </w:rPr>
    </w:lvl>
    <w:lvl w:ilvl="5">
      <w:start w:val="1"/>
      <w:numFmt w:val="decimal"/>
      <w:lvlText w:val="%1.%2.%3.%4.%5.%6"/>
      <w:lvlJc w:val="left"/>
      <w:pPr>
        <w:ind w:left="4680" w:hanging="1080"/>
      </w:pPr>
      <w:rPr>
        <w:rFonts w:hint="default"/>
        <w:color w:val="auto"/>
        <w:sz w:val="24"/>
      </w:rPr>
    </w:lvl>
    <w:lvl w:ilvl="6">
      <w:start w:val="1"/>
      <w:numFmt w:val="decimal"/>
      <w:lvlText w:val="%1.%2.%3.%4.%5.%6.%7"/>
      <w:lvlJc w:val="left"/>
      <w:pPr>
        <w:ind w:left="5760" w:hanging="1440"/>
      </w:pPr>
      <w:rPr>
        <w:rFonts w:hint="default"/>
        <w:color w:val="auto"/>
        <w:sz w:val="24"/>
      </w:rPr>
    </w:lvl>
    <w:lvl w:ilvl="7">
      <w:start w:val="1"/>
      <w:numFmt w:val="decimal"/>
      <w:lvlText w:val="%1.%2.%3.%4.%5.%6.%7.%8"/>
      <w:lvlJc w:val="left"/>
      <w:pPr>
        <w:ind w:left="6480" w:hanging="1440"/>
      </w:pPr>
      <w:rPr>
        <w:rFonts w:hint="default"/>
        <w:color w:val="auto"/>
        <w:sz w:val="24"/>
      </w:rPr>
    </w:lvl>
    <w:lvl w:ilvl="8">
      <w:start w:val="1"/>
      <w:numFmt w:val="decimal"/>
      <w:lvlText w:val="%1.%2.%3.%4.%5.%6.%7.%8.%9"/>
      <w:lvlJc w:val="left"/>
      <w:pPr>
        <w:ind w:left="7200" w:hanging="1440"/>
      </w:pPr>
      <w:rPr>
        <w:rFonts w:hint="default"/>
        <w:color w:val="auto"/>
        <w:sz w:val="24"/>
      </w:rPr>
    </w:lvl>
  </w:abstractNum>
  <w:abstractNum w:abstractNumId="15" w15:restartNumberingAfterBreak="0">
    <w:nsid w:val="60AF64B9"/>
    <w:multiLevelType w:val="hybridMultilevel"/>
    <w:tmpl w:val="8D8252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32C5E63"/>
    <w:multiLevelType w:val="multilevel"/>
    <w:tmpl w:val="995C0A3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67154A8"/>
    <w:multiLevelType w:val="multilevel"/>
    <w:tmpl w:val="93966A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044263"/>
    <w:multiLevelType w:val="multilevel"/>
    <w:tmpl w:val="3409001F"/>
    <w:styleLink w:val="Style1"/>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5D166F"/>
    <w:multiLevelType w:val="multilevel"/>
    <w:tmpl w:val="8FC04B06"/>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8B539FF"/>
    <w:multiLevelType w:val="hybridMultilevel"/>
    <w:tmpl w:val="32BCD9D8"/>
    <w:lvl w:ilvl="0" w:tplc="E8ACD182">
      <w:start w:val="1"/>
      <w:numFmt w:val="lowerLetter"/>
      <w:lvlText w:val="%1)"/>
      <w:lvlJc w:val="left"/>
      <w:pPr>
        <w:ind w:left="1440" w:hanging="360"/>
      </w:pPr>
      <w:rPr>
        <w:sz w:val="24"/>
      </w:rPr>
    </w:lvl>
    <w:lvl w:ilvl="1" w:tplc="34090019" w:tentative="1">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50C1C0D"/>
    <w:multiLevelType w:val="hybridMultilevel"/>
    <w:tmpl w:val="FD24FF04"/>
    <w:lvl w:ilvl="0" w:tplc="A04646AE">
      <w:start w:val="1"/>
      <w:numFmt w:val="lowerLetter"/>
      <w:lvlText w:val="%1)"/>
      <w:lvlJc w:val="left"/>
      <w:pPr>
        <w:ind w:left="810" w:hanging="360"/>
      </w:pPr>
      <w:rPr>
        <w:color w:val="auto"/>
        <w:sz w:val="24"/>
      </w:rPr>
    </w:lvl>
    <w:lvl w:ilvl="1" w:tplc="34090019" w:tentative="1">
      <w:start w:val="1"/>
      <w:numFmt w:val="lowerLetter"/>
      <w:lvlText w:val="%2."/>
      <w:lvlJc w:val="left"/>
      <w:pPr>
        <w:ind w:left="810" w:hanging="360"/>
      </w:pPr>
    </w:lvl>
    <w:lvl w:ilvl="2" w:tplc="3409001B" w:tentative="1">
      <w:start w:val="1"/>
      <w:numFmt w:val="lowerRoman"/>
      <w:lvlText w:val="%3."/>
      <w:lvlJc w:val="right"/>
      <w:pPr>
        <w:ind w:left="1530" w:hanging="180"/>
      </w:pPr>
    </w:lvl>
    <w:lvl w:ilvl="3" w:tplc="3409000F" w:tentative="1">
      <w:start w:val="1"/>
      <w:numFmt w:val="decimal"/>
      <w:lvlText w:val="%4."/>
      <w:lvlJc w:val="left"/>
      <w:pPr>
        <w:ind w:left="2250" w:hanging="360"/>
      </w:pPr>
    </w:lvl>
    <w:lvl w:ilvl="4" w:tplc="34090019" w:tentative="1">
      <w:start w:val="1"/>
      <w:numFmt w:val="lowerLetter"/>
      <w:lvlText w:val="%5."/>
      <w:lvlJc w:val="left"/>
      <w:pPr>
        <w:ind w:left="2970" w:hanging="360"/>
      </w:pPr>
    </w:lvl>
    <w:lvl w:ilvl="5" w:tplc="3409001B" w:tentative="1">
      <w:start w:val="1"/>
      <w:numFmt w:val="lowerRoman"/>
      <w:lvlText w:val="%6."/>
      <w:lvlJc w:val="right"/>
      <w:pPr>
        <w:ind w:left="3690" w:hanging="180"/>
      </w:pPr>
    </w:lvl>
    <w:lvl w:ilvl="6" w:tplc="3409000F" w:tentative="1">
      <w:start w:val="1"/>
      <w:numFmt w:val="decimal"/>
      <w:lvlText w:val="%7."/>
      <w:lvlJc w:val="left"/>
      <w:pPr>
        <w:ind w:left="4410" w:hanging="360"/>
      </w:pPr>
    </w:lvl>
    <w:lvl w:ilvl="7" w:tplc="34090019" w:tentative="1">
      <w:start w:val="1"/>
      <w:numFmt w:val="lowerLetter"/>
      <w:lvlText w:val="%8."/>
      <w:lvlJc w:val="left"/>
      <w:pPr>
        <w:ind w:left="5130" w:hanging="360"/>
      </w:pPr>
    </w:lvl>
    <w:lvl w:ilvl="8" w:tplc="3409001B" w:tentative="1">
      <w:start w:val="1"/>
      <w:numFmt w:val="lowerRoman"/>
      <w:lvlText w:val="%9."/>
      <w:lvlJc w:val="right"/>
      <w:pPr>
        <w:ind w:left="5850" w:hanging="180"/>
      </w:pPr>
    </w:lvl>
  </w:abstractNum>
  <w:abstractNum w:abstractNumId="22" w15:restartNumberingAfterBreak="0">
    <w:nsid w:val="7E4571B5"/>
    <w:multiLevelType w:val="multilevel"/>
    <w:tmpl w:val="1098F7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20"/>
  </w:num>
  <w:num w:numId="3">
    <w:abstractNumId w:val="5"/>
  </w:num>
  <w:num w:numId="4">
    <w:abstractNumId w:val="11"/>
  </w:num>
  <w:num w:numId="5">
    <w:abstractNumId w:val="1"/>
  </w:num>
  <w:num w:numId="6">
    <w:abstractNumId w:val="15"/>
  </w:num>
  <w:num w:numId="7">
    <w:abstractNumId w:val="9"/>
  </w:num>
  <w:num w:numId="8">
    <w:abstractNumId w:val="10"/>
  </w:num>
  <w:num w:numId="9">
    <w:abstractNumId w:val="21"/>
  </w:num>
  <w:num w:numId="10">
    <w:abstractNumId w:val="13"/>
  </w:num>
  <w:num w:numId="11">
    <w:abstractNumId w:val="16"/>
  </w:num>
  <w:num w:numId="12">
    <w:abstractNumId w:val="18"/>
  </w:num>
  <w:num w:numId="13">
    <w:abstractNumId w:val="0"/>
  </w:num>
  <w:num w:numId="14">
    <w:abstractNumId w:val="3"/>
  </w:num>
  <w:num w:numId="15">
    <w:abstractNumId w:val="6"/>
  </w:num>
  <w:num w:numId="16">
    <w:abstractNumId w:val="22"/>
  </w:num>
  <w:num w:numId="17">
    <w:abstractNumId w:val="14"/>
  </w:num>
  <w:num w:numId="18">
    <w:abstractNumId w:val="2"/>
  </w:num>
  <w:num w:numId="19">
    <w:abstractNumId w:val="17"/>
  </w:num>
  <w:num w:numId="20">
    <w:abstractNumId w:val="4"/>
  </w:num>
  <w:num w:numId="21">
    <w:abstractNumId w:val="7"/>
  </w:num>
  <w:num w:numId="22">
    <w:abstractNumId w:val="8"/>
  </w:num>
  <w:num w:numId="23">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revisionView w:inkAnnotations="0"/>
  <w:documentProtection w:edit="forms" w:enforcement="1" w:cryptProviderType="rsaAES" w:cryptAlgorithmClass="hash" w:cryptAlgorithmType="typeAny" w:cryptAlgorithmSid="14" w:cryptSpinCount="100000" w:hash="rf/P6GUz8UG9HGPcC9h42cF4KD0cE3KOUHtdUe/VhGmn8TYj4xyz+0hXgTh6VMbSvqCwqGPR8HyCDHaVcWN1GQ==" w:salt="wsrM8E3KrtIddfvaZNNrB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5EA5534-C1A3-4E4B-A25D-0F5DED7C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pPr>
  </w:style>
  <w:style w:type="paragraph" w:styleId="BodyTextIndent2">
    <w:name w:val="Body Text Indent 2"/>
    <w:basedOn w:val="Normal"/>
    <w:link w:val="BodyTextIndent2Char"/>
    <w:pPr>
      <w:ind w:firstLine="720"/>
      <w:jc w:val="both"/>
    </w:pPr>
    <w:rPr>
      <w:sz w:val="24"/>
      <w:szCs w:val="24"/>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pPr>
      <w:numPr>
        <w:numId w:val="12"/>
      </w:numPr>
    </w:pPr>
  </w:style>
  <w:style w:type="numbering" w:customStyle="1" w:styleId="Style2">
    <w:name w:val="Style2"/>
    <w:uiPriority w:val="99"/>
    <w:pPr>
      <w:numPr>
        <w:numId w:val="13"/>
      </w:numPr>
    </w:pPr>
  </w:style>
  <w:style w:type="character" w:styleId="LineNumber">
    <w:name w:val="line number"/>
    <w:basedOn w:val="DefaultParagraphFon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styleId="Revision">
    <w:name w:val="Revision"/>
    <w:hidden/>
    <w:uiPriority w:val="99"/>
    <w:semiHidden/>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6793">
      <w:bodyDiv w:val="1"/>
      <w:marLeft w:val="0"/>
      <w:marRight w:val="0"/>
      <w:marTop w:val="0"/>
      <w:marBottom w:val="0"/>
      <w:divBdr>
        <w:top w:val="none" w:sz="0" w:space="0" w:color="auto"/>
        <w:left w:val="none" w:sz="0" w:space="0" w:color="auto"/>
        <w:bottom w:val="none" w:sz="0" w:space="0" w:color="auto"/>
        <w:right w:val="none" w:sz="0" w:space="0" w:color="auto"/>
      </w:divBdr>
    </w:div>
    <w:div w:id="19478533">
      <w:bodyDiv w:val="1"/>
      <w:marLeft w:val="0"/>
      <w:marRight w:val="0"/>
      <w:marTop w:val="0"/>
      <w:marBottom w:val="0"/>
      <w:divBdr>
        <w:top w:val="none" w:sz="0" w:space="0" w:color="auto"/>
        <w:left w:val="none" w:sz="0" w:space="0" w:color="auto"/>
        <w:bottom w:val="none" w:sz="0" w:space="0" w:color="auto"/>
        <w:right w:val="none" w:sz="0" w:space="0" w:color="auto"/>
      </w:divBdr>
    </w:div>
    <w:div w:id="21907979">
      <w:bodyDiv w:val="1"/>
      <w:marLeft w:val="0"/>
      <w:marRight w:val="0"/>
      <w:marTop w:val="0"/>
      <w:marBottom w:val="0"/>
      <w:divBdr>
        <w:top w:val="none" w:sz="0" w:space="0" w:color="auto"/>
        <w:left w:val="none" w:sz="0" w:space="0" w:color="auto"/>
        <w:bottom w:val="none" w:sz="0" w:space="0" w:color="auto"/>
        <w:right w:val="none" w:sz="0" w:space="0" w:color="auto"/>
      </w:divBdr>
    </w:div>
    <w:div w:id="33192357">
      <w:bodyDiv w:val="1"/>
      <w:marLeft w:val="0"/>
      <w:marRight w:val="0"/>
      <w:marTop w:val="0"/>
      <w:marBottom w:val="0"/>
      <w:divBdr>
        <w:top w:val="none" w:sz="0" w:space="0" w:color="auto"/>
        <w:left w:val="none" w:sz="0" w:space="0" w:color="auto"/>
        <w:bottom w:val="none" w:sz="0" w:space="0" w:color="auto"/>
        <w:right w:val="none" w:sz="0" w:space="0" w:color="auto"/>
      </w:divBdr>
    </w:div>
    <w:div w:id="33963115">
      <w:bodyDiv w:val="1"/>
      <w:marLeft w:val="0"/>
      <w:marRight w:val="0"/>
      <w:marTop w:val="0"/>
      <w:marBottom w:val="0"/>
      <w:divBdr>
        <w:top w:val="none" w:sz="0" w:space="0" w:color="auto"/>
        <w:left w:val="none" w:sz="0" w:space="0" w:color="auto"/>
        <w:bottom w:val="none" w:sz="0" w:space="0" w:color="auto"/>
        <w:right w:val="none" w:sz="0" w:space="0" w:color="auto"/>
      </w:divBdr>
    </w:div>
    <w:div w:id="56128805">
      <w:bodyDiv w:val="1"/>
      <w:marLeft w:val="0"/>
      <w:marRight w:val="0"/>
      <w:marTop w:val="0"/>
      <w:marBottom w:val="0"/>
      <w:divBdr>
        <w:top w:val="none" w:sz="0" w:space="0" w:color="auto"/>
        <w:left w:val="none" w:sz="0" w:space="0" w:color="auto"/>
        <w:bottom w:val="none" w:sz="0" w:space="0" w:color="auto"/>
        <w:right w:val="none" w:sz="0" w:space="0" w:color="auto"/>
      </w:divBdr>
    </w:div>
    <w:div w:id="57824194">
      <w:bodyDiv w:val="1"/>
      <w:marLeft w:val="0"/>
      <w:marRight w:val="0"/>
      <w:marTop w:val="0"/>
      <w:marBottom w:val="0"/>
      <w:divBdr>
        <w:top w:val="none" w:sz="0" w:space="0" w:color="auto"/>
        <w:left w:val="none" w:sz="0" w:space="0" w:color="auto"/>
        <w:bottom w:val="none" w:sz="0" w:space="0" w:color="auto"/>
        <w:right w:val="none" w:sz="0" w:space="0" w:color="auto"/>
      </w:divBdr>
    </w:div>
    <w:div w:id="65349702">
      <w:bodyDiv w:val="1"/>
      <w:marLeft w:val="0"/>
      <w:marRight w:val="0"/>
      <w:marTop w:val="0"/>
      <w:marBottom w:val="0"/>
      <w:divBdr>
        <w:top w:val="none" w:sz="0" w:space="0" w:color="auto"/>
        <w:left w:val="none" w:sz="0" w:space="0" w:color="auto"/>
        <w:bottom w:val="none" w:sz="0" w:space="0" w:color="auto"/>
        <w:right w:val="none" w:sz="0" w:space="0" w:color="auto"/>
      </w:divBdr>
    </w:div>
    <w:div w:id="72358407">
      <w:bodyDiv w:val="1"/>
      <w:marLeft w:val="0"/>
      <w:marRight w:val="0"/>
      <w:marTop w:val="0"/>
      <w:marBottom w:val="0"/>
      <w:divBdr>
        <w:top w:val="none" w:sz="0" w:space="0" w:color="auto"/>
        <w:left w:val="none" w:sz="0" w:space="0" w:color="auto"/>
        <w:bottom w:val="none" w:sz="0" w:space="0" w:color="auto"/>
        <w:right w:val="none" w:sz="0" w:space="0" w:color="auto"/>
      </w:divBdr>
    </w:div>
    <w:div w:id="78213987">
      <w:bodyDiv w:val="1"/>
      <w:marLeft w:val="0"/>
      <w:marRight w:val="0"/>
      <w:marTop w:val="0"/>
      <w:marBottom w:val="0"/>
      <w:divBdr>
        <w:top w:val="none" w:sz="0" w:space="0" w:color="auto"/>
        <w:left w:val="none" w:sz="0" w:space="0" w:color="auto"/>
        <w:bottom w:val="none" w:sz="0" w:space="0" w:color="auto"/>
        <w:right w:val="none" w:sz="0" w:space="0" w:color="auto"/>
      </w:divBdr>
    </w:div>
    <w:div w:id="89667367">
      <w:bodyDiv w:val="1"/>
      <w:marLeft w:val="0"/>
      <w:marRight w:val="0"/>
      <w:marTop w:val="0"/>
      <w:marBottom w:val="0"/>
      <w:divBdr>
        <w:top w:val="none" w:sz="0" w:space="0" w:color="auto"/>
        <w:left w:val="none" w:sz="0" w:space="0" w:color="auto"/>
        <w:bottom w:val="none" w:sz="0" w:space="0" w:color="auto"/>
        <w:right w:val="none" w:sz="0" w:space="0" w:color="auto"/>
      </w:divBdr>
    </w:div>
    <w:div w:id="92946341">
      <w:bodyDiv w:val="1"/>
      <w:marLeft w:val="0"/>
      <w:marRight w:val="0"/>
      <w:marTop w:val="0"/>
      <w:marBottom w:val="0"/>
      <w:divBdr>
        <w:top w:val="none" w:sz="0" w:space="0" w:color="auto"/>
        <w:left w:val="none" w:sz="0" w:space="0" w:color="auto"/>
        <w:bottom w:val="none" w:sz="0" w:space="0" w:color="auto"/>
        <w:right w:val="none" w:sz="0" w:space="0" w:color="auto"/>
      </w:divBdr>
    </w:div>
    <w:div w:id="109856910">
      <w:bodyDiv w:val="1"/>
      <w:marLeft w:val="0"/>
      <w:marRight w:val="0"/>
      <w:marTop w:val="0"/>
      <w:marBottom w:val="0"/>
      <w:divBdr>
        <w:top w:val="none" w:sz="0" w:space="0" w:color="auto"/>
        <w:left w:val="none" w:sz="0" w:space="0" w:color="auto"/>
        <w:bottom w:val="none" w:sz="0" w:space="0" w:color="auto"/>
        <w:right w:val="none" w:sz="0" w:space="0" w:color="auto"/>
      </w:divBdr>
    </w:div>
    <w:div w:id="112479735">
      <w:bodyDiv w:val="1"/>
      <w:marLeft w:val="0"/>
      <w:marRight w:val="0"/>
      <w:marTop w:val="0"/>
      <w:marBottom w:val="0"/>
      <w:divBdr>
        <w:top w:val="none" w:sz="0" w:space="0" w:color="auto"/>
        <w:left w:val="none" w:sz="0" w:space="0" w:color="auto"/>
        <w:bottom w:val="none" w:sz="0" w:space="0" w:color="auto"/>
        <w:right w:val="none" w:sz="0" w:space="0" w:color="auto"/>
      </w:divBdr>
    </w:div>
    <w:div w:id="113906522">
      <w:bodyDiv w:val="1"/>
      <w:marLeft w:val="0"/>
      <w:marRight w:val="0"/>
      <w:marTop w:val="0"/>
      <w:marBottom w:val="0"/>
      <w:divBdr>
        <w:top w:val="none" w:sz="0" w:space="0" w:color="auto"/>
        <w:left w:val="none" w:sz="0" w:space="0" w:color="auto"/>
        <w:bottom w:val="none" w:sz="0" w:space="0" w:color="auto"/>
        <w:right w:val="none" w:sz="0" w:space="0" w:color="auto"/>
      </w:divBdr>
    </w:div>
    <w:div w:id="122191374">
      <w:bodyDiv w:val="1"/>
      <w:marLeft w:val="0"/>
      <w:marRight w:val="0"/>
      <w:marTop w:val="0"/>
      <w:marBottom w:val="0"/>
      <w:divBdr>
        <w:top w:val="none" w:sz="0" w:space="0" w:color="auto"/>
        <w:left w:val="none" w:sz="0" w:space="0" w:color="auto"/>
        <w:bottom w:val="none" w:sz="0" w:space="0" w:color="auto"/>
        <w:right w:val="none" w:sz="0" w:space="0" w:color="auto"/>
      </w:divBdr>
    </w:div>
    <w:div w:id="129790338">
      <w:bodyDiv w:val="1"/>
      <w:marLeft w:val="0"/>
      <w:marRight w:val="0"/>
      <w:marTop w:val="0"/>
      <w:marBottom w:val="0"/>
      <w:divBdr>
        <w:top w:val="none" w:sz="0" w:space="0" w:color="auto"/>
        <w:left w:val="none" w:sz="0" w:space="0" w:color="auto"/>
        <w:bottom w:val="none" w:sz="0" w:space="0" w:color="auto"/>
        <w:right w:val="none" w:sz="0" w:space="0" w:color="auto"/>
      </w:divBdr>
    </w:div>
    <w:div w:id="137888138">
      <w:bodyDiv w:val="1"/>
      <w:marLeft w:val="0"/>
      <w:marRight w:val="0"/>
      <w:marTop w:val="0"/>
      <w:marBottom w:val="0"/>
      <w:divBdr>
        <w:top w:val="none" w:sz="0" w:space="0" w:color="auto"/>
        <w:left w:val="none" w:sz="0" w:space="0" w:color="auto"/>
        <w:bottom w:val="none" w:sz="0" w:space="0" w:color="auto"/>
        <w:right w:val="none" w:sz="0" w:space="0" w:color="auto"/>
      </w:divBdr>
    </w:div>
    <w:div w:id="139421104">
      <w:bodyDiv w:val="1"/>
      <w:marLeft w:val="0"/>
      <w:marRight w:val="0"/>
      <w:marTop w:val="0"/>
      <w:marBottom w:val="0"/>
      <w:divBdr>
        <w:top w:val="none" w:sz="0" w:space="0" w:color="auto"/>
        <w:left w:val="none" w:sz="0" w:space="0" w:color="auto"/>
        <w:bottom w:val="none" w:sz="0" w:space="0" w:color="auto"/>
        <w:right w:val="none" w:sz="0" w:space="0" w:color="auto"/>
      </w:divBdr>
    </w:div>
    <w:div w:id="141390547">
      <w:bodyDiv w:val="1"/>
      <w:marLeft w:val="0"/>
      <w:marRight w:val="0"/>
      <w:marTop w:val="0"/>
      <w:marBottom w:val="0"/>
      <w:divBdr>
        <w:top w:val="none" w:sz="0" w:space="0" w:color="auto"/>
        <w:left w:val="none" w:sz="0" w:space="0" w:color="auto"/>
        <w:bottom w:val="none" w:sz="0" w:space="0" w:color="auto"/>
        <w:right w:val="none" w:sz="0" w:space="0" w:color="auto"/>
      </w:divBdr>
    </w:div>
    <w:div w:id="141506341">
      <w:bodyDiv w:val="1"/>
      <w:marLeft w:val="0"/>
      <w:marRight w:val="0"/>
      <w:marTop w:val="0"/>
      <w:marBottom w:val="0"/>
      <w:divBdr>
        <w:top w:val="none" w:sz="0" w:space="0" w:color="auto"/>
        <w:left w:val="none" w:sz="0" w:space="0" w:color="auto"/>
        <w:bottom w:val="none" w:sz="0" w:space="0" w:color="auto"/>
        <w:right w:val="none" w:sz="0" w:space="0" w:color="auto"/>
      </w:divBdr>
    </w:div>
    <w:div w:id="147289569">
      <w:bodyDiv w:val="1"/>
      <w:marLeft w:val="0"/>
      <w:marRight w:val="0"/>
      <w:marTop w:val="0"/>
      <w:marBottom w:val="0"/>
      <w:divBdr>
        <w:top w:val="none" w:sz="0" w:space="0" w:color="auto"/>
        <w:left w:val="none" w:sz="0" w:space="0" w:color="auto"/>
        <w:bottom w:val="none" w:sz="0" w:space="0" w:color="auto"/>
        <w:right w:val="none" w:sz="0" w:space="0" w:color="auto"/>
      </w:divBdr>
    </w:div>
    <w:div w:id="158817510">
      <w:bodyDiv w:val="1"/>
      <w:marLeft w:val="0"/>
      <w:marRight w:val="0"/>
      <w:marTop w:val="0"/>
      <w:marBottom w:val="0"/>
      <w:divBdr>
        <w:top w:val="none" w:sz="0" w:space="0" w:color="auto"/>
        <w:left w:val="none" w:sz="0" w:space="0" w:color="auto"/>
        <w:bottom w:val="none" w:sz="0" w:space="0" w:color="auto"/>
        <w:right w:val="none" w:sz="0" w:space="0" w:color="auto"/>
      </w:divBdr>
    </w:div>
    <w:div w:id="177040914">
      <w:bodyDiv w:val="1"/>
      <w:marLeft w:val="0"/>
      <w:marRight w:val="0"/>
      <w:marTop w:val="0"/>
      <w:marBottom w:val="0"/>
      <w:divBdr>
        <w:top w:val="none" w:sz="0" w:space="0" w:color="auto"/>
        <w:left w:val="none" w:sz="0" w:space="0" w:color="auto"/>
        <w:bottom w:val="none" w:sz="0" w:space="0" w:color="auto"/>
        <w:right w:val="none" w:sz="0" w:space="0" w:color="auto"/>
      </w:divBdr>
    </w:div>
    <w:div w:id="183175784">
      <w:bodyDiv w:val="1"/>
      <w:marLeft w:val="0"/>
      <w:marRight w:val="0"/>
      <w:marTop w:val="0"/>
      <w:marBottom w:val="0"/>
      <w:divBdr>
        <w:top w:val="none" w:sz="0" w:space="0" w:color="auto"/>
        <w:left w:val="none" w:sz="0" w:space="0" w:color="auto"/>
        <w:bottom w:val="none" w:sz="0" w:space="0" w:color="auto"/>
        <w:right w:val="none" w:sz="0" w:space="0" w:color="auto"/>
      </w:divBdr>
    </w:div>
    <w:div w:id="191695646">
      <w:bodyDiv w:val="1"/>
      <w:marLeft w:val="0"/>
      <w:marRight w:val="0"/>
      <w:marTop w:val="0"/>
      <w:marBottom w:val="0"/>
      <w:divBdr>
        <w:top w:val="none" w:sz="0" w:space="0" w:color="auto"/>
        <w:left w:val="none" w:sz="0" w:space="0" w:color="auto"/>
        <w:bottom w:val="none" w:sz="0" w:space="0" w:color="auto"/>
        <w:right w:val="none" w:sz="0" w:space="0" w:color="auto"/>
      </w:divBdr>
    </w:div>
    <w:div w:id="194081237">
      <w:bodyDiv w:val="1"/>
      <w:marLeft w:val="0"/>
      <w:marRight w:val="0"/>
      <w:marTop w:val="0"/>
      <w:marBottom w:val="0"/>
      <w:divBdr>
        <w:top w:val="none" w:sz="0" w:space="0" w:color="auto"/>
        <w:left w:val="none" w:sz="0" w:space="0" w:color="auto"/>
        <w:bottom w:val="none" w:sz="0" w:space="0" w:color="auto"/>
        <w:right w:val="none" w:sz="0" w:space="0" w:color="auto"/>
      </w:divBdr>
    </w:div>
    <w:div w:id="214507867">
      <w:bodyDiv w:val="1"/>
      <w:marLeft w:val="0"/>
      <w:marRight w:val="0"/>
      <w:marTop w:val="0"/>
      <w:marBottom w:val="0"/>
      <w:divBdr>
        <w:top w:val="none" w:sz="0" w:space="0" w:color="auto"/>
        <w:left w:val="none" w:sz="0" w:space="0" w:color="auto"/>
        <w:bottom w:val="none" w:sz="0" w:space="0" w:color="auto"/>
        <w:right w:val="none" w:sz="0" w:space="0" w:color="auto"/>
      </w:divBdr>
    </w:div>
    <w:div w:id="225457272">
      <w:bodyDiv w:val="1"/>
      <w:marLeft w:val="0"/>
      <w:marRight w:val="0"/>
      <w:marTop w:val="0"/>
      <w:marBottom w:val="0"/>
      <w:divBdr>
        <w:top w:val="none" w:sz="0" w:space="0" w:color="auto"/>
        <w:left w:val="none" w:sz="0" w:space="0" w:color="auto"/>
        <w:bottom w:val="none" w:sz="0" w:space="0" w:color="auto"/>
        <w:right w:val="none" w:sz="0" w:space="0" w:color="auto"/>
      </w:divBdr>
    </w:div>
    <w:div w:id="231623838">
      <w:bodyDiv w:val="1"/>
      <w:marLeft w:val="0"/>
      <w:marRight w:val="0"/>
      <w:marTop w:val="0"/>
      <w:marBottom w:val="0"/>
      <w:divBdr>
        <w:top w:val="none" w:sz="0" w:space="0" w:color="auto"/>
        <w:left w:val="none" w:sz="0" w:space="0" w:color="auto"/>
        <w:bottom w:val="none" w:sz="0" w:space="0" w:color="auto"/>
        <w:right w:val="none" w:sz="0" w:space="0" w:color="auto"/>
      </w:divBdr>
    </w:div>
    <w:div w:id="232812085">
      <w:bodyDiv w:val="1"/>
      <w:marLeft w:val="0"/>
      <w:marRight w:val="0"/>
      <w:marTop w:val="0"/>
      <w:marBottom w:val="0"/>
      <w:divBdr>
        <w:top w:val="none" w:sz="0" w:space="0" w:color="auto"/>
        <w:left w:val="none" w:sz="0" w:space="0" w:color="auto"/>
        <w:bottom w:val="none" w:sz="0" w:space="0" w:color="auto"/>
        <w:right w:val="none" w:sz="0" w:space="0" w:color="auto"/>
      </w:divBdr>
    </w:div>
    <w:div w:id="236785995">
      <w:bodyDiv w:val="1"/>
      <w:marLeft w:val="0"/>
      <w:marRight w:val="0"/>
      <w:marTop w:val="0"/>
      <w:marBottom w:val="0"/>
      <w:divBdr>
        <w:top w:val="none" w:sz="0" w:space="0" w:color="auto"/>
        <w:left w:val="none" w:sz="0" w:space="0" w:color="auto"/>
        <w:bottom w:val="none" w:sz="0" w:space="0" w:color="auto"/>
        <w:right w:val="none" w:sz="0" w:space="0" w:color="auto"/>
      </w:divBdr>
    </w:div>
    <w:div w:id="241183523">
      <w:bodyDiv w:val="1"/>
      <w:marLeft w:val="0"/>
      <w:marRight w:val="0"/>
      <w:marTop w:val="0"/>
      <w:marBottom w:val="0"/>
      <w:divBdr>
        <w:top w:val="none" w:sz="0" w:space="0" w:color="auto"/>
        <w:left w:val="none" w:sz="0" w:space="0" w:color="auto"/>
        <w:bottom w:val="none" w:sz="0" w:space="0" w:color="auto"/>
        <w:right w:val="none" w:sz="0" w:space="0" w:color="auto"/>
      </w:divBdr>
    </w:div>
    <w:div w:id="249200453">
      <w:bodyDiv w:val="1"/>
      <w:marLeft w:val="0"/>
      <w:marRight w:val="0"/>
      <w:marTop w:val="0"/>
      <w:marBottom w:val="0"/>
      <w:divBdr>
        <w:top w:val="none" w:sz="0" w:space="0" w:color="auto"/>
        <w:left w:val="none" w:sz="0" w:space="0" w:color="auto"/>
        <w:bottom w:val="none" w:sz="0" w:space="0" w:color="auto"/>
        <w:right w:val="none" w:sz="0" w:space="0" w:color="auto"/>
      </w:divBdr>
    </w:div>
    <w:div w:id="251284505">
      <w:bodyDiv w:val="1"/>
      <w:marLeft w:val="0"/>
      <w:marRight w:val="0"/>
      <w:marTop w:val="0"/>
      <w:marBottom w:val="0"/>
      <w:divBdr>
        <w:top w:val="none" w:sz="0" w:space="0" w:color="auto"/>
        <w:left w:val="none" w:sz="0" w:space="0" w:color="auto"/>
        <w:bottom w:val="none" w:sz="0" w:space="0" w:color="auto"/>
        <w:right w:val="none" w:sz="0" w:space="0" w:color="auto"/>
      </w:divBdr>
    </w:div>
    <w:div w:id="253250537">
      <w:bodyDiv w:val="1"/>
      <w:marLeft w:val="0"/>
      <w:marRight w:val="0"/>
      <w:marTop w:val="0"/>
      <w:marBottom w:val="0"/>
      <w:divBdr>
        <w:top w:val="none" w:sz="0" w:space="0" w:color="auto"/>
        <w:left w:val="none" w:sz="0" w:space="0" w:color="auto"/>
        <w:bottom w:val="none" w:sz="0" w:space="0" w:color="auto"/>
        <w:right w:val="none" w:sz="0" w:space="0" w:color="auto"/>
      </w:divBdr>
    </w:div>
    <w:div w:id="255604406">
      <w:bodyDiv w:val="1"/>
      <w:marLeft w:val="0"/>
      <w:marRight w:val="0"/>
      <w:marTop w:val="0"/>
      <w:marBottom w:val="0"/>
      <w:divBdr>
        <w:top w:val="none" w:sz="0" w:space="0" w:color="auto"/>
        <w:left w:val="none" w:sz="0" w:space="0" w:color="auto"/>
        <w:bottom w:val="none" w:sz="0" w:space="0" w:color="auto"/>
        <w:right w:val="none" w:sz="0" w:space="0" w:color="auto"/>
      </w:divBdr>
    </w:div>
    <w:div w:id="263995993">
      <w:bodyDiv w:val="1"/>
      <w:marLeft w:val="0"/>
      <w:marRight w:val="0"/>
      <w:marTop w:val="0"/>
      <w:marBottom w:val="0"/>
      <w:divBdr>
        <w:top w:val="none" w:sz="0" w:space="0" w:color="auto"/>
        <w:left w:val="none" w:sz="0" w:space="0" w:color="auto"/>
        <w:bottom w:val="none" w:sz="0" w:space="0" w:color="auto"/>
        <w:right w:val="none" w:sz="0" w:space="0" w:color="auto"/>
      </w:divBdr>
    </w:div>
    <w:div w:id="270282702">
      <w:bodyDiv w:val="1"/>
      <w:marLeft w:val="0"/>
      <w:marRight w:val="0"/>
      <w:marTop w:val="0"/>
      <w:marBottom w:val="0"/>
      <w:divBdr>
        <w:top w:val="none" w:sz="0" w:space="0" w:color="auto"/>
        <w:left w:val="none" w:sz="0" w:space="0" w:color="auto"/>
        <w:bottom w:val="none" w:sz="0" w:space="0" w:color="auto"/>
        <w:right w:val="none" w:sz="0" w:space="0" w:color="auto"/>
      </w:divBdr>
    </w:div>
    <w:div w:id="276956714">
      <w:bodyDiv w:val="1"/>
      <w:marLeft w:val="0"/>
      <w:marRight w:val="0"/>
      <w:marTop w:val="0"/>
      <w:marBottom w:val="0"/>
      <w:divBdr>
        <w:top w:val="none" w:sz="0" w:space="0" w:color="auto"/>
        <w:left w:val="none" w:sz="0" w:space="0" w:color="auto"/>
        <w:bottom w:val="none" w:sz="0" w:space="0" w:color="auto"/>
        <w:right w:val="none" w:sz="0" w:space="0" w:color="auto"/>
      </w:divBdr>
    </w:div>
    <w:div w:id="286938624">
      <w:bodyDiv w:val="1"/>
      <w:marLeft w:val="0"/>
      <w:marRight w:val="0"/>
      <w:marTop w:val="0"/>
      <w:marBottom w:val="0"/>
      <w:divBdr>
        <w:top w:val="none" w:sz="0" w:space="0" w:color="auto"/>
        <w:left w:val="none" w:sz="0" w:space="0" w:color="auto"/>
        <w:bottom w:val="none" w:sz="0" w:space="0" w:color="auto"/>
        <w:right w:val="none" w:sz="0" w:space="0" w:color="auto"/>
      </w:divBdr>
    </w:div>
    <w:div w:id="299499845">
      <w:bodyDiv w:val="1"/>
      <w:marLeft w:val="0"/>
      <w:marRight w:val="0"/>
      <w:marTop w:val="0"/>
      <w:marBottom w:val="0"/>
      <w:divBdr>
        <w:top w:val="none" w:sz="0" w:space="0" w:color="auto"/>
        <w:left w:val="none" w:sz="0" w:space="0" w:color="auto"/>
        <w:bottom w:val="none" w:sz="0" w:space="0" w:color="auto"/>
        <w:right w:val="none" w:sz="0" w:space="0" w:color="auto"/>
      </w:divBdr>
    </w:div>
    <w:div w:id="318315424">
      <w:bodyDiv w:val="1"/>
      <w:marLeft w:val="0"/>
      <w:marRight w:val="0"/>
      <w:marTop w:val="0"/>
      <w:marBottom w:val="0"/>
      <w:divBdr>
        <w:top w:val="none" w:sz="0" w:space="0" w:color="auto"/>
        <w:left w:val="none" w:sz="0" w:space="0" w:color="auto"/>
        <w:bottom w:val="none" w:sz="0" w:space="0" w:color="auto"/>
        <w:right w:val="none" w:sz="0" w:space="0" w:color="auto"/>
      </w:divBdr>
    </w:div>
    <w:div w:id="324667602">
      <w:bodyDiv w:val="1"/>
      <w:marLeft w:val="0"/>
      <w:marRight w:val="0"/>
      <w:marTop w:val="0"/>
      <w:marBottom w:val="0"/>
      <w:divBdr>
        <w:top w:val="none" w:sz="0" w:space="0" w:color="auto"/>
        <w:left w:val="none" w:sz="0" w:space="0" w:color="auto"/>
        <w:bottom w:val="none" w:sz="0" w:space="0" w:color="auto"/>
        <w:right w:val="none" w:sz="0" w:space="0" w:color="auto"/>
      </w:divBdr>
    </w:div>
    <w:div w:id="329060429">
      <w:bodyDiv w:val="1"/>
      <w:marLeft w:val="0"/>
      <w:marRight w:val="0"/>
      <w:marTop w:val="0"/>
      <w:marBottom w:val="0"/>
      <w:divBdr>
        <w:top w:val="none" w:sz="0" w:space="0" w:color="auto"/>
        <w:left w:val="none" w:sz="0" w:space="0" w:color="auto"/>
        <w:bottom w:val="none" w:sz="0" w:space="0" w:color="auto"/>
        <w:right w:val="none" w:sz="0" w:space="0" w:color="auto"/>
      </w:divBdr>
    </w:div>
    <w:div w:id="337006396">
      <w:bodyDiv w:val="1"/>
      <w:marLeft w:val="0"/>
      <w:marRight w:val="0"/>
      <w:marTop w:val="0"/>
      <w:marBottom w:val="0"/>
      <w:divBdr>
        <w:top w:val="none" w:sz="0" w:space="0" w:color="auto"/>
        <w:left w:val="none" w:sz="0" w:space="0" w:color="auto"/>
        <w:bottom w:val="none" w:sz="0" w:space="0" w:color="auto"/>
        <w:right w:val="none" w:sz="0" w:space="0" w:color="auto"/>
      </w:divBdr>
    </w:div>
    <w:div w:id="350686712">
      <w:bodyDiv w:val="1"/>
      <w:marLeft w:val="0"/>
      <w:marRight w:val="0"/>
      <w:marTop w:val="0"/>
      <w:marBottom w:val="0"/>
      <w:divBdr>
        <w:top w:val="none" w:sz="0" w:space="0" w:color="auto"/>
        <w:left w:val="none" w:sz="0" w:space="0" w:color="auto"/>
        <w:bottom w:val="none" w:sz="0" w:space="0" w:color="auto"/>
        <w:right w:val="none" w:sz="0" w:space="0" w:color="auto"/>
      </w:divBdr>
    </w:div>
    <w:div w:id="351608289">
      <w:bodyDiv w:val="1"/>
      <w:marLeft w:val="0"/>
      <w:marRight w:val="0"/>
      <w:marTop w:val="0"/>
      <w:marBottom w:val="0"/>
      <w:divBdr>
        <w:top w:val="none" w:sz="0" w:space="0" w:color="auto"/>
        <w:left w:val="none" w:sz="0" w:space="0" w:color="auto"/>
        <w:bottom w:val="none" w:sz="0" w:space="0" w:color="auto"/>
        <w:right w:val="none" w:sz="0" w:space="0" w:color="auto"/>
      </w:divBdr>
    </w:div>
    <w:div w:id="359014501">
      <w:bodyDiv w:val="1"/>
      <w:marLeft w:val="0"/>
      <w:marRight w:val="0"/>
      <w:marTop w:val="0"/>
      <w:marBottom w:val="0"/>
      <w:divBdr>
        <w:top w:val="none" w:sz="0" w:space="0" w:color="auto"/>
        <w:left w:val="none" w:sz="0" w:space="0" w:color="auto"/>
        <w:bottom w:val="none" w:sz="0" w:space="0" w:color="auto"/>
        <w:right w:val="none" w:sz="0" w:space="0" w:color="auto"/>
      </w:divBdr>
    </w:div>
    <w:div w:id="359404775">
      <w:bodyDiv w:val="1"/>
      <w:marLeft w:val="0"/>
      <w:marRight w:val="0"/>
      <w:marTop w:val="0"/>
      <w:marBottom w:val="0"/>
      <w:divBdr>
        <w:top w:val="none" w:sz="0" w:space="0" w:color="auto"/>
        <w:left w:val="none" w:sz="0" w:space="0" w:color="auto"/>
        <w:bottom w:val="none" w:sz="0" w:space="0" w:color="auto"/>
        <w:right w:val="none" w:sz="0" w:space="0" w:color="auto"/>
      </w:divBdr>
    </w:div>
    <w:div w:id="375005304">
      <w:bodyDiv w:val="1"/>
      <w:marLeft w:val="0"/>
      <w:marRight w:val="0"/>
      <w:marTop w:val="0"/>
      <w:marBottom w:val="0"/>
      <w:divBdr>
        <w:top w:val="none" w:sz="0" w:space="0" w:color="auto"/>
        <w:left w:val="none" w:sz="0" w:space="0" w:color="auto"/>
        <w:bottom w:val="none" w:sz="0" w:space="0" w:color="auto"/>
        <w:right w:val="none" w:sz="0" w:space="0" w:color="auto"/>
      </w:divBdr>
    </w:div>
    <w:div w:id="376469041">
      <w:bodyDiv w:val="1"/>
      <w:marLeft w:val="0"/>
      <w:marRight w:val="0"/>
      <w:marTop w:val="0"/>
      <w:marBottom w:val="0"/>
      <w:divBdr>
        <w:top w:val="none" w:sz="0" w:space="0" w:color="auto"/>
        <w:left w:val="none" w:sz="0" w:space="0" w:color="auto"/>
        <w:bottom w:val="none" w:sz="0" w:space="0" w:color="auto"/>
        <w:right w:val="none" w:sz="0" w:space="0" w:color="auto"/>
      </w:divBdr>
    </w:div>
    <w:div w:id="380910350">
      <w:bodyDiv w:val="1"/>
      <w:marLeft w:val="0"/>
      <w:marRight w:val="0"/>
      <w:marTop w:val="0"/>
      <w:marBottom w:val="0"/>
      <w:divBdr>
        <w:top w:val="none" w:sz="0" w:space="0" w:color="auto"/>
        <w:left w:val="none" w:sz="0" w:space="0" w:color="auto"/>
        <w:bottom w:val="none" w:sz="0" w:space="0" w:color="auto"/>
        <w:right w:val="none" w:sz="0" w:space="0" w:color="auto"/>
      </w:divBdr>
    </w:div>
    <w:div w:id="383649283">
      <w:bodyDiv w:val="1"/>
      <w:marLeft w:val="0"/>
      <w:marRight w:val="0"/>
      <w:marTop w:val="0"/>
      <w:marBottom w:val="0"/>
      <w:divBdr>
        <w:top w:val="none" w:sz="0" w:space="0" w:color="auto"/>
        <w:left w:val="none" w:sz="0" w:space="0" w:color="auto"/>
        <w:bottom w:val="none" w:sz="0" w:space="0" w:color="auto"/>
        <w:right w:val="none" w:sz="0" w:space="0" w:color="auto"/>
      </w:divBdr>
    </w:div>
    <w:div w:id="394741764">
      <w:bodyDiv w:val="1"/>
      <w:marLeft w:val="0"/>
      <w:marRight w:val="0"/>
      <w:marTop w:val="0"/>
      <w:marBottom w:val="0"/>
      <w:divBdr>
        <w:top w:val="none" w:sz="0" w:space="0" w:color="auto"/>
        <w:left w:val="none" w:sz="0" w:space="0" w:color="auto"/>
        <w:bottom w:val="none" w:sz="0" w:space="0" w:color="auto"/>
        <w:right w:val="none" w:sz="0" w:space="0" w:color="auto"/>
      </w:divBdr>
    </w:div>
    <w:div w:id="398209044">
      <w:bodyDiv w:val="1"/>
      <w:marLeft w:val="0"/>
      <w:marRight w:val="0"/>
      <w:marTop w:val="0"/>
      <w:marBottom w:val="0"/>
      <w:divBdr>
        <w:top w:val="none" w:sz="0" w:space="0" w:color="auto"/>
        <w:left w:val="none" w:sz="0" w:space="0" w:color="auto"/>
        <w:bottom w:val="none" w:sz="0" w:space="0" w:color="auto"/>
        <w:right w:val="none" w:sz="0" w:space="0" w:color="auto"/>
      </w:divBdr>
    </w:div>
    <w:div w:id="417950064">
      <w:bodyDiv w:val="1"/>
      <w:marLeft w:val="0"/>
      <w:marRight w:val="0"/>
      <w:marTop w:val="0"/>
      <w:marBottom w:val="0"/>
      <w:divBdr>
        <w:top w:val="none" w:sz="0" w:space="0" w:color="auto"/>
        <w:left w:val="none" w:sz="0" w:space="0" w:color="auto"/>
        <w:bottom w:val="none" w:sz="0" w:space="0" w:color="auto"/>
        <w:right w:val="none" w:sz="0" w:space="0" w:color="auto"/>
      </w:divBdr>
    </w:div>
    <w:div w:id="427433611">
      <w:bodyDiv w:val="1"/>
      <w:marLeft w:val="0"/>
      <w:marRight w:val="0"/>
      <w:marTop w:val="0"/>
      <w:marBottom w:val="0"/>
      <w:divBdr>
        <w:top w:val="none" w:sz="0" w:space="0" w:color="auto"/>
        <w:left w:val="none" w:sz="0" w:space="0" w:color="auto"/>
        <w:bottom w:val="none" w:sz="0" w:space="0" w:color="auto"/>
        <w:right w:val="none" w:sz="0" w:space="0" w:color="auto"/>
      </w:divBdr>
    </w:div>
    <w:div w:id="429787936">
      <w:bodyDiv w:val="1"/>
      <w:marLeft w:val="0"/>
      <w:marRight w:val="0"/>
      <w:marTop w:val="0"/>
      <w:marBottom w:val="0"/>
      <w:divBdr>
        <w:top w:val="none" w:sz="0" w:space="0" w:color="auto"/>
        <w:left w:val="none" w:sz="0" w:space="0" w:color="auto"/>
        <w:bottom w:val="none" w:sz="0" w:space="0" w:color="auto"/>
        <w:right w:val="none" w:sz="0" w:space="0" w:color="auto"/>
      </w:divBdr>
    </w:div>
    <w:div w:id="431704959">
      <w:bodyDiv w:val="1"/>
      <w:marLeft w:val="0"/>
      <w:marRight w:val="0"/>
      <w:marTop w:val="0"/>
      <w:marBottom w:val="0"/>
      <w:divBdr>
        <w:top w:val="none" w:sz="0" w:space="0" w:color="auto"/>
        <w:left w:val="none" w:sz="0" w:space="0" w:color="auto"/>
        <w:bottom w:val="none" w:sz="0" w:space="0" w:color="auto"/>
        <w:right w:val="none" w:sz="0" w:space="0" w:color="auto"/>
      </w:divBdr>
    </w:div>
    <w:div w:id="441456272">
      <w:bodyDiv w:val="1"/>
      <w:marLeft w:val="0"/>
      <w:marRight w:val="0"/>
      <w:marTop w:val="0"/>
      <w:marBottom w:val="0"/>
      <w:divBdr>
        <w:top w:val="none" w:sz="0" w:space="0" w:color="auto"/>
        <w:left w:val="none" w:sz="0" w:space="0" w:color="auto"/>
        <w:bottom w:val="none" w:sz="0" w:space="0" w:color="auto"/>
        <w:right w:val="none" w:sz="0" w:space="0" w:color="auto"/>
      </w:divBdr>
    </w:div>
    <w:div w:id="456140908">
      <w:bodyDiv w:val="1"/>
      <w:marLeft w:val="0"/>
      <w:marRight w:val="0"/>
      <w:marTop w:val="0"/>
      <w:marBottom w:val="0"/>
      <w:divBdr>
        <w:top w:val="none" w:sz="0" w:space="0" w:color="auto"/>
        <w:left w:val="none" w:sz="0" w:space="0" w:color="auto"/>
        <w:bottom w:val="none" w:sz="0" w:space="0" w:color="auto"/>
        <w:right w:val="none" w:sz="0" w:space="0" w:color="auto"/>
      </w:divBdr>
    </w:div>
    <w:div w:id="457459115">
      <w:bodyDiv w:val="1"/>
      <w:marLeft w:val="0"/>
      <w:marRight w:val="0"/>
      <w:marTop w:val="0"/>
      <w:marBottom w:val="0"/>
      <w:divBdr>
        <w:top w:val="none" w:sz="0" w:space="0" w:color="auto"/>
        <w:left w:val="none" w:sz="0" w:space="0" w:color="auto"/>
        <w:bottom w:val="none" w:sz="0" w:space="0" w:color="auto"/>
        <w:right w:val="none" w:sz="0" w:space="0" w:color="auto"/>
      </w:divBdr>
    </w:div>
    <w:div w:id="470514771">
      <w:bodyDiv w:val="1"/>
      <w:marLeft w:val="0"/>
      <w:marRight w:val="0"/>
      <w:marTop w:val="0"/>
      <w:marBottom w:val="0"/>
      <w:divBdr>
        <w:top w:val="none" w:sz="0" w:space="0" w:color="auto"/>
        <w:left w:val="none" w:sz="0" w:space="0" w:color="auto"/>
        <w:bottom w:val="none" w:sz="0" w:space="0" w:color="auto"/>
        <w:right w:val="none" w:sz="0" w:space="0" w:color="auto"/>
      </w:divBdr>
    </w:div>
    <w:div w:id="478768624">
      <w:bodyDiv w:val="1"/>
      <w:marLeft w:val="0"/>
      <w:marRight w:val="0"/>
      <w:marTop w:val="0"/>
      <w:marBottom w:val="0"/>
      <w:divBdr>
        <w:top w:val="none" w:sz="0" w:space="0" w:color="auto"/>
        <w:left w:val="none" w:sz="0" w:space="0" w:color="auto"/>
        <w:bottom w:val="none" w:sz="0" w:space="0" w:color="auto"/>
        <w:right w:val="none" w:sz="0" w:space="0" w:color="auto"/>
      </w:divBdr>
    </w:div>
    <w:div w:id="482938126">
      <w:bodyDiv w:val="1"/>
      <w:marLeft w:val="0"/>
      <w:marRight w:val="0"/>
      <w:marTop w:val="0"/>
      <w:marBottom w:val="0"/>
      <w:divBdr>
        <w:top w:val="none" w:sz="0" w:space="0" w:color="auto"/>
        <w:left w:val="none" w:sz="0" w:space="0" w:color="auto"/>
        <w:bottom w:val="none" w:sz="0" w:space="0" w:color="auto"/>
        <w:right w:val="none" w:sz="0" w:space="0" w:color="auto"/>
      </w:divBdr>
    </w:div>
    <w:div w:id="487477662">
      <w:bodyDiv w:val="1"/>
      <w:marLeft w:val="0"/>
      <w:marRight w:val="0"/>
      <w:marTop w:val="0"/>
      <w:marBottom w:val="0"/>
      <w:divBdr>
        <w:top w:val="none" w:sz="0" w:space="0" w:color="auto"/>
        <w:left w:val="none" w:sz="0" w:space="0" w:color="auto"/>
        <w:bottom w:val="none" w:sz="0" w:space="0" w:color="auto"/>
        <w:right w:val="none" w:sz="0" w:space="0" w:color="auto"/>
      </w:divBdr>
    </w:div>
    <w:div w:id="507445329">
      <w:bodyDiv w:val="1"/>
      <w:marLeft w:val="0"/>
      <w:marRight w:val="0"/>
      <w:marTop w:val="0"/>
      <w:marBottom w:val="0"/>
      <w:divBdr>
        <w:top w:val="none" w:sz="0" w:space="0" w:color="auto"/>
        <w:left w:val="none" w:sz="0" w:space="0" w:color="auto"/>
        <w:bottom w:val="none" w:sz="0" w:space="0" w:color="auto"/>
        <w:right w:val="none" w:sz="0" w:space="0" w:color="auto"/>
      </w:divBdr>
    </w:div>
    <w:div w:id="518083120">
      <w:bodyDiv w:val="1"/>
      <w:marLeft w:val="0"/>
      <w:marRight w:val="0"/>
      <w:marTop w:val="0"/>
      <w:marBottom w:val="0"/>
      <w:divBdr>
        <w:top w:val="none" w:sz="0" w:space="0" w:color="auto"/>
        <w:left w:val="none" w:sz="0" w:space="0" w:color="auto"/>
        <w:bottom w:val="none" w:sz="0" w:space="0" w:color="auto"/>
        <w:right w:val="none" w:sz="0" w:space="0" w:color="auto"/>
      </w:divBdr>
    </w:div>
    <w:div w:id="536282746">
      <w:bodyDiv w:val="1"/>
      <w:marLeft w:val="0"/>
      <w:marRight w:val="0"/>
      <w:marTop w:val="0"/>
      <w:marBottom w:val="0"/>
      <w:divBdr>
        <w:top w:val="none" w:sz="0" w:space="0" w:color="auto"/>
        <w:left w:val="none" w:sz="0" w:space="0" w:color="auto"/>
        <w:bottom w:val="none" w:sz="0" w:space="0" w:color="auto"/>
        <w:right w:val="none" w:sz="0" w:space="0" w:color="auto"/>
      </w:divBdr>
    </w:div>
    <w:div w:id="549878920">
      <w:bodyDiv w:val="1"/>
      <w:marLeft w:val="0"/>
      <w:marRight w:val="0"/>
      <w:marTop w:val="0"/>
      <w:marBottom w:val="0"/>
      <w:divBdr>
        <w:top w:val="none" w:sz="0" w:space="0" w:color="auto"/>
        <w:left w:val="none" w:sz="0" w:space="0" w:color="auto"/>
        <w:bottom w:val="none" w:sz="0" w:space="0" w:color="auto"/>
        <w:right w:val="none" w:sz="0" w:space="0" w:color="auto"/>
      </w:divBdr>
    </w:div>
    <w:div w:id="555431363">
      <w:bodyDiv w:val="1"/>
      <w:marLeft w:val="0"/>
      <w:marRight w:val="0"/>
      <w:marTop w:val="0"/>
      <w:marBottom w:val="0"/>
      <w:divBdr>
        <w:top w:val="none" w:sz="0" w:space="0" w:color="auto"/>
        <w:left w:val="none" w:sz="0" w:space="0" w:color="auto"/>
        <w:bottom w:val="none" w:sz="0" w:space="0" w:color="auto"/>
        <w:right w:val="none" w:sz="0" w:space="0" w:color="auto"/>
      </w:divBdr>
    </w:div>
    <w:div w:id="558514618">
      <w:bodyDiv w:val="1"/>
      <w:marLeft w:val="0"/>
      <w:marRight w:val="0"/>
      <w:marTop w:val="0"/>
      <w:marBottom w:val="0"/>
      <w:divBdr>
        <w:top w:val="none" w:sz="0" w:space="0" w:color="auto"/>
        <w:left w:val="none" w:sz="0" w:space="0" w:color="auto"/>
        <w:bottom w:val="none" w:sz="0" w:space="0" w:color="auto"/>
        <w:right w:val="none" w:sz="0" w:space="0" w:color="auto"/>
      </w:divBdr>
    </w:div>
    <w:div w:id="568200452">
      <w:bodyDiv w:val="1"/>
      <w:marLeft w:val="0"/>
      <w:marRight w:val="0"/>
      <w:marTop w:val="0"/>
      <w:marBottom w:val="0"/>
      <w:divBdr>
        <w:top w:val="none" w:sz="0" w:space="0" w:color="auto"/>
        <w:left w:val="none" w:sz="0" w:space="0" w:color="auto"/>
        <w:bottom w:val="none" w:sz="0" w:space="0" w:color="auto"/>
        <w:right w:val="none" w:sz="0" w:space="0" w:color="auto"/>
      </w:divBdr>
    </w:div>
    <w:div w:id="572085904">
      <w:bodyDiv w:val="1"/>
      <w:marLeft w:val="0"/>
      <w:marRight w:val="0"/>
      <w:marTop w:val="0"/>
      <w:marBottom w:val="0"/>
      <w:divBdr>
        <w:top w:val="none" w:sz="0" w:space="0" w:color="auto"/>
        <w:left w:val="none" w:sz="0" w:space="0" w:color="auto"/>
        <w:bottom w:val="none" w:sz="0" w:space="0" w:color="auto"/>
        <w:right w:val="none" w:sz="0" w:space="0" w:color="auto"/>
      </w:divBdr>
    </w:div>
    <w:div w:id="573592278">
      <w:bodyDiv w:val="1"/>
      <w:marLeft w:val="0"/>
      <w:marRight w:val="0"/>
      <w:marTop w:val="0"/>
      <w:marBottom w:val="0"/>
      <w:divBdr>
        <w:top w:val="none" w:sz="0" w:space="0" w:color="auto"/>
        <w:left w:val="none" w:sz="0" w:space="0" w:color="auto"/>
        <w:bottom w:val="none" w:sz="0" w:space="0" w:color="auto"/>
        <w:right w:val="none" w:sz="0" w:space="0" w:color="auto"/>
      </w:divBdr>
    </w:div>
    <w:div w:id="575945418">
      <w:bodyDiv w:val="1"/>
      <w:marLeft w:val="0"/>
      <w:marRight w:val="0"/>
      <w:marTop w:val="0"/>
      <w:marBottom w:val="0"/>
      <w:divBdr>
        <w:top w:val="none" w:sz="0" w:space="0" w:color="auto"/>
        <w:left w:val="none" w:sz="0" w:space="0" w:color="auto"/>
        <w:bottom w:val="none" w:sz="0" w:space="0" w:color="auto"/>
        <w:right w:val="none" w:sz="0" w:space="0" w:color="auto"/>
      </w:divBdr>
    </w:div>
    <w:div w:id="587159313">
      <w:bodyDiv w:val="1"/>
      <w:marLeft w:val="0"/>
      <w:marRight w:val="0"/>
      <w:marTop w:val="0"/>
      <w:marBottom w:val="0"/>
      <w:divBdr>
        <w:top w:val="none" w:sz="0" w:space="0" w:color="auto"/>
        <w:left w:val="none" w:sz="0" w:space="0" w:color="auto"/>
        <w:bottom w:val="none" w:sz="0" w:space="0" w:color="auto"/>
        <w:right w:val="none" w:sz="0" w:space="0" w:color="auto"/>
      </w:divBdr>
    </w:div>
    <w:div w:id="606158195">
      <w:bodyDiv w:val="1"/>
      <w:marLeft w:val="0"/>
      <w:marRight w:val="0"/>
      <w:marTop w:val="0"/>
      <w:marBottom w:val="0"/>
      <w:divBdr>
        <w:top w:val="none" w:sz="0" w:space="0" w:color="auto"/>
        <w:left w:val="none" w:sz="0" w:space="0" w:color="auto"/>
        <w:bottom w:val="none" w:sz="0" w:space="0" w:color="auto"/>
        <w:right w:val="none" w:sz="0" w:space="0" w:color="auto"/>
      </w:divBdr>
    </w:div>
    <w:div w:id="630088144">
      <w:bodyDiv w:val="1"/>
      <w:marLeft w:val="0"/>
      <w:marRight w:val="0"/>
      <w:marTop w:val="0"/>
      <w:marBottom w:val="0"/>
      <w:divBdr>
        <w:top w:val="none" w:sz="0" w:space="0" w:color="auto"/>
        <w:left w:val="none" w:sz="0" w:space="0" w:color="auto"/>
        <w:bottom w:val="none" w:sz="0" w:space="0" w:color="auto"/>
        <w:right w:val="none" w:sz="0" w:space="0" w:color="auto"/>
      </w:divBdr>
    </w:div>
    <w:div w:id="631906260">
      <w:bodyDiv w:val="1"/>
      <w:marLeft w:val="0"/>
      <w:marRight w:val="0"/>
      <w:marTop w:val="0"/>
      <w:marBottom w:val="0"/>
      <w:divBdr>
        <w:top w:val="none" w:sz="0" w:space="0" w:color="auto"/>
        <w:left w:val="none" w:sz="0" w:space="0" w:color="auto"/>
        <w:bottom w:val="none" w:sz="0" w:space="0" w:color="auto"/>
        <w:right w:val="none" w:sz="0" w:space="0" w:color="auto"/>
      </w:divBdr>
    </w:div>
    <w:div w:id="634481665">
      <w:bodyDiv w:val="1"/>
      <w:marLeft w:val="0"/>
      <w:marRight w:val="0"/>
      <w:marTop w:val="0"/>
      <w:marBottom w:val="0"/>
      <w:divBdr>
        <w:top w:val="none" w:sz="0" w:space="0" w:color="auto"/>
        <w:left w:val="none" w:sz="0" w:space="0" w:color="auto"/>
        <w:bottom w:val="none" w:sz="0" w:space="0" w:color="auto"/>
        <w:right w:val="none" w:sz="0" w:space="0" w:color="auto"/>
      </w:divBdr>
    </w:div>
    <w:div w:id="635987153">
      <w:bodyDiv w:val="1"/>
      <w:marLeft w:val="0"/>
      <w:marRight w:val="0"/>
      <w:marTop w:val="0"/>
      <w:marBottom w:val="0"/>
      <w:divBdr>
        <w:top w:val="none" w:sz="0" w:space="0" w:color="auto"/>
        <w:left w:val="none" w:sz="0" w:space="0" w:color="auto"/>
        <w:bottom w:val="none" w:sz="0" w:space="0" w:color="auto"/>
        <w:right w:val="none" w:sz="0" w:space="0" w:color="auto"/>
      </w:divBdr>
    </w:div>
    <w:div w:id="641740198">
      <w:bodyDiv w:val="1"/>
      <w:marLeft w:val="0"/>
      <w:marRight w:val="0"/>
      <w:marTop w:val="0"/>
      <w:marBottom w:val="0"/>
      <w:divBdr>
        <w:top w:val="none" w:sz="0" w:space="0" w:color="auto"/>
        <w:left w:val="none" w:sz="0" w:space="0" w:color="auto"/>
        <w:bottom w:val="none" w:sz="0" w:space="0" w:color="auto"/>
        <w:right w:val="none" w:sz="0" w:space="0" w:color="auto"/>
      </w:divBdr>
    </w:div>
    <w:div w:id="642347745">
      <w:bodyDiv w:val="1"/>
      <w:marLeft w:val="0"/>
      <w:marRight w:val="0"/>
      <w:marTop w:val="0"/>
      <w:marBottom w:val="0"/>
      <w:divBdr>
        <w:top w:val="none" w:sz="0" w:space="0" w:color="auto"/>
        <w:left w:val="none" w:sz="0" w:space="0" w:color="auto"/>
        <w:bottom w:val="none" w:sz="0" w:space="0" w:color="auto"/>
        <w:right w:val="none" w:sz="0" w:space="0" w:color="auto"/>
      </w:divBdr>
    </w:div>
    <w:div w:id="652874235">
      <w:bodyDiv w:val="1"/>
      <w:marLeft w:val="0"/>
      <w:marRight w:val="0"/>
      <w:marTop w:val="0"/>
      <w:marBottom w:val="0"/>
      <w:divBdr>
        <w:top w:val="none" w:sz="0" w:space="0" w:color="auto"/>
        <w:left w:val="none" w:sz="0" w:space="0" w:color="auto"/>
        <w:bottom w:val="none" w:sz="0" w:space="0" w:color="auto"/>
        <w:right w:val="none" w:sz="0" w:space="0" w:color="auto"/>
      </w:divBdr>
    </w:div>
    <w:div w:id="657342480">
      <w:bodyDiv w:val="1"/>
      <w:marLeft w:val="0"/>
      <w:marRight w:val="0"/>
      <w:marTop w:val="0"/>
      <w:marBottom w:val="0"/>
      <w:divBdr>
        <w:top w:val="none" w:sz="0" w:space="0" w:color="auto"/>
        <w:left w:val="none" w:sz="0" w:space="0" w:color="auto"/>
        <w:bottom w:val="none" w:sz="0" w:space="0" w:color="auto"/>
        <w:right w:val="none" w:sz="0" w:space="0" w:color="auto"/>
      </w:divBdr>
    </w:div>
    <w:div w:id="657684667">
      <w:bodyDiv w:val="1"/>
      <w:marLeft w:val="0"/>
      <w:marRight w:val="0"/>
      <w:marTop w:val="0"/>
      <w:marBottom w:val="0"/>
      <w:divBdr>
        <w:top w:val="none" w:sz="0" w:space="0" w:color="auto"/>
        <w:left w:val="none" w:sz="0" w:space="0" w:color="auto"/>
        <w:bottom w:val="none" w:sz="0" w:space="0" w:color="auto"/>
        <w:right w:val="none" w:sz="0" w:space="0" w:color="auto"/>
      </w:divBdr>
    </w:div>
    <w:div w:id="660735179">
      <w:bodyDiv w:val="1"/>
      <w:marLeft w:val="0"/>
      <w:marRight w:val="0"/>
      <w:marTop w:val="0"/>
      <w:marBottom w:val="0"/>
      <w:divBdr>
        <w:top w:val="none" w:sz="0" w:space="0" w:color="auto"/>
        <w:left w:val="none" w:sz="0" w:space="0" w:color="auto"/>
        <w:bottom w:val="none" w:sz="0" w:space="0" w:color="auto"/>
        <w:right w:val="none" w:sz="0" w:space="0" w:color="auto"/>
      </w:divBdr>
    </w:div>
    <w:div w:id="663123295">
      <w:bodyDiv w:val="1"/>
      <w:marLeft w:val="0"/>
      <w:marRight w:val="0"/>
      <w:marTop w:val="0"/>
      <w:marBottom w:val="0"/>
      <w:divBdr>
        <w:top w:val="none" w:sz="0" w:space="0" w:color="auto"/>
        <w:left w:val="none" w:sz="0" w:space="0" w:color="auto"/>
        <w:bottom w:val="none" w:sz="0" w:space="0" w:color="auto"/>
        <w:right w:val="none" w:sz="0" w:space="0" w:color="auto"/>
      </w:divBdr>
    </w:div>
    <w:div w:id="666179053">
      <w:bodyDiv w:val="1"/>
      <w:marLeft w:val="0"/>
      <w:marRight w:val="0"/>
      <w:marTop w:val="0"/>
      <w:marBottom w:val="0"/>
      <w:divBdr>
        <w:top w:val="none" w:sz="0" w:space="0" w:color="auto"/>
        <w:left w:val="none" w:sz="0" w:space="0" w:color="auto"/>
        <w:bottom w:val="none" w:sz="0" w:space="0" w:color="auto"/>
        <w:right w:val="none" w:sz="0" w:space="0" w:color="auto"/>
      </w:divBdr>
    </w:div>
    <w:div w:id="667636862">
      <w:bodyDiv w:val="1"/>
      <w:marLeft w:val="0"/>
      <w:marRight w:val="0"/>
      <w:marTop w:val="0"/>
      <w:marBottom w:val="0"/>
      <w:divBdr>
        <w:top w:val="none" w:sz="0" w:space="0" w:color="auto"/>
        <w:left w:val="none" w:sz="0" w:space="0" w:color="auto"/>
        <w:bottom w:val="none" w:sz="0" w:space="0" w:color="auto"/>
        <w:right w:val="none" w:sz="0" w:space="0" w:color="auto"/>
      </w:divBdr>
    </w:div>
    <w:div w:id="670253300">
      <w:bodyDiv w:val="1"/>
      <w:marLeft w:val="0"/>
      <w:marRight w:val="0"/>
      <w:marTop w:val="0"/>
      <w:marBottom w:val="0"/>
      <w:divBdr>
        <w:top w:val="none" w:sz="0" w:space="0" w:color="auto"/>
        <w:left w:val="none" w:sz="0" w:space="0" w:color="auto"/>
        <w:bottom w:val="none" w:sz="0" w:space="0" w:color="auto"/>
        <w:right w:val="none" w:sz="0" w:space="0" w:color="auto"/>
      </w:divBdr>
    </w:div>
    <w:div w:id="670790013">
      <w:bodyDiv w:val="1"/>
      <w:marLeft w:val="0"/>
      <w:marRight w:val="0"/>
      <w:marTop w:val="0"/>
      <w:marBottom w:val="0"/>
      <w:divBdr>
        <w:top w:val="none" w:sz="0" w:space="0" w:color="auto"/>
        <w:left w:val="none" w:sz="0" w:space="0" w:color="auto"/>
        <w:bottom w:val="none" w:sz="0" w:space="0" w:color="auto"/>
        <w:right w:val="none" w:sz="0" w:space="0" w:color="auto"/>
      </w:divBdr>
    </w:div>
    <w:div w:id="671642351">
      <w:bodyDiv w:val="1"/>
      <w:marLeft w:val="0"/>
      <w:marRight w:val="0"/>
      <w:marTop w:val="0"/>
      <w:marBottom w:val="0"/>
      <w:divBdr>
        <w:top w:val="none" w:sz="0" w:space="0" w:color="auto"/>
        <w:left w:val="none" w:sz="0" w:space="0" w:color="auto"/>
        <w:bottom w:val="none" w:sz="0" w:space="0" w:color="auto"/>
        <w:right w:val="none" w:sz="0" w:space="0" w:color="auto"/>
      </w:divBdr>
    </w:div>
    <w:div w:id="671832759">
      <w:bodyDiv w:val="1"/>
      <w:marLeft w:val="0"/>
      <w:marRight w:val="0"/>
      <w:marTop w:val="0"/>
      <w:marBottom w:val="0"/>
      <w:divBdr>
        <w:top w:val="none" w:sz="0" w:space="0" w:color="auto"/>
        <w:left w:val="none" w:sz="0" w:space="0" w:color="auto"/>
        <w:bottom w:val="none" w:sz="0" w:space="0" w:color="auto"/>
        <w:right w:val="none" w:sz="0" w:space="0" w:color="auto"/>
      </w:divBdr>
    </w:div>
    <w:div w:id="673729323">
      <w:bodyDiv w:val="1"/>
      <w:marLeft w:val="0"/>
      <w:marRight w:val="0"/>
      <w:marTop w:val="0"/>
      <w:marBottom w:val="0"/>
      <w:divBdr>
        <w:top w:val="none" w:sz="0" w:space="0" w:color="auto"/>
        <w:left w:val="none" w:sz="0" w:space="0" w:color="auto"/>
        <w:bottom w:val="none" w:sz="0" w:space="0" w:color="auto"/>
        <w:right w:val="none" w:sz="0" w:space="0" w:color="auto"/>
      </w:divBdr>
    </w:div>
    <w:div w:id="676690273">
      <w:bodyDiv w:val="1"/>
      <w:marLeft w:val="0"/>
      <w:marRight w:val="0"/>
      <w:marTop w:val="0"/>
      <w:marBottom w:val="0"/>
      <w:divBdr>
        <w:top w:val="none" w:sz="0" w:space="0" w:color="auto"/>
        <w:left w:val="none" w:sz="0" w:space="0" w:color="auto"/>
        <w:bottom w:val="none" w:sz="0" w:space="0" w:color="auto"/>
        <w:right w:val="none" w:sz="0" w:space="0" w:color="auto"/>
      </w:divBdr>
    </w:div>
    <w:div w:id="687027040">
      <w:bodyDiv w:val="1"/>
      <w:marLeft w:val="0"/>
      <w:marRight w:val="0"/>
      <w:marTop w:val="0"/>
      <w:marBottom w:val="0"/>
      <w:divBdr>
        <w:top w:val="none" w:sz="0" w:space="0" w:color="auto"/>
        <w:left w:val="none" w:sz="0" w:space="0" w:color="auto"/>
        <w:bottom w:val="none" w:sz="0" w:space="0" w:color="auto"/>
        <w:right w:val="none" w:sz="0" w:space="0" w:color="auto"/>
      </w:divBdr>
    </w:div>
    <w:div w:id="687607670">
      <w:bodyDiv w:val="1"/>
      <w:marLeft w:val="0"/>
      <w:marRight w:val="0"/>
      <w:marTop w:val="0"/>
      <w:marBottom w:val="0"/>
      <w:divBdr>
        <w:top w:val="none" w:sz="0" w:space="0" w:color="auto"/>
        <w:left w:val="none" w:sz="0" w:space="0" w:color="auto"/>
        <w:bottom w:val="none" w:sz="0" w:space="0" w:color="auto"/>
        <w:right w:val="none" w:sz="0" w:space="0" w:color="auto"/>
      </w:divBdr>
    </w:div>
    <w:div w:id="695614858">
      <w:bodyDiv w:val="1"/>
      <w:marLeft w:val="0"/>
      <w:marRight w:val="0"/>
      <w:marTop w:val="0"/>
      <w:marBottom w:val="0"/>
      <w:divBdr>
        <w:top w:val="none" w:sz="0" w:space="0" w:color="auto"/>
        <w:left w:val="none" w:sz="0" w:space="0" w:color="auto"/>
        <w:bottom w:val="none" w:sz="0" w:space="0" w:color="auto"/>
        <w:right w:val="none" w:sz="0" w:space="0" w:color="auto"/>
      </w:divBdr>
    </w:div>
    <w:div w:id="703939830">
      <w:bodyDiv w:val="1"/>
      <w:marLeft w:val="0"/>
      <w:marRight w:val="0"/>
      <w:marTop w:val="0"/>
      <w:marBottom w:val="0"/>
      <w:divBdr>
        <w:top w:val="none" w:sz="0" w:space="0" w:color="auto"/>
        <w:left w:val="none" w:sz="0" w:space="0" w:color="auto"/>
        <w:bottom w:val="none" w:sz="0" w:space="0" w:color="auto"/>
        <w:right w:val="none" w:sz="0" w:space="0" w:color="auto"/>
      </w:divBdr>
    </w:div>
    <w:div w:id="707335529">
      <w:bodyDiv w:val="1"/>
      <w:marLeft w:val="0"/>
      <w:marRight w:val="0"/>
      <w:marTop w:val="0"/>
      <w:marBottom w:val="0"/>
      <w:divBdr>
        <w:top w:val="none" w:sz="0" w:space="0" w:color="auto"/>
        <w:left w:val="none" w:sz="0" w:space="0" w:color="auto"/>
        <w:bottom w:val="none" w:sz="0" w:space="0" w:color="auto"/>
        <w:right w:val="none" w:sz="0" w:space="0" w:color="auto"/>
      </w:divBdr>
    </w:div>
    <w:div w:id="713190398">
      <w:bodyDiv w:val="1"/>
      <w:marLeft w:val="0"/>
      <w:marRight w:val="0"/>
      <w:marTop w:val="0"/>
      <w:marBottom w:val="0"/>
      <w:divBdr>
        <w:top w:val="none" w:sz="0" w:space="0" w:color="auto"/>
        <w:left w:val="none" w:sz="0" w:space="0" w:color="auto"/>
        <w:bottom w:val="none" w:sz="0" w:space="0" w:color="auto"/>
        <w:right w:val="none" w:sz="0" w:space="0" w:color="auto"/>
      </w:divBdr>
    </w:div>
    <w:div w:id="718288600">
      <w:bodyDiv w:val="1"/>
      <w:marLeft w:val="0"/>
      <w:marRight w:val="0"/>
      <w:marTop w:val="0"/>
      <w:marBottom w:val="0"/>
      <w:divBdr>
        <w:top w:val="none" w:sz="0" w:space="0" w:color="auto"/>
        <w:left w:val="none" w:sz="0" w:space="0" w:color="auto"/>
        <w:bottom w:val="none" w:sz="0" w:space="0" w:color="auto"/>
        <w:right w:val="none" w:sz="0" w:space="0" w:color="auto"/>
      </w:divBdr>
    </w:div>
    <w:div w:id="724255143">
      <w:bodyDiv w:val="1"/>
      <w:marLeft w:val="0"/>
      <w:marRight w:val="0"/>
      <w:marTop w:val="0"/>
      <w:marBottom w:val="0"/>
      <w:divBdr>
        <w:top w:val="none" w:sz="0" w:space="0" w:color="auto"/>
        <w:left w:val="none" w:sz="0" w:space="0" w:color="auto"/>
        <w:bottom w:val="none" w:sz="0" w:space="0" w:color="auto"/>
        <w:right w:val="none" w:sz="0" w:space="0" w:color="auto"/>
      </w:divBdr>
    </w:div>
    <w:div w:id="746460009">
      <w:bodyDiv w:val="1"/>
      <w:marLeft w:val="0"/>
      <w:marRight w:val="0"/>
      <w:marTop w:val="0"/>
      <w:marBottom w:val="0"/>
      <w:divBdr>
        <w:top w:val="none" w:sz="0" w:space="0" w:color="auto"/>
        <w:left w:val="none" w:sz="0" w:space="0" w:color="auto"/>
        <w:bottom w:val="none" w:sz="0" w:space="0" w:color="auto"/>
        <w:right w:val="none" w:sz="0" w:space="0" w:color="auto"/>
      </w:divBdr>
    </w:div>
    <w:div w:id="760177120">
      <w:bodyDiv w:val="1"/>
      <w:marLeft w:val="0"/>
      <w:marRight w:val="0"/>
      <w:marTop w:val="0"/>
      <w:marBottom w:val="0"/>
      <w:divBdr>
        <w:top w:val="none" w:sz="0" w:space="0" w:color="auto"/>
        <w:left w:val="none" w:sz="0" w:space="0" w:color="auto"/>
        <w:bottom w:val="none" w:sz="0" w:space="0" w:color="auto"/>
        <w:right w:val="none" w:sz="0" w:space="0" w:color="auto"/>
      </w:divBdr>
    </w:div>
    <w:div w:id="760444141">
      <w:bodyDiv w:val="1"/>
      <w:marLeft w:val="0"/>
      <w:marRight w:val="0"/>
      <w:marTop w:val="0"/>
      <w:marBottom w:val="0"/>
      <w:divBdr>
        <w:top w:val="none" w:sz="0" w:space="0" w:color="auto"/>
        <w:left w:val="none" w:sz="0" w:space="0" w:color="auto"/>
        <w:bottom w:val="none" w:sz="0" w:space="0" w:color="auto"/>
        <w:right w:val="none" w:sz="0" w:space="0" w:color="auto"/>
      </w:divBdr>
    </w:div>
    <w:div w:id="762066275">
      <w:bodyDiv w:val="1"/>
      <w:marLeft w:val="0"/>
      <w:marRight w:val="0"/>
      <w:marTop w:val="0"/>
      <w:marBottom w:val="0"/>
      <w:divBdr>
        <w:top w:val="none" w:sz="0" w:space="0" w:color="auto"/>
        <w:left w:val="none" w:sz="0" w:space="0" w:color="auto"/>
        <w:bottom w:val="none" w:sz="0" w:space="0" w:color="auto"/>
        <w:right w:val="none" w:sz="0" w:space="0" w:color="auto"/>
      </w:divBdr>
    </w:div>
    <w:div w:id="765731941">
      <w:bodyDiv w:val="1"/>
      <w:marLeft w:val="0"/>
      <w:marRight w:val="0"/>
      <w:marTop w:val="0"/>
      <w:marBottom w:val="0"/>
      <w:divBdr>
        <w:top w:val="none" w:sz="0" w:space="0" w:color="auto"/>
        <w:left w:val="none" w:sz="0" w:space="0" w:color="auto"/>
        <w:bottom w:val="none" w:sz="0" w:space="0" w:color="auto"/>
        <w:right w:val="none" w:sz="0" w:space="0" w:color="auto"/>
      </w:divBdr>
    </w:div>
    <w:div w:id="790241963">
      <w:bodyDiv w:val="1"/>
      <w:marLeft w:val="0"/>
      <w:marRight w:val="0"/>
      <w:marTop w:val="0"/>
      <w:marBottom w:val="0"/>
      <w:divBdr>
        <w:top w:val="none" w:sz="0" w:space="0" w:color="auto"/>
        <w:left w:val="none" w:sz="0" w:space="0" w:color="auto"/>
        <w:bottom w:val="none" w:sz="0" w:space="0" w:color="auto"/>
        <w:right w:val="none" w:sz="0" w:space="0" w:color="auto"/>
      </w:divBdr>
    </w:div>
    <w:div w:id="803278125">
      <w:bodyDiv w:val="1"/>
      <w:marLeft w:val="0"/>
      <w:marRight w:val="0"/>
      <w:marTop w:val="0"/>
      <w:marBottom w:val="0"/>
      <w:divBdr>
        <w:top w:val="none" w:sz="0" w:space="0" w:color="auto"/>
        <w:left w:val="none" w:sz="0" w:space="0" w:color="auto"/>
        <w:bottom w:val="none" w:sz="0" w:space="0" w:color="auto"/>
        <w:right w:val="none" w:sz="0" w:space="0" w:color="auto"/>
      </w:divBdr>
    </w:div>
    <w:div w:id="806511093">
      <w:bodyDiv w:val="1"/>
      <w:marLeft w:val="0"/>
      <w:marRight w:val="0"/>
      <w:marTop w:val="0"/>
      <w:marBottom w:val="0"/>
      <w:divBdr>
        <w:top w:val="none" w:sz="0" w:space="0" w:color="auto"/>
        <w:left w:val="none" w:sz="0" w:space="0" w:color="auto"/>
        <w:bottom w:val="none" w:sz="0" w:space="0" w:color="auto"/>
        <w:right w:val="none" w:sz="0" w:space="0" w:color="auto"/>
      </w:divBdr>
    </w:div>
    <w:div w:id="815728189">
      <w:bodyDiv w:val="1"/>
      <w:marLeft w:val="0"/>
      <w:marRight w:val="0"/>
      <w:marTop w:val="0"/>
      <w:marBottom w:val="0"/>
      <w:divBdr>
        <w:top w:val="none" w:sz="0" w:space="0" w:color="auto"/>
        <w:left w:val="none" w:sz="0" w:space="0" w:color="auto"/>
        <w:bottom w:val="none" w:sz="0" w:space="0" w:color="auto"/>
        <w:right w:val="none" w:sz="0" w:space="0" w:color="auto"/>
      </w:divBdr>
    </w:div>
    <w:div w:id="821894870">
      <w:bodyDiv w:val="1"/>
      <w:marLeft w:val="0"/>
      <w:marRight w:val="0"/>
      <w:marTop w:val="0"/>
      <w:marBottom w:val="0"/>
      <w:divBdr>
        <w:top w:val="none" w:sz="0" w:space="0" w:color="auto"/>
        <w:left w:val="none" w:sz="0" w:space="0" w:color="auto"/>
        <w:bottom w:val="none" w:sz="0" w:space="0" w:color="auto"/>
        <w:right w:val="none" w:sz="0" w:space="0" w:color="auto"/>
      </w:divBdr>
    </w:div>
    <w:div w:id="850531052">
      <w:bodyDiv w:val="1"/>
      <w:marLeft w:val="0"/>
      <w:marRight w:val="0"/>
      <w:marTop w:val="0"/>
      <w:marBottom w:val="0"/>
      <w:divBdr>
        <w:top w:val="none" w:sz="0" w:space="0" w:color="auto"/>
        <w:left w:val="none" w:sz="0" w:space="0" w:color="auto"/>
        <w:bottom w:val="none" w:sz="0" w:space="0" w:color="auto"/>
        <w:right w:val="none" w:sz="0" w:space="0" w:color="auto"/>
      </w:divBdr>
    </w:div>
    <w:div w:id="853227239">
      <w:bodyDiv w:val="1"/>
      <w:marLeft w:val="0"/>
      <w:marRight w:val="0"/>
      <w:marTop w:val="0"/>
      <w:marBottom w:val="0"/>
      <w:divBdr>
        <w:top w:val="none" w:sz="0" w:space="0" w:color="auto"/>
        <w:left w:val="none" w:sz="0" w:space="0" w:color="auto"/>
        <w:bottom w:val="none" w:sz="0" w:space="0" w:color="auto"/>
        <w:right w:val="none" w:sz="0" w:space="0" w:color="auto"/>
      </w:divBdr>
    </w:div>
    <w:div w:id="860126855">
      <w:bodyDiv w:val="1"/>
      <w:marLeft w:val="0"/>
      <w:marRight w:val="0"/>
      <w:marTop w:val="0"/>
      <w:marBottom w:val="0"/>
      <w:divBdr>
        <w:top w:val="none" w:sz="0" w:space="0" w:color="auto"/>
        <w:left w:val="none" w:sz="0" w:space="0" w:color="auto"/>
        <w:bottom w:val="none" w:sz="0" w:space="0" w:color="auto"/>
        <w:right w:val="none" w:sz="0" w:space="0" w:color="auto"/>
      </w:divBdr>
    </w:div>
    <w:div w:id="884174164">
      <w:bodyDiv w:val="1"/>
      <w:marLeft w:val="0"/>
      <w:marRight w:val="0"/>
      <w:marTop w:val="0"/>
      <w:marBottom w:val="0"/>
      <w:divBdr>
        <w:top w:val="none" w:sz="0" w:space="0" w:color="auto"/>
        <w:left w:val="none" w:sz="0" w:space="0" w:color="auto"/>
        <w:bottom w:val="none" w:sz="0" w:space="0" w:color="auto"/>
        <w:right w:val="none" w:sz="0" w:space="0" w:color="auto"/>
      </w:divBdr>
    </w:div>
    <w:div w:id="885526347">
      <w:bodyDiv w:val="1"/>
      <w:marLeft w:val="0"/>
      <w:marRight w:val="0"/>
      <w:marTop w:val="0"/>
      <w:marBottom w:val="0"/>
      <w:divBdr>
        <w:top w:val="none" w:sz="0" w:space="0" w:color="auto"/>
        <w:left w:val="none" w:sz="0" w:space="0" w:color="auto"/>
        <w:bottom w:val="none" w:sz="0" w:space="0" w:color="auto"/>
        <w:right w:val="none" w:sz="0" w:space="0" w:color="auto"/>
      </w:divBdr>
    </w:div>
    <w:div w:id="891622716">
      <w:bodyDiv w:val="1"/>
      <w:marLeft w:val="0"/>
      <w:marRight w:val="0"/>
      <w:marTop w:val="0"/>
      <w:marBottom w:val="0"/>
      <w:divBdr>
        <w:top w:val="none" w:sz="0" w:space="0" w:color="auto"/>
        <w:left w:val="none" w:sz="0" w:space="0" w:color="auto"/>
        <w:bottom w:val="none" w:sz="0" w:space="0" w:color="auto"/>
        <w:right w:val="none" w:sz="0" w:space="0" w:color="auto"/>
      </w:divBdr>
    </w:div>
    <w:div w:id="905646683">
      <w:bodyDiv w:val="1"/>
      <w:marLeft w:val="0"/>
      <w:marRight w:val="0"/>
      <w:marTop w:val="0"/>
      <w:marBottom w:val="0"/>
      <w:divBdr>
        <w:top w:val="none" w:sz="0" w:space="0" w:color="auto"/>
        <w:left w:val="none" w:sz="0" w:space="0" w:color="auto"/>
        <w:bottom w:val="none" w:sz="0" w:space="0" w:color="auto"/>
        <w:right w:val="none" w:sz="0" w:space="0" w:color="auto"/>
      </w:divBdr>
    </w:div>
    <w:div w:id="921912170">
      <w:bodyDiv w:val="1"/>
      <w:marLeft w:val="0"/>
      <w:marRight w:val="0"/>
      <w:marTop w:val="0"/>
      <w:marBottom w:val="0"/>
      <w:divBdr>
        <w:top w:val="none" w:sz="0" w:space="0" w:color="auto"/>
        <w:left w:val="none" w:sz="0" w:space="0" w:color="auto"/>
        <w:bottom w:val="none" w:sz="0" w:space="0" w:color="auto"/>
        <w:right w:val="none" w:sz="0" w:space="0" w:color="auto"/>
      </w:divBdr>
    </w:div>
    <w:div w:id="924148927">
      <w:bodyDiv w:val="1"/>
      <w:marLeft w:val="0"/>
      <w:marRight w:val="0"/>
      <w:marTop w:val="0"/>
      <w:marBottom w:val="0"/>
      <w:divBdr>
        <w:top w:val="none" w:sz="0" w:space="0" w:color="auto"/>
        <w:left w:val="none" w:sz="0" w:space="0" w:color="auto"/>
        <w:bottom w:val="none" w:sz="0" w:space="0" w:color="auto"/>
        <w:right w:val="none" w:sz="0" w:space="0" w:color="auto"/>
      </w:divBdr>
    </w:div>
    <w:div w:id="925726507">
      <w:bodyDiv w:val="1"/>
      <w:marLeft w:val="0"/>
      <w:marRight w:val="0"/>
      <w:marTop w:val="0"/>
      <w:marBottom w:val="0"/>
      <w:divBdr>
        <w:top w:val="none" w:sz="0" w:space="0" w:color="auto"/>
        <w:left w:val="none" w:sz="0" w:space="0" w:color="auto"/>
        <w:bottom w:val="none" w:sz="0" w:space="0" w:color="auto"/>
        <w:right w:val="none" w:sz="0" w:space="0" w:color="auto"/>
      </w:divBdr>
    </w:div>
    <w:div w:id="933904435">
      <w:bodyDiv w:val="1"/>
      <w:marLeft w:val="0"/>
      <w:marRight w:val="0"/>
      <w:marTop w:val="0"/>
      <w:marBottom w:val="0"/>
      <w:divBdr>
        <w:top w:val="none" w:sz="0" w:space="0" w:color="auto"/>
        <w:left w:val="none" w:sz="0" w:space="0" w:color="auto"/>
        <w:bottom w:val="none" w:sz="0" w:space="0" w:color="auto"/>
        <w:right w:val="none" w:sz="0" w:space="0" w:color="auto"/>
      </w:divBdr>
    </w:div>
    <w:div w:id="937326494">
      <w:bodyDiv w:val="1"/>
      <w:marLeft w:val="0"/>
      <w:marRight w:val="0"/>
      <w:marTop w:val="0"/>
      <w:marBottom w:val="0"/>
      <w:divBdr>
        <w:top w:val="none" w:sz="0" w:space="0" w:color="auto"/>
        <w:left w:val="none" w:sz="0" w:space="0" w:color="auto"/>
        <w:bottom w:val="none" w:sz="0" w:space="0" w:color="auto"/>
        <w:right w:val="none" w:sz="0" w:space="0" w:color="auto"/>
      </w:divBdr>
    </w:div>
    <w:div w:id="948003678">
      <w:bodyDiv w:val="1"/>
      <w:marLeft w:val="0"/>
      <w:marRight w:val="0"/>
      <w:marTop w:val="0"/>
      <w:marBottom w:val="0"/>
      <w:divBdr>
        <w:top w:val="none" w:sz="0" w:space="0" w:color="auto"/>
        <w:left w:val="none" w:sz="0" w:space="0" w:color="auto"/>
        <w:bottom w:val="none" w:sz="0" w:space="0" w:color="auto"/>
        <w:right w:val="none" w:sz="0" w:space="0" w:color="auto"/>
      </w:divBdr>
    </w:div>
    <w:div w:id="973145938">
      <w:bodyDiv w:val="1"/>
      <w:marLeft w:val="0"/>
      <w:marRight w:val="0"/>
      <w:marTop w:val="0"/>
      <w:marBottom w:val="0"/>
      <w:divBdr>
        <w:top w:val="none" w:sz="0" w:space="0" w:color="auto"/>
        <w:left w:val="none" w:sz="0" w:space="0" w:color="auto"/>
        <w:bottom w:val="none" w:sz="0" w:space="0" w:color="auto"/>
        <w:right w:val="none" w:sz="0" w:space="0" w:color="auto"/>
      </w:divBdr>
    </w:div>
    <w:div w:id="982348885">
      <w:bodyDiv w:val="1"/>
      <w:marLeft w:val="0"/>
      <w:marRight w:val="0"/>
      <w:marTop w:val="0"/>
      <w:marBottom w:val="0"/>
      <w:divBdr>
        <w:top w:val="none" w:sz="0" w:space="0" w:color="auto"/>
        <w:left w:val="none" w:sz="0" w:space="0" w:color="auto"/>
        <w:bottom w:val="none" w:sz="0" w:space="0" w:color="auto"/>
        <w:right w:val="none" w:sz="0" w:space="0" w:color="auto"/>
      </w:divBdr>
    </w:div>
    <w:div w:id="991298456">
      <w:bodyDiv w:val="1"/>
      <w:marLeft w:val="0"/>
      <w:marRight w:val="0"/>
      <w:marTop w:val="0"/>
      <w:marBottom w:val="0"/>
      <w:divBdr>
        <w:top w:val="none" w:sz="0" w:space="0" w:color="auto"/>
        <w:left w:val="none" w:sz="0" w:space="0" w:color="auto"/>
        <w:bottom w:val="none" w:sz="0" w:space="0" w:color="auto"/>
        <w:right w:val="none" w:sz="0" w:space="0" w:color="auto"/>
      </w:divBdr>
    </w:div>
    <w:div w:id="1004624971">
      <w:bodyDiv w:val="1"/>
      <w:marLeft w:val="0"/>
      <w:marRight w:val="0"/>
      <w:marTop w:val="0"/>
      <w:marBottom w:val="0"/>
      <w:divBdr>
        <w:top w:val="none" w:sz="0" w:space="0" w:color="auto"/>
        <w:left w:val="none" w:sz="0" w:space="0" w:color="auto"/>
        <w:bottom w:val="none" w:sz="0" w:space="0" w:color="auto"/>
        <w:right w:val="none" w:sz="0" w:space="0" w:color="auto"/>
      </w:divBdr>
    </w:div>
    <w:div w:id="1027214990">
      <w:bodyDiv w:val="1"/>
      <w:marLeft w:val="0"/>
      <w:marRight w:val="0"/>
      <w:marTop w:val="0"/>
      <w:marBottom w:val="0"/>
      <w:divBdr>
        <w:top w:val="none" w:sz="0" w:space="0" w:color="auto"/>
        <w:left w:val="none" w:sz="0" w:space="0" w:color="auto"/>
        <w:bottom w:val="none" w:sz="0" w:space="0" w:color="auto"/>
        <w:right w:val="none" w:sz="0" w:space="0" w:color="auto"/>
      </w:divBdr>
    </w:div>
    <w:div w:id="1036348121">
      <w:bodyDiv w:val="1"/>
      <w:marLeft w:val="0"/>
      <w:marRight w:val="0"/>
      <w:marTop w:val="0"/>
      <w:marBottom w:val="0"/>
      <w:divBdr>
        <w:top w:val="none" w:sz="0" w:space="0" w:color="auto"/>
        <w:left w:val="none" w:sz="0" w:space="0" w:color="auto"/>
        <w:bottom w:val="none" w:sz="0" w:space="0" w:color="auto"/>
        <w:right w:val="none" w:sz="0" w:space="0" w:color="auto"/>
      </w:divBdr>
    </w:div>
    <w:div w:id="1037193167">
      <w:bodyDiv w:val="1"/>
      <w:marLeft w:val="0"/>
      <w:marRight w:val="0"/>
      <w:marTop w:val="0"/>
      <w:marBottom w:val="0"/>
      <w:divBdr>
        <w:top w:val="none" w:sz="0" w:space="0" w:color="auto"/>
        <w:left w:val="none" w:sz="0" w:space="0" w:color="auto"/>
        <w:bottom w:val="none" w:sz="0" w:space="0" w:color="auto"/>
        <w:right w:val="none" w:sz="0" w:space="0" w:color="auto"/>
      </w:divBdr>
    </w:div>
    <w:div w:id="1039891717">
      <w:bodyDiv w:val="1"/>
      <w:marLeft w:val="0"/>
      <w:marRight w:val="0"/>
      <w:marTop w:val="0"/>
      <w:marBottom w:val="0"/>
      <w:divBdr>
        <w:top w:val="none" w:sz="0" w:space="0" w:color="auto"/>
        <w:left w:val="none" w:sz="0" w:space="0" w:color="auto"/>
        <w:bottom w:val="none" w:sz="0" w:space="0" w:color="auto"/>
        <w:right w:val="none" w:sz="0" w:space="0" w:color="auto"/>
      </w:divBdr>
    </w:div>
    <w:div w:id="1056785258">
      <w:bodyDiv w:val="1"/>
      <w:marLeft w:val="0"/>
      <w:marRight w:val="0"/>
      <w:marTop w:val="0"/>
      <w:marBottom w:val="0"/>
      <w:divBdr>
        <w:top w:val="none" w:sz="0" w:space="0" w:color="auto"/>
        <w:left w:val="none" w:sz="0" w:space="0" w:color="auto"/>
        <w:bottom w:val="none" w:sz="0" w:space="0" w:color="auto"/>
        <w:right w:val="none" w:sz="0" w:space="0" w:color="auto"/>
      </w:divBdr>
    </w:div>
    <w:div w:id="1079981190">
      <w:bodyDiv w:val="1"/>
      <w:marLeft w:val="0"/>
      <w:marRight w:val="0"/>
      <w:marTop w:val="0"/>
      <w:marBottom w:val="0"/>
      <w:divBdr>
        <w:top w:val="none" w:sz="0" w:space="0" w:color="auto"/>
        <w:left w:val="none" w:sz="0" w:space="0" w:color="auto"/>
        <w:bottom w:val="none" w:sz="0" w:space="0" w:color="auto"/>
        <w:right w:val="none" w:sz="0" w:space="0" w:color="auto"/>
      </w:divBdr>
    </w:div>
    <w:div w:id="1081105740">
      <w:bodyDiv w:val="1"/>
      <w:marLeft w:val="0"/>
      <w:marRight w:val="0"/>
      <w:marTop w:val="0"/>
      <w:marBottom w:val="0"/>
      <w:divBdr>
        <w:top w:val="none" w:sz="0" w:space="0" w:color="auto"/>
        <w:left w:val="none" w:sz="0" w:space="0" w:color="auto"/>
        <w:bottom w:val="none" w:sz="0" w:space="0" w:color="auto"/>
        <w:right w:val="none" w:sz="0" w:space="0" w:color="auto"/>
      </w:divBdr>
    </w:div>
    <w:div w:id="1082682478">
      <w:bodyDiv w:val="1"/>
      <w:marLeft w:val="0"/>
      <w:marRight w:val="0"/>
      <w:marTop w:val="0"/>
      <w:marBottom w:val="0"/>
      <w:divBdr>
        <w:top w:val="none" w:sz="0" w:space="0" w:color="auto"/>
        <w:left w:val="none" w:sz="0" w:space="0" w:color="auto"/>
        <w:bottom w:val="none" w:sz="0" w:space="0" w:color="auto"/>
        <w:right w:val="none" w:sz="0" w:space="0" w:color="auto"/>
      </w:divBdr>
    </w:div>
    <w:div w:id="1100299524">
      <w:bodyDiv w:val="1"/>
      <w:marLeft w:val="0"/>
      <w:marRight w:val="0"/>
      <w:marTop w:val="0"/>
      <w:marBottom w:val="0"/>
      <w:divBdr>
        <w:top w:val="none" w:sz="0" w:space="0" w:color="auto"/>
        <w:left w:val="none" w:sz="0" w:space="0" w:color="auto"/>
        <w:bottom w:val="none" w:sz="0" w:space="0" w:color="auto"/>
        <w:right w:val="none" w:sz="0" w:space="0" w:color="auto"/>
      </w:divBdr>
    </w:div>
    <w:div w:id="1114903769">
      <w:bodyDiv w:val="1"/>
      <w:marLeft w:val="0"/>
      <w:marRight w:val="0"/>
      <w:marTop w:val="0"/>
      <w:marBottom w:val="0"/>
      <w:divBdr>
        <w:top w:val="none" w:sz="0" w:space="0" w:color="auto"/>
        <w:left w:val="none" w:sz="0" w:space="0" w:color="auto"/>
        <w:bottom w:val="none" w:sz="0" w:space="0" w:color="auto"/>
        <w:right w:val="none" w:sz="0" w:space="0" w:color="auto"/>
      </w:divBdr>
    </w:div>
    <w:div w:id="1135678054">
      <w:bodyDiv w:val="1"/>
      <w:marLeft w:val="0"/>
      <w:marRight w:val="0"/>
      <w:marTop w:val="0"/>
      <w:marBottom w:val="0"/>
      <w:divBdr>
        <w:top w:val="none" w:sz="0" w:space="0" w:color="auto"/>
        <w:left w:val="none" w:sz="0" w:space="0" w:color="auto"/>
        <w:bottom w:val="none" w:sz="0" w:space="0" w:color="auto"/>
        <w:right w:val="none" w:sz="0" w:space="0" w:color="auto"/>
      </w:divBdr>
    </w:div>
    <w:div w:id="1135830212">
      <w:bodyDiv w:val="1"/>
      <w:marLeft w:val="0"/>
      <w:marRight w:val="0"/>
      <w:marTop w:val="0"/>
      <w:marBottom w:val="0"/>
      <w:divBdr>
        <w:top w:val="none" w:sz="0" w:space="0" w:color="auto"/>
        <w:left w:val="none" w:sz="0" w:space="0" w:color="auto"/>
        <w:bottom w:val="none" w:sz="0" w:space="0" w:color="auto"/>
        <w:right w:val="none" w:sz="0" w:space="0" w:color="auto"/>
      </w:divBdr>
    </w:div>
    <w:div w:id="1157577443">
      <w:bodyDiv w:val="1"/>
      <w:marLeft w:val="0"/>
      <w:marRight w:val="0"/>
      <w:marTop w:val="0"/>
      <w:marBottom w:val="0"/>
      <w:divBdr>
        <w:top w:val="none" w:sz="0" w:space="0" w:color="auto"/>
        <w:left w:val="none" w:sz="0" w:space="0" w:color="auto"/>
        <w:bottom w:val="none" w:sz="0" w:space="0" w:color="auto"/>
        <w:right w:val="none" w:sz="0" w:space="0" w:color="auto"/>
      </w:divBdr>
    </w:div>
    <w:div w:id="1158157984">
      <w:bodyDiv w:val="1"/>
      <w:marLeft w:val="0"/>
      <w:marRight w:val="0"/>
      <w:marTop w:val="0"/>
      <w:marBottom w:val="0"/>
      <w:divBdr>
        <w:top w:val="none" w:sz="0" w:space="0" w:color="auto"/>
        <w:left w:val="none" w:sz="0" w:space="0" w:color="auto"/>
        <w:bottom w:val="none" w:sz="0" w:space="0" w:color="auto"/>
        <w:right w:val="none" w:sz="0" w:space="0" w:color="auto"/>
      </w:divBdr>
    </w:div>
    <w:div w:id="1162240241">
      <w:bodyDiv w:val="1"/>
      <w:marLeft w:val="0"/>
      <w:marRight w:val="0"/>
      <w:marTop w:val="0"/>
      <w:marBottom w:val="0"/>
      <w:divBdr>
        <w:top w:val="none" w:sz="0" w:space="0" w:color="auto"/>
        <w:left w:val="none" w:sz="0" w:space="0" w:color="auto"/>
        <w:bottom w:val="none" w:sz="0" w:space="0" w:color="auto"/>
        <w:right w:val="none" w:sz="0" w:space="0" w:color="auto"/>
      </w:divBdr>
    </w:div>
    <w:div w:id="1164930773">
      <w:bodyDiv w:val="1"/>
      <w:marLeft w:val="0"/>
      <w:marRight w:val="0"/>
      <w:marTop w:val="0"/>
      <w:marBottom w:val="0"/>
      <w:divBdr>
        <w:top w:val="none" w:sz="0" w:space="0" w:color="auto"/>
        <w:left w:val="none" w:sz="0" w:space="0" w:color="auto"/>
        <w:bottom w:val="none" w:sz="0" w:space="0" w:color="auto"/>
        <w:right w:val="none" w:sz="0" w:space="0" w:color="auto"/>
      </w:divBdr>
    </w:div>
    <w:div w:id="1174108076">
      <w:bodyDiv w:val="1"/>
      <w:marLeft w:val="0"/>
      <w:marRight w:val="0"/>
      <w:marTop w:val="0"/>
      <w:marBottom w:val="0"/>
      <w:divBdr>
        <w:top w:val="none" w:sz="0" w:space="0" w:color="auto"/>
        <w:left w:val="none" w:sz="0" w:space="0" w:color="auto"/>
        <w:bottom w:val="none" w:sz="0" w:space="0" w:color="auto"/>
        <w:right w:val="none" w:sz="0" w:space="0" w:color="auto"/>
      </w:divBdr>
    </w:div>
    <w:div w:id="1174996410">
      <w:bodyDiv w:val="1"/>
      <w:marLeft w:val="0"/>
      <w:marRight w:val="0"/>
      <w:marTop w:val="0"/>
      <w:marBottom w:val="0"/>
      <w:divBdr>
        <w:top w:val="none" w:sz="0" w:space="0" w:color="auto"/>
        <w:left w:val="none" w:sz="0" w:space="0" w:color="auto"/>
        <w:bottom w:val="none" w:sz="0" w:space="0" w:color="auto"/>
        <w:right w:val="none" w:sz="0" w:space="0" w:color="auto"/>
      </w:divBdr>
    </w:div>
    <w:div w:id="1194422022">
      <w:bodyDiv w:val="1"/>
      <w:marLeft w:val="0"/>
      <w:marRight w:val="0"/>
      <w:marTop w:val="0"/>
      <w:marBottom w:val="0"/>
      <w:divBdr>
        <w:top w:val="none" w:sz="0" w:space="0" w:color="auto"/>
        <w:left w:val="none" w:sz="0" w:space="0" w:color="auto"/>
        <w:bottom w:val="none" w:sz="0" w:space="0" w:color="auto"/>
        <w:right w:val="none" w:sz="0" w:space="0" w:color="auto"/>
      </w:divBdr>
    </w:div>
    <w:div w:id="1208566093">
      <w:bodyDiv w:val="1"/>
      <w:marLeft w:val="0"/>
      <w:marRight w:val="0"/>
      <w:marTop w:val="0"/>
      <w:marBottom w:val="0"/>
      <w:divBdr>
        <w:top w:val="none" w:sz="0" w:space="0" w:color="auto"/>
        <w:left w:val="none" w:sz="0" w:space="0" w:color="auto"/>
        <w:bottom w:val="none" w:sz="0" w:space="0" w:color="auto"/>
        <w:right w:val="none" w:sz="0" w:space="0" w:color="auto"/>
      </w:divBdr>
    </w:div>
    <w:div w:id="1225679893">
      <w:bodyDiv w:val="1"/>
      <w:marLeft w:val="0"/>
      <w:marRight w:val="0"/>
      <w:marTop w:val="0"/>
      <w:marBottom w:val="0"/>
      <w:divBdr>
        <w:top w:val="none" w:sz="0" w:space="0" w:color="auto"/>
        <w:left w:val="none" w:sz="0" w:space="0" w:color="auto"/>
        <w:bottom w:val="none" w:sz="0" w:space="0" w:color="auto"/>
        <w:right w:val="none" w:sz="0" w:space="0" w:color="auto"/>
      </w:divBdr>
    </w:div>
    <w:div w:id="1227451160">
      <w:bodyDiv w:val="1"/>
      <w:marLeft w:val="0"/>
      <w:marRight w:val="0"/>
      <w:marTop w:val="0"/>
      <w:marBottom w:val="0"/>
      <w:divBdr>
        <w:top w:val="none" w:sz="0" w:space="0" w:color="auto"/>
        <w:left w:val="none" w:sz="0" w:space="0" w:color="auto"/>
        <w:bottom w:val="none" w:sz="0" w:space="0" w:color="auto"/>
        <w:right w:val="none" w:sz="0" w:space="0" w:color="auto"/>
      </w:divBdr>
    </w:div>
    <w:div w:id="1231698206">
      <w:bodyDiv w:val="1"/>
      <w:marLeft w:val="0"/>
      <w:marRight w:val="0"/>
      <w:marTop w:val="0"/>
      <w:marBottom w:val="0"/>
      <w:divBdr>
        <w:top w:val="none" w:sz="0" w:space="0" w:color="auto"/>
        <w:left w:val="none" w:sz="0" w:space="0" w:color="auto"/>
        <w:bottom w:val="none" w:sz="0" w:space="0" w:color="auto"/>
        <w:right w:val="none" w:sz="0" w:space="0" w:color="auto"/>
      </w:divBdr>
    </w:div>
    <w:div w:id="1236207264">
      <w:bodyDiv w:val="1"/>
      <w:marLeft w:val="0"/>
      <w:marRight w:val="0"/>
      <w:marTop w:val="0"/>
      <w:marBottom w:val="0"/>
      <w:divBdr>
        <w:top w:val="none" w:sz="0" w:space="0" w:color="auto"/>
        <w:left w:val="none" w:sz="0" w:space="0" w:color="auto"/>
        <w:bottom w:val="none" w:sz="0" w:space="0" w:color="auto"/>
        <w:right w:val="none" w:sz="0" w:space="0" w:color="auto"/>
      </w:divBdr>
    </w:div>
    <w:div w:id="1239636170">
      <w:bodyDiv w:val="1"/>
      <w:marLeft w:val="0"/>
      <w:marRight w:val="0"/>
      <w:marTop w:val="0"/>
      <w:marBottom w:val="0"/>
      <w:divBdr>
        <w:top w:val="none" w:sz="0" w:space="0" w:color="auto"/>
        <w:left w:val="none" w:sz="0" w:space="0" w:color="auto"/>
        <w:bottom w:val="none" w:sz="0" w:space="0" w:color="auto"/>
        <w:right w:val="none" w:sz="0" w:space="0" w:color="auto"/>
      </w:divBdr>
    </w:div>
    <w:div w:id="1244141990">
      <w:bodyDiv w:val="1"/>
      <w:marLeft w:val="0"/>
      <w:marRight w:val="0"/>
      <w:marTop w:val="0"/>
      <w:marBottom w:val="0"/>
      <w:divBdr>
        <w:top w:val="none" w:sz="0" w:space="0" w:color="auto"/>
        <w:left w:val="none" w:sz="0" w:space="0" w:color="auto"/>
        <w:bottom w:val="none" w:sz="0" w:space="0" w:color="auto"/>
        <w:right w:val="none" w:sz="0" w:space="0" w:color="auto"/>
      </w:divBdr>
    </w:div>
    <w:div w:id="1245870509">
      <w:bodyDiv w:val="1"/>
      <w:marLeft w:val="0"/>
      <w:marRight w:val="0"/>
      <w:marTop w:val="0"/>
      <w:marBottom w:val="0"/>
      <w:divBdr>
        <w:top w:val="none" w:sz="0" w:space="0" w:color="auto"/>
        <w:left w:val="none" w:sz="0" w:space="0" w:color="auto"/>
        <w:bottom w:val="none" w:sz="0" w:space="0" w:color="auto"/>
        <w:right w:val="none" w:sz="0" w:space="0" w:color="auto"/>
      </w:divBdr>
    </w:div>
    <w:div w:id="1259364420">
      <w:bodyDiv w:val="1"/>
      <w:marLeft w:val="0"/>
      <w:marRight w:val="0"/>
      <w:marTop w:val="0"/>
      <w:marBottom w:val="0"/>
      <w:divBdr>
        <w:top w:val="none" w:sz="0" w:space="0" w:color="auto"/>
        <w:left w:val="none" w:sz="0" w:space="0" w:color="auto"/>
        <w:bottom w:val="none" w:sz="0" w:space="0" w:color="auto"/>
        <w:right w:val="none" w:sz="0" w:space="0" w:color="auto"/>
      </w:divBdr>
    </w:div>
    <w:div w:id="1264191210">
      <w:bodyDiv w:val="1"/>
      <w:marLeft w:val="0"/>
      <w:marRight w:val="0"/>
      <w:marTop w:val="0"/>
      <w:marBottom w:val="0"/>
      <w:divBdr>
        <w:top w:val="none" w:sz="0" w:space="0" w:color="auto"/>
        <w:left w:val="none" w:sz="0" w:space="0" w:color="auto"/>
        <w:bottom w:val="none" w:sz="0" w:space="0" w:color="auto"/>
        <w:right w:val="none" w:sz="0" w:space="0" w:color="auto"/>
      </w:divBdr>
    </w:div>
    <w:div w:id="1270355371">
      <w:bodyDiv w:val="1"/>
      <w:marLeft w:val="0"/>
      <w:marRight w:val="0"/>
      <w:marTop w:val="0"/>
      <w:marBottom w:val="0"/>
      <w:divBdr>
        <w:top w:val="none" w:sz="0" w:space="0" w:color="auto"/>
        <w:left w:val="none" w:sz="0" w:space="0" w:color="auto"/>
        <w:bottom w:val="none" w:sz="0" w:space="0" w:color="auto"/>
        <w:right w:val="none" w:sz="0" w:space="0" w:color="auto"/>
      </w:divBdr>
    </w:div>
    <w:div w:id="1271011594">
      <w:bodyDiv w:val="1"/>
      <w:marLeft w:val="0"/>
      <w:marRight w:val="0"/>
      <w:marTop w:val="0"/>
      <w:marBottom w:val="0"/>
      <w:divBdr>
        <w:top w:val="none" w:sz="0" w:space="0" w:color="auto"/>
        <w:left w:val="none" w:sz="0" w:space="0" w:color="auto"/>
        <w:bottom w:val="none" w:sz="0" w:space="0" w:color="auto"/>
        <w:right w:val="none" w:sz="0" w:space="0" w:color="auto"/>
      </w:divBdr>
    </w:div>
    <w:div w:id="1274903607">
      <w:bodyDiv w:val="1"/>
      <w:marLeft w:val="0"/>
      <w:marRight w:val="0"/>
      <w:marTop w:val="0"/>
      <w:marBottom w:val="0"/>
      <w:divBdr>
        <w:top w:val="none" w:sz="0" w:space="0" w:color="auto"/>
        <w:left w:val="none" w:sz="0" w:space="0" w:color="auto"/>
        <w:bottom w:val="none" w:sz="0" w:space="0" w:color="auto"/>
        <w:right w:val="none" w:sz="0" w:space="0" w:color="auto"/>
      </w:divBdr>
    </w:div>
    <w:div w:id="1275595252">
      <w:bodyDiv w:val="1"/>
      <w:marLeft w:val="0"/>
      <w:marRight w:val="0"/>
      <w:marTop w:val="0"/>
      <w:marBottom w:val="0"/>
      <w:divBdr>
        <w:top w:val="none" w:sz="0" w:space="0" w:color="auto"/>
        <w:left w:val="none" w:sz="0" w:space="0" w:color="auto"/>
        <w:bottom w:val="none" w:sz="0" w:space="0" w:color="auto"/>
        <w:right w:val="none" w:sz="0" w:space="0" w:color="auto"/>
      </w:divBdr>
    </w:div>
    <w:div w:id="1313024247">
      <w:bodyDiv w:val="1"/>
      <w:marLeft w:val="0"/>
      <w:marRight w:val="0"/>
      <w:marTop w:val="0"/>
      <w:marBottom w:val="0"/>
      <w:divBdr>
        <w:top w:val="none" w:sz="0" w:space="0" w:color="auto"/>
        <w:left w:val="none" w:sz="0" w:space="0" w:color="auto"/>
        <w:bottom w:val="none" w:sz="0" w:space="0" w:color="auto"/>
        <w:right w:val="none" w:sz="0" w:space="0" w:color="auto"/>
      </w:divBdr>
    </w:div>
    <w:div w:id="1313675381">
      <w:bodyDiv w:val="1"/>
      <w:marLeft w:val="0"/>
      <w:marRight w:val="0"/>
      <w:marTop w:val="0"/>
      <w:marBottom w:val="0"/>
      <w:divBdr>
        <w:top w:val="none" w:sz="0" w:space="0" w:color="auto"/>
        <w:left w:val="none" w:sz="0" w:space="0" w:color="auto"/>
        <w:bottom w:val="none" w:sz="0" w:space="0" w:color="auto"/>
        <w:right w:val="none" w:sz="0" w:space="0" w:color="auto"/>
      </w:divBdr>
    </w:div>
    <w:div w:id="1314985023">
      <w:bodyDiv w:val="1"/>
      <w:marLeft w:val="0"/>
      <w:marRight w:val="0"/>
      <w:marTop w:val="0"/>
      <w:marBottom w:val="0"/>
      <w:divBdr>
        <w:top w:val="none" w:sz="0" w:space="0" w:color="auto"/>
        <w:left w:val="none" w:sz="0" w:space="0" w:color="auto"/>
        <w:bottom w:val="none" w:sz="0" w:space="0" w:color="auto"/>
        <w:right w:val="none" w:sz="0" w:space="0" w:color="auto"/>
      </w:divBdr>
    </w:div>
    <w:div w:id="1333484802">
      <w:bodyDiv w:val="1"/>
      <w:marLeft w:val="0"/>
      <w:marRight w:val="0"/>
      <w:marTop w:val="0"/>
      <w:marBottom w:val="0"/>
      <w:divBdr>
        <w:top w:val="none" w:sz="0" w:space="0" w:color="auto"/>
        <w:left w:val="none" w:sz="0" w:space="0" w:color="auto"/>
        <w:bottom w:val="none" w:sz="0" w:space="0" w:color="auto"/>
        <w:right w:val="none" w:sz="0" w:space="0" w:color="auto"/>
      </w:divBdr>
    </w:div>
    <w:div w:id="1338001576">
      <w:bodyDiv w:val="1"/>
      <w:marLeft w:val="0"/>
      <w:marRight w:val="0"/>
      <w:marTop w:val="0"/>
      <w:marBottom w:val="0"/>
      <w:divBdr>
        <w:top w:val="none" w:sz="0" w:space="0" w:color="auto"/>
        <w:left w:val="none" w:sz="0" w:space="0" w:color="auto"/>
        <w:bottom w:val="none" w:sz="0" w:space="0" w:color="auto"/>
        <w:right w:val="none" w:sz="0" w:space="0" w:color="auto"/>
      </w:divBdr>
    </w:div>
    <w:div w:id="1347753566">
      <w:bodyDiv w:val="1"/>
      <w:marLeft w:val="0"/>
      <w:marRight w:val="0"/>
      <w:marTop w:val="0"/>
      <w:marBottom w:val="0"/>
      <w:divBdr>
        <w:top w:val="none" w:sz="0" w:space="0" w:color="auto"/>
        <w:left w:val="none" w:sz="0" w:space="0" w:color="auto"/>
        <w:bottom w:val="none" w:sz="0" w:space="0" w:color="auto"/>
        <w:right w:val="none" w:sz="0" w:space="0" w:color="auto"/>
      </w:divBdr>
    </w:div>
    <w:div w:id="1350453952">
      <w:bodyDiv w:val="1"/>
      <w:marLeft w:val="0"/>
      <w:marRight w:val="0"/>
      <w:marTop w:val="0"/>
      <w:marBottom w:val="0"/>
      <w:divBdr>
        <w:top w:val="none" w:sz="0" w:space="0" w:color="auto"/>
        <w:left w:val="none" w:sz="0" w:space="0" w:color="auto"/>
        <w:bottom w:val="none" w:sz="0" w:space="0" w:color="auto"/>
        <w:right w:val="none" w:sz="0" w:space="0" w:color="auto"/>
      </w:divBdr>
    </w:div>
    <w:div w:id="1359356431">
      <w:bodyDiv w:val="1"/>
      <w:marLeft w:val="0"/>
      <w:marRight w:val="0"/>
      <w:marTop w:val="0"/>
      <w:marBottom w:val="0"/>
      <w:divBdr>
        <w:top w:val="none" w:sz="0" w:space="0" w:color="auto"/>
        <w:left w:val="none" w:sz="0" w:space="0" w:color="auto"/>
        <w:bottom w:val="none" w:sz="0" w:space="0" w:color="auto"/>
        <w:right w:val="none" w:sz="0" w:space="0" w:color="auto"/>
      </w:divBdr>
    </w:div>
    <w:div w:id="1386248360">
      <w:bodyDiv w:val="1"/>
      <w:marLeft w:val="0"/>
      <w:marRight w:val="0"/>
      <w:marTop w:val="0"/>
      <w:marBottom w:val="0"/>
      <w:divBdr>
        <w:top w:val="none" w:sz="0" w:space="0" w:color="auto"/>
        <w:left w:val="none" w:sz="0" w:space="0" w:color="auto"/>
        <w:bottom w:val="none" w:sz="0" w:space="0" w:color="auto"/>
        <w:right w:val="none" w:sz="0" w:space="0" w:color="auto"/>
      </w:divBdr>
    </w:div>
    <w:div w:id="1391002777">
      <w:bodyDiv w:val="1"/>
      <w:marLeft w:val="0"/>
      <w:marRight w:val="0"/>
      <w:marTop w:val="0"/>
      <w:marBottom w:val="0"/>
      <w:divBdr>
        <w:top w:val="none" w:sz="0" w:space="0" w:color="auto"/>
        <w:left w:val="none" w:sz="0" w:space="0" w:color="auto"/>
        <w:bottom w:val="none" w:sz="0" w:space="0" w:color="auto"/>
        <w:right w:val="none" w:sz="0" w:space="0" w:color="auto"/>
      </w:divBdr>
    </w:div>
    <w:div w:id="1396586111">
      <w:bodyDiv w:val="1"/>
      <w:marLeft w:val="0"/>
      <w:marRight w:val="0"/>
      <w:marTop w:val="0"/>
      <w:marBottom w:val="0"/>
      <w:divBdr>
        <w:top w:val="none" w:sz="0" w:space="0" w:color="auto"/>
        <w:left w:val="none" w:sz="0" w:space="0" w:color="auto"/>
        <w:bottom w:val="none" w:sz="0" w:space="0" w:color="auto"/>
        <w:right w:val="none" w:sz="0" w:space="0" w:color="auto"/>
      </w:divBdr>
    </w:div>
    <w:div w:id="1407259452">
      <w:bodyDiv w:val="1"/>
      <w:marLeft w:val="0"/>
      <w:marRight w:val="0"/>
      <w:marTop w:val="0"/>
      <w:marBottom w:val="0"/>
      <w:divBdr>
        <w:top w:val="none" w:sz="0" w:space="0" w:color="auto"/>
        <w:left w:val="none" w:sz="0" w:space="0" w:color="auto"/>
        <w:bottom w:val="none" w:sz="0" w:space="0" w:color="auto"/>
        <w:right w:val="none" w:sz="0" w:space="0" w:color="auto"/>
      </w:divBdr>
    </w:div>
    <w:div w:id="1407456916">
      <w:bodyDiv w:val="1"/>
      <w:marLeft w:val="0"/>
      <w:marRight w:val="0"/>
      <w:marTop w:val="0"/>
      <w:marBottom w:val="0"/>
      <w:divBdr>
        <w:top w:val="none" w:sz="0" w:space="0" w:color="auto"/>
        <w:left w:val="none" w:sz="0" w:space="0" w:color="auto"/>
        <w:bottom w:val="none" w:sz="0" w:space="0" w:color="auto"/>
        <w:right w:val="none" w:sz="0" w:space="0" w:color="auto"/>
      </w:divBdr>
    </w:div>
    <w:div w:id="1421180304">
      <w:bodyDiv w:val="1"/>
      <w:marLeft w:val="0"/>
      <w:marRight w:val="0"/>
      <w:marTop w:val="0"/>
      <w:marBottom w:val="0"/>
      <w:divBdr>
        <w:top w:val="none" w:sz="0" w:space="0" w:color="auto"/>
        <w:left w:val="none" w:sz="0" w:space="0" w:color="auto"/>
        <w:bottom w:val="none" w:sz="0" w:space="0" w:color="auto"/>
        <w:right w:val="none" w:sz="0" w:space="0" w:color="auto"/>
      </w:divBdr>
    </w:div>
    <w:div w:id="1421607522">
      <w:bodyDiv w:val="1"/>
      <w:marLeft w:val="0"/>
      <w:marRight w:val="0"/>
      <w:marTop w:val="0"/>
      <w:marBottom w:val="0"/>
      <w:divBdr>
        <w:top w:val="none" w:sz="0" w:space="0" w:color="auto"/>
        <w:left w:val="none" w:sz="0" w:space="0" w:color="auto"/>
        <w:bottom w:val="none" w:sz="0" w:space="0" w:color="auto"/>
        <w:right w:val="none" w:sz="0" w:space="0" w:color="auto"/>
      </w:divBdr>
    </w:div>
    <w:div w:id="1423717640">
      <w:bodyDiv w:val="1"/>
      <w:marLeft w:val="0"/>
      <w:marRight w:val="0"/>
      <w:marTop w:val="0"/>
      <w:marBottom w:val="0"/>
      <w:divBdr>
        <w:top w:val="none" w:sz="0" w:space="0" w:color="auto"/>
        <w:left w:val="none" w:sz="0" w:space="0" w:color="auto"/>
        <w:bottom w:val="none" w:sz="0" w:space="0" w:color="auto"/>
        <w:right w:val="none" w:sz="0" w:space="0" w:color="auto"/>
      </w:divBdr>
    </w:div>
    <w:div w:id="1431319018">
      <w:bodyDiv w:val="1"/>
      <w:marLeft w:val="0"/>
      <w:marRight w:val="0"/>
      <w:marTop w:val="0"/>
      <w:marBottom w:val="0"/>
      <w:divBdr>
        <w:top w:val="none" w:sz="0" w:space="0" w:color="auto"/>
        <w:left w:val="none" w:sz="0" w:space="0" w:color="auto"/>
        <w:bottom w:val="none" w:sz="0" w:space="0" w:color="auto"/>
        <w:right w:val="none" w:sz="0" w:space="0" w:color="auto"/>
      </w:divBdr>
    </w:div>
    <w:div w:id="1433823776">
      <w:bodyDiv w:val="1"/>
      <w:marLeft w:val="0"/>
      <w:marRight w:val="0"/>
      <w:marTop w:val="0"/>
      <w:marBottom w:val="0"/>
      <w:divBdr>
        <w:top w:val="none" w:sz="0" w:space="0" w:color="auto"/>
        <w:left w:val="none" w:sz="0" w:space="0" w:color="auto"/>
        <w:bottom w:val="none" w:sz="0" w:space="0" w:color="auto"/>
        <w:right w:val="none" w:sz="0" w:space="0" w:color="auto"/>
      </w:divBdr>
    </w:div>
    <w:div w:id="1445080612">
      <w:bodyDiv w:val="1"/>
      <w:marLeft w:val="0"/>
      <w:marRight w:val="0"/>
      <w:marTop w:val="0"/>
      <w:marBottom w:val="0"/>
      <w:divBdr>
        <w:top w:val="none" w:sz="0" w:space="0" w:color="auto"/>
        <w:left w:val="none" w:sz="0" w:space="0" w:color="auto"/>
        <w:bottom w:val="none" w:sz="0" w:space="0" w:color="auto"/>
        <w:right w:val="none" w:sz="0" w:space="0" w:color="auto"/>
      </w:divBdr>
    </w:div>
    <w:div w:id="1445465678">
      <w:bodyDiv w:val="1"/>
      <w:marLeft w:val="0"/>
      <w:marRight w:val="0"/>
      <w:marTop w:val="0"/>
      <w:marBottom w:val="0"/>
      <w:divBdr>
        <w:top w:val="none" w:sz="0" w:space="0" w:color="auto"/>
        <w:left w:val="none" w:sz="0" w:space="0" w:color="auto"/>
        <w:bottom w:val="none" w:sz="0" w:space="0" w:color="auto"/>
        <w:right w:val="none" w:sz="0" w:space="0" w:color="auto"/>
      </w:divBdr>
    </w:div>
    <w:div w:id="1445541546">
      <w:bodyDiv w:val="1"/>
      <w:marLeft w:val="0"/>
      <w:marRight w:val="0"/>
      <w:marTop w:val="0"/>
      <w:marBottom w:val="0"/>
      <w:divBdr>
        <w:top w:val="none" w:sz="0" w:space="0" w:color="auto"/>
        <w:left w:val="none" w:sz="0" w:space="0" w:color="auto"/>
        <w:bottom w:val="none" w:sz="0" w:space="0" w:color="auto"/>
        <w:right w:val="none" w:sz="0" w:space="0" w:color="auto"/>
      </w:divBdr>
    </w:div>
    <w:div w:id="1445727577">
      <w:bodyDiv w:val="1"/>
      <w:marLeft w:val="0"/>
      <w:marRight w:val="0"/>
      <w:marTop w:val="0"/>
      <w:marBottom w:val="0"/>
      <w:divBdr>
        <w:top w:val="none" w:sz="0" w:space="0" w:color="auto"/>
        <w:left w:val="none" w:sz="0" w:space="0" w:color="auto"/>
        <w:bottom w:val="none" w:sz="0" w:space="0" w:color="auto"/>
        <w:right w:val="none" w:sz="0" w:space="0" w:color="auto"/>
      </w:divBdr>
    </w:div>
    <w:div w:id="1454402705">
      <w:bodyDiv w:val="1"/>
      <w:marLeft w:val="0"/>
      <w:marRight w:val="0"/>
      <w:marTop w:val="0"/>
      <w:marBottom w:val="0"/>
      <w:divBdr>
        <w:top w:val="none" w:sz="0" w:space="0" w:color="auto"/>
        <w:left w:val="none" w:sz="0" w:space="0" w:color="auto"/>
        <w:bottom w:val="none" w:sz="0" w:space="0" w:color="auto"/>
        <w:right w:val="none" w:sz="0" w:space="0" w:color="auto"/>
      </w:divBdr>
    </w:div>
    <w:div w:id="1455293789">
      <w:bodyDiv w:val="1"/>
      <w:marLeft w:val="0"/>
      <w:marRight w:val="0"/>
      <w:marTop w:val="0"/>
      <w:marBottom w:val="0"/>
      <w:divBdr>
        <w:top w:val="none" w:sz="0" w:space="0" w:color="auto"/>
        <w:left w:val="none" w:sz="0" w:space="0" w:color="auto"/>
        <w:bottom w:val="none" w:sz="0" w:space="0" w:color="auto"/>
        <w:right w:val="none" w:sz="0" w:space="0" w:color="auto"/>
      </w:divBdr>
    </w:div>
    <w:div w:id="1461265741">
      <w:bodyDiv w:val="1"/>
      <w:marLeft w:val="0"/>
      <w:marRight w:val="0"/>
      <w:marTop w:val="0"/>
      <w:marBottom w:val="0"/>
      <w:divBdr>
        <w:top w:val="none" w:sz="0" w:space="0" w:color="auto"/>
        <w:left w:val="none" w:sz="0" w:space="0" w:color="auto"/>
        <w:bottom w:val="none" w:sz="0" w:space="0" w:color="auto"/>
        <w:right w:val="none" w:sz="0" w:space="0" w:color="auto"/>
      </w:divBdr>
    </w:div>
    <w:div w:id="1500848794">
      <w:bodyDiv w:val="1"/>
      <w:marLeft w:val="0"/>
      <w:marRight w:val="0"/>
      <w:marTop w:val="0"/>
      <w:marBottom w:val="0"/>
      <w:divBdr>
        <w:top w:val="none" w:sz="0" w:space="0" w:color="auto"/>
        <w:left w:val="none" w:sz="0" w:space="0" w:color="auto"/>
        <w:bottom w:val="none" w:sz="0" w:space="0" w:color="auto"/>
        <w:right w:val="none" w:sz="0" w:space="0" w:color="auto"/>
      </w:divBdr>
    </w:div>
    <w:div w:id="1501578714">
      <w:bodyDiv w:val="1"/>
      <w:marLeft w:val="0"/>
      <w:marRight w:val="0"/>
      <w:marTop w:val="0"/>
      <w:marBottom w:val="0"/>
      <w:divBdr>
        <w:top w:val="none" w:sz="0" w:space="0" w:color="auto"/>
        <w:left w:val="none" w:sz="0" w:space="0" w:color="auto"/>
        <w:bottom w:val="none" w:sz="0" w:space="0" w:color="auto"/>
        <w:right w:val="none" w:sz="0" w:space="0" w:color="auto"/>
      </w:divBdr>
    </w:div>
    <w:div w:id="1509104387">
      <w:bodyDiv w:val="1"/>
      <w:marLeft w:val="0"/>
      <w:marRight w:val="0"/>
      <w:marTop w:val="0"/>
      <w:marBottom w:val="0"/>
      <w:divBdr>
        <w:top w:val="none" w:sz="0" w:space="0" w:color="auto"/>
        <w:left w:val="none" w:sz="0" w:space="0" w:color="auto"/>
        <w:bottom w:val="none" w:sz="0" w:space="0" w:color="auto"/>
        <w:right w:val="none" w:sz="0" w:space="0" w:color="auto"/>
      </w:divBdr>
    </w:div>
    <w:div w:id="1537616416">
      <w:bodyDiv w:val="1"/>
      <w:marLeft w:val="0"/>
      <w:marRight w:val="0"/>
      <w:marTop w:val="0"/>
      <w:marBottom w:val="0"/>
      <w:divBdr>
        <w:top w:val="none" w:sz="0" w:space="0" w:color="auto"/>
        <w:left w:val="none" w:sz="0" w:space="0" w:color="auto"/>
        <w:bottom w:val="none" w:sz="0" w:space="0" w:color="auto"/>
        <w:right w:val="none" w:sz="0" w:space="0" w:color="auto"/>
      </w:divBdr>
    </w:div>
    <w:div w:id="1539397252">
      <w:bodyDiv w:val="1"/>
      <w:marLeft w:val="0"/>
      <w:marRight w:val="0"/>
      <w:marTop w:val="0"/>
      <w:marBottom w:val="0"/>
      <w:divBdr>
        <w:top w:val="none" w:sz="0" w:space="0" w:color="auto"/>
        <w:left w:val="none" w:sz="0" w:space="0" w:color="auto"/>
        <w:bottom w:val="none" w:sz="0" w:space="0" w:color="auto"/>
        <w:right w:val="none" w:sz="0" w:space="0" w:color="auto"/>
      </w:divBdr>
    </w:div>
    <w:div w:id="1542127714">
      <w:bodyDiv w:val="1"/>
      <w:marLeft w:val="0"/>
      <w:marRight w:val="0"/>
      <w:marTop w:val="0"/>
      <w:marBottom w:val="0"/>
      <w:divBdr>
        <w:top w:val="none" w:sz="0" w:space="0" w:color="auto"/>
        <w:left w:val="none" w:sz="0" w:space="0" w:color="auto"/>
        <w:bottom w:val="none" w:sz="0" w:space="0" w:color="auto"/>
        <w:right w:val="none" w:sz="0" w:space="0" w:color="auto"/>
      </w:divBdr>
    </w:div>
    <w:div w:id="1552426958">
      <w:bodyDiv w:val="1"/>
      <w:marLeft w:val="0"/>
      <w:marRight w:val="0"/>
      <w:marTop w:val="0"/>
      <w:marBottom w:val="0"/>
      <w:divBdr>
        <w:top w:val="none" w:sz="0" w:space="0" w:color="auto"/>
        <w:left w:val="none" w:sz="0" w:space="0" w:color="auto"/>
        <w:bottom w:val="none" w:sz="0" w:space="0" w:color="auto"/>
        <w:right w:val="none" w:sz="0" w:space="0" w:color="auto"/>
      </w:divBdr>
    </w:div>
    <w:div w:id="1554123057">
      <w:bodyDiv w:val="1"/>
      <w:marLeft w:val="0"/>
      <w:marRight w:val="0"/>
      <w:marTop w:val="0"/>
      <w:marBottom w:val="0"/>
      <w:divBdr>
        <w:top w:val="none" w:sz="0" w:space="0" w:color="auto"/>
        <w:left w:val="none" w:sz="0" w:space="0" w:color="auto"/>
        <w:bottom w:val="none" w:sz="0" w:space="0" w:color="auto"/>
        <w:right w:val="none" w:sz="0" w:space="0" w:color="auto"/>
      </w:divBdr>
    </w:div>
    <w:div w:id="1561864225">
      <w:bodyDiv w:val="1"/>
      <w:marLeft w:val="0"/>
      <w:marRight w:val="0"/>
      <w:marTop w:val="0"/>
      <w:marBottom w:val="0"/>
      <w:divBdr>
        <w:top w:val="none" w:sz="0" w:space="0" w:color="auto"/>
        <w:left w:val="none" w:sz="0" w:space="0" w:color="auto"/>
        <w:bottom w:val="none" w:sz="0" w:space="0" w:color="auto"/>
        <w:right w:val="none" w:sz="0" w:space="0" w:color="auto"/>
      </w:divBdr>
    </w:div>
    <w:div w:id="1564173551">
      <w:bodyDiv w:val="1"/>
      <w:marLeft w:val="0"/>
      <w:marRight w:val="0"/>
      <w:marTop w:val="0"/>
      <w:marBottom w:val="0"/>
      <w:divBdr>
        <w:top w:val="none" w:sz="0" w:space="0" w:color="auto"/>
        <w:left w:val="none" w:sz="0" w:space="0" w:color="auto"/>
        <w:bottom w:val="none" w:sz="0" w:space="0" w:color="auto"/>
        <w:right w:val="none" w:sz="0" w:space="0" w:color="auto"/>
      </w:divBdr>
    </w:div>
    <w:div w:id="1567184580">
      <w:bodyDiv w:val="1"/>
      <w:marLeft w:val="0"/>
      <w:marRight w:val="0"/>
      <w:marTop w:val="0"/>
      <w:marBottom w:val="0"/>
      <w:divBdr>
        <w:top w:val="none" w:sz="0" w:space="0" w:color="auto"/>
        <w:left w:val="none" w:sz="0" w:space="0" w:color="auto"/>
        <w:bottom w:val="none" w:sz="0" w:space="0" w:color="auto"/>
        <w:right w:val="none" w:sz="0" w:space="0" w:color="auto"/>
      </w:divBdr>
    </w:div>
    <w:div w:id="1588075054">
      <w:bodyDiv w:val="1"/>
      <w:marLeft w:val="0"/>
      <w:marRight w:val="0"/>
      <w:marTop w:val="0"/>
      <w:marBottom w:val="0"/>
      <w:divBdr>
        <w:top w:val="none" w:sz="0" w:space="0" w:color="auto"/>
        <w:left w:val="none" w:sz="0" w:space="0" w:color="auto"/>
        <w:bottom w:val="none" w:sz="0" w:space="0" w:color="auto"/>
        <w:right w:val="none" w:sz="0" w:space="0" w:color="auto"/>
      </w:divBdr>
    </w:div>
    <w:div w:id="1592620853">
      <w:bodyDiv w:val="1"/>
      <w:marLeft w:val="0"/>
      <w:marRight w:val="0"/>
      <w:marTop w:val="0"/>
      <w:marBottom w:val="0"/>
      <w:divBdr>
        <w:top w:val="none" w:sz="0" w:space="0" w:color="auto"/>
        <w:left w:val="none" w:sz="0" w:space="0" w:color="auto"/>
        <w:bottom w:val="none" w:sz="0" w:space="0" w:color="auto"/>
        <w:right w:val="none" w:sz="0" w:space="0" w:color="auto"/>
      </w:divBdr>
    </w:div>
    <w:div w:id="1603951084">
      <w:bodyDiv w:val="1"/>
      <w:marLeft w:val="0"/>
      <w:marRight w:val="0"/>
      <w:marTop w:val="0"/>
      <w:marBottom w:val="0"/>
      <w:divBdr>
        <w:top w:val="none" w:sz="0" w:space="0" w:color="auto"/>
        <w:left w:val="none" w:sz="0" w:space="0" w:color="auto"/>
        <w:bottom w:val="none" w:sz="0" w:space="0" w:color="auto"/>
        <w:right w:val="none" w:sz="0" w:space="0" w:color="auto"/>
      </w:divBdr>
    </w:div>
    <w:div w:id="1611090413">
      <w:bodyDiv w:val="1"/>
      <w:marLeft w:val="0"/>
      <w:marRight w:val="0"/>
      <w:marTop w:val="0"/>
      <w:marBottom w:val="0"/>
      <w:divBdr>
        <w:top w:val="none" w:sz="0" w:space="0" w:color="auto"/>
        <w:left w:val="none" w:sz="0" w:space="0" w:color="auto"/>
        <w:bottom w:val="none" w:sz="0" w:space="0" w:color="auto"/>
        <w:right w:val="none" w:sz="0" w:space="0" w:color="auto"/>
      </w:divBdr>
    </w:div>
    <w:div w:id="1613825279">
      <w:bodyDiv w:val="1"/>
      <w:marLeft w:val="0"/>
      <w:marRight w:val="0"/>
      <w:marTop w:val="0"/>
      <w:marBottom w:val="0"/>
      <w:divBdr>
        <w:top w:val="none" w:sz="0" w:space="0" w:color="auto"/>
        <w:left w:val="none" w:sz="0" w:space="0" w:color="auto"/>
        <w:bottom w:val="none" w:sz="0" w:space="0" w:color="auto"/>
        <w:right w:val="none" w:sz="0" w:space="0" w:color="auto"/>
      </w:divBdr>
    </w:div>
    <w:div w:id="1617785780">
      <w:bodyDiv w:val="1"/>
      <w:marLeft w:val="0"/>
      <w:marRight w:val="0"/>
      <w:marTop w:val="0"/>
      <w:marBottom w:val="0"/>
      <w:divBdr>
        <w:top w:val="none" w:sz="0" w:space="0" w:color="auto"/>
        <w:left w:val="none" w:sz="0" w:space="0" w:color="auto"/>
        <w:bottom w:val="none" w:sz="0" w:space="0" w:color="auto"/>
        <w:right w:val="none" w:sz="0" w:space="0" w:color="auto"/>
      </w:divBdr>
    </w:div>
    <w:div w:id="1629622287">
      <w:bodyDiv w:val="1"/>
      <w:marLeft w:val="0"/>
      <w:marRight w:val="0"/>
      <w:marTop w:val="0"/>
      <w:marBottom w:val="0"/>
      <w:divBdr>
        <w:top w:val="none" w:sz="0" w:space="0" w:color="auto"/>
        <w:left w:val="none" w:sz="0" w:space="0" w:color="auto"/>
        <w:bottom w:val="none" w:sz="0" w:space="0" w:color="auto"/>
        <w:right w:val="none" w:sz="0" w:space="0" w:color="auto"/>
      </w:divBdr>
    </w:div>
    <w:div w:id="1649702741">
      <w:bodyDiv w:val="1"/>
      <w:marLeft w:val="0"/>
      <w:marRight w:val="0"/>
      <w:marTop w:val="0"/>
      <w:marBottom w:val="0"/>
      <w:divBdr>
        <w:top w:val="none" w:sz="0" w:space="0" w:color="auto"/>
        <w:left w:val="none" w:sz="0" w:space="0" w:color="auto"/>
        <w:bottom w:val="none" w:sz="0" w:space="0" w:color="auto"/>
        <w:right w:val="none" w:sz="0" w:space="0" w:color="auto"/>
      </w:divBdr>
    </w:div>
    <w:div w:id="1649821247">
      <w:bodyDiv w:val="1"/>
      <w:marLeft w:val="0"/>
      <w:marRight w:val="0"/>
      <w:marTop w:val="0"/>
      <w:marBottom w:val="0"/>
      <w:divBdr>
        <w:top w:val="none" w:sz="0" w:space="0" w:color="auto"/>
        <w:left w:val="none" w:sz="0" w:space="0" w:color="auto"/>
        <w:bottom w:val="none" w:sz="0" w:space="0" w:color="auto"/>
        <w:right w:val="none" w:sz="0" w:space="0" w:color="auto"/>
      </w:divBdr>
    </w:div>
    <w:div w:id="1650354836">
      <w:bodyDiv w:val="1"/>
      <w:marLeft w:val="0"/>
      <w:marRight w:val="0"/>
      <w:marTop w:val="0"/>
      <w:marBottom w:val="0"/>
      <w:divBdr>
        <w:top w:val="none" w:sz="0" w:space="0" w:color="auto"/>
        <w:left w:val="none" w:sz="0" w:space="0" w:color="auto"/>
        <w:bottom w:val="none" w:sz="0" w:space="0" w:color="auto"/>
        <w:right w:val="none" w:sz="0" w:space="0" w:color="auto"/>
      </w:divBdr>
    </w:div>
    <w:div w:id="1662543325">
      <w:bodyDiv w:val="1"/>
      <w:marLeft w:val="0"/>
      <w:marRight w:val="0"/>
      <w:marTop w:val="0"/>
      <w:marBottom w:val="0"/>
      <w:divBdr>
        <w:top w:val="none" w:sz="0" w:space="0" w:color="auto"/>
        <w:left w:val="none" w:sz="0" w:space="0" w:color="auto"/>
        <w:bottom w:val="none" w:sz="0" w:space="0" w:color="auto"/>
        <w:right w:val="none" w:sz="0" w:space="0" w:color="auto"/>
      </w:divBdr>
    </w:div>
    <w:div w:id="1678925489">
      <w:bodyDiv w:val="1"/>
      <w:marLeft w:val="0"/>
      <w:marRight w:val="0"/>
      <w:marTop w:val="0"/>
      <w:marBottom w:val="0"/>
      <w:divBdr>
        <w:top w:val="none" w:sz="0" w:space="0" w:color="auto"/>
        <w:left w:val="none" w:sz="0" w:space="0" w:color="auto"/>
        <w:bottom w:val="none" w:sz="0" w:space="0" w:color="auto"/>
        <w:right w:val="none" w:sz="0" w:space="0" w:color="auto"/>
      </w:divBdr>
    </w:div>
    <w:div w:id="1680545737">
      <w:bodyDiv w:val="1"/>
      <w:marLeft w:val="0"/>
      <w:marRight w:val="0"/>
      <w:marTop w:val="0"/>
      <w:marBottom w:val="0"/>
      <w:divBdr>
        <w:top w:val="none" w:sz="0" w:space="0" w:color="auto"/>
        <w:left w:val="none" w:sz="0" w:space="0" w:color="auto"/>
        <w:bottom w:val="none" w:sz="0" w:space="0" w:color="auto"/>
        <w:right w:val="none" w:sz="0" w:space="0" w:color="auto"/>
      </w:divBdr>
    </w:div>
    <w:div w:id="1682317571">
      <w:bodyDiv w:val="1"/>
      <w:marLeft w:val="0"/>
      <w:marRight w:val="0"/>
      <w:marTop w:val="0"/>
      <w:marBottom w:val="0"/>
      <w:divBdr>
        <w:top w:val="none" w:sz="0" w:space="0" w:color="auto"/>
        <w:left w:val="none" w:sz="0" w:space="0" w:color="auto"/>
        <w:bottom w:val="none" w:sz="0" w:space="0" w:color="auto"/>
        <w:right w:val="none" w:sz="0" w:space="0" w:color="auto"/>
      </w:divBdr>
    </w:div>
    <w:div w:id="1684161456">
      <w:bodyDiv w:val="1"/>
      <w:marLeft w:val="0"/>
      <w:marRight w:val="0"/>
      <w:marTop w:val="0"/>
      <w:marBottom w:val="0"/>
      <w:divBdr>
        <w:top w:val="none" w:sz="0" w:space="0" w:color="auto"/>
        <w:left w:val="none" w:sz="0" w:space="0" w:color="auto"/>
        <w:bottom w:val="none" w:sz="0" w:space="0" w:color="auto"/>
        <w:right w:val="none" w:sz="0" w:space="0" w:color="auto"/>
      </w:divBdr>
    </w:div>
    <w:div w:id="1689479359">
      <w:bodyDiv w:val="1"/>
      <w:marLeft w:val="0"/>
      <w:marRight w:val="0"/>
      <w:marTop w:val="0"/>
      <w:marBottom w:val="0"/>
      <w:divBdr>
        <w:top w:val="none" w:sz="0" w:space="0" w:color="auto"/>
        <w:left w:val="none" w:sz="0" w:space="0" w:color="auto"/>
        <w:bottom w:val="none" w:sz="0" w:space="0" w:color="auto"/>
        <w:right w:val="none" w:sz="0" w:space="0" w:color="auto"/>
      </w:divBdr>
    </w:div>
    <w:div w:id="1698461800">
      <w:bodyDiv w:val="1"/>
      <w:marLeft w:val="0"/>
      <w:marRight w:val="0"/>
      <w:marTop w:val="0"/>
      <w:marBottom w:val="0"/>
      <w:divBdr>
        <w:top w:val="none" w:sz="0" w:space="0" w:color="auto"/>
        <w:left w:val="none" w:sz="0" w:space="0" w:color="auto"/>
        <w:bottom w:val="none" w:sz="0" w:space="0" w:color="auto"/>
        <w:right w:val="none" w:sz="0" w:space="0" w:color="auto"/>
      </w:divBdr>
    </w:div>
    <w:div w:id="1699043414">
      <w:bodyDiv w:val="1"/>
      <w:marLeft w:val="0"/>
      <w:marRight w:val="0"/>
      <w:marTop w:val="0"/>
      <w:marBottom w:val="0"/>
      <w:divBdr>
        <w:top w:val="none" w:sz="0" w:space="0" w:color="auto"/>
        <w:left w:val="none" w:sz="0" w:space="0" w:color="auto"/>
        <w:bottom w:val="none" w:sz="0" w:space="0" w:color="auto"/>
        <w:right w:val="none" w:sz="0" w:space="0" w:color="auto"/>
      </w:divBdr>
    </w:div>
    <w:div w:id="1700357787">
      <w:bodyDiv w:val="1"/>
      <w:marLeft w:val="0"/>
      <w:marRight w:val="0"/>
      <w:marTop w:val="0"/>
      <w:marBottom w:val="0"/>
      <w:divBdr>
        <w:top w:val="none" w:sz="0" w:space="0" w:color="auto"/>
        <w:left w:val="none" w:sz="0" w:space="0" w:color="auto"/>
        <w:bottom w:val="none" w:sz="0" w:space="0" w:color="auto"/>
        <w:right w:val="none" w:sz="0" w:space="0" w:color="auto"/>
      </w:divBdr>
    </w:div>
    <w:div w:id="1731339325">
      <w:bodyDiv w:val="1"/>
      <w:marLeft w:val="0"/>
      <w:marRight w:val="0"/>
      <w:marTop w:val="0"/>
      <w:marBottom w:val="0"/>
      <w:divBdr>
        <w:top w:val="none" w:sz="0" w:space="0" w:color="auto"/>
        <w:left w:val="none" w:sz="0" w:space="0" w:color="auto"/>
        <w:bottom w:val="none" w:sz="0" w:space="0" w:color="auto"/>
        <w:right w:val="none" w:sz="0" w:space="0" w:color="auto"/>
      </w:divBdr>
    </w:div>
    <w:div w:id="1751465945">
      <w:bodyDiv w:val="1"/>
      <w:marLeft w:val="0"/>
      <w:marRight w:val="0"/>
      <w:marTop w:val="0"/>
      <w:marBottom w:val="0"/>
      <w:divBdr>
        <w:top w:val="none" w:sz="0" w:space="0" w:color="auto"/>
        <w:left w:val="none" w:sz="0" w:space="0" w:color="auto"/>
        <w:bottom w:val="none" w:sz="0" w:space="0" w:color="auto"/>
        <w:right w:val="none" w:sz="0" w:space="0" w:color="auto"/>
      </w:divBdr>
    </w:div>
    <w:div w:id="1760636296">
      <w:bodyDiv w:val="1"/>
      <w:marLeft w:val="0"/>
      <w:marRight w:val="0"/>
      <w:marTop w:val="0"/>
      <w:marBottom w:val="0"/>
      <w:divBdr>
        <w:top w:val="none" w:sz="0" w:space="0" w:color="auto"/>
        <w:left w:val="none" w:sz="0" w:space="0" w:color="auto"/>
        <w:bottom w:val="none" w:sz="0" w:space="0" w:color="auto"/>
        <w:right w:val="none" w:sz="0" w:space="0" w:color="auto"/>
      </w:divBdr>
    </w:div>
    <w:div w:id="1766879198">
      <w:bodyDiv w:val="1"/>
      <w:marLeft w:val="0"/>
      <w:marRight w:val="0"/>
      <w:marTop w:val="0"/>
      <w:marBottom w:val="0"/>
      <w:divBdr>
        <w:top w:val="none" w:sz="0" w:space="0" w:color="auto"/>
        <w:left w:val="none" w:sz="0" w:space="0" w:color="auto"/>
        <w:bottom w:val="none" w:sz="0" w:space="0" w:color="auto"/>
        <w:right w:val="none" w:sz="0" w:space="0" w:color="auto"/>
      </w:divBdr>
    </w:div>
    <w:div w:id="1776556261">
      <w:bodyDiv w:val="1"/>
      <w:marLeft w:val="0"/>
      <w:marRight w:val="0"/>
      <w:marTop w:val="0"/>
      <w:marBottom w:val="0"/>
      <w:divBdr>
        <w:top w:val="none" w:sz="0" w:space="0" w:color="auto"/>
        <w:left w:val="none" w:sz="0" w:space="0" w:color="auto"/>
        <w:bottom w:val="none" w:sz="0" w:space="0" w:color="auto"/>
        <w:right w:val="none" w:sz="0" w:space="0" w:color="auto"/>
      </w:divBdr>
    </w:div>
    <w:div w:id="1785345294">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11173667">
      <w:bodyDiv w:val="1"/>
      <w:marLeft w:val="0"/>
      <w:marRight w:val="0"/>
      <w:marTop w:val="0"/>
      <w:marBottom w:val="0"/>
      <w:divBdr>
        <w:top w:val="none" w:sz="0" w:space="0" w:color="auto"/>
        <w:left w:val="none" w:sz="0" w:space="0" w:color="auto"/>
        <w:bottom w:val="none" w:sz="0" w:space="0" w:color="auto"/>
        <w:right w:val="none" w:sz="0" w:space="0" w:color="auto"/>
      </w:divBdr>
    </w:div>
    <w:div w:id="1820460816">
      <w:bodyDiv w:val="1"/>
      <w:marLeft w:val="0"/>
      <w:marRight w:val="0"/>
      <w:marTop w:val="0"/>
      <w:marBottom w:val="0"/>
      <w:divBdr>
        <w:top w:val="none" w:sz="0" w:space="0" w:color="auto"/>
        <w:left w:val="none" w:sz="0" w:space="0" w:color="auto"/>
        <w:bottom w:val="none" w:sz="0" w:space="0" w:color="auto"/>
        <w:right w:val="none" w:sz="0" w:space="0" w:color="auto"/>
      </w:divBdr>
    </w:div>
    <w:div w:id="1825271035">
      <w:bodyDiv w:val="1"/>
      <w:marLeft w:val="0"/>
      <w:marRight w:val="0"/>
      <w:marTop w:val="0"/>
      <w:marBottom w:val="0"/>
      <w:divBdr>
        <w:top w:val="none" w:sz="0" w:space="0" w:color="auto"/>
        <w:left w:val="none" w:sz="0" w:space="0" w:color="auto"/>
        <w:bottom w:val="none" w:sz="0" w:space="0" w:color="auto"/>
        <w:right w:val="none" w:sz="0" w:space="0" w:color="auto"/>
      </w:divBdr>
    </w:div>
    <w:div w:id="1833596209">
      <w:bodyDiv w:val="1"/>
      <w:marLeft w:val="0"/>
      <w:marRight w:val="0"/>
      <w:marTop w:val="0"/>
      <w:marBottom w:val="0"/>
      <w:divBdr>
        <w:top w:val="none" w:sz="0" w:space="0" w:color="auto"/>
        <w:left w:val="none" w:sz="0" w:space="0" w:color="auto"/>
        <w:bottom w:val="none" w:sz="0" w:space="0" w:color="auto"/>
        <w:right w:val="none" w:sz="0" w:space="0" w:color="auto"/>
      </w:divBdr>
    </w:div>
    <w:div w:id="1850026357">
      <w:bodyDiv w:val="1"/>
      <w:marLeft w:val="0"/>
      <w:marRight w:val="0"/>
      <w:marTop w:val="0"/>
      <w:marBottom w:val="0"/>
      <w:divBdr>
        <w:top w:val="none" w:sz="0" w:space="0" w:color="auto"/>
        <w:left w:val="none" w:sz="0" w:space="0" w:color="auto"/>
        <w:bottom w:val="none" w:sz="0" w:space="0" w:color="auto"/>
        <w:right w:val="none" w:sz="0" w:space="0" w:color="auto"/>
      </w:divBdr>
    </w:div>
    <w:div w:id="1860197442">
      <w:bodyDiv w:val="1"/>
      <w:marLeft w:val="0"/>
      <w:marRight w:val="0"/>
      <w:marTop w:val="0"/>
      <w:marBottom w:val="0"/>
      <w:divBdr>
        <w:top w:val="none" w:sz="0" w:space="0" w:color="auto"/>
        <w:left w:val="none" w:sz="0" w:space="0" w:color="auto"/>
        <w:bottom w:val="none" w:sz="0" w:space="0" w:color="auto"/>
        <w:right w:val="none" w:sz="0" w:space="0" w:color="auto"/>
      </w:divBdr>
    </w:div>
    <w:div w:id="1860269189">
      <w:bodyDiv w:val="1"/>
      <w:marLeft w:val="0"/>
      <w:marRight w:val="0"/>
      <w:marTop w:val="0"/>
      <w:marBottom w:val="0"/>
      <w:divBdr>
        <w:top w:val="none" w:sz="0" w:space="0" w:color="auto"/>
        <w:left w:val="none" w:sz="0" w:space="0" w:color="auto"/>
        <w:bottom w:val="none" w:sz="0" w:space="0" w:color="auto"/>
        <w:right w:val="none" w:sz="0" w:space="0" w:color="auto"/>
      </w:divBdr>
    </w:div>
    <w:div w:id="1860506829">
      <w:bodyDiv w:val="1"/>
      <w:marLeft w:val="0"/>
      <w:marRight w:val="0"/>
      <w:marTop w:val="0"/>
      <w:marBottom w:val="0"/>
      <w:divBdr>
        <w:top w:val="none" w:sz="0" w:space="0" w:color="auto"/>
        <w:left w:val="none" w:sz="0" w:space="0" w:color="auto"/>
        <w:bottom w:val="none" w:sz="0" w:space="0" w:color="auto"/>
        <w:right w:val="none" w:sz="0" w:space="0" w:color="auto"/>
      </w:divBdr>
    </w:div>
    <w:div w:id="1863516667">
      <w:bodyDiv w:val="1"/>
      <w:marLeft w:val="0"/>
      <w:marRight w:val="0"/>
      <w:marTop w:val="0"/>
      <w:marBottom w:val="0"/>
      <w:divBdr>
        <w:top w:val="none" w:sz="0" w:space="0" w:color="auto"/>
        <w:left w:val="none" w:sz="0" w:space="0" w:color="auto"/>
        <w:bottom w:val="none" w:sz="0" w:space="0" w:color="auto"/>
        <w:right w:val="none" w:sz="0" w:space="0" w:color="auto"/>
      </w:divBdr>
    </w:div>
    <w:div w:id="1868442006">
      <w:bodyDiv w:val="1"/>
      <w:marLeft w:val="0"/>
      <w:marRight w:val="0"/>
      <w:marTop w:val="0"/>
      <w:marBottom w:val="0"/>
      <w:divBdr>
        <w:top w:val="none" w:sz="0" w:space="0" w:color="auto"/>
        <w:left w:val="none" w:sz="0" w:space="0" w:color="auto"/>
        <w:bottom w:val="none" w:sz="0" w:space="0" w:color="auto"/>
        <w:right w:val="none" w:sz="0" w:space="0" w:color="auto"/>
      </w:divBdr>
    </w:div>
    <w:div w:id="1871334222">
      <w:bodyDiv w:val="1"/>
      <w:marLeft w:val="0"/>
      <w:marRight w:val="0"/>
      <w:marTop w:val="0"/>
      <w:marBottom w:val="0"/>
      <w:divBdr>
        <w:top w:val="none" w:sz="0" w:space="0" w:color="auto"/>
        <w:left w:val="none" w:sz="0" w:space="0" w:color="auto"/>
        <w:bottom w:val="none" w:sz="0" w:space="0" w:color="auto"/>
        <w:right w:val="none" w:sz="0" w:space="0" w:color="auto"/>
      </w:divBdr>
    </w:div>
    <w:div w:id="1879275383">
      <w:bodyDiv w:val="1"/>
      <w:marLeft w:val="0"/>
      <w:marRight w:val="0"/>
      <w:marTop w:val="0"/>
      <w:marBottom w:val="0"/>
      <w:divBdr>
        <w:top w:val="none" w:sz="0" w:space="0" w:color="auto"/>
        <w:left w:val="none" w:sz="0" w:space="0" w:color="auto"/>
        <w:bottom w:val="none" w:sz="0" w:space="0" w:color="auto"/>
        <w:right w:val="none" w:sz="0" w:space="0" w:color="auto"/>
      </w:divBdr>
    </w:div>
    <w:div w:id="1880819938">
      <w:bodyDiv w:val="1"/>
      <w:marLeft w:val="0"/>
      <w:marRight w:val="0"/>
      <w:marTop w:val="0"/>
      <w:marBottom w:val="0"/>
      <w:divBdr>
        <w:top w:val="none" w:sz="0" w:space="0" w:color="auto"/>
        <w:left w:val="none" w:sz="0" w:space="0" w:color="auto"/>
        <w:bottom w:val="none" w:sz="0" w:space="0" w:color="auto"/>
        <w:right w:val="none" w:sz="0" w:space="0" w:color="auto"/>
      </w:divBdr>
    </w:div>
    <w:div w:id="1882472895">
      <w:bodyDiv w:val="1"/>
      <w:marLeft w:val="0"/>
      <w:marRight w:val="0"/>
      <w:marTop w:val="0"/>
      <w:marBottom w:val="0"/>
      <w:divBdr>
        <w:top w:val="none" w:sz="0" w:space="0" w:color="auto"/>
        <w:left w:val="none" w:sz="0" w:space="0" w:color="auto"/>
        <w:bottom w:val="none" w:sz="0" w:space="0" w:color="auto"/>
        <w:right w:val="none" w:sz="0" w:space="0" w:color="auto"/>
      </w:divBdr>
    </w:div>
    <w:div w:id="1882741095">
      <w:bodyDiv w:val="1"/>
      <w:marLeft w:val="0"/>
      <w:marRight w:val="0"/>
      <w:marTop w:val="0"/>
      <w:marBottom w:val="0"/>
      <w:divBdr>
        <w:top w:val="none" w:sz="0" w:space="0" w:color="auto"/>
        <w:left w:val="none" w:sz="0" w:space="0" w:color="auto"/>
        <w:bottom w:val="none" w:sz="0" w:space="0" w:color="auto"/>
        <w:right w:val="none" w:sz="0" w:space="0" w:color="auto"/>
      </w:divBdr>
    </w:div>
    <w:div w:id="1895237270">
      <w:bodyDiv w:val="1"/>
      <w:marLeft w:val="0"/>
      <w:marRight w:val="0"/>
      <w:marTop w:val="0"/>
      <w:marBottom w:val="0"/>
      <w:divBdr>
        <w:top w:val="none" w:sz="0" w:space="0" w:color="auto"/>
        <w:left w:val="none" w:sz="0" w:space="0" w:color="auto"/>
        <w:bottom w:val="none" w:sz="0" w:space="0" w:color="auto"/>
        <w:right w:val="none" w:sz="0" w:space="0" w:color="auto"/>
      </w:divBdr>
    </w:div>
    <w:div w:id="1909806328">
      <w:bodyDiv w:val="1"/>
      <w:marLeft w:val="0"/>
      <w:marRight w:val="0"/>
      <w:marTop w:val="0"/>
      <w:marBottom w:val="0"/>
      <w:divBdr>
        <w:top w:val="none" w:sz="0" w:space="0" w:color="auto"/>
        <w:left w:val="none" w:sz="0" w:space="0" w:color="auto"/>
        <w:bottom w:val="none" w:sz="0" w:space="0" w:color="auto"/>
        <w:right w:val="none" w:sz="0" w:space="0" w:color="auto"/>
      </w:divBdr>
    </w:div>
    <w:div w:id="1910580959">
      <w:bodyDiv w:val="1"/>
      <w:marLeft w:val="0"/>
      <w:marRight w:val="0"/>
      <w:marTop w:val="0"/>
      <w:marBottom w:val="0"/>
      <w:divBdr>
        <w:top w:val="none" w:sz="0" w:space="0" w:color="auto"/>
        <w:left w:val="none" w:sz="0" w:space="0" w:color="auto"/>
        <w:bottom w:val="none" w:sz="0" w:space="0" w:color="auto"/>
        <w:right w:val="none" w:sz="0" w:space="0" w:color="auto"/>
      </w:divBdr>
    </w:div>
    <w:div w:id="1918326085">
      <w:bodyDiv w:val="1"/>
      <w:marLeft w:val="0"/>
      <w:marRight w:val="0"/>
      <w:marTop w:val="0"/>
      <w:marBottom w:val="0"/>
      <w:divBdr>
        <w:top w:val="none" w:sz="0" w:space="0" w:color="auto"/>
        <w:left w:val="none" w:sz="0" w:space="0" w:color="auto"/>
        <w:bottom w:val="none" w:sz="0" w:space="0" w:color="auto"/>
        <w:right w:val="none" w:sz="0" w:space="0" w:color="auto"/>
      </w:divBdr>
    </w:div>
    <w:div w:id="1920209276">
      <w:bodyDiv w:val="1"/>
      <w:marLeft w:val="0"/>
      <w:marRight w:val="0"/>
      <w:marTop w:val="0"/>
      <w:marBottom w:val="0"/>
      <w:divBdr>
        <w:top w:val="none" w:sz="0" w:space="0" w:color="auto"/>
        <w:left w:val="none" w:sz="0" w:space="0" w:color="auto"/>
        <w:bottom w:val="none" w:sz="0" w:space="0" w:color="auto"/>
        <w:right w:val="none" w:sz="0" w:space="0" w:color="auto"/>
      </w:divBdr>
    </w:div>
    <w:div w:id="1928030350">
      <w:bodyDiv w:val="1"/>
      <w:marLeft w:val="0"/>
      <w:marRight w:val="0"/>
      <w:marTop w:val="0"/>
      <w:marBottom w:val="0"/>
      <w:divBdr>
        <w:top w:val="none" w:sz="0" w:space="0" w:color="auto"/>
        <w:left w:val="none" w:sz="0" w:space="0" w:color="auto"/>
        <w:bottom w:val="none" w:sz="0" w:space="0" w:color="auto"/>
        <w:right w:val="none" w:sz="0" w:space="0" w:color="auto"/>
      </w:divBdr>
    </w:div>
    <w:div w:id="1930576370">
      <w:bodyDiv w:val="1"/>
      <w:marLeft w:val="0"/>
      <w:marRight w:val="0"/>
      <w:marTop w:val="0"/>
      <w:marBottom w:val="0"/>
      <w:divBdr>
        <w:top w:val="none" w:sz="0" w:space="0" w:color="auto"/>
        <w:left w:val="none" w:sz="0" w:space="0" w:color="auto"/>
        <w:bottom w:val="none" w:sz="0" w:space="0" w:color="auto"/>
        <w:right w:val="none" w:sz="0" w:space="0" w:color="auto"/>
      </w:divBdr>
    </w:div>
    <w:div w:id="1934390062">
      <w:bodyDiv w:val="1"/>
      <w:marLeft w:val="0"/>
      <w:marRight w:val="0"/>
      <w:marTop w:val="0"/>
      <w:marBottom w:val="0"/>
      <w:divBdr>
        <w:top w:val="none" w:sz="0" w:space="0" w:color="auto"/>
        <w:left w:val="none" w:sz="0" w:space="0" w:color="auto"/>
        <w:bottom w:val="none" w:sz="0" w:space="0" w:color="auto"/>
        <w:right w:val="none" w:sz="0" w:space="0" w:color="auto"/>
      </w:divBdr>
    </w:div>
    <w:div w:id="1935434512">
      <w:bodyDiv w:val="1"/>
      <w:marLeft w:val="0"/>
      <w:marRight w:val="0"/>
      <w:marTop w:val="0"/>
      <w:marBottom w:val="0"/>
      <w:divBdr>
        <w:top w:val="none" w:sz="0" w:space="0" w:color="auto"/>
        <w:left w:val="none" w:sz="0" w:space="0" w:color="auto"/>
        <w:bottom w:val="none" w:sz="0" w:space="0" w:color="auto"/>
        <w:right w:val="none" w:sz="0" w:space="0" w:color="auto"/>
      </w:divBdr>
    </w:div>
    <w:div w:id="1937204595">
      <w:bodyDiv w:val="1"/>
      <w:marLeft w:val="0"/>
      <w:marRight w:val="0"/>
      <w:marTop w:val="0"/>
      <w:marBottom w:val="0"/>
      <w:divBdr>
        <w:top w:val="none" w:sz="0" w:space="0" w:color="auto"/>
        <w:left w:val="none" w:sz="0" w:space="0" w:color="auto"/>
        <w:bottom w:val="none" w:sz="0" w:space="0" w:color="auto"/>
        <w:right w:val="none" w:sz="0" w:space="0" w:color="auto"/>
      </w:divBdr>
    </w:div>
    <w:div w:id="1950434274">
      <w:bodyDiv w:val="1"/>
      <w:marLeft w:val="0"/>
      <w:marRight w:val="0"/>
      <w:marTop w:val="0"/>
      <w:marBottom w:val="0"/>
      <w:divBdr>
        <w:top w:val="none" w:sz="0" w:space="0" w:color="auto"/>
        <w:left w:val="none" w:sz="0" w:space="0" w:color="auto"/>
        <w:bottom w:val="none" w:sz="0" w:space="0" w:color="auto"/>
        <w:right w:val="none" w:sz="0" w:space="0" w:color="auto"/>
      </w:divBdr>
    </w:div>
    <w:div w:id="1995143484">
      <w:bodyDiv w:val="1"/>
      <w:marLeft w:val="0"/>
      <w:marRight w:val="0"/>
      <w:marTop w:val="0"/>
      <w:marBottom w:val="0"/>
      <w:divBdr>
        <w:top w:val="none" w:sz="0" w:space="0" w:color="auto"/>
        <w:left w:val="none" w:sz="0" w:space="0" w:color="auto"/>
        <w:bottom w:val="none" w:sz="0" w:space="0" w:color="auto"/>
        <w:right w:val="none" w:sz="0" w:space="0" w:color="auto"/>
      </w:divBdr>
    </w:div>
    <w:div w:id="1999069467">
      <w:bodyDiv w:val="1"/>
      <w:marLeft w:val="0"/>
      <w:marRight w:val="0"/>
      <w:marTop w:val="0"/>
      <w:marBottom w:val="0"/>
      <w:divBdr>
        <w:top w:val="none" w:sz="0" w:space="0" w:color="auto"/>
        <w:left w:val="none" w:sz="0" w:space="0" w:color="auto"/>
        <w:bottom w:val="none" w:sz="0" w:space="0" w:color="auto"/>
        <w:right w:val="none" w:sz="0" w:space="0" w:color="auto"/>
      </w:divBdr>
    </w:div>
    <w:div w:id="2003924015">
      <w:bodyDiv w:val="1"/>
      <w:marLeft w:val="0"/>
      <w:marRight w:val="0"/>
      <w:marTop w:val="0"/>
      <w:marBottom w:val="0"/>
      <w:divBdr>
        <w:top w:val="none" w:sz="0" w:space="0" w:color="auto"/>
        <w:left w:val="none" w:sz="0" w:space="0" w:color="auto"/>
        <w:bottom w:val="none" w:sz="0" w:space="0" w:color="auto"/>
        <w:right w:val="none" w:sz="0" w:space="0" w:color="auto"/>
      </w:divBdr>
    </w:div>
    <w:div w:id="2007395963">
      <w:bodyDiv w:val="1"/>
      <w:marLeft w:val="0"/>
      <w:marRight w:val="0"/>
      <w:marTop w:val="0"/>
      <w:marBottom w:val="0"/>
      <w:divBdr>
        <w:top w:val="none" w:sz="0" w:space="0" w:color="auto"/>
        <w:left w:val="none" w:sz="0" w:space="0" w:color="auto"/>
        <w:bottom w:val="none" w:sz="0" w:space="0" w:color="auto"/>
        <w:right w:val="none" w:sz="0" w:space="0" w:color="auto"/>
      </w:divBdr>
    </w:div>
    <w:div w:id="2010719417">
      <w:bodyDiv w:val="1"/>
      <w:marLeft w:val="0"/>
      <w:marRight w:val="0"/>
      <w:marTop w:val="0"/>
      <w:marBottom w:val="0"/>
      <w:divBdr>
        <w:top w:val="none" w:sz="0" w:space="0" w:color="auto"/>
        <w:left w:val="none" w:sz="0" w:space="0" w:color="auto"/>
        <w:bottom w:val="none" w:sz="0" w:space="0" w:color="auto"/>
        <w:right w:val="none" w:sz="0" w:space="0" w:color="auto"/>
      </w:divBdr>
    </w:div>
    <w:div w:id="2015375169">
      <w:bodyDiv w:val="1"/>
      <w:marLeft w:val="0"/>
      <w:marRight w:val="0"/>
      <w:marTop w:val="0"/>
      <w:marBottom w:val="0"/>
      <w:divBdr>
        <w:top w:val="none" w:sz="0" w:space="0" w:color="auto"/>
        <w:left w:val="none" w:sz="0" w:space="0" w:color="auto"/>
        <w:bottom w:val="none" w:sz="0" w:space="0" w:color="auto"/>
        <w:right w:val="none" w:sz="0" w:space="0" w:color="auto"/>
      </w:divBdr>
    </w:div>
    <w:div w:id="2019429854">
      <w:bodyDiv w:val="1"/>
      <w:marLeft w:val="0"/>
      <w:marRight w:val="0"/>
      <w:marTop w:val="0"/>
      <w:marBottom w:val="0"/>
      <w:divBdr>
        <w:top w:val="none" w:sz="0" w:space="0" w:color="auto"/>
        <w:left w:val="none" w:sz="0" w:space="0" w:color="auto"/>
        <w:bottom w:val="none" w:sz="0" w:space="0" w:color="auto"/>
        <w:right w:val="none" w:sz="0" w:space="0" w:color="auto"/>
      </w:divBdr>
    </w:div>
    <w:div w:id="2023046359">
      <w:bodyDiv w:val="1"/>
      <w:marLeft w:val="0"/>
      <w:marRight w:val="0"/>
      <w:marTop w:val="0"/>
      <w:marBottom w:val="0"/>
      <w:divBdr>
        <w:top w:val="none" w:sz="0" w:space="0" w:color="auto"/>
        <w:left w:val="none" w:sz="0" w:space="0" w:color="auto"/>
        <w:bottom w:val="none" w:sz="0" w:space="0" w:color="auto"/>
        <w:right w:val="none" w:sz="0" w:space="0" w:color="auto"/>
      </w:divBdr>
    </w:div>
    <w:div w:id="2026590843">
      <w:bodyDiv w:val="1"/>
      <w:marLeft w:val="0"/>
      <w:marRight w:val="0"/>
      <w:marTop w:val="0"/>
      <w:marBottom w:val="0"/>
      <w:divBdr>
        <w:top w:val="none" w:sz="0" w:space="0" w:color="auto"/>
        <w:left w:val="none" w:sz="0" w:space="0" w:color="auto"/>
        <w:bottom w:val="none" w:sz="0" w:space="0" w:color="auto"/>
        <w:right w:val="none" w:sz="0" w:space="0" w:color="auto"/>
      </w:divBdr>
    </w:div>
    <w:div w:id="2034837908">
      <w:bodyDiv w:val="1"/>
      <w:marLeft w:val="0"/>
      <w:marRight w:val="0"/>
      <w:marTop w:val="0"/>
      <w:marBottom w:val="0"/>
      <w:divBdr>
        <w:top w:val="none" w:sz="0" w:space="0" w:color="auto"/>
        <w:left w:val="none" w:sz="0" w:space="0" w:color="auto"/>
        <w:bottom w:val="none" w:sz="0" w:space="0" w:color="auto"/>
        <w:right w:val="none" w:sz="0" w:space="0" w:color="auto"/>
      </w:divBdr>
    </w:div>
    <w:div w:id="2035114874">
      <w:bodyDiv w:val="1"/>
      <w:marLeft w:val="0"/>
      <w:marRight w:val="0"/>
      <w:marTop w:val="0"/>
      <w:marBottom w:val="0"/>
      <w:divBdr>
        <w:top w:val="none" w:sz="0" w:space="0" w:color="auto"/>
        <w:left w:val="none" w:sz="0" w:space="0" w:color="auto"/>
        <w:bottom w:val="none" w:sz="0" w:space="0" w:color="auto"/>
        <w:right w:val="none" w:sz="0" w:space="0" w:color="auto"/>
      </w:divBdr>
    </w:div>
    <w:div w:id="2035619303">
      <w:bodyDiv w:val="1"/>
      <w:marLeft w:val="0"/>
      <w:marRight w:val="0"/>
      <w:marTop w:val="0"/>
      <w:marBottom w:val="0"/>
      <w:divBdr>
        <w:top w:val="none" w:sz="0" w:space="0" w:color="auto"/>
        <w:left w:val="none" w:sz="0" w:space="0" w:color="auto"/>
        <w:bottom w:val="none" w:sz="0" w:space="0" w:color="auto"/>
        <w:right w:val="none" w:sz="0" w:space="0" w:color="auto"/>
      </w:divBdr>
    </w:div>
    <w:div w:id="2035954620">
      <w:bodyDiv w:val="1"/>
      <w:marLeft w:val="0"/>
      <w:marRight w:val="0"/>
      <w:marTop w:val="0"/>
      <w:marBottom w:val="0"/>
      <w:divBdr>
        <w:top w:val="none" w:sz="0" w:space="0" w:color="auto"/>
        <w:left w:val="none" w:sz="0" w:space="0" w:color="auto"/>
        <w:bottom w:val="none" w:sz="0" w:space="0" w:color="auto"/>
        <w:right w:val="none" w:sz="0" w:space="0" w:color="auto"/>
      </w:divBdr>
    </w:div>
    <w:div w:id="2038695653">
      <w:bodyDiv w:val="1"/>
      <w:marLeft w:val="0"/>
      <w:marRight w:val="0"/>
      <w:marTop w:val="0"/>
      <w:marBottom w:val="0"/>
      <w:divBdr>
        <w:top w:val="none" w:sz="0" w:space="0" w:color="auto"/>
        <w:left w:val="none" w:sz="0" w:space="0" w:color="auto"/>
        <w:bottom w:val="none" w:sz="0" w:space="0" w:color="auto"/>
        <w:right w:val="none" w:sz="0" w:space="0" w:color="auto"/>
      </w:divBdr>
    </w:div>
    <w:div w:id="2040736770">
      <w:bodyDiv w:val="1"/>
      <w:marLeft w:val="0"/>
      <w:marRight w:val="0"/>
      <w:marTop w:val="0"/>
      <w:marBottom w:val="0"/>
      <w:divBdr>
        <w:top w:val="none" w:sz="0" w:space="0" w:color="auto"/>
        <w:left w:val="none" w:sz="0" w:space="0" w:color="auto"/>
        <w:bottom w:val="none" w:sz="0" w:space="0" w:color="auto"/>
        <w:right w:val="none" w:sz="0" w:space="0" w:color="auto"/>
      </w:divBdr>
    </w:div>
    <w:div w:id="2050378359">
      <w:bodyDiv w:val="1"/>
      <w:marLeft w:val="0"/>
      <w:marRight w:val="0"/>
      <w:marTop w:val="0"/>
      <w:marBottom w:val="0"/>
      <w:divBdr>
        <w:top w:val="none" w:sz="0" w:space="0" w:color="auto"/>
        <w:left w:val="none" w:sz="0" w:space="0" w:color="auto"/>
        <w:bottom w:val="none" w:sz="0" w:space="0" w:color="auto"/>
        <w:right w:val="none" w:sz="0" w:space="0" w:color="auto"/>
      </w:divBdr>
    </w:div>
    <w:div w:id="2050566533">
      <w:bodyDiv w:val="1"/>
      <w:marLeft w:val="0"/>
      <w:marRight w:val="0"/>
      <w:marTop w:val="0"/>
      <w:marBottom w:val="0"/>
      <w:divBdr>
        <w:top w:val="none" w:sz="0" w:space="0" w:color="auto"/>
        <w:left w:val="none" w:sz="0" w:space="0" w:color="auto"/>
        <w:bottom w:val="none" w:sz="0" w:space="0" w:color="auto"/>
        <w:right w:val="none" w:sz="0" w:space="0" w:color="auto"/>
      </w:divBdr>
    </w:div>
    <w:div w:id="2057583160">
      <w:bodyDiv w:val="1"/>
      <w:marLeft w:val="0"/>
      <w:marRight w:val="0"/>
      <w:marTop w:val="0"/>
      <w:marBottom w:val="0"/>
      <w:divBdr>
        <w:top w:val="none" w:sz="0" w:space="0" w:color="auto"/>
        <w:left w:val="none" w:sz="0" w:space="0" w:color="auto"/>
        <w:bottom w:val="none" w:sz="0" w:space="0" w:color="auto"/>
        <w:right w:val="none" w:sz="0" w:space="0" w:color="auto"/>
      </w:divBdr>
    </w:div>
    <w:div w:id="207388882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10659994">
      <w:bodyDiv w:val="1"/>
      <w:marLeft w:val="0"/>
      <w:marRight w:val="0"/>
      <w:marTop w:val="0"/>
      <w:marBottom w:val="0"/>
      <w:divBdr>
        <w:top w:val="none" w:sz="0" w:space="0" w:color="auto"/>
        <w:left w:val="none" w:sz="0" w:space="0" w:color="auto"/>
        <w:bottom w:val="none" w:sz="0" w:space="0" w:color="auto"/>
        <w:right w:val="none" w:sz="0" w:space="0" w:color="auto"/>
      </w:divBdr>
    </w:div>
    <w:div w:id="2116048209">
      <w:bodyDiv w:val="1"/>
      <w:marLeft w:val="0"/>
      <w:marRight w:val="0"/>
      <w:marTop w:val="0"/>
      <w:marBottom w:val="0"/>
      <w:divBdr>
        <w:top w:val="none" w:sz="0" w:space="0" w:color="auto"/>
        <w:left w:val="none" w:sz="0" w:space="0" w:color="auto"/>
        <w:bottom w:val="none" w:sz="0" w:space="0" w:color="auto"/>
        <w:right w:val="none" w:sz="0" w:space="0" w:color="auto"/>
      </w:divBdr>
    </w:div>
    <w:div w:id="2118522679">
      <w:bodyDiv w:val="1"/>
      <w:marLeft w:val="0"/>
      <w:marRight w:val="0"/>
      <w:marTop w:val="0"/>
      <w:marBottom w:val="0"/>
      <w:divBdr>
        <w:top w:val="none" w:sz="0" w:space="0" w:color="auto"/>
        <w:left w:val="none" w:sz="0" w:space="0" w:color="auto"/>
        <w:bottom w:val="none" w:sz="0" w:space="0" w:color="auto"/>
        <w:right w:val="none" w:sz="0" w:space="0" w:color="auto"/>
      </w:divBdr>
    </w:div>
    <w:div w:id="2126531925">
      <w:bodyDiv w:val="1"/>
      <w:marLeft w:val="0"/>
      <w:marRight w:val="0"/>
      <w:marTop w:val="0"/>
      <w:marBottom w:val="0"/>
      <w:divBdr>
        <w:top w:val="none" w:sz="0" w:space="0" w:color="auto"/>
        <w:left w:val="none" w:sz="0" w:space="0" w:color="auto"/>
        <w:bottom w:val="none" w:sz="0" w:space="0" w:color="auto"/>
        <w:right w:val="none" w:sz="0" w:space="0" w:color="auto"/>
      </w:divBdr>
    </w:div>
    <w:div w:id="2129396203">
      <w:bodyDiv w:val="1"/>
      <w:marLeft w:val="0"/>
      <w:marRight w:val="0"/>
      <w:marTop w:val="0"/>
      <w:marBottom w:val="0"/>
      <w:divBdr>
        <w:top w:val="none" w:sz="0" w:space="0" w:color="auto"/>
        <w:left w:val="none" w:sz="0" w:space="0" w:color="auto"/>
        <w:bottom w:val="none" w:sz="0" w:space="0" w:color="auto"/>
        <w:right w:val="none" w:sz="0" w:space="0" w:color="auto"/>
      </w:divBdr>
    </w:div>
    <w:div w:id="2129740863">
      <w:bodyDiv w:val="1"/>
      <w:marLeft w:val="0"/>
      <w:marRight w:val="0"/>
      <w:marTop w:val="0"/>
      <w:marBottom w:val="0"/>
      <w:divBdr>
        <w:top w:val="none" w:sz="0" w:space="0" w:color="auto"/>
        <w:left w:val="none" w:sz="0" w:space="0" w:color="auto"/>
        <w:bottom w:val="none" w:sz="0" w:space="0" w:color="auto"/>
        <w:right w:val="none" w:sz="0" w:space="0" w:color="auto"/>
      </w:divBdr>
    </w:div>
    <w:div w:id="213367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City of Panabo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3E6DE2-0123-4DC1-8937-D11454983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86</Pages>
  <Words>24457</Words>
  <Characters>139408</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Notes to Consolidated Financial Statements</vt:lpstr>
    </vt:vector>
  </TitlesOfParts>
  <Company/>
  <LinksUpToDate>false</LinksUpToDate>
  <CharactersWithSpaces>163538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Consolidated Financial Statements</dc:title>
  <dc:creator>COA - City of Panabo, Davao del Norte</dc:creator>
  <cp:lastModifiedBy>Ben A. Lazo, Jr.</cp:lastModifiedBy>
  <cp:revision>20</cp:revision>
  <cp:lastPrinted>2023-05-16T07:10:00Z</cp:lastPrinted>
  <dcterms:created xsi:type="dcterms:W3CDTF">2023-05-12T05:27:00Z</dcterms:created>
  <dcterms:modified xsi:type="dcterms:W3CDTF">2023-06-27T00:31:00Z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ff08cd27-7fe1-489b-9e48-1ff989c1d25c</vt:lpwstr>
  </property>
</Properties>
</file>