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line="276" w:lineRule="auto"/>
        <w:jc w:val="center"/>
        <w:rPr>
          <w:b/>
        </w:rPr>
      </w:pPr>
      <w:bookmarkStart w:id="0" w:name="_GoBack"/>
      <w:bookmarkEnd w:id="0"/>
      <w:r>
        <w:rPr>
          <w:b/>
        </w:rPr>
        <w:t xml:space="preserve">  </w:t>
      </w:r>
      <w:r>
        <w:rPr>
          <w:b/>
          <w:sz w:val="28"/>
          <w:szCs w:val="28"/>
        </w:rPr>
        <w:t>PART II - OBSERVATIONS AND RECOMMENDATIONS</w:t>
      </w:r>
    </w:p>
    <w:p>
      <w:pPr>
        <w:spacing w:line="276" w:lineRule="auto"/>
        <w:ind w:right="2"/>
        <w:rPr>
          <w:b/>
        </w:rPr>
      </w:pPr>
    </w:p>
    <w:p>
      <w:pPr>
        <w:spacing w:line="276" w:lineRule="auto"/>
        <w:ind w:right="2"/>
        <w:rPr>
          <w:b/>
        </w:rPr>
      </w:pPr>
      <w:r>
        <w:rPr>
          <w:b/>
        </w:rPr>
        <w:t xml:space="preserve"> </w:t>
      </w:r>
    </w:p>
    <w:p>
      <w:pPr>
        <w:pStyle w:val="ListParagraph"/>
        <w:numPr>
          <w:ilvl w:val="0"/>
          <w:numId w:val="1"/>
        </w:numPr>
        <w:spacing w:after="0"/>
        <w:ind w:left="360" w:right="270"/>
        <w:jc w:val="both"/>
        <w:rPr>
          <w:rFonts w:ascii="Times New Roman" w:hAnsi="Times New Roman"/>
          <w:b/>
          <w:sz w:val="24"/>
          <w:szCs w:val="24"/>
        </w:rPr>
      </w:pPr>
      <w:r>
        <w:rPr>
          <w:rFonts w:ascii="Times New Roman" w:hAnsi="Times New Roman"/>
          <w:b/>
          <w:sz w:val="24"/>
          <w:szCs w:val="24"/>
        </w:rPr>
        <w:t>FINANCIAL AUDIT</w:t>
      </w:r>
    </w:p>
    <w:p>
      <w:pPr>
        <w:pStyle w:val="ListParagraph"/>
        <w:spacing w:after="0"/>
        <w:ind w:left="284" w:right="270"/>
        <w:jc w:val="both"/>
        <w:rPr>
          <w:rFonts w:ascii="Times New Roman" w:hAnsi="Times New Roman"/>
          <w:b/>
          <w:sz w:val="24"/>
          <w:szCs w:val="24"/>
        </w:rPr>
      </w:pPr>
    </w:p>
    <w:p>
      <w:pPr>
        <w:spacing w:line="276" w:lineRule="auto"/>
        <w:ind w:right="272"/>
        <w:jc w:val="both"/>
        <w:rPr>
          <w:b/>
          <w:bCs/>
          <w:i/>
          <w:iCs/>
        </w:rPr>
      </w:pPr>
      <w:r>
        <w:rPr>
          <w:b/>
          <w:bCs/>
          <w:i/>
          <w:iCs/>
        </w:rPr>
        <w:t>Cash and Cash Equivalents – Lapses in cash management</w:t>
      </w:r>
    </w:p>
    <w:p>
      <w:pPr>
        <w:spacing w:line="276" w:lineRule="auto"/>
        <w:ind w:right="272"/>
        <w:jc w:val="both"/>
        <w:rPr>
          <w:i/>
          <w:iCs/>
        </w:rPr>
      </w:pPr>
    </w:p>
    <w:p>
      <w:pPr>
        <w:pStyle w:val="ListParagraph"/>
        <w:numPr>
          <w:ilvl w:val="0"/>
          <w:numId w:val="4"/>
        </w:numPr>
        <w:spacing w:after="0"/>
        <w:ind w:left="0" w:firstLine="0"/>
        <w:jc w:val="both"/>
        <w:rPr>
          <w:rFonts w:ascii="Times New Roman" w:hAnsi="Times New Roman"/>
          <w:b/>
          <w:sz w:val="24"/>
          <w:szCs w:val="24"/>
        </w:rPr>
      </w:pPr>
      <w:r>
        <w:rPr>
          <w:rFonts w:ascii="Times New Roman" w:hAnsi="Times New Roman"/>
          <w:b/>
          <w:sz w:val="24"/>
          <w:szCs w:val="24"/>
        </w:rPr>
        <w:t>Cash and cash equivalents totaling P</w:t>
      </w:r>
      <w:proofErr w:type="gramStart"/>
      <w:r>
        <w:rPr>
          <w:rFonts w:ascii="Times New Roman" w:hAnsi="Times New Roman"/>
          <w:b/>
          <w:sz w:val="24"/>
          <w:szCs w:val="24"/>
        </w:rPr>
        <w:t>1,500,276,475.85  were</w:t>
      </w:r>
      <w:proofErr w:type="gramEnd"/>
      <w:r>
        <w:rPr>
          <w:rFonts w:ascii="Times New Roman" w:hAnsi="Times New Roman"/>
          <w:b/>
          <w:sz w:val="24"/>
          <w:szCs w:val="24"/>
        </w:rPr>
        <w:t xml:space="preserve"> noted with various discrepancies/errors amounting to P19,617,489.53 due to lapses in the cash management control procedures thereby affecting the fair presentation of the balances in the financial statements at year end.</w:t>
      </w:r>
    </w:p>
    <w:p>
      <w:pPr>
        <w:spacing w:line="276" w:lineRule="auto"/>
        <w:jc w:val="both"/>
      </w:pPr>
    </w:p>
    <w:p>
      <w:pPr>
        <w:spacing w:line="276" w:lineRule="auto"/>
        <w:jc w:val="both"/>
        <w:rPr>
          <w:i/>
        </w:rPr>
      </w:pPr>
      <w:r>
        <w:t>International Public-Sector Accounting Standards (IPSAS) dictates:</w:t>
      </w:r>
    </w:p>
    <w:p>
      <w:pPr>
        <w:spacing w:line="276" w:lineRule="auto"/>
        <w:ind w:firstLine="720"/>
        <w:jc w:val="both"/>
      </w:pPr>
    </w:p>
    <w:p>
      <w:pPr>
        <w:spacing w:line="276" w:lineRule="auto"/>
        <w:ind w:left="720" w:right="702" w:hanging="11"/>
        <w:jc w:val="both"/>
        <w:rPr>
          <w:rFonts w:eastAsiaTheme="minorHAnsi"/>
          <w:bCs/>
          <w:color w:val="000000" w:themeColor="text1"/>
        </w:rPr>
      </w:pPr>
      <w:r>
        <w:rPr>
          <w:rFonts w:eastAsiaTheme="minorHAnsi"/>
          <w:bCs/>
          <w:color w:val="000000" w:themeColor="text1"/>
        </w:rPr>
        <w:t>Financial statements shall present fairly the financial position, financial performance and cash flow of an entity. Fair presentation requires that faithful representation of the effects of transactions, other events and conditions in accordance with definitions and recognition criteria for assets, liabilities, revenue and expenses set out in IPSASs</w:t>
      </w:r>
    </w:p>
    <w:p>
      <w:pPr>
        <w:spacing w:line="276" w:lineRule="auto"/>
        <w:jc w:val="both"/>
      </w:pPr>
    </w:p>
    <w:p>
      <w:pPr>
        <w:spacing w:line="276" w:lineRule="auto"/>
        <w:jc w:val="both"/>
      </w:pPr>
      <w:r>
        <w:t xml:space="preserve">As at December 31, 2022, the total balance of Cash and Cash Equivalents of the City Government of </w:t>
      </w:r>
      <w:proofErr w:type="spellStart"/>
      <w:r>
        <w:t>Panabo</w:t>
      </w:r>
      <w:proofErr w:type="spellEnd"/>
      <w:r>
        <w:t xml:space="preserve"> amounted to P1,500, 276,475.85. The account is composed of the following:</w:t>
      </w:r>
    </w:p>
    <w:p>
      <w:pPr>
        <w:spacing w:line="276" w:lineRule="auto"/>
        <w:jc w:val="both"/>
      </w:pPr>
    </w:p>
    <w:tbl>
      <w:tblPr>
        <w:tblStyle w:val="TableGrid"/>
        <w:tblW w:w="7565"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5211"/>
        <w:gridCol w:w="2354"/>
      </w:tblGrid>
      <w:tr>
        <w:trPr>
          <w:jc w:val="center"/>
        </w:trPr>
        <w:tc>
          <w:tcPr>
            <w:tcW w:w="5211" w:type="dxa"/>
            <w:tcBorders>
              <w:bottom w:val="single" w:sz="4" w:space="0" w:color="auto"/>
            </w:tcBorders>
          </w:tcPr>
          <w:p>
            <w:pPr>
              <w:spacing w:line="276" w:lineRule="auto"/>
              <w:jc w:val="center"/>
              <w:rPr>
                <w:b/>
              </w:rPr>
            </w:pPr>
            <w:r>
              <w:rPr>
                <w:b/>
              </w:rPr>
              <w:t>Account Name</w:t>
            </w:r>
          </w:p>
        </w:tc>
        <w:tc>
          <w:tcPr>
            <w:tcW w:w="2354" w:type="dxa"/>
            <w:tcBorders>
              <w:bottom w:val="single" w:sz="4" w:space="0" w:color="auto"/>
            </w:tcBorders>
          </w:tcPr>
          <w:p>
            <w:pPr>
              <w:spacing w:line="276" w:lineRule="auto"/>
              <w:jc w:val="center"/>
              <w:rPr>
                <w:b/>
              </w:rPr>
            </w:pPr>
            <w:r>
              <w:rPr>
                <w:b/>
              </w:rPr>
              <w:t>Amount</w:t>
            </w:r>
          </w:p>
        </w:tc>
      </w:tr>
      <w:tr>
        <w:trPr>
          <w:jc w:val="center"/>
        </w:trPr>
        <w:tc>
          <w:tcPr>
            <w:tcW w:w="5211" w:type="dxa"/>
            <w:tcBorders>
              <w:bottom w:val="nil"/>
            </w:tcBorders>
          </w:tcPr>
          <w:p>
            <w:pPr>
              <w:spacing w:line="276" w:lineRule="auto"/>
              <w:jc w:val="both"/>
            </w:pPr>
            <w:r>
              <w:t>Cash Local Treasury</w:t>
            </w:r>
          </w:p>
        </w:tc>
        <w:tc>
          <w:tcPr>
            <w:tcW w:w="2354" w:type="dxa"/>
            <w:tcBorders>
              <w:bottom w:val="nil"/>
            </w:tcBorders>
          </w:tcPr>
          <w:p>
            <w:pPr>
              <w:spacing w:line="276" w:lineRule="auto"/>
              <w:jc w:val="right"/>
            </w:pPr>
            <w:r>
              <w:t>P10,173,299.33</w:t>
            </w:r>
          </w:p>
        </w:tc>
      </w:tr>
      <w:tr>
        <w:trPr>
          <w:jc w:val="center"/>
        </w:trPr>
        <w:tc>
          <w:tcPr>
            <w:tcW w:w="5211" w:type="dxa"/>
            <w:tcBorders>
              <w:top w:val="nil"/>
            </w:tcBorders>
          </w:tcPr>
          <w:p>
            <w:pPr>
              <w:spacing w:line="276" w:lineRule="auto"/>
              <w:jc w:val="both"/>
            </w:pPr>
            <w:r>
              <w:t>Cash in Bank – Local, Currency Current Account</w:t>
            </w:r>
          </w:p>
        </w:tc>
        <w:tc>
          <w:tcPr>
            <w:tcW w:w="2354" w:type="dxa"/>
            <w:tcBorders>
              <w:top w:val="nil"/>
            </w:tcBorders>
          </w:tcPr>
          <w:p>
            <w:pPr>
              <w:spacing w:line="276" w:lineRule="auto"/>
              <w:jc w:val="right"/>
            </w:pPr>
            <w:r>
              <w:t>1,490,103,176.52</w:t>
            </w:r>
          </w:p>
        </w:tc>
      </w:tr>
      <w:tr>
        <w:trPr>
          <w:jc w:val="center"/>
        </w:trPr>
        <w:tc>
          <w:tcPr>
            <w:tcW w:w="5211" w:type="dxa"/>
          </w:tcPr>
          <w:p>
            <w:pPr>
              <w:spacing w:line="276" w:lineRule="auto"/>
              <w:jc w:val="both"/>
              <w:rPr>
                <w:b/>
              </w:rPr>
            </w:pPr>
            <w:r>
              <w:rPr>
                <w:b/>
              </w:rPr>
              <w:t>TOTAL</w:t>
            </w:r>
          </w:p>
        </w:tc>
        <w:tc>
          <w:tcPr>
            <w:tcW w:w="2354" w:type="dxa"/>
          </w:tcPr>
          <w:p>
            <w:pPr>
              <w:spacing w:line="276" w:lineRule="auto"/>
              <w:jc w:val="right"/>
            </w:pPr>
            <w:r>
              <w:t>P1,500, 276,475.85</w:t>
            </w:r>
          </w:p>
        </w:tc>
      </w:tr>
    </w:tbl>
    <w:p>
      <w:pPr>
        <w:spacing w:line="276" w:lineRule="auto"/>
        <w:jc w:val="both"/>
      </w:pPr>
    </w:p>
    <w:p>
      <w:pPr>
        <w:spacing w:line="276" w:lineRule="auto"/>
        <w:ind w:left="810" w:hanging="810"/>
        <w:jc w:val="both"/>
        <w:rPr>
          <w:color w:val="000000"/>
          <w:lang w:eastAsia="en-PH"/>
        </w:rPr>
      </w:pPr>
      <w:r>
        <w:rPr>
          <w:color w:val="000000"/>
          <w:lang w:eastAsia="en-PH"/>
        </w:rPr>
        <w:t>Section 27 of the International Public Sector Accounting Standards (IPSAS) 1 also provides that:</w:t>
      </w:r>
    </w:p>
    <w:p>
      <w:pPr>
        <w:pBdr>
          <w:top w:val="nil"/>
          <w:left w:val="nil"/>
          <w:bottom w:val="nil"/>
          <w:right w:val="nil"/>
          <w:between w:val="nil"/>
        </w:pBdr>
        <w:tabs>
          <w:tab w:val="right" w:pos="0"/>
        </w:tabs>
        <w:spacing w:line="276" w:lineRule="auto"/>
        <w:jc w:val="both"/>
        <w:rPr>
          <w:b/>
          <w:color w:val="000000"/>
          <w:lang w:eastAsia="en-PH"/>
        </w:rPr>
      </w:pPr>
    </w:p>
    <w:p>
      <w:pPr>
        <w:pBdr>
          <w:top w:val="nil"/>
          <w:left w:val="nil"/>
          <w:bottom w:val="nil"/>
          <w:right w:val="nil"/>
          <w:between w:val="nil"/>
        </w:pBdr>
        <w:tabs>
          <w:tab w:val="right" w:pos="0"/>
        </w:tabs>
        <w:spacing w:line="276" w:lineRule="auto"/>
        <w:ind w:left="567" w:right="702"/>
        <w:jc w:val="both"/>
        <w:rPr>
          <w:color w:val="000000"/>
          <w:lang w:eastAsia="en-PH"/>
        </w:rPr>
      </w:pPr>
      <w:r>
        <w:rPr>
          <w:color w:val="000000"/>
          <w:lang w:eastAsia="en-PH"/>
        </w:rPr>
        <w:t>Financial statements shall present fairly the financial position, financial performance and cash flow of an entity. Fair presentation requires that faithful representation of the effects of transactions, other events and conditions in accordance with definitions and recognition criteria for assets, liabilities, revenue and expenses set out in IPSASs.</w:t>
      </w:r>
    </w:p>
    <w:p>
      <w:pPr>
        <w:spacing w:line="276" w:lineRule="auto"/>
        <w:jc w:val="both"/>
        <w:rPr>
          <w:lang w:eastAsia="en-PH"/>
        </w:rPr>
      </w:pPr>
    </w:p>
    <w:p>
      <w:pPr>
        <w:spacing w:line="276" w:lineRule="auto"/>
        <w:jc w:val="both"/>
        <w:rPr>
          <w:lang w:eastAsia="en-PH"/>
        </w:rPr>
      </w:pPr>
    </w:p>
    <w:p>
      <w:pPr>
        <w:spacing w:line="276" w:lineRule="auto"/>
        <w:jc w:val="both"/>
        <w:rPr>
          <w:lang w:eastAsia="en-PH"/>
        </w:rPr>
      </w:pPr>
    </w:p>
    <w:p>
      <w:pPr>
        <w:spacing w:line="276" w:lineRule="auto"/>
        <w:jc w:val="both"/>
        <w:rPr>
          <w:lang w:eastAsia="en-PH"/>
        </w:rPr>
      </w:pPr>
      <w:r>
        <w:rPr>
          <w:lang w:eastAsia="en-PH"/>
        </w:rPr>
        <w:lastRenderedPageBreak/>
        <w:t>Section 3.3 of COA Circular 96-011 dated October 2, 1996 provides:</w:t>
      </w:r>
    </w:p>
    <w:p>
      <w:pPr>
        <w:spacing w:line="276" w:lineRule="auto"/>
        <w:ind w:left="810" w:hanging="810"/>
        <w:jc w:val="both"/>
        <w:rPr>
          <w:lang w:eastAsia="en-PH"/>
        </w:rPr>
      </w:pPr>
      <w:r>
        <w:rPr>
          <w:lang w:eastAsia="en-PH"/>
        </w:rPr>
        <w:t xml:space="preserve"> </w:t>
      </w:r>
    </w:p>
    <w:p>
      <w:pPr>
        <w:spacing w:line="276" w:lineRule="auto"/>
        <w:ind w:left="720" w:right="702"/>
        <w:jc w:val="both"/>
        <w:rPr>
          <w:lang w:eastAsia="en-PH"/>
        </w:rPr>
      </w:pPr>
      <w:r>
        <w:rPr>
          <w:lang w:eastAsia="en-PH"/>
        </w:rPr>
        <w:t>Bank Reconciliation Statements are prepared every month to detect any discrepancies and errors between the accounting records and the bank, aside from those normal reconciling items due to timing differences. All valid reconciling items that require adjustments and corrections in the General Ledger must be recorded by the accountant through the preparation of Journal Entry Vouchers. Items for reconciliation noted in the preparation of the monthly Bank Reconciliation Statements without effecting the adjustments in the books defeated its purpose.</w:t>
      </w:r>
    </w:p>
    <w:p>
      <w:pPr>
        <w:spacing w:line="276" w:lineRule="auto"/>
        <w:ind w:left="720" w:right="360"/>
        <w:jc w:val="both"/>
        <w:rPr>
          <w:i/>
          <w:lang w:eastAsia="en-PH"/>
        </w:rPr>
      </w:pPr>
    </w:p>
    <w:p>
      <w:pPr>
        <w:spacing w:line="276" w:lineRule="auto"/>
        <w:jc w:val="both"/>
        <w:rPr>
          <w:lang w:eastAsia="en-PH"/>
        </w:rPr>
      </w:pPr>
      <w:r>
        <w:rPr>
          <w:lang w:eastAsia="en-PH"/>
        </w:rPr>
        <w:t>On the other hand, sound accounting practice dictates:</w:t>
      </w:r>
    </w:p>
    <w:p>
      <w:pPr>
        <w:spacing w:line="276" w:lineRule="auto"/>
        <w:jc w:val="both"/>
        <w:rPr>
          <w:lang w:eastAsia="en-PH"/>
        </w:rPr>
      </w:pPr>
    </w:p>
    <w:p>
      <w:pPr>
        <w:spacing w:line="276" w:lineRule="auto"/>
        <w:ind w:left="720" w:right="702"/>
        <w:jc w:val="both"/>
        <w:rPr>
          <w:lang w:eastAsia="en-PH"/>
        </w:rPr>
      </w:pPr>
      <w:r>
        <w:rPr>
          <w:lang w:eastAsia="en-PH"/>
        </w:rPr>
        <w:t>Bank Reconciliation Statement is a statement which brings into agreement the cash balance per books of accounts of the depositor and the cash balance per bank statement issued monthly by the depository bank. Differences between the balances shown in both books may not necessarily caused by irregularities but by items which need to be adjusted to bring the balances of both books to its correct balances.</w:t>
      </w:r>
    </w:p>
    <w:p>
      <w:pPr>
        <w:spacing w:line="276" w:lineRule="auto"/>
        <w:ind w:firstLine="720"/>
        <w:jc w:val="both"/>
        <w:rPr>
          <w:lang w:eastAsia="en-PH"/>
        </w:rPr>
      </w:pPr>
    </w:p>
    <w:p>
      <w:pPr>
        <w:spacing w:line="276" w:lineRule="auto"/>
        <w:jc w:val="both"/>
        <w:rPr>
          <w:lang w:eastAsia="en-PH"/>
        </w:rPr>
      </w:pPr>
      <w:r>
        <w:rPr>
          <w:lang w:eastAsia="en-PH"/>
        </w:rPr>
        <w:t>We have verified the Bank Reconciliation Statement (BRS) as of December 31, 2022, submitted to the Audit Team as of January 19, 2023. However, the BRS for LBP Account No. 1742-1006-90, General Fund Proper, has not yet been submitted, hence, not included at the time of the verification. The results are as follows:</w:t>
      </w:r>
    </w:p>
    <w:p>
      <w:pPr>
        <w:pBdr>
          <w:top w:val="nil"/>
          <w:left w:val="nil"/>
          <w:bottom w:val="nil"/>
          <w:right w:val="nil"/>
          <w:between w:val="nil"/>
        </w:pBdr>
        <w:spacing w:line="276" w:lineRule="auto"/>
        <w:ind w:left="360"/>
        <w:jc w:val="both"/>
        <w:rPr>
          <w:b/>
          <w:i/>
          <w:color w:val="000000"/>
          <w:lang w:eastAsia="en-PH"/>
        </w:rPr>
      </w:pPr>
    </w:p>
    <w:p>
      <w:pPr>
        <w:numPr>
          <w:ilvl w:val="0"/>
          <w:numId w:val="6"/>
        </w:numPr>
        <w:pBdr>
          <w:top w:val="nil"/>
          <w:left w:val="nil"/>
          <w:bottom w:val="nil"/>
          <w:right w:val="nil"/>
          <w:between w:val="nil"/>
        </w:pBdr>
        <w:spacing w:line="276" w:lineRule="auto"/>
        <w:ind w:left="360"/>
        <w:jc w:val="both"/>
        <w:rPr>
          <w:b/>
          <w:i/>
          <w:color w:val="000000"/>
          <w:lang w:eastAsia="en-PH"/>
        </w:rPr>
      </w:pPr>
      <w:r>
        <w:rPr>
          <w:b/>
          <w:i/>
          <w:color w:val="000000"/>
          <w:lang w:eastAsia="en-PH"/>
        </w:rPr>
        <w:t xml:space="preserve">Omission in recording stale checks amounting to P162,345.39 resulted in the misstatement of Cash in Bank -Local Currency, Current Account. </w:t>
      </w:r>
    </w:p>
    <w:p>
      <w:pPr>
        <w:pBdr>
          <w:top w:val="nil"/>
          <w:left w:val="nil"/>
          <w:bottom w:val="nil"/>
          <w:right w:val="nil"/>
          <w:between w:val="nil"/>
        </w:pBdr>
        <w:spacing w:line="276" w:lineRule="auto"/>
        <w:ind w:left="810"/>
        <w:jc w:val="both"/>
        <w:rPr>
          <w:b/>
          <w:i/>
          <w:color w:val="000000"/>
          <w:lang w:eastAsia="en-PH"/>
        </w:rPr>
      </w:pPr>
    </w:p>
    <w:p>
      <w:pPr>
        <w:spacing w:line="276" w:lineRule="auto"/>
        <w:jc w:val="both"/>
        <w:rPr>
          <w:lang w:eastAsia="en-PH"/>
        </w:rPr>
      </w:pPr>
      <w:r>
        <w:rPr>
          <w:lang w:eastAsia="en-PH"/>
        </w:rPr>
        <w:t>Checks amounting to P162,345.39 have become stale or of which dates were already over six (6) months from the date of issuance, are continuously presented in the list of outstanding checks in the BRS. Summary of staled checks is presented in Table 1.1.</w:t>
      </w:r>
    </w:p>
    <w:p>
      <w:pPr>
        <w:spacing w:line="276" w:lineRule="auto"/>
        <w:jc w:val="both"/>
        <w:rPr>
          <w:b/>
        </w:rPr>
      </w:pPr>
    </w:p>
    <w:p>
      <w:pPr>
        <w:spacing w:line="276" w:lineRule="auto"/>
        <w:jc w:val="both"/>
        <w:rPr>
          <w:i/>
        </w:rPr>
      </w:pPr>
      <w:r>
        <w:rPr>
          <w:i/>
        </w:rPr>
        <w:t xml:space="preserve">   Table 1.1 Summary of staled checks</w:t>
      </w:r>
    </w:p>
    <w:tbl>
      <w:tblPr>
        <w:tblW w:w="8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5"/>
        <w:gridCol w:w="2160"/>
        <w:gridCol w:w="1530"/>
        <w:gridCol w:w="2070"/>
      </w:tblGrid>
      <w:tr>
        <w:trPr>
          <w:tblHeader/>
          <w:jc w:val="center"/>
        </w:trPr>
        <w:tc>
          <w:tcPr>
            <w:tcW w:w="2875" w:type="dxa"/>
            <w:vAlign w:val="center"/>
          </w:tcPr>
          <w:p>
            <w:pPr>
              <w:spacing w:line="276" w:lineRule="auto"/>
              <w:jc w:val="center"/>
              <w:rPr>
                <w:b/>
                <w:sz w:val="22"/>
                <w:szCs w:val="22"/>
              </w:rPr>
            </w:pPr>
            <w:r>
              <w:rPr>
                <w:b/>
                <w:sz w:val="22"/>
                <w:szCs w:val="22"/>
              </w:rPr>
              <w:t>Bank Account</w:t>
            </w:r>
          </w:p>
        </w:tc>
        <w:tc>
          <w:tcPr>
            <w:tcW w:w="2160" w:type="dxa"/>
            <w:vAlign w:val="center"/>
          </w:tcPr>
          <w:p>
            <w:pPr>
              <w:spacing w:line="276" w:lineRule="auto"/>
              <w:jc w:val="center"/>
              <w:rPr>
                <w:b/>
                <w:sz w:val="22"/>
                <w:szCs w:val="22"/>
              </w:rPr>
            </w:pPr>
            <w:r>
              <w:rPr>
                <w:b/>
                <w:sz w:val="22"/>
                <w:szCs w:val="22"/>
              </w:rPr>
              <w:t>Date of Check</w:t>
            </w:r>
          </w:p>
        </w:tc>
        <w:tc>
          <w:tcPr>
            <w:tcW w:w="1530" w:type="dxa"/>
            <w:vAlign w:val="center"/>
          </w:tcPr>
          <w:p>
            <w:pPr>
              <w:spacing w:line="276" w:lineRule="auto"/>
              <w:jc w:val="center"/>
              <w:rPr>
                <w:b/>
                <w:sz w:val="22"/>
                <w:szCs w:val="22"/>
              </w:rPr>
            </w:pPr>
            <w:r>
              <w:rPr>
                <w:b/>
                <w:sz w:val="22"/>
                <w:szCs w:val="22"/>
              </w:rPr>
              <w:t>Check No.</w:t>
            </w:r>
          </w:p>
        </w:tc>
        <w:tc>
          <w:tcPr>
            <w:tcW w:w="2070" w:type="dxa"/>
            <w:vAlign w:val="center"/>
          </w:tcPr>
          <w:p>
            <w:pPr>
              <w:spacing w:line="276" w:lineRule="auto"/>
              <w:jc w:val="center"/>
              <w:rPr>
                <w:b/>
                <w:sz w:val="22"/>
                <w:szCs w:val="22"/>
              </w:rPr>
            </w:pPr>
            <w:r>
              <w:rPr>
                <w:b/>
                <w:sz w:val="22"/>
                <w:szCs w:val="22"/>
              </w:rPr>
              <w:t>Amount</w:t>
            </w:r>
          </w:p>
        </w:tc>
      </w:tr>
      <w:tr>
        <w:trPr>
          <w:jc w:val="center"/>
        </w:trPr>
        <w:tc>
          <w:tcPr>
            <w:tcW w:w="2875" w:type="dxa"/>
          </w:tcPr>
          <w:p>
            <w:pPr>
              <w:spacing w:line="276" w:lineRule="auto"/>
              <w:rPr>
                <w:b/>
                <w:sz w:val="22"/>
                <w:szCs w:val="22"/>
              </w:rPr>
            </w:pPr>
            <w:r>
              <w:rPr>
                <w:b/>
                <w:sz w:val="22"/>
                <w:szCs w:val="22"/>
              </w:rPr>
              <w:t>Cemetery</w:t>
            </w:r>
          </w:p>
          <w:p>
            <w:pPr>
              <w:spacing w:line="276" w:lineRule="auto"/>
              <w:rPr>
                <w:sz w:val="22"/>
                <w:szCs w:val="22"/>
              </w:rPr>
            </w:pPr>
            <w:r>
              <w:rPr>
                <w:sz w:val="22"/>
                <w:szCs w:val="22"/>
              </w:rPr>
              <w:t>1742-1037-10</w:t>
            </w:r>
          </w:p>
        </w:tc>
        <w:tc>
          <w:tcPr>
            <w:tcW w:w="2160" w:type="dxa"/>
            <w:vAlign w:val="center"/>
          </w:tcPr>
          <w:p>
            <w:pPr>
              <w:spacing w:line="276" w:lineRule="auto"/>
              <w:jc w:val="center"/>
              <w:rPr>
                <w:sz w:val="22"/>
                <w:szCs w:val="22"/>
              </w:rPr>
            </w:pPr>
            <w:r>
              <w:rPr>
                <w:sz w:val="22"/>
                <w:szCs w:val="22"/>
              </w:rPr>
              <w:t>January 27, 2022</w:t>
            </w:r>
          </w:p>
        </w:tc>
        <w:tc>
          <w:tcPr>
            <w:tcW w:w="1530" w:type="dxa"/>
            <w:vAlign w:val="center"/>
          </w:tcPr>
          <w:p>
            <w:pPr>
              <w:spacing w:line="276" w:lineRule="auto"/>
              <w:jc w:val="center"/>
              <w:rPr>
                <w:sz w:val="22"/>
                <w:szCs w:val="22"/>
              </w:rPr>
            </w:pPr>
            <w:r>
              <w:rPr>
                <w:sz w:val="22"/>
                <w:szCs w:val="22"/>
              </w:rPr>
              <w:t>1547729</w:t>
            </w:r>
          </w:p>
        </w:tc>
        <w:tc>
          <w:tcPr>
            <w:tcW w:w="2070" w:type="dxa"/>
            <w:vAlign w:val="center"/>
          </w:tcPr>
          <w:p>
            <w:pPr>
              <w:spacing w:line="276" w:lineRule="auto"/>
              <w:jc w:val="right"/>
              <w:rPr>
                <w:sz w:val="22"/>
                <w:szCs w:val="22"/>
              </w:rPr>
            </w:pPr>
            <w:r>
              <w:rPr>
                <w:sz w:val="22"/>
                <w:szCs w:val="22"/>
              </w:rPr>
              <w:t>P1,170.00</w:t>
            </w:r>
          </w:p>
        </w:tc>
      </w:tr>
      <w:tr>
        <w:trPr>
          <w:trHeight w:val="70"/>
          <w:jc w:val="center"/>
        </w:trPr>
        <w:tc>
          <w:tcPr>
            <w:tcW w:w="2875" w:type="dxa"/>
            <w:vMerge w:val="restart"/>
          </w:tcPr>
          <w:p>
            <w:pPr>
              <w:spacing w:line="276" w:lineRule="auto"/>
              <w:rPr>
                <w:b/>
                <w:sz w:val="22"/>
                <w:szCs w:val="22"/>
              </w:rPr>
            </w:pPr>
            <w:r>
              <w:rPr>
                <w:b/>
                <w:sz w:val="22"/>
                <w:szCs w:val="22"/>
              </w:rPr>
              <w:t>Special Educational Fund</w:t>
            </w:r>
          </w:p>
          <w:p>
            <w:pPr>
              <w:spacing w:line="276" w:lineRule="auto"/>
              <w:rPr>
                <w:sz w:val="22"/>
                <w:szCs w:val="22"/>
              </w:rPr>
            </w:pPr>
            <w:r>
              <w:rPr>
                <w:sz w:val="22"/>
                <w:szCs w:val="22"/>
              </w:rPr>
              <w:t>1742-1006-81</w:t>
            </w:r>
          </w:p>
        </w:tc>
        <w:tc>
          <w:tcPr>
            <w:tcW w:w="2160" w:type="dxa"/>
            <w:tcBorders>
              <w:bottom w:val="nil"/>
            </w:tcBorders>
            <w:vAlign w:val="center"/>
          </w:tcPr>
          <w:p>
            <w:pPr>
              <w:spacing w:line="276" w:lineRule="auto"/>
              <w:jc w:val="center"/>
              <w:rPr>
                <w:sz w:val="22"/>
                <w:szCs w:val="22"/>
              </w:rPr>
            </w:pPr>
            <w:r>
              <w:rPr>
                <w:sz w:val="22"/>
                <w:szCs w:val="22"/>
              </w:rPr>
              <w:t>April 1, 2021</w:t>
            </w:r>
          </w:p>
        </w:tc>
        <w:tc>
          <w:tcPr>
            <w:tcW w:w="1530" w:type="dxa"/>
            <w:tcBorders>
              <w:bottom w:val="nil"/>
            </w:tcBorders>
            <w:vAlign w:val="center"/>
          </w:tcPr>
          <w:p>
            <w:pPr>
              <w:spacing w:line="276" w:lineRule="auto"/>
              <w:jc w:val="center"/>
              <w:rPr>
                <w:sz w:val="22"/>
                <w:szCs w:val="22"/>
              </w:rPr>
            </w:pPr>
            <w:r>
              <w:rPr>
                <w:sz w:val="22"/>
                <w:szCs w:val="22"/>
              </w:rPr>
              <w:t>1440791</w:t>
            </w:r>
          </w:p>
        </w:tc>
        <w:tc>
          <w:tcPr>
            <w:tcW w:w="2070" w:type="dxa"/>
            <w:tcBorders>
              <w:bottom w:val="nil"/>
            </w:tcBorders>
            <w:vAlign w:val="center"/>
          </w:tcPr>
          <w:p>
            <w:pPr>
              <w:spacing w:line="276" w:lineRule="auto"/>
              <w:jc w:val="right"/>
              <w:rPr>
                <w:sz w:val="22"/>
                <w:szCs w:val="22"/>
              </w:rPr>
            </w:pPr>
            <w:r>
              <w:rPr>
                <w:sz w:val="22"/>
                <w:szCs w:val="22"/>
              </w:rPr>
              <w:t>633.35</w:t>
            </w:r>
          </w:p>
        </w:tc>
      </w:tr>
      <w:tr>
        <w:trPr>
          <w:jc w:val="center"/>
        </w:trPr>
        <w:tc>
          <w:tcPr>
            <w:tcW w:w="2875" w:type="dxa"/>
            <w:vMerge/>
          </w:tcPr>
          <w:p>
            <w:pPr>
              <w:widowControl w:val="0"/>
              <w:pBdr>
                <w:top w:val="nil"/>
                <w:left w:val="nil"/>
                <w:bottom w:val="nil"/>
                <w:right w:val="nil"/>
                <w:between w:val="nil"/>
              </w:pBdr>
              <w:spacing w:line="276" w:lineRule="auto"/>
              <w:rPr>
                <w:sz w:val="22"/>
                <w:szCs w:val="22"/>
              </w:rPr>
            </w:pPr>
          </w:p>
        </w:tc>
        <w:tc>
          <w:tcPr>
            <w:tcW w:w="2160" w:type="dxa"/>
            <w:tcBorders>
              <w:top w:val="nil"/>
              <w:bottom w:val="nil"/>
            </w:tcBorders>
            <w:vAlign w:val="center"/>
          </w:tcPr>
          <w:p>
            <w:pPr>
              <w:spacing w:line="276" w:lineRule="auto"/>
              <w:jc w:val="center"/>
              <w:rPr>
                <w:sz w:val="22"/>
                <w:szCs w:val="22"/>
              </w:rPr>
            </w:pPr>
            <w:r>
              <w:rPr>
                <w:sz w:val="22"/>
                <w:szCs w:val="22"/>
              </w:rPr>
              <w:t>May 10, 2021</w:t>
            </w:r>
          </w:p>
        </w:tc>
        <w:tc>
          <w:tcPr>
            <w:tcW w:w="1530" w:type="dxa"/>
            <w:tcBorders>
              <w:top w:val="nil"/>
              <w:bottom w:val="nil"/>
            </w:tcBorders>
            <w:vAlign w:val="center"/>
          </w:tcPr>
          <w:p>
            <w:pPr>
              <w:spacing w:line="276" w:lineRule="auto"/>
              <w:jc w:val="center"/>
              <w:rPr>
                <w:sz w:val="22"/>
                <w:szCs w:val="22"/>
              </w:rPr>
            </w:pPr>
            <w:r>
              <w:rPr>
                <w:sz w:val="22"/>
                <w:szCs w:val="22"/>
              </w:rPr>
              <w:t>1440827</w:t>
            </w:r>
          </w:p>
        </w:tc>
        <w:tc>
          <w:tcPr>
            <w:tcW w:w="2070" w:type="dxa"/>
            <w:tcBorders>
              <w:top w:val="nil"/>
              <w:bottom w:val="nil"/>
            </w:tcBorders>
            <w:vAlign w:val="center"/>
          </w:tcPr>
          <w:p>
            <w:pPr>
              <w:spacing w:line="276" w:lineRule="auto"/>
              <w:jc w:val="right"/>
              <w:rPr>
                <w:sz w:val="22"/>
                <w:szCs w:val="22"/>
              </w:rPr>
            </w:pPr>
            <w:r>
              <w:rPr>
                <w:sz w:val="22"/>
                <w:szCs w:val="22"/>
              </w:rPr>
              <w:t>3,130.00</w:t>
            </w:r>
          </w:p>
        </w:tc>
      </w:tr>
      <w:tr>
        <w:trPr>
          <w:jc w:val="center"/>
        </w:trPr>
        <w:tc>
          <w:tcPr>
            <w:tcW w:w="2875" w:type="dxa"/>
            <w:vMerge/>
          </w:tcPr>
          <w:p>
            <w:pPr>
              <w:widowControl w:val="0"/>
              <w:pBdr>
                <w:top w:val="nil"/>
                <w:left w:val="nil"/>
                <w:bottom w:val="nil"/>
                <w:right w:val="nil"/>
                <w:between w:val="nil"/>
              </w:pBdr>
              <w:spacing w:line="276" w:lineRule="auto"/>
              <w:rPr>
                <w:sz w:val="22"/>
                <w:szCs w:val="22"/>
              </w:rPr>
            </w:pPr>
          </w:p>
        </w:tc>
        <w:tc>
          <w:tcPr>
            <w:tcW w:w="2160" w:type="dxa"/>
            <w:tcBorders>
              <w:top w:val="nil"/>
            </w:tcBorders>
            <w:vAlign w:val="center"/>
          </w:tcPr>
          <w:p>
            <w:pPr>
              <w:spacing w:line="276" w:lineRule="auto"/>
              <w:jc w:val="center"/>
              <w:rPr>
                <w:sz w:val="22"/>
                <w:szCs w:val="22"/>
              </w:rPr>
            </w:pPr>
            <w:r>
              <w:rPr>
                <w:sz w:val="22"/>
                <w:szCs w:val="22"/>
              </w:rPr>
              <w:t>October 20, 2021</w:t>
            </w:r>
          </w:p>
        </w:tc>
        <w:tc>
          <w:tcPr>
            <w:tcW w:w="1530" w:type="dxa"/>
            <w:tcBorders>
              <w:top w:val="nil"/>
            </w:tcBorders>
            <w:vAlign w:val="center"/>
          </w:tcPr>
          <w:p>
            <w:pPr>
              <w:spacing w:line="276" w:lineRule="auto"/>
              <w:jc w:val="center"/>
              <w:rPr>
                <w:sz w:val="22"/>
                <w:szCs w:val="22"/>
              </w:rPr>
            </w:pPr>
            <w:r>
              <w:rPr>
                <w:sz w:val="22"/>
                <w:szCs w:val="22"/>
              </w:rPr>
              <w:t>1440940</w:t>
            </w:r>
          </w:p>
        </w:tc>
        <w:tc>
          <w:tcPr>
            <w:tcW w:w="2070" w:type="dxa"/>
            <w:tcBorders>
              <w:top w:val="nil"/>
            </w:tcBorders>
            <w:vAlign w:val="center"/>
          </w:tcPr>
          <w:p>
            <w:pPr>
              <w:spacing w:line="276" w:lineRule="auto"/>
              <w:jc w:val="right"/>
              <w:rPr>
                <w:sz w:val="22"/>
                <w:szCs w:val="22"/>
              </w:rPr>
            </w:pPr>
            <w:r>
              <w:rPr>
                <w:sz w:val="22"/>
                <w:szCs w:val="22"/>
              </w:rPr>
              <w:t>49,713.90</w:t>
            </w:r>
          </w:p>
        </w:tc>
      </w:tr>
      <w:tr>
        <w:trPr>
          <w:jc w:val="center"/>
        </w:trPr>
        <w:tc>
          <w:tcPr>
            <w:tcW w:w="2875" w:type="dxa"/>
          </w:tcPr>
          <w:p>
            <w:pPr>
              <w:spacing w:line="276" w:lineRule="auto"/>
              <w:rPr>
                <w:b/>
                <w:sz w:val="22"/>
                <w:szCs w:val="22"/>
              </w:rPr>
            </w:pPr>
            <w:r>
              <w:rPr>
                <w:b/>
                <w:sz w:val="22"/>
                <w:szCs w:val="22"/>
              </w:rPr>
              <w:t>Trust Fund Proper</w:t>
            </w:r>
          </w:p>
          <w:p>
            <w:pPr>
              <w:spacing w:line="276" w:lineRule="auto"/>
              <w:rPr>
                <w:sz w:val="22"/>
                <w:szCs w:val="22"/>
              </w:rPr>
            </w:pPr>
            <w:r>
              <w:rPr>
                <w:sz w:val="22"/>
                <w:szCs w:val="22"/>
              </w:rPr>
              <w:t>1742-1007-03</w:t>
            </w:r>
          </w:p>
        </w:tc>
        <w:tc>
          <w:tcPr>
            <w:tcW w:w="2160" w:type="dxa"/>
            <w:vAlign w:val="center"/>
          </w:tcPr>
          <w:p>
            <w:pPr>
              <w:spacing w:line="276" w:lineRule="auto"/>
              <w:jc w:val="center"/>
              <w:rPr>
                <w:sz w:val="22"/>
                <w:szCs w:val="22"/>
              </w:rPr>
            </w:pPr>
            <w:r>
              <w:rPr>
                <w:sz w:val="22"/>
                <w:szCs w:val="22"/>
              </w:rPr>
              <w:t>June 09, 2021</w:t>
            </w:r>
          </w:p>
        </w:tc>
        <w:tc>
          <w:tcPr>
            <w:tcW w:w="1530" w:type="dxa"/>
            <w:vAlign w:val="center"/>
          </w:tcPr>
          <w:p>
            <w:pPr>
              <w:spacing w:line="276" w:lineRule="auto"/>
              <w:jc w:val="center"/>
              <w:rPr>
                <w:sz w:val="22"/>
                <w:szCs w:val="22"/>
              </w:rPr>
            </w:pPr>
            <w:r>
              <w:rPr>
                <w:sz w:val="22"/>
                <w:szCs w:val="22"/>
              </w:rPr>
              <w:t>1506323</w:t>
            </w:r>
          </w:p>
        </w:tc>
        <w:tc>
          <w:tcPr>
            <w:tcW w:w="2070" w:type="dxa"/>
            <w:vAlign w:val="center"/>
          </w:tcPr>
          <w:p>
            <w:pPr>
              <w:spacing w:line="276" w:lineRule="auto"/>
              <w:jc w:val="right"/>
              <w:rPr>
                <w:sz w:val="22"/>
                <w:szCs w:val="22"/>
              </w:rPr>
            </w:pPr>
            <w:r>
              <w:rPr>
                <w:sz w:val="22"/>
                <w:szCs w:val="22"/>
              </w:rPr>
              <w:t>89,011.61</w:t>
            </w:r>
          </w:p>
        </w:tc>
      </w:tr>
      <w:tr>
        <w:trPr>
          <w:jc w:val="center"/>
        </w:trPr>
        <w:tc>
          <w:tcPr>
            <w:tcW w:w="2875" w:type="dxa"/>
            <w:vMerge w:val="restart"/>
          </w:tcPr>
          <w:p>
            <w:pPr>
              <w:spacing w:line="276" w:lineRule="auto"/>
              <w:rPr>
                <w:b/>
                <w:sz w:val="22"/>
                <w:szCs w:val="22"/>
              </w:rPr>
            </w:pPr>
            <w:r>
              <w:rPr>
                <w:b/>
                <w:sz w:val="22"/>
                <w:szCs w:val="22"/>
              </w:rPr>
              <w:lastRenderedPageBreak/>
              <w:t>Market Operation</w:t>
            </w:r>
          </w:p>
          <w:p>
            <w:pPr>
              <w:spacing w:line="276" w:lineRule="auto"/>
              <w:rPr>
                <w:sz w:val="22"/>
                <w:szCs w:val="22"/>
              </w:rPr>
            </w:pPr>
            <w:r>
              <w:rPr>
                <w:sz w:val="22"/>
                <w:szCs w:val="22"/>
              </w:rPr>
              <w:t>1742-1008-35</w:t>
            </w:r>
          </w:p>
        </w:tc>
        <w:tc>
          <w:tcPr>
            <w:tcW w:w="2160" w:type="dxa"/>
            <w:tcBorders>
              <w:bottom w:val="nil"/>
            </w:tcBorders>
            <w:vAlign w:val="center"/>
          </w:tcPr>
          <w:p>
            <w:pPr>
              <w:spacing w:line="276" w:lineRule="auto"/>
              <w:jc w:val="center"/>
              <w:rPr>
                <w:sz w:val="22"/>
                <w:szCs w:val="22"/>
              </w:rPr>
            </w:pPr>
            <w:r>
              <w:rPr>
                <w:sz w:val="22"/>
                <w:szCs w:val="22"/>
              </w:rPr>
              <w:t>November 04, 2021</w:t>
            </w:r>
          </w:p>
        </w:tc>
        <w:tc>
          <w:tcPr>
            <w:tcW w:w="1530" w:type="dxa"/>
            <w:tcBorders>
              <w:bottom w:val="nil"/>
            </w:tcBorders>
            <w:vAlign w:val="center"/>
          </w:tcPr>
          <w:p>
            <w:pPr>
              <w:spacing w:line="276" w:lineRule="auto"/>
              <w:jc w:val="center"/>
              <w:rPr>
                <w:sz w:val="22"/>
                <w:szCs w:val="22"/>
              </w:rPr>
            </w:pPr>
            <w:r>
              <w:rPr>
                <w:sz w:val="22"/>
                <w:szCs w:val="22"/>
              </w:rPr>
              <w:t>1507027</w:t>
            </w:r>
          </w:p>
        </w:tc>
        <w:tc>
          <w:tcPr>
            <w:tcW w:w="2070" w:type="dxa"/>
            <w:tcBorders>
              <w:bottom w:val="nil"/>
            </w:tcBorders>
            <w:vAlign w:val="center"/>
          </w:tcPr>
          <w:p>
            <w:pPr>
              <w:spacing w:line="276" w:lineRule="auto"/>
              <w:jc w:val="right"/>
              <w:rPr>
                <w:sz w:val="22"/>
                <w:szCs w:val="22"/>
              </w:rPr>
            </w:pPr>
            <w:r>
              <w:rPr>
                <w:sz w:val="22"/>
                <w:szCs w:val="22"/>
              </w:rPr>
              <w:t>7,120.00</w:t>
            </w:r>
          </w:p>
        </w:tc>
      </w:tr>
      <w:tr>
        <w:trPr>
          <w:jc w:val="center"/>
        </w:trPr>
        <w:tc>
          <w:tcPr>
            <w:tcW w:w="2875" w:type="dxa"/>
            <w:vMerge/>
          </w:tcPr>
          <w:p>
            <w:pPr>
              <w:widowControl w:val="0"/>
              <w:pBdr>
                <w:top w:val="nil"/>
                <w:left w:val="nil"/>
                <w:bottom w:val="nil"/>
                <w:right w:val="nil"/>
                <w:between w:val="nil"/>
              </w:pBdr>
              <w:spacing w:line="276" w:lineRule="auto"/>
              <w:rPr>
                <w:sz w:val="22"/>
                <w:szCs w:val="22"/>
              </w:rPr>
            </w:pPr>
          </w:p>
        </w:tc>
        <w:tc>
          <w:tcPr>
            <w:tcW w:w="2160" w:type="dxa"/>
            <w:tcBorders>
              <w:top w:val="nil"/>
              <w:bottom w:val="nil"/>
            </w:tcBorders>
            <w:vAlign w:val="center"/>
          </w:tcPr>
          <w:p>
            <w:pPr>
              <w:spacing w:line="276" w:lineRule="auto"/>
              <w:jc w:val="center"/>
              <w:rPr>
                <w:sz w:val="22"/>
                <w:szCs w:val="22"/>
              </w:rPr>
            </w:pPr>
            <w:r>
              <w:rPr>
                <w:sz w:val="22"/>
                <w:szCs w:val="22"/>
              </w:rPr>
              <w:t>November 04, 2021</w:t>
            </w:r>
          </w:p>
        </w:tc>
        <w:tc>
          <w:tcPr>
            <w:tcW w:w="1530" w:type="dxa"/>
            <w:tcBorders>
              <w:top w:val="nil"/>
              <w:bottom w:val="nil"/>
            </w:tcBorders>
            <w:vAlign w:val="center"/>
          </w:tcPr>
          <w:p>
            <w:pPr>
              <w:spacing w:line="276" w:lineRule="auto"/>
              <w:jc w:val="center"/>
              <w:rPr>
                <w:sz w:val="22"/>
                <w:szCs w:val="22"/>
              </w:rPr>
            </w:pPr>
            <w:r>
              <w:rPr>
                <w:sz w:val="22"/>
                <w:szCs w:val="22"/>
              </w:rPr>
              <w:t>1507028</w:t>
            </w:r>
          </w:p>
        </w:tc>
        <w:tc>
          <w:tcPr>
            <w:tcW w:w="2070" w:type="dxa"/>
            <w:tcBorders>
              <w:top w:val="nil"/>
              <w:bottom w:val="nil"/>
            </w:tcBorders>
            <w:vAlign w:val="center"/>
          </w:tcPr>
          <w:p>
            <w:pPr>
              <w:spacing w:line="276" w:lineRule="auto"/>
              <w:jc w:val="right"/>
              <w:rPr>
                <w:sz w:val="22"/>
                <w:szCs w:val="22"/>
              </w:rPr>
            </w:pPr>
            <w:r>
              <w:rPr>
                <w:sz w:val="22"/>
                <w:szCs w:val="22"/>
              </w:rPr>
              <w:t>7,120.00</w:t>
            </w:r>
          </w:p>
        </w:tc>
      </w:tr>
      <w:tr>
        <w:trPr>
          <w:jc w:val="center"/>
        </w:trPr>
        <w:tc>
          <w:tcPr>
            <w:tcW w:w="2875" w:type="dxa"/>
            <w:vMerge/>
          </w:tcPr>
          <w:p>
            <w:pPr>
              <w:widowControl w:val="0"/>
              <w:pBdr>
                <w:top w:val="nil"/>
                <w:left w:val="nil"/>
                <w:bottom w:val="nil"/>
                <w:right w:val="nil"/>
                <w:between w:val="nil"/>
              </w:pBdr>
              <w:spacing w:line="276" w:lineRule="auto"/>
              <w:rPr>
                <w:sz w:val="22"/>
                <w:szCs w:val="22"/>
              </w:rPr>
            </w:pPr>
          </w:p>
        </w:tc>
        <w:tc>
          <w:tcPr>
            <w:tcW w:w="2160" w:type="dxa"/>
            <w:tcBorders>
              <w:top w:val="nil"/>
            </w:tcBorders>
            <w:vAlign w:val="center"/>
          </w:tcPr>
          <w:p>
            <w:pPr>
              <w:spacing w:line="276" w:lineRule="auto"/>
              <w:jc w:val="center"/>
              <w:rPr>
                <w:sz w:val="22"/>
                <w:szCs w:val="22"/>
              </w:rPr>
            </w:pPr>
            <w:r>
              <w:rPr>
                <w:sz w:val="22"/>
                <w:szCs w:val="22"/>
              </w:rPr>
              <w:t>December 22, 2021</w:t>
            </w:r>
          </w:p>
        </w:tc>
        <w:tc>
          <w:tcPr>
            <w:tcW w:w="1530" w:type="dxa"/>
            <w:tcBorders>
              <w:top w:val="nil"/>
            </w:tcBorders>
            <w:vAlign w:val="center"/>
          </w:tcPr>
          <w:p>
            <w:pPr>
              <w:spacing w:line="276" w:lineRule="auto"/>
              <w:jc w:val="center"/>
              <w:rPr>
                <w:sz w:val="22"/>
                <w:szCs w:val="22"/>
              </w:rPr>
            </w:pPr>
            <w:r>
              <w:rPr>
                <w:sz w:val="22"/>
                <w:szCs w:val="22"/>
              </w:rPr>
              <w:t>1546421</w:t>
            </w:r>
          </w:p>
        </w:tc>
        <w:tc>
          <w:tcPr>
            <w:tcW w:w="2070" w:type="dxa"/>
            <w:tcBorders>
              <w:top w:val="nil"/>
            </w:tcBorders>
            <w:vAlign w:val="center"/>
          </w:tcPr>
          <w:p>
            <w:pPr>
              <w:spacing w:line="276" w:lineRule="auto"/>
              <w:jc w:val="right"/>
              <w:rPr>
                <w:sz w:val="22"/>
                <w:szCs w:val="22"/>
              </w:rPr>
            </w:pPr>
            <w:r>
              <w:rPr>
                <w:sz w:val="22"/>
                <w:szCs w:val="22"/>
              </w:rPr>
              <w:t>4,446.53</w:t>
            </w:r>
          </w:p>
        </w:tc>
      </w:tr>
      <w:tr>
        <w:trPr>
          <w:jc w:val="center"/>
        </w:trPr>
        <w:tc>
          <w:tcPr>
            <w:tcW w:w="6565" w:type="dxa"/>
            <w:gridSpan w:val="3"/>
            <w:vAlign w:val="center"/>
          </w:tcPr>
          <w:p>
            <w:pPr>
              <w:spacing w:line="276" w:lineRule="auto"/>
              <w:rPr>
                <w:b/>
                <w:sz w:val="22"/>
                <w:szCs w:val="22"/>
              </w:rPr>
            </w:pPr>
            <w:r>
              <w:rPr>
                <w:b/>
                <w:sz w:val="22"/>
                <w:szCs w:val="22"/>
              </w:rPr>
              <w:t>TOTAL</w:t>
            </w:r>
          </w:p>
        </w:tc>
        <w:tc>
          <w:tcPr>
            <w:tcW w:w="2070" w:type="dxa"/>
            <w:vAlign w:val="center"/>
          </w:tcPr>
          <w:p>
            <w:pPr>
              <w:spacing w:line="276" w:lineRule="auto"/>
              <w:jc w:val="right"/>
              <w:rPr>
                <w:b/>
                <w:sz w:val="22"/>
                <w:szCs w:val="22"/>
              </w:rPr>
            </w:pPr>
            <w:r>
              <w:rPr>
                <w:b/>
                <w:sz w:val="22"/>
                <w:szCs w:val="22"/>
              </w:rPr>
              <w:t>P162,345.39</w:t>
            </w:r>
          </w:p>
        </w:tc>
      </w:tr>
    </w:tbl>
    <w:p>
      <w:pPr>
        <w:spacing w:line="276" w:lineRule="auto"/>
        <w:jc w:val="both"/>
        <w:rPr>
          <w:b/>
        </w:rPr>
      </w:pPr>
    </w:p>
    <w:p>
      <w:pPr>
        <w:numPr>
          <w:ilvl w:val="0"/>
          <w:numId w:val="6"/>
        </w:numPr>
        <w:pBdr>
          <w:top w:val="nil"/>
          <w:left w:val="nil"/>
          <w:bottom w:val="nil"/>
          <w:right w:val="nil"/>
          <w:between w:val="nil"/>
        </w:pBdr>
        <w:spacing w:line="276" w:lineRule="auto"/>
        <w:ind w:left="426"/>
        <w:jc w:val="both"/>
        <w:rPr>
          <w:b/>
          <w:i/>
          <w:color w:val="000000"/>
        </w:rPr>
      </w:pPr>
      <w:r>
        <w:rPr>
          <w:b/>
          <w:i/>
          <w:color w:val="000000"/>
        </w:rPr>
        <w:t>Book reconciling items in the BRS remained unadjusted in the books as at December 31, 2022 resulting to a misstatement in the Cash in Bank -Local Currency, Current Account (LCCA) by P11,497,726.12.</w:t>
      </w:r>
    </w:p>
    <w:p>
      <w:pPr>
        <w:spacing w:line="276" w:lineRule="auto"/>
        <w:jc w:val="both"/>
      </w:pPr>
    </w:p>
    <w:p>
      <w:pPr>
        <w:spacing w:line="276" w:lineRule="auto"/>
        <w:jc w:val="both"/>
      </w:pPr>
      <w:r>
        <w:t xml:space="preserve">It was also observed that book reconciling items remained unadjusted in the books as at year end. Table 1.2 presents the Bank Accounts with unadjusted items. </w:t>
      </w:r>
    </w:p>
    <w:p>
      <w:pPr>
        <w:pBdr>
          <w:top w:val="nil"/>
          <w:left w:val="nil"/>
          <w:bottom w:val="nil"/>
          <w:right w:val="nil"/>
          <w:between w:val="nil"/>
        </w:pBdr>
        <w:spacing w:line="276" w:lineRule="auto"/>
        <w:jc w:val="both"/>
        <w:rPr>
          <w:color w:val="000000"/>
        </w:rPr>
      </w:pPr>
    </w:p>
    <w:p>
      <w:pPr>
        <w:pBdr>
          <w:top w:val="nil"/>
          <w:left w:val="nil"/>
          <w:bottom w:val="nil"/>
          <w:right w:val="nil"/>
          <w:between w:val="nil"/>
        </w:pBdr>
        <w:spacing w:line="276" w:lineRule="auto"/>
        <w:jc w:val="both"/>
        <w:rPr>
          <w:i/>
          <w:color w:val="000000"/>
        </w:rPr>
      </w:pPr>
      <w:r>
        <w:rPr>
          <w:i/>
          <w:color w:val="000000"/>
        </w:rPr>
        <w:t>Table 1.2. Summary of Bank Accounts with unadjusted reconciling items</w:t>
      </w:r>
    </w:p>
    <w:tbl>
      <w:tblPr>
        <w:tblW w:w="87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2244"/>
        <w:gridCol w:w="2163"/>
        <w:gridCol w:w="2073"/>
      </w:tblGrid>
      <w:tr>
        <w:trPr>
          <w:cantSplit/>
          <w:tblHeader/>
          <w:jc w:val="center"/>
        </w:trPr>
        <w:tc>
          <w:tcPr>
            <w:tcW w:w="2245" w:type="dxa"/>
            <w:vAlign w:val="center"/>
          </w:tcPr>
          <w:p>
            <w:pPr>
              <w:spacing w:line="276" w:lineRule="auto"/>
              <w:jc w:val="center"/>
              <w:rPr>
                <w:b/>
                <w:sz w:val="22"/>
                <w:szCs w:val="22"/>
              </w:rPr>
            </w:pPr>
            <w:r>
              <w:rPr>
                <w:b/>
                <w:sz w:val="22"/>
                <w:szCs w:val="22"/>
              </w:rPr>
              <w:t>Bank Account</w:t>
            </w:r>
          </w:p>
        </w:tc>
        <w:tc>
          <w:tcPr>
            <w:tcW w:w="2244" w:type="dxa"/>
            <w:vAlign w:val="center"/>
          </w:tcPr>
          <w:p>
            <w:pPr>
              <w:spacing w:line="276" w:lineRule="auto"/>
              <w:jc w:val="center"/>
              <w:rPr>
                <w:b/>
                <w:sz w:val="22"/>
                <w:szCs w:val="22"/>
              </w:rPr>
            </w:pPr>
            <w:r>
              <w:rPr>
                <w:b/>
                <w:sz w:val="22"/>
                <w:szCs w:val="22"/>
              </w:rPr>
              <w:t>Ending Balance per Subsidiary Ledger, as at December 31, 2022</w:t>
            </w:r>
          </w:p>
        </w:tc>
        <w:tc>
          <w:tcPr>
            <w:tcW w:w="2163" w:type="dxa"/>
            <w:vAlign w:val="center"/>
          </w:tcPr>
          <w:p>
            <w:pPr>
              <w:spacing w:line="276" w:lineRule="auto"/>
              <w:jc w:val="center"/>
              <w:rPr>
                <w:b/>
                <w:sz w:val="22"/>
                <w:szCs w:val="22"/>
              </w:rPr>
            </w:pPr>
            <w:r>
              <w:rPr>
                <w:b/>
                <w:sz w:val="22"/>
                <w:szCs w:val="22"/>
              </w:rPr>
              <w:t>Adjusted Balance per BRS, as at December 31, 2022</w:t>
            </w:r>
          </w:p>
        </w:tc>
        <w:tc>
          <w:tcPr>
            <w:tcW w:w="2073" w:type="dxa"/>
            <w:vAlign w:val="center"/>
          </w:tcPr>
          <w:p>
            <w:pPr>
              <w:spacing w:line="276" w:lineRule="auto"/>
              <w:jc w:val="center"/>
              <w:rPr>
                <w:b/>
                <w:sz w:val="22"/>
                <w:szCs w:val="22"/>
              </w:rPr>
            </w:pPr>
            <w:r>
              <w:rPr>
                <w:b/>
                <w:sz w:val="22"/>
                <w:szCs w:val="22"/>
              </w:rPr>
              <w:t>Unadjusted Reconciling Items</w:t>
            </w:r>
          </w:p>
        </w:tc>
      </w:tr>
      <w:tr>
        <w:trPr>
          <w:cantSplit/>
          <w:jc w:val="center"/>
        </w:trPr>
        <w:tc>
          <w:tcPr>
            <w:tcW w:w="2245" w:type="dxa"/>
          </w:tcPr>
          <w:p>
            <w:pPr>
              <w:spacing w:line="276" w:lineRule="auto"/>
              <w:rPr>
                <w:b/>
                <w:sz w:val="22"/>
                <w:szCs w:val="22"/>
              </w:rPr>
            </w:pPr>
            <w:r>
              <w:rPr>
                <w:b/>
                <w:sz w:val="22"/>
                <w:szCs w:val="22"/>
              </w:rPr>
              <w:t>GF-Cemetery</w:t>
            </w:r>
          </w:p>
          <w:p>
            <w:pPr>
              <w:spacing w:line="276" w:lineRule="auto"/>
              <w:rPr>
                <w:b/>
                <w:sz w:val="22"/>
                <w:szCs w:val="22"/>
              </w:rPr>
            </w:pPr>
            <w:r>
              <w:rPr>
                <w:sz w:val="22"/>
                <w:szCs w:val="22"/>
              </w:rPr>
              <w:t>LBP 1742-1037-10</w:t>
            </w:r>
          </w:p>
        </w:tc>
        <w:tc>
          <w:tcPr>
            <w:tcW w:w="2244" w:type="dxa"/>
          </w:tcPr>
          <w:p>
            <w:pPr>
              <w:spacing w:line="276" w:lineRule="auto"/>
              <w:jc w:val="right"/>
              <w:rPr>
                <w:sz w:val="22"/>
                <w:szCs w:val="22"/>
              </w:rPr>
            </w:pPr>
            <w:r>
              <w:rPr>
                <w:sz w:val="22"/>
                <w:szCs w:val="22"/>
              </w:rPr>
              <w:t>P38,968,583.16</w:t>
            </w:r>
          </w:p>
        </w:tc>
        <w:tc>
          <w:tcPr>
            <w:tcW w:w="2163" w:type="dxa"/>
          </w:tcPr>
          <w:p>
            <w:pPr>
              <w:spacing w:line="276" w:lineRule="auto"/>
              <w:jc w:val="right"/>
              <w:rPr>
                <w:sz w:val="22"/>
                <w:szCs w:val="22"/>
              </w:rPr>
            </w:pPr>
            <w:r>
              <w:rPr>
                <w:sz w:val="22"/>
                <w:szCs w:val="22"/>
              </w:rPr>
              <w:t>P38,945,899.66</w:t>
            </w:r>
          </w:p>
        </w:tc>
        <w:tc>
          <w:tcPr>
            <w:tcW w:w="2073" w:type="dxa"/>
          </w:tcPr>
          <w:p>
            <w:pPr>
              <w:spacing w:line="276" w:lineRule="auto"/>
              <w:jc w:val="right"/>
              <w:rPr>
                <w:sz w:val="22"/>
                <w:szCs w:val="22"/>
              </w:rPr>
            </w:pPr>
            <w:r>
              <w:rPr>
                <w:sz w:val="22"/>
                <w:szCs w:val="22"/>
              </w:rPr>
              <w:t>P22,683.50</w:t>
            </w:r>
          </w:p>
        </w:tc>
      </w:tr>
      <w:tr>
        <w:trPr>
          <w:cantSplit/>
          <w:jc w:val="center"/>
        </w:trPr>
        <w:tc>
          <w:tcPr>
            <w:tcW w:w="2245" w:type="dxa"/>
          </w:tcPr>
          <w:p>
            <w:pPr>
              <w:spacing w:line="276" w:lineRule="auto"/>
              <w:rPr>
                <w:b/>
                <w:sz w:val="22"/>
                <w:szCs w:val="22"/>
              </w:rPr>
            </w:pPr>
            <w:r>
              <w:rPr>
                <w:b/>
                <w:sz w:val="22"/>
                <w:szCs w:val="22"/>
              </w:rPr>
              <w:t>GF-Terminal</w:t>
            </w:r>
          </w:p>
          <w:p>
            <w:pPr>
              <w:spacing w:line="276" w:lineRule="auto"/>
              <w:rPr>
                <w:b/>
                <w:sz w:val="22"/>
                <w:szCs w:val="22"/>
              </w:rPr>
            </w:pPr>
            <w:r>
              <w:rPr>
                <w:sz w:val="22"/>
                <w:szCs w:val="22"/>
              </w:rPr>
              <w:t>LBP 1742-1033-46</w:t>
            </w:r>
          </w:p>
        </w:tc>
        <w:tc>
          <w:tcPr>
            <w:tcW w:w="2244" w:type="dxa"/>
          </w:tcPr>
          <w:p>
            <w:pPr>
              <w:spacing w:line="276" w:lineRule="auto"/>
              <w:jc w:val="right"/>
              <w:rPr>
                <w:sz w:val="22"/>
                <w:szCs w:val="22"/>
              </w:rPr>
            </w:pPr>
            <w:r>
              <w:rPr>
                <w:sz w:val="22"/>
                <w:szCs w:val="22"/>
              </w:rPr>
              <w:t>15,018,391.09</w:t>
            </w:r>
          </w:p>
        </w:tc>
        <w:tc>
          <w:tcPr>
            <w:tcW w:w="2163" w:type="dxa"/>
          </w:tcPr>
          <w:p>
            <w:pPr>
              <w:spacing w:line="276" w:lineRule="auto"/>
              <w:jc w:val="right"/>
              <w:rPr>
                <w:sz w:val="22"/>
                <w:szCs w:val="22"/>
              </w:rPr>
            </w:pPr>
            <w:r>
              <w:rPr>
                <w:sz w:val="22"/>
                <w:szCs w:val="22"/>
              </w:rPr>
              <w:t>15,199,777.09</w:t>
            </w:r>
          </w:p>
        </w:tc>
        <w:tc>
          <w:tcPr>
            <w:tcW w:w="2073" w:type="dxa"/>
          </w:tcPr>
          <w:p>
            <w:pPr>
              <w:spacing w:line="276" w:lineRule="auto"/>
              <w:jc w:val="right"/>
              <w:rPr>
                <w:sz w:val="22"/>
                <w:szCs w:val="22"/>
              </w:rPr>
            </w:pPr>
            <w:r>
              <w:rPr>
                <w:sz w:val="22"/>
                <w:szCs w:val="22"/>
              </w:rPr>
              <w:t>181,386.00</w:t>
            </w:r>
          </w:p>
        </w:tc>
      </w:tr>
      <w:tr>
        <w:trPr>
          <w:cantSplit/>
          <w:jc w:val="center"/>
        </w:trPr>
        <w:tc>
          <w:tcPr>
            <w:tcW w:w="2245" w:type="dxa"/>
          </w:tcPr>
          <w:p>
            <w:pPr>
              <w:spacing w:line="276" w:lineRule="auto"/>
              <w:rPr>
                <w:b/>
                <w:sz w:val="22"/>
                <w:szCs w:val="22"/>
              </w:rPr>
            </w:pPr>
            <w:r>
              <w:rPr>
                <w:b/>
                <w:sz w:val="22"/>
                <w:szCs w:val="22"/>
              </w:rPr>
              <w:t>GF-Slaughter</w:t>
            </w:r>
          </w:p>
          <w:p>
            <w:pPr>
              <w:spacing w:line="276" w:lineRule="auto"/>
              <w:rPr>
                <w:b/>
                <w:sz w:val="22"/>
                <w:szCs w:val="22"/>
              </w:rPr>
            </w:pPr>
            <w:r>
              <w:rPr>
                <w:sz w:val="22"/>
                <w:szCs w:val="22"/>
              </w:rPr>
              <w:t>LBP 1742-1037-29</w:t>
            </w:r>
          </w:p>
        </w:tc>
        <w:tc>
          <w:tcPr>
            <w:tcW w:w="2244" w:type="dxa"/>
          </w:tcPr>
          <w:p>
            <w:pPr>
              <w:spacing w:line="276" w:lineRule="auto"/>
              <w:jc w:val="right"/>
              <w:rPr>
                <w:sz w:val="22"/>
                <w:szCs w:val="22"/>
              </w:rPr>
            </w:pPr>
            <w:r>
              <w:rPr>
                <w:sz w:val="22"/>
                <w:szCs w:val="22"/>
              </w:rPr>
              <w:t>8,499,349.41</w:t>
            </w:r>
          </w:p>
        </w:tc>
        <w:tc>
          <w:tcPr>
            <w:tcW w:w="2163" w:type="dxa"/>
          </w:tcPr>
          <w:p>
            <w:pPr>
              <w:spacing w:line="276" w:lineRule="auto"/>
              <w:jc w:val="right"/>
              <w:rPr>
                <w:sz w:val="22"/>
                <w:szCs w:val="22"/>
              </w:rPr>
            </w:pPr>
            <w:r>
              <w:rPr>
                <w:sz w:val="22"/>
                <w:szCs w:val="22"/>
              </w:rPr>
              <w:t>8,360,717.26</w:t>
            </w:r>
          </w:p>
        </w:tc>
        <w:tc>
          <w:tcPr>
            <w:tcW w:w="2073" w:type="dxa"/>
          </w:tcPr>
          <w:p>
            <w:pPr>
              <w:spacing w:line="276" w:lineRule="auto"/>
              <w:jc w:val="right"/>
              <w:rPr>
                <w:sz w:val="22"/>
                <w:szCs w:val="22"/>
              </w:rPr>
            </w:pPr>
            <w:r>
              <w:rPr>
                <w:sz w:val="22"/>
                <w:szCs w:val="22"/>
              </w:rPr>
              <w:t>138,632.15</w:t>
            </w:r>
          </w:p>
        </w:tc>
      </w:tr>
      <w:tr>
        <w:trPr>
          <w:cantSplit/>
          <w:jc w:val="center"/>
        </w:trPr>
        <w:tc>
          <w:tcPr>
            <w:tcW w:w="2245" w:type="dxa"/>
          </w:tcPr>
          <w:p>
            <w:pPr>
              <w:spacing w:line="276" w:lineRule="auto"/>
              <w:rPr>
                <w:b/>
                <w:sz w:val="22"/>
                <w:szCs w:val="22"/>
              </w:rPr>
            </w:pPr>
            <w:r>
              <w:rPr>
                <w:b/>
                <w:sz w:val="22"/>
                <w:szCs w:val="22"/>
              </w:rPr>
              <w:t>GF-Market Operations</w:t>
            </w:r>
          </w:p>
          <w:p>
            <w:pPr>
              <w:spacing w:line="276" w:lineRule="auto"/>
              <w:rPr>
                <w:b/>
                <w:sz w:val="22"/>
                <w:szCs w:val="22"/>
              </w:rPr>
            </w:pPr>
            <w:r>
              <w:rPr>
                <w:sz w:val="22"/>
                <w:szCs w:val="22"/>
              </w:rPr>
              <w:t>LBP 1742-1008-35</w:t>
            </w:r>
          </w:p>
        </w:tc>
        <w:tc>
          <w:tcPr>
            <w:tcW w:w="2244" w:type="dxa"/>
          </w:tcPr>
          <w:p>
            <w:pPr>
              <w:spacing w:line="276" w:lineRule="auto"/>
              <w:jc w:val="right"/>
              <w:rPr>
                <w:sz w:val="22"/>
                <w:szCs w:val="22"/>
              </w:rPr>
            </w:pPr>
            <w:r>
              <w:rPr>
                <w:sz w:val="22"/>
                <w:szCs w:val="22"/>
              </w:rPr>
              <w:t>70,835,896.06</w:t>
            </w:r>
          </w:p>
        </w:tc>
        <w:tc>
          <w:tcPr>
            <w:tcW w:w="2163" w:type="dxa"/>
          </w:tcPr>
          <w:p>
            <w:pPr>
              <w:spacing w:line="276" w:lineRule="auto"/>
              <w:jc w:val="right"/>
              <w:rPr>
                <w:sz w:val="22"/>
                <w:szCs w:val="22"/>
              </w:rPr>
            </w:pPr>
            <w:r>
              <w:rPr>
                <w:sz w:val="22"/>
                <w:szCs w:val="22"/>
              </w:rPr>
              <w:t>70,981,439.18</w:t>
            </w:r>
          </w:p>
        </w:tc>
        <w:tc>
          <w:tcPr>
            <w:tcW w:w="2073" w:type="dxa"/>
          </w:tcPr>
          <w:p>
            <w:pPr>
              <w:spacing w:line="276" w:lineRule="auto"/>
              <w:jc w:val="right"/>
              <w:rPr>
                <w:sz w:val="22"/>
                <w:szCs w:val="22"/>
              </w:rPr>
            </w:pPr>
            <w:r>
              <w:rPr>
                <w:sz w:val="22"/>
                <w:szCs w:val="22"/>
              </w:rPr>
              <w:t>145,543.12</w:t>
            </w:r>
          </w:p>
        </w:tc>
      </w:tr>
      <w:tr>
        <w:trPr>
          <w:cantSplit/>
          <w:jc w:val="center"/>
        </w:trPr>
        <w:tc>
          <w:tcPr>
            <w:tcW w:w="2245" w:type="dxa"/>
          </w:tcPr>
          <w:p>
            <w:pPr>
              <w:spacing w:line="276" w:lineRule="auto"/>
              <w:rPr>
                <w:b/>
                <w:sz w:val="22"/>
                <w:szCs w:val="22"/>
              </w:rPr>
            </w:pPr>
            <w:r>
              <w:rPr>
                <w:b/>
                <w:sz w:val="22"/>
                <w:szCs w:val="22"/>
              </w:rPr>
              <w:t>GF-DBP</w:t>
            </w:r>
          </w:p>
          <w:p>
            <w:pPr>
              <w:spacing w:line="276" w:lineRule="auto"/>
              <w:rPr>
                <w:b/>
                <w:sz w:val="22"/>
                <w:szCs w:val="22"/>
              </w:rPr>
            </w:pPr>
            <w:r>
              <w:rPr>
                <w:sz w:val="22"/>
                <w:szCs w:val="22"/>
              </w:rPr>
              <w:t>00-0-50172-916-8</w:t>
            </w:r>
          </w:p>
        </w:tc>
        <w:tc>
          <w:tcPr>
            <w:tcW w:w="2244" w:type="dxa"/>
          </w:tcPr>
          <w:p>
            <w:pPr>
              <w:spacing w:line="276" w:lineRule="auto"/>
              <w:jc w:val="right"/>
              <w:rPr>
                <w:sz w:val="22"/>
                <w:szCs w:val="22"/>
              </w:rPr>
            </w:pPr>
            <w:r>
              <w:rPr>
                <w:sz w:val="22"/>
                <w:szCs w:val="22"/>
              </w:rPr>
              <w:t xml:space="preserve"> (4,110,229.22)</w:t>
            </w:r>
          </w:p>
        </w:tc>
        <w:tc>
          <w:tcPr>
            <w:tcW w:w="2163" w:type="dxa"/>
          </w:tcPr>
          <w:p>
            <w:pPr>
              <w:spacing w:line="276" w:lineRule="auto"/>
              <w:jc w:val="right"/>
              <w:rPr>
                <w:sz w:val="22"/>
                <w:szCs w:val="22"/>
              </w:rPr>
            </w:pPr>
            <w:r>
              <w:rPr>
                <w:sz w:val="22"/>
                <w:szCs w:val="22"/>
              </w:rPr>
              <w:t>4,657,186.77</w:t>
            </w:r>
          </w:p>
        </w:tc>
        <w:tc>
          <w:tcPr>
            <w:tcW w:w="2073" w:type="dxa"/>
          </w:tcPr>
          <w:p>
            <w:pPr>
              <w:spacing w:line="276" w:lineRule="auto"/>
              <w:jc w:val="right"/>
              <w:rPr>
                <w:sz w:val="22"/>
                <w:szCs w:val="22"/>
              </w:rPr>
            </w:pPr>
            <w:r>
              <w:rPr>
                <w:sz w:val="22"/>
                <w:szCs w:val="22"/>
              </w:rPr>
              <w:t>8,767,415.99</w:t>
            </w:r>
          </w:p>
        </w:tc>
      </w:tr>
      <w:tr>
        <w:trPr>
          <w:cantSplit/>
          <w:jc w:val="center"/>
        </w:trPr>
        <w:tc>
          <w:tcPr>
            <w:tcW w:w="2245" w:type="dxa"/>
          </w:tcPr>
          <w:p>
            <w:pPr>
              <w:spacing w:line="276" w:lineRule="auto"/>
              <w:rPr>
                <w:b/>
                <w:sz w:val="22"/>
                <w:szCs w:val="22"/>
              </w:rPr>
            </w:pPr>
            <w:r>
              <w:rPr>
                <w:b/>
                <w:sz w:val="22"/>
                <w:szCs w:val="22"/>
              </w:rPr>
              <w:t>SEF-Special Educational Fund</w:t>
            </w:r>
          </w:p>
          <w:p>
            <w:pPr>
              <w:spacing w:line="276" w:lineRule="auto"/>
              <w:rPr>
                <w:b/>
                <w:sz w:val="22"/>
                <w:szCs w:val="22"/>
              </w:rPr>
            </w:pPr>
            <w:r>
              <w:rPr>
                <w:sz w:val="22"/>
                <w:szCs w:val="22"/>
              </w:rPr>
              <w:t>LBP 1742-1006-81</w:t>
            </w:r>
          </w:p>
        </w:tc>
        <w:tc>
          <w:tcPr>
            <w:tcW w:w="2244" w:type="dxa"/>
          </w:tcPr>
          <w:p>
            <w:pPr>
              <w:spacing w:line="276" w:lineRule="auto"/>
              <w:jc w:val="right"/>
              <w:rPr>
                <w:sz w:val="22"/>
                <w:szCs w:val="22"/>
              </w:rPr>
            </w:pPr>
            <w:r>
              <w:rPr>
                <w:sz w:val="22"/>
                <w:szCs w:val="22"/>
              </w:rPr>
              <w:t>61,350,698.44</w:t>
            </w:r>
          </w:p>
        </w:tc>
        <w:tc>
          <w:tcPr>
            <w:tcW w:w="2163" w:type="dxa"/>
          </w:tcPr>
          <w:p>
            <w:pPr>
              <w:spacing w:line="276" w:lineRule="auto"/>
              <w:jc w:val="right"/>
              <w:rPr>
                <w:sz w:val="22"/>
                <w:szCs w:val="22"/>
              </w:rPr>
            </w:pPr>
            <w:r>
              <w:rPr>
                <w:sz w:val="22"/>
                <w:szCs w:val="22"/>
              </w:rPr>
              <w:t>62,175,007.50</w:t>
            </w:r>
          </w:p>
        </w:tc>
        <w:tc>
          <w:tcPr>
            <w:tcW w:w="2073" w:type="dxa"/>
          </w:tcPr>
          <w:p>
            <w:pPr>
              <w:spacing w:line="276" w:lineRule="auto"/>
              <w:jc w:val="right"/>
              <w:rPr>
                <w:sz w:val="22"/>
                <w:szCs w:val="22"/>
              </w:rPr>
            </w:pPr>
            <w:r>
              <w:rPr>
                <w:sz w:val="22"/>
                <w:szCs w:val="22"/>
              </w:rPr>
              <w:t>824,309.06</w:t>
            </w:r>
          </w:p>
        </w:tc>
      </w:tr>
      <w:tr>
        <w:trPr>
          <w:cantSplit/>
          <w:jc w:val="center"/>
        </w:trPr>
        <w:tc>
          <w:tcPr>
            <w:tcW w:w="2245" w:type="dxa"/>
          </w:tcPr>
          <w:p>
            <w:pPr>
              <w:spacing w:line="276" w:lineRule="auto"/>
              <w:rPr>
                <w:b/>
                <w:sz w:val="22"/>
                <w:szCs w:val="22"/>
              </w:rPr>
            </w:pPr>
            <w:r>
              <w:rPr>
                <w:b/>
                <w:sz w:val="22"/>
                <w:szCs w:val="22"/>
              </w:rPr>
              <w:t>TF-Safe Birthing Facility</w:t>
            </w:r>
          </w:p>
          <w:p>
            <w:pPr>
              <w:spacing w:line="276" w:lineRule="auto"/>
              <w:rPr>
                <w:sz w:val="22"/>
                <w:szCs w:val="22"/>
              </w:rPr>
            </w:pPr>
            <w:r>
              <w:rPr>
                <w:sz w:val="22"/>
                <w:szCs w:val="22"/>
              </w:rPr>
              <w:t>LBP 1742-1046-10</w:t>
            </w:r>
          </w:p>
        </w:tc>
        <w:tc>
          <w:tcPr>
            <w:tcW w:w="2244" w:type="dxa"/>
          </w:tcPr>
          <w:p>
            <w:pPr>
              <w:spacing w:line="276" w:lineRule="auto"/>
              <w:jc w:val="right"/>
              <w:rPr>
                <w:sz w:val="22"/>
                <w:szCs w:val="22"/>
              </w:rPr>
            </w:pPr>
            <w:r>
              <w:rPr>
                <w:sz w:val="22"/>
                <w:szCs w:val="22"/>
              </w:rPr>
              <w:t>846,991.79</w:t>
            </w:r>
          </w:p>
        </w:tc>
        <w:tc>
          <w:tcPr>
            <w:tcW w:w="2163" w:type="dxa"/>
          </w:tcPr>
          <w:p>
            <w:pPr>
              <w:spacing w:line="276" w:lineRule="auto"/>
              <w:jc w:val="right"/>
              <w:rPr>
                <w:sz w:val="22"/>
                <w:szCs w:val="22"/>
              </w:rPr>
            </w:pPr>
            <w:r>
              <w:rPr>
                <w:sz w:val="22"/>
                <w:szCs w:val="22"/>
              </w:rPr>
              <w:t>847,101.79</w:t>
            </w:r>
          </w:p>
        </w:tc>
        <w:tc>
          <w:tcPr>
            <w:tcW w:w="2073" w:type="dxa"/>
          </w:tcPr>
          <w:p>
            <w:pPr>
              <w:spacing w:line="276" w:lineRule="auto"/>
              <w:jc w:val="right"/>
              <w:rPr>
                <w:sz w:val="22"/>
                <w:szCs w:val="22"/>
              </w:rPr>
            </w:pPr>
            <w:r>
              <w:rPr>
                <w:sz w:val="22"/>
                <w:szCs w:val="22"/>
              </w:rPr>
              <w:t>110.00</w:t>
            </w:r>
          </w:p>
        </w:tc>
      </w:tr>
      <w:tr>
        <w:trPr>
          <w:cantSplit/>
          <w:jc w:val="center"/>
        </w:trPr>
        <w:tc>
          <w:tcPr>
            <w:tcW w:w="2245" w:type="dxa"/>
          </w:tcPr>
          <w:p>
            <w:pPr>
              <w:spacing w:line="276" w:lineRule="auto"/>
              <w:rPr>
                <w:b/>
                <w:sz w:val="22"/>
                <w:szCs w:val="22"/>
              </w:rPr>
            </w:pPr>
            <w:r>
              <w:rPr>
                <w:b/>
                <w:sz w:val="22"/>
                <w:szCs w:val="22"/>
              </w:rPr>
              <w:t>TF-DSWD Programs and Services</w:t>
            </w:r>
          </w:p>
          <w:p>
            <w:pPr>
              <w:spacing w:line="276" w:lineRule="auto"/>
              <w:rPr>
                <w:sz w:val="22"/>
                <w:szCs w:val="22"/>
              </w:rPr>
            </w:pPr>
            <w:r>
              <w:rPr>
                <w:sz w:val="22"/>
                <w:szCs w:val="22"/>
              </w:rPr>
              <w:t>LBP 1742-1043-50</w:t>
            </w:r>
          </w:p>
        </w:tc>
        <w:tc>
          <w:tcPr>
            <w:tcW w:w="2244" w:type="dxa"/>
          </w:tcPr>
          <w:p>
            <w:pPr>
              <w:spacing w:line="276" w:lineRule="auto"/>
              <w:jc w:val="right"/>
              <w:rPr>
                <w:sz w:val="22"/>
                <w:szCs w:val="22"/>
              </w:rPr>
            </w:pPr>
            <w:r>
              <w:rPr>
                <w:sz w:val="22"/>
                <w:szCs w:val="22"/>
              </w:rPr>
              <w:t>14,479,381.72</w:t>
            </w:r>
          </w:p>
        </w:tc>
        <w:tc>
          <w:tcPr>
            <w:tcW w:w="2163" w:type="dxa"/>
          </w:tcPr>
          <w:p>
            <w:pPr>
              <w:spacing w:line="276" w:lineRule="auto"/>
              <w:jc w:val="right"/>
              <w:rPr>
                <w:sz w:val="22"/>
                <w:szCs w:val="22"/>
              </w:rPr>
            </w:pPr>
            <w:r>
              <w:rPr>
                <w:sz w:val="22"/>
                <w:szCs w:val="22"/>
              </w:rPr>
              <w:t>14,529,381.72</w:t>
            </w:r>
          </w:p>
        </w:tc>
        <w:tc>
          <w:tcPr>
            <w:tcW w:w="2073" w:type="dxa"/>
          </w:tcPr>
          <w:p>
            <w:pPr>
              <w:spacing w:line="276" w:lineRule="auto"/>
              <w:jc w:val="right"/>
              <w:rPr>
                <w:sz w:val="22"/>
                <w:szCs w:val="22"/>
              </w:rPr>
            </w:pPr>
            <w:r>
              <w:rPr>
                <w:sz w:val="22"/>
                <w:szCs w:val="22"/>
              </w:rPr>
              <w:t>50,000.00</w:t>
            </w:r>
          </w:p>
        </w:tc>
      </w:tr>
      <w:tr>
        <w:trPr>
          <w:cantSplit/>
          <w:jc w:val="center"/>
        </w:trPr>
        <w:tc>
          <w:tcPr>
            <w:tcW w:w="2245" w:type="dxa"/>
          </w:tcPr>
          <w:p>
            <w:pPr>
              <w:spacing w:line="276" w:lineRule="auto"/>
              <w:rPr>
                <w:b/>
                <w:sz w:val="22"/>
                <w:szCs w:val="22"/>
              </w:rPr>
            </w:pPr>
            <w:r>
              <w:rPr>
                <w:b/>
                <w:sz w:val="22"/>
                <w:szCs w:val="22"/>
              </w:rPr>
              <w:t>TF-MRDP (Local Counterpart Fund)</w:t>
            </w:r>
          </w:p>
          <w:p>
            <w:pPr>
              <w:spacing w:line="276" w:lineRule="auto"/>
              <w:rPr>
                <w:sz w:val="22"/>
                <w:szCs w:val="22"/>
              </w:rPr>
            </w:pPr>
            <w:r>
              <w:rPr>
                <w:sz w:val="22"/>
                <w:szCs w:val="22"/>
              </w:rPr>
              <w:t>LBP 1742-1044-07</w:t>
            </w:r>
          </w:p>
        </w:tc>
        <w:tc>
          <w:tcPr>
            <w:tcW w:w="2244" w:type="dxa"/>
          </w:tcPr>
          <w:p>
            <w:pPr>
              <w:spacing w:line="276" w:lineRule="auto"/>
              <w:jc w:val="right"/>
              <w:rPr>
                <w:sz w:val="22"/>
                <w:szCs w:val="22"/>
              </w:rPr>
            </w:pPr>
            <w:r>
              <w:rPr>
                <w:sz w:val="22"/>
                <w:szCs w:val="22"/>
              </w:rPr>
              <w:t>2,069,597.57</w:t>
            </w:r>
          </w:p>
        </w:tc>
        <w:tc>
          <w:tcPr>
            <w:tcW w:w="2163" w:type="dxa"/>
          </w:tcPr>
          <w:p>
            <w:pPr>
              <w:spacing w:line="276" w:lineRule="auto"/>
              <w:jc w:val="right"/>
              <w:rPr>
                <w:sz w:val="22"/>
                <w:szCs w:val="22"/>
              </w:rPr>
            </w:pPr>
            <w:r>
              <w:rPr>
                <w:sz w:val="22"/>
                <w:szCs w:val="22"/>
              </w:rPr>
              <w:t>2,069,697.57</w:t>
            </w:r>
          </w:p>
        </w:tc>
        <w:tc>
          <w:tcPr>
            <w:tcW w:w="2073" w:type="dxa"/>
          </w:tcPr>
          <w:p>
            <w:pPr>
              <w:spacing w:line="276" w:lineRule="auto"/>
              <w:jc w:val="right"/>
              <w:rPr>
                <w:sz w:val="22"/>
                <w:szCs w:val="22"/>
              </w:rPr>
            </w:pPr>
            <w:r>
              <w:rPr>
                <w:sz w:val="22"/>
                <w:szCs w:val="22"/>
              </w:rPr>
              <w:t>100.00</w:t>
            </w:r>
          </w:p>
        </w:tc>
      </w:tr>
      <w:tr>
        <w:trPr>
          <w:cantSplit/>
          <w:jc w:val="center"/>
        </w:trPr>
        <w:tc>
          <w:tcPr>
            <w:tcW w:w="2245" w:type="dxa"/>
          </w:tcPr>
          <w:p>
            <w:pPr>
              <w:spacing w:line="276" w:lineRule="auto"/>
              <w:rPr>
                <w:b/>
                <w:sz w:val="22"/>
                <w:szCs w:val="22"/>
              </w:rPr>
            </w:pPr>
            <w:r>
              <w:rPr>
                <w:b/>
                <w:sz w:val="22"/>
                <w:szCs w:val="22"/>
              </w:rPr>
              <w:t>TF-Professional Fee</w:t>
            </w:r>
          </w:p>
          <w:p>
            <w:pPr>
              <w:spacing w:line="276" w:lineRule="auto"/>
              <w:rPr>
                <w:sz w:val="22"/>
                <w:szCs w:val="22"/>
              </w:rPr>
            </w:pPr>
            <w:r>
              <w:rPr>
                <w:sz w:val="22"/>
                <w:szCs w:val="22"/>
              </w:rPr>
              <w:t>LBP 1742-1064-34</w:t>
            </w:r>
          </w:p>
        </w:tc>
        <w:tc>
          <w:tcPr>
            <w:tcW w:w="2244" w:type="dxa"/>
          </w:tcPr>
          <w:p>
            <w:pPr>
              <w:spacing w:line="276" w:lineRule="auto"/>
              <w:jc w:val="right"/>
              <w:rPr>
                <w:sz w:val="22"/>
                <w:szCs w:val="22"/>
              </w:rPr>
            </w:pPr>
            <w:r>
              <w:rPr>
                <w:sz w:val="22"/>
                <w:szCs w:val="22"/>
              </w:rPr>
              <w:t>999,686.30</w:t>
            </w:r>
          </w:p>
        </w:tc>
        <w:tc>
          <w:tcPr>
            <w:tcW w:w="2163" w:type="dxa"/>
          </w:tcPr>
          <w:p>
            <w:pPr>
              <w:spacing w:line="276" w:lineRule="auto"/>
              <w:jc w:val="right"/>
              <w:rPr>
                <w:sz w:val="22"/>
                <w:szCs w:val="22"/>
              </w:rPr>
            </w:pPr>
            <w:r>
              <w:rPr>
                <w:sz w:val="22"/>
                <w:szCs w:val="22"/>
              </w:rPr>
              <w:t>1,204,786.30</w:t>
            </w:r>
          </w:p>
        </w:tc>
        <w:tc>
          <w:tcPr>
            <w:tcW w:w="2073" w:type="dxa"/>
          </w:tcPr>
          <w:p>
            <w:pPr>
              <w:spacing w:line="276" w:lineRule="auto"/>
              <w:jc w:val="right"/>
              <w:rPr>
                <w:sz w:val="22"/>
                <w:szCs w:val="22"/>
              </w:rPr>
            </w:pPr>
            <w:r>
              <w:rPr>
                <w:sz w:val="22"/>
                <w:szCs w:val="22"/>
              </w:rPr>
              <w:t>205,100.00</w:t>
            </w:r>
          </w:p>
        </w:tc>
      </w:tr>
      <w:tr>
        <w:trPr>
          <w:cantSplit/>
          <w:jc w:val="center"/>
        </w:trPr>
        <w:tc>
          <w:tcPr>
            <w:tcW w:w="2245" w:type="dxa"/>
          </w:tcPr>
          <w:p>
            <w:pPr>
              <w:spacing w:line="276" w:lineRule="auto"/>
              <w:rPr>
                <w:b/>
                <w:sz w:val="22"/>
                <w:szCs w:val="22"/>
              </w:rPr>
            </w:pPr>
            <w:r>
              <w:rPr>
                <w:b/>
                <w:sz w:val="22"/>
                <w:szCs w:val="22"/>
              </w:rPr>
              <w:lastRenderedPageBreak/>
              <w:t>TF-HCI Charges</w:t>
            </w:r>
          </w:p>
          <w:p>
            <w:pPr>
              <w:spacing w:line="276" w:lineRule="auto"/>
              <w:rPr>
                <w:sz w:val="22"/>
                <w:szCs w:val="22"/>
              </w:rPr>
            </w:pPr>
            <w:r>
              <w:rPr>
                <w:sz w:val="22"/>
                <w:szCs w:val="22"/>
              </w:rPr>
              <w:t>LBP 1742-1064-26</w:t>
            </w:r>
          </w:p>
        </w:tc>
        <w:tc>
          <w:tcPr>
            <w:tcW w:w="2244" w:type="dxa"/>
          </w:tcPr>
          <w:p>
            <w:pPr>
              <w:spacing w:line="276" w:lineRule="auto"/>
              <w:jc w:val="right"/>
              <w:rPr>
                <w:sz w:val="22"/>
                <w:szCs w:val="22"/>
              </w:rPr>
            </w:pPr>
            <w:r>
              <w:rPr>
                <w:sz w:val="22"/>
                <w:szCs w:val="22"/>
              </w:rPr>
              <w:t>1,941,614.62</w:t>
            </w:r>
          </w:p>
        </w:tc>
        <w:tc>
          <w:tcPr>
            <w:tcW w:w="2163" w:type="dxa"/>
          </w:tcPr>
          <w:p>
            <w:pPr>
              <w:spacing w:line="276" w:lineRule="auto"/>
              <w:jc w:val="right"/>
              <w:rPr>
                <w:sz w:val="22"/>
                <w:szCs w:val="22"/>
              </w:rPr>
            </w:pPr>
            <w:r>
              <w:rPr>
                <w:sz w:val="22"/>
                <w:szCs w:val="22"/>
              </w:rPr>
              <w:t>2,799,189.62</w:t>
            </w:r>
          </w:p>
        </w:tc>
        <w:tc>
          <w:tcPr>
            <w:tcW w:w="2073" w:type="dxa"/>
          </w:tcPr>
          <w:p>
            <w:pPr>
              <w:spacing w:line="276" w:lineRule="auto"/>
              <w:jc w:val="right"/>
              <w:rPr>
                <w:sz w:val="22"/>
                <w:szCs w:val="22"/>
              </w:rPr>
            </w:pPr>
            <w:r>
              <w:rPr>
                <w:sz w:val="22"/>
                <w:szCs w:val="22"/>
              </w:rPr>
              <w:t>857,575.00</w:t>
            </w:r>
          </w:p>
        </w:tc>
      </w:tr>
      <w:tr>
        <w:trPr>
          <w:cantSplit/>
          <w:jc w:val="center"/>
        </w:trPr>
        <w:tc>
          <w:tcPr>
            <w:tcW w:w="2245" w:type="dxa"/>
          </w:tcPr>
          <w:p>
            <w:pPr>
              <w:spacing w:line="276" w:lineRule="auto"/>
              <w:rPr>
                <w:b/>
                <w:sz w:val="22"/>
                <w:szCs w:val="22"/>
              </w:rPr>
            </w:pPr>
            <w:r>
              <w:rPr>
                <w:b/>
                <w:sz w:val="22"/>
                <w:szCs w:val="22"/>
              </w:rPr>
              <w:t>TF-MDG Faces</w:t>
            </w:r>
          </w:p>
          <w:p>
            <w:pPr>
              <w:spacing w:line="276" w:lineRule="auto"/>
              <w:rPr>
                <w:sz w:val="22"/>
                <w:szCs w:val="22"/>
              </w:rPr>
            </w:pPr>
            <w:r>
              <w:rPr>
                <w:sz w:val="22"/>
                <w:szCs w:val="22"/>
              </w:rPr>
              <w:t>LBP 1742-1045-20</w:t>
            </w:r>
          </w:p>
        </w:tc>
        <w:tc>
          <w:tcPr>
            <w:tcW w:w="2244" w:type="dxa"/>
          </w:tcPr>
          <w:p>
            <w:pPr>
              <w:spacing w:line="276" w:lineRule="auto"/>
              <w:jc w:val="right"/>
              <w:rPr>
                <w:sz w:val="22"/>
                <w:szCs w:val="22"/>
              </w:rPr>
            </w:pPr>
            <w:r>
              <w:rPr>
                <w:sz w:val="22"/>
                <w:szCs w:val="22"/>
              </w:rPr>
              <w:t>30.50</w:t>
            </w:r>
          </w:p>
        </w:tc>
        <w:tc>
          <w:tcPr>
            <w:tcW w:w="2163" w:type="dxa"/>
          </w:tcPr>
          <w:p>
            <w:pPr>
              <w:spacing w:line="276" w:lineRule="auto"/>
              <w:jc w:val="right"/>
              <w:rPr>
                <w:sz w:val="22"/>
                <w:szCs w:val="22"/>
              </w:rPr>
            </w:pPr>
            <w:r>
              <w:rPr>
                <w:sz w:val="22"/>
                <w:szCs w:val="22"/>
              </w:rPr>
              <w:t>0.00</w:t>
            </w:r>
          </w:p>
        </w:tc>
        <w:tc>
          <w:tcPr>
            <w:tcW w:w="2073" w:type="dxa"/>
          </w:tcPr>
          <w:p>
            <w:pPr>
              <w:spacing w:line="276" w:lineRule="auto"/>
              <w:jc w:val="right"/>
              <w:rPr>
                <w:sz w:val="22"/>
                <w:szCs w:val="22"/>
              </w:rPr>
            </w:pPr>
            <w:r>
              <w:rPr>
                <w:sz w:val="22"/>
                <w:szCs w:val="22"/>
              </w:rPr>
              <w:t>30.50</w:t>
            </w:r>
          </w:p>
        </w:tc>
      </w:tr>
      <w:tr>
        <w:trPr>
          <w:cantSplit/>
          <w:jc w:val="center"/>
        </w:trPr>
        <w:tc>
          <w:tcPr>
            <w:tcW w:w="2245" w:type="dxa"/>
          </w:tcPr>
          <w:p>
            <w:pPr>
              <w:spacing w:line="276" w:lineRule="auto"/>
              <w:rPr>
                <w:b/>
                <w:sz w:val="22"/>
                <w:szCs w:val="22"/>
              </w:rPr>
            </w:pPr>
            <w:r>
              <w:rPr>
                <w:b/>
                <w:sz w:val="22"/>
                <w:szCs w:val="22"/>
              </w:rPr>
              <w:t>TF-Mindanao Railway Project</w:t>
            </w:r>
          </w:p>
          <w:p>
            <w:pPr>
              <w:spacing w:line="276" w:lineRule="auto"/>
              <w:rPr>
                <w:sz w:val="22"/>
                <w:szCs w:val="22"/>
              </w:rPr>
            </w:pPr>
            <w:r>
              <w:rPr>
                <w:sz w:val="22"/>
                <w:szCs w:val="22"/>
              </w:rPr>
              <w:t>LBP 1742-1066-55</w:t>
            </w:r>
          </w:p>
        </w:tc>
        <w:tc>
          <w:tcPr>
            <w:tcW w:w="2244" w:type="dxa"/>
          </w:tcPr>
          <w:p>
            <w:pPr>
              <w:spacing w:line="276" w:lineRule="auto"/>
              <w:jc w:val="right"/>
              <w:rPr>
                <w:sz w:val="22"/>
                <w:szCs w:val="22"/>
              </w:rPr>
            </w:pPr>
            <w:r>
              <w:rPr>
                <w:sz w:val="22"/>
                <w:szCs w:val="22"/>
              </w:rPr>
              <w:t>27,221.25</w:t>
            </w:r>
          </w:p>
        </w:tc>
        <w:tc>
          <w:tcPr>
            <w:tcW w:w="2163" w:type="dxa"/>
          </w:tcPr>
          <w:p>
            <w:pPr>
              <w:spacing w:line="276" w:lineRule="auto"/>
              <w:jc w:val="right"/>
              <w:rPr>
                <w:sz w:val="22"/>
                <w:szCs w:val="22"/>
              </w:rPr>
            </w:pPr>
            <w:r>
              <w:rPr>
                <w:sz w:val="22"/>
                <w:szCs w:val="22"/>
              </w:rPr>
              <w:t>30,124.32</w:t>
            </w:r>
          </w:p>
        </w:tc>
        <w:tc>
          <w:tcPr>
            <w:tcW w:w="2073" w:type="dxa"/>
          </w:tcPr>
          <w:p>
            <w:pPr>
              <w:spacing w:line="276" w:lineRule="auto"/>
              <w:jc w:val="right"/>
              <w:rPr>
                <w:sz w:val="22"/>
                <w:szCs w:val="22"/>
              </w:rPr>
            </w:pPr>
            <w:r>
              <w:rPr>
                <w:sz w:val="22"/>
                <w:szCs w:val="22"/>
              </w:rPr>
              <w:t>2,903.07</w:t>
            </w:r>
          </w:p>
        </w:tc>
      </w:tr>
      <w:tr>
        <w:trPr>
          <w:cantSplit/>
          <w:trHeight w:val="710"/>
          <w:jc w:val="center"/>
        </w:trPr>
        <w:tc>
          <w:tcPr>
            <w:tcW w:w="2245" w:type="dxa"/>
          </w:tcPr>
          <w:p>
            <w:pPr>
              <w:spacing w:line="276" w:lineRule="auto"/>
              <w:rPr>
                <w:b/>
                <w:sz w:val="22"/>
                <w:szCs w:val="22"/>
              </w:rPr>
            </w:pPr>
            <w:r>
              <w:rPr>
                <w:b/>
                <w:sz w:val="22"/>
                <w:szCs w:val="22"/>
              </w:rPr>
              <w:t>TF-Trust Fund Proper</w:t>
            </w:r>
          </w:p>
          <w:p>
            <w:pPr>
              <w:spacing w:line="276" w:lineRule="auto"/>
              <w:rPr>
                <w:b/>
                <w:sz w:val="22"/>
                <w:szCs w:val="22"/>
              </w:rPr>
            </w:pPr>
            <w:r>
              <w:rPr>
                <w:sz w:val="22"/>
                <w:szCs w:val="22"/>
              </w:rPr>
              <w:t>LBP 1742-1007-03</w:t>
            </w:r>
          </w:p>
        </w:tc>
        <w:tc>
          <w:tcPr>
            <w:tcW w:w="2244" w:type="dxa"/>
          </w:tcPr>
          <w:p>
            <w:pPr>
              <w:spacing w:line="276" w:lineRule="auto"/>
              <w:jc w:val="right"/>
              <w:rPr>
                <w:sz w:val="22"/>
                <w:szCs w:val="22"/>
              </w:rPr>
            </w:pPr>
            <w:r>
              <w:rPr>
                <w:sz w:val="22"/>
                <w:szCs w:val="22"/>
              </w:rPr>
              <w:t>273,595,554.57</w:t>
            </w:r>
          </w:p>
        </w:tc>
        <w:tc>
          <w:tcPr>
            <w:tcW w:w="2163" w:type="dxa"/>
          </w:tcPr>
          <w:p>
            <w:pPr>
              <w:spacing w:line="276" w:lineRule="auto"/>
              <w:jc w:val="right"/>
              <w:rPr>
                <w:sz w:val="22"/>
                <w:szCs w:val="22"/>
              </w:rPr>
            </w:pPr>
            <w:r>
              <w:rPr>
                <w:sz w:val="22"/>
                <w:szCs w:val="22"/>
              </w:rPr>
              <w:t>273,293,616.84</w:t>
            </w:r>
          </w:p>
        </w:tc>
        <w:tc>
          <w:tcPr>
            <w:tcW w:w="2073" w:type="dxa"/>
          </w:tcPr>
          <w:p>
            <w:pPr>
              <w:spacing w:line="276" w:lineRule="auto"/>
              <w:jc w:val="right"/>
              <w:rPr>
                <w:sz w:val="22"/>
                <w:szCs w:val="22"/>
              </w:rPr>
            </w:pPr>
            <w:r>
              <w:rPr>
                <w:sz w:val="22"/>
                <w:szCs w:val="22"/>
              </w:rPr>
              <w:t>301,937.73</w:t>
            </w:r>
          </w:p>
        </w:tc>
      </w:tr>
      <w:tr>
        <w:trPr>
          <w:cantSplit/>
          <w:trHeight w:val="259"/>
          <w:jc w:val="center"/>
        </w:trPr>
        <w:tc>
          <w:tcPr>
            <w:tcW w:w="6652" w:type="dxa"/>
            <w:gridSpan w:val="3"/>
          </w:tcPr>
          <w:p>
            <w:pPr>
              <w:spacing w:line="276" w:lineRule="auto"/>
              <w:rPr>
                <w:sz w:val="22"/>
                <w:szCs w:val="22"/>
              </w:rPr>
            </w:pPr>
            <w:r>
              <w:rPr>
                <w:b/>
                <w:sz w:val="22"/>
                <w:szCs w:val="22"/>
              </w:rPr>
              <w:t>TOTAL</w:t>
            </w:r>
          </w:p>
        </w:tc>
        <w:tc>
          <w:tcPr>
            <w:tcW w:w="2073" w:type="dxa"/>
          </w:tcPr>
          <w:p>
            <w:pPr>
              <w:spacing w:line="276" w:lineRule="auto"/>
              <w:jc w:val="right"/>
              <w:rPr>
                <w:sz w:val="22"/>
                <w:szCs w:val="22"/>
              </w:rPr>
            </w:pPr>
            <w:r>
              <w:rPr>
                <w:b/>
                <w:sz w:val="22"/>
                <w:szCs w:val="22"/>
              </w:rPr>
              <w:t>P11,497,726.12</w:t>
            </w:r>
          </w:p>
        </w:tc>
      </w:tr>
    </w:tbl>
    <w:p>
      <w:pPr>
        <w:spacing w:line="276" w:lineRule="auto"/>
        <w:jc w:val="both"/>
      </w:pPr>
    </w:p>
    <w:p>
      <w:pPr>
        <w:spacing w:line="276" w:lineRule="auto"/>
        <w:jc w:val="both"/>
      </w:pPr>
      <w:r>
        <w:t>For the unadjusted stale checks, the City Accounting Office (CAO) explained that the adjusting entries were not drawn because the Schedule of Staled Checks from the City Treasurer’s Office (CTO), the basis in the preparation of the reversal entry, was not forwarded to them. As to the debit and credit memoranda (DMs/CMs) reconciling items, they explained that no adjustments were drawn because the CTO did not also submit any supporting documents as basis for the recording. On the other hand, The CTO explained that they have already formally requested copies of the DMs/CMs, however, the banks have not yet responded to their request.</w:t>
      </w:r>
    </w:p>
    <w:p>
      <w:pPr>
        <w:spacing w:line="276" w:lineRule="auto"/>
        <w:jc w:val="both"/>
      </w:pPr>
    </w:p>
    <w:p>
      <w:pPr>
        <w:spacing w:line="276" w:lineRule="auto"/>
        <w:jc w:val="both"/>
      </w:pPr>
      <w:r>
        <w:t>In addition, it was observed that appropriate journal entries for book reconciling items totaling P4,735,132.40 (</w:t>
      </w:r>
      <w:r>
        <w:rPr>
          <w:i/>
        </w:rPr>
        <w:t>Annex D</w:t>
      </w:r>
      <w:r>
        <w:t>) were still not drawn prior to closing of books of accounts despite availability of records and information as to the nature of transactions. The CAO explained that due to the resignation of personnel-in-charge for the BRS, its preparation has been delayed thus the reconciling items have not been timely recorded upon closing of the books.</w:t>
      </w:r>
    </w:p>
    <w:p>
      <w:pPr>
        <w:pBdr>
          <w:top w:val="nil"/>
          <w:left w:val="nil"/>
          <w:bottom w:val="nil"/>
          <w:right w:val="nil"/>
          <w:between w:val="nil"/>
        </w:pBdr>
        <w:spacing w:line="276" w:lineRule="auto"/>
        <w:jc w:val="both"/>
        <w:rPr>
          <w:color w:val="000000"/>
        </w:rPr>
      </w:pPr>
    </w:p>
    <w:p>
      <w:pPr>
        <w:pBdr>
          <w:top w:val="nil"/>
          <w:left w:val="nil"/>
          <w:bottom w:val="nil"/>
          <w:right w:val="nil"/>
          <w:between w:val="nil"/>
        </w:pBdr>
        <w:spacing w:line="276" w:lineRule="auto"/>
        <w:jc w:val="both"/>
        <w:rPr>
          <w:color w:val="000000"/>
        </w:rPr>
      </w:pPr>
      <w:r>
        <w:rPr>
          <w:color w:val="000000"/>
        </w:rPr>
        <w:t>Bank Reconciliation Statements are prepared every month to detect any discrepancies and errors between the accounting records and the bank, aside from those normal reconciling items due to timing differences. All valid reconciling items that require adjustments and corrections in the General Ledger must be recorded by the accountant through the preparation of Journal Entry Vouchers as stated under Section 3.3 of COA Circular 96-011 dated October 2, 1996. Items for reconciliation noted in the preparation of the monthly Bank Reconciliation Statements without effecting the adjustments in the books defeated its purpose.</w:t>
      </w:r>
    </w:p>
    <w:p>
      <w:pPr>
        <w:spacing w:line="276" w:lineRule="auto"/>
        <w:jc w:val="both"/>
      </w:pPr>
    </w:p>
    <w:p>
      <w:pPr>
        <w:spacing w:line="276" w:lineRule="auto"/>
        <w:jc w:val="both"/>
      </w:pPr>
      <w:r>
        <w:lastRenderedPageBreak/>
        <w:t>As shown in Tables 1.1 and 1.2, the non-adjustment of stale checks and book reconciling items at year end resulted to a misstatement in the ending balance of Cash in Bank – LCCA totaling P11,660,071.51 (P162,345.39 and P11,497,726.12). Summary of the unadjusted reconciling items and its corresponding effect to Cash in Bank – LCCA and other affected accounts is presented in Table 1.3.</w:t>
      </w:r>
    </w:p>
    <w:p>
      <w:pPr>
        <w:spacing w:line="276" w:lineRule="auto"/>
        <w:jc w:val="both"/>
      </w:pPr>
    </w:p>
    <w:p>
      <w:pPr>
        <w:spacing w:line="276" w:lineRule="auto"/>
        <w:jc w:val="both"/>
        <w:rPr>
          <w:i/>
        </w:rPr>
      </w:pPr>
      <w:r>
        <w:rPr>
          <w:i/>
        </w:rPr>
        <w:t xml:space="preserve">Table 1.3. Summary of the effects on Cash in Bank – LCCA </w:t>
      </w:r>
    </w:p>
    <w:tbl>
      <w:tblPr>
        <w:tblW w:w="89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7"/>
        <w:gridCol w:w="1350"/>
        <w:gridCol w:w="1302"/>
        <w:gridCol w:w="1522"/>
        <w:gridCol w:w="1551"/>
        <w:gridCol w:w="1345"/>
      </w:tblGrid>
      <w:tr>
        <w:trPr>
          <w:cantSplit/>
          <w:trHeight w:val="644"/>
          <w:tblHeader/>
          <w:jc w:val="center"/>
        </w:trPr>
        <w:tc>
          <w:tcPr>
            <w:tcW w:w="1877" w:type="dxa"/>
            <w:vMerge w:val="restart"/>
            <w:vAlign w:val="center"/>
          </w:tcPr>
          <w:p>
            <w:pPr>
              <w:spacing w:line="276" w:lineRule="auto"/>
              <w:jc w:val="center"/>
              <w:rPr>
                <w:b/>
                <w:sz w:val="18"/>
                <w:szCs w:val="18"/>
              </w:rPr>
            </w:pPr>
            <w:r>
              <w:rPr>
                <w:b/>
                <w:sz w:val="18"/>
                <w:szCs w:val="18"/>
              </w:rPr>
              <w:t>Particulars</w:t>
            </w:r>
          </w:p>
        </w:tc>
        <w:tc>
          <w:tcPr>
            <w:tcW w:w="2652" w:type="dxa"/>
            <w:gridSpan w:val="2"/>
            <w:vAlign w:val="center"/>
          </w:tcPr>
          <w:p>
            <w:pPr>
              <w:spacing w:line="276" w:lineRule="auto"/>
              <w:jc w:val="center"/>
              <w:rPr>
                <w:b/>
                <w:sz w:val="18"/>
                <w:szCs w:val="18"/>
              </w:rPr>
            </w:pPr>
            <w:r>
              <w:rPr>
                <w:b/>
                <w:sz w:val="18"/>
                <w:szCs w:val="18"/>
              </w:rPr>
              <w:t>Total Unadjusted Reconciling Items, as at December 31, 2022</w:t>
            </w:r>
          </w:p>
        </w:tc>
        <w:tc>
          <w:tcPr>
            <w:tcW w:w="3073" w:type="dxa"/>
            <w:gridSpan w:val="2"/>
            <w:vAlign w:val="center"/>
          </w:tcPr>
          <w:p>
            <w:pPr>
              <w:spacing w:line="276" w:lineRule="auto"/>
              <w:jc w:val="center"/>
              <w:rPr>
                <w:b/>
                <w:sz w:val="18"/>
                <w:szCs w:val="18"/>
              </w:rPr>
            </w:pPr>
            <w:r>
              <w:rPr>
                <w:b/>
                <w:sz w:val="18"/>
                <w:szCs w:val="18"/>
              </w:rPr>
              <w:t>CIB-LCCA</w:t>
            </w:r>
          </w:p>
        </w:tc>
        <w:tc>
          <w:tcPr>
            <w:tcW w:w="1345" w:type="dxa"/>
            <w:vMerge w:val="restart"/>
            <w:vAlign w:val="center"/>
          </w:tcPr>
          <w:p>
            <w:pPr>
              <w:spacing w:line="276" w:lineRule="auto"/>
              <w:jc w:val="center"/>
              <w:rPr>
                <w:b/>
                <w:sz w:val="18"/>
                <w:szCs w:val="18"/>
              </w:rPr>
            </w:pPr>
            <w:r>
              <w:rPr>
                <w:b/>
                <w:sz w:val="18"/>
                <w:szCs w:val="18"/>
              </w:rPr>
              <w:t>Other Accounts Affected</w:t>
            </w:r>
          </w:p>
        </w:tc>
      </w:tr>
      <w:tr>
        <w:trPr>
          <w:cantSplit/>
          <w:tblHeader/>
          <w:jc w:val="center"/>
        </w:trPr>
        <w:tc>
          <w:tcPr>
            <w:tcW w:w="1877" w:type="dxa"/>
            <w:vMerge/>
            <w:vAlign w:val="center"/>
          </w:tcPr>
          <w:p>
            <w:pPr>
              <w:widowControl w:val="0"/>
              <w:pBdr>
                <w:top w:val="nil"/>
                <w:left w:val="nil"/>
                <w:bottom w:val="nil"/>
                <w:right w:val="nil"/>
                <w:between w:val="nil"/>
              </w:pBdr>
              <w:spacing w:line="276" w:lineRule="auto"/>
              <w:rPr>
                <w:b/>
                <w:sz w:val="18"/>
                <w:szCs w:val="18"/>
              </w:rPr>
            </w:pPr>
          </w:p>
        </w:tc>
        <w:tc>
          <w:tcPr>
            <w:tcW w:w="1350" w:type="dxa"/>
            <w:vAlign w:val="center"/>
          </w:tcPr>
          <w:p>
            <w:pPr>
              <w:spacing w:line="276" w:lineRule="auto"/>
              <w:jc w:val="center"/>
              <w:rPr>
                <w:sz w:val="18"/>
                <w:szCs w:val="18"/>
              </w:rPr>
            </w:pPr>
            <w:r>
              <w:rPr>
                <w:b/>
                <w:sz w:val="18"/>
                <w:szCs w:val="18"/>
              </w:rPr>
              <w:t>CY 2022</w:t>
            </w:r>
          </w:p>
        </w:tc>
        <w:tc>
          <w:tcPr>
            <w:tcW w:w="1302" w:type="dxa"/>
            <w:vAlign w:val="center"/>
          </w:tcPr>
          <w:p>
            <w:pPr>
              <w:spacing w:line="276" w:lineRule="auto"/>
              <w:jc w:val="center"/>
              <w:rPr>
                <w:sz w:val="18"/>
                <w:szCs w:val="18"/>
              </w:rPr>
            </w:pPr>
            <w:r>
              <w:rPr>
                <w:b/>
                <w:sz w:val="18"/>
                <w:szCs w:val="18"/>
              </w:rPr>
              <w:t>CY 2021 and earlier</w:t>
            </w:r>
          </w:p>
        </w:tc>
        <w:tc>
          <w:tcPr>
            <w:tcW w:w="1522" w:type="dxa"/>
            <w:vAlign w:val="center"/>
          </w:tcPr>
          <w:p>
            <w:pPr>
              <w:widowControl w:val="0"/>
              <w:pBdr>
                <w:top w:val="nil"/>
                <w:left w:val="nil"/>
                <w:bottom w:val="nil"/>
                <w:right w:val="nil"/>
                <w:between w:val="nil"/>
              </w:pBdr>
              <w:spacing w:line="276" w:lineRule="auto"/>
              <w:jc w:val="center"/>
              <w:rPr>
                <w:sz w:val="18"/>
                <w:szCs w:val="18"/>
              </w:rPr>
            </w:pPr>
            <w:r>
              <w:rPr>
                <w:b/>
                <w:sz w:val="18"/>
                <w:szCs w:val="18"/>
              </w:rPr>
              <w:t>Understatement</w:t>
            </w:r>
          </w:p>
        </w:tc>
        <w:tc>
          <w:tcPr>
            <w:tcW w:w="1551" w:type="dxa"/>
            <w:vAlign w:val="center"/>
          </w:tcPr>
          <w:p>
            <w:pPr>
              <w:widowControl w:val="0"/>
              <w:pBdr>
                <w:top w:val="nil"/>
                <w:left w:val="nil"/>
                <w:bottom w:val="nil"/>
                <w:right w:val="nil"/>
                <w:between w:val="nil"/>
              </w:pBdr>
              <w:spacing w:line="276" w:lineRule="auto"/>
              <w:jc w:val="center"/>
              <w:rPr>
                <w:sz w:val="18"/>
                <w:szCs w:val="18"/>
              </w:rPr>
            </w:pPr>
            <w:r>
              <w:rPr>
                <w:b/>
                <w:sz w:val="18"/>
                <w:szCs w:val="18"/>
              </w:rPr>
              <w:t>(Overstatement)</w:t>
            </w:r>
          </w:p>
        </w:tc>
        <w:tc>
          <w:tcPr>
            <w:tcW w:w="1345" w:type="dxa"/>
            <w:vMerge/>
            <w:vAlign w:val="center"/>
          </w:tcPr>
          <w:p>
            <w:pPr>
              <w:widowControl w:val="0"/>
              <w:pBdr>
                <w:top w:val="nil"/>
                <w:left w:val="nil"/>
                <w:bottom w:val="nil"/>
                <w:right w:val="nil"/>
                <w:between w:val="nil"/>
              </w:pBdr>
              <w:spacing w:line="276" w:lineRule="auto"/>
              <w:rPr>
                <w:sz w:val="18"/>
                <w:szCs w:val="18"/>
              </w:rPr>
            </w:pPr>
          </w:p>
        </w:tc>
      </w:tr>
      <w:tr>
        <w:trPr>
          <w:cantSplit/>
          <w:jc w:val="center"/>
        </w:trPr>
        <w:tc>
          <w:tcPr>
            <w:tcW w:w="1877" w:type="dxa"/>
          </w:tcPr>
          <w:p>
            <w:pPr>
              <w:spacing w:line="276" w:lineRule="auto"/>
              <w:rPr>
                <w:sz w:val="18"/>
                <w:szCs w:val="18"/>
              </w:rPr>
            </w:pPr>
            <w:r>
              <w:rPr>
                <w:sz w:val="18"/>
                <w:szCs w:val="18"/>
              </w:rPr>
              <w:t>Unadjusted Stale Checks</w:t>
            </w:r>
          </w:p>
        </w:tc>
        <w:tc>
          <w:tcPr>
            <w:tcW w:w="1350" w:type="dxa"/>
          </w:tcPr>
          <w:p>
            <w:pPr>
              <w:spacing w:line="276" w:lineRule="auto"/>
              <w:jc w:val="right"/>
              <w:rPr>
                <w:sz w:val="18"/>
                <w:szCs w:val="18"/>
              </w:rPr>
            </w:pPr>
            <w:r>
              <w:rPr>
                <w:sz w:val="18"/>
                <w:szCs w:val="18"/>
              </w:rPr>
              <w:t>P1,170.00</w:t>
            </w:r>
          </w:p>
        </w:tc>
        <w:tc>
          <w:tcPr>
            <w:tcW w:w="1302" w:type="dxa"/>
          </w:tcPr>
          <w:p>
            <w:pPr>
              <w:spacing w:line="276" w:lineRule="auto"/>
              <w:jc w:val="right"/>
              <w:rPr>
                <w:sz w:val="18"/>
                <w:szCs w:val="18"/>
              </w:rPr>
            </w:pPr>
            <w:r>
              <w:rPr>
                <w:sz w:val="18"/>
                <w:szCs w:val="18"/>
              </w:rPr>
              <w:t>P161,175.39</w:t>
            </w:r>
          </w:p>
        </w:tc>
        <w:tc>
          <w:tcPr>
            <w:tcW w:w="1522" w:type="dxa"/>
          </w:tcPr>
          <w:p>
            <w:pPr>
              <w:spacing w:line="276" w:lineRule="auto"/>
              <w:jc w:val="right"/>
              <w:rPr>
                <w:b/>
                <w:sz w:val="18"/>
                <w:szCs w:val="18"/>
              </w:rPr>
            </w:pPr>
            <w:r>
              <w:rPr>
                <w:b/>
                <w:sz w:val="18"/>
                <w:szCs w:val="18"/>
              </w:rPr>
              <w:t>P162,345.39</w:t>
            </w:r>
          </w:p>
        </w:tc>
        <w:tc>
          <w:tcPr>
            <w:tcW w:w="1551" w:type="dxa"/>
          </w:tcPr>
          <w:p>
            <w:pPr>
              <w:spacing w:line="276" w:lineRule="auto"/>
              <w:jc w:val="right"/>
              <w:rPr>
                <w:sz w:val="18"/>
                <w:szCs w:val="18"/>
              </w:rPr>
            </w:pPr>
          </w:p>
        </w:tc>
        <w:tc>
          <w:tcPr>
            <w:tcW w:w="1345" w:type="dxa"/>
          </w:tcPr>
          <w:p>
            <w:pPr>
              <w:spacing w:line="276" w:lineRule="auto"/>
              <w:rPr>
                <w:sz w:val="18"/>
                <w:szCs w:val="18"/>
              </w:rPr>
            </w:pPr>
            <w:r>
              <w:rPr>
                <w:sz w:val="18"/>
                <w:szCs w:val="18"/>
              </w:rPr>
              <w:t>Accounts Payable</w:t>
            </w:r>
          </w:p>
        </w:tc>
      </w:tr>
      <w:tr>
        <w:trPr>
          <w:cantSplit/>
          <w:jc w:val="center"/>
        </w:trPr>
        <w:tc>
          <w:tcPr>
            <w:tcW w:w="1877" w:type="dxa"/>
          </w:tcPr>
          <w:p>
            <w:pPr>
              <w:spacing w:line="276" w:lineRule="auto"/>
              <w:rPr>
                <w:sz w:val="18"/>
                <w:szCs w:val="18"/>
              </w:rPr>
            </w:pPr>
            <w:r>
              <w:rPr>
                <w:sz w:val="18"/>
                <w:szCs w:val="18"/>
              </w:rPr>
              <w:t>Various Credit Memo</w:t>
            </w:r>
          </w:p>
          <w:p>
            <w:pPr>
              <w:spacing w:line="276" w:lineRule="auto"/>
              <w:rPr>
                <w:sz w:val="18"/>
                <w:szCs w:val="18"/>
              </w:rPr>
            </w:pPr>
            <w:r>
              <w:rPr>
                <w:sz w:val="18"/>
                <w:szCs w:val="18"/>
              </w:rPr>
              <w:t>(Addition)</w:t>
            </w:r>
          </w:p>
        </w:tc>
        <w:tc>
          <w:tcPr>
            <w:tcW w:w="1350" w:type="dxa"/>
          </w:tcPr>
          <w:p>
            <w:pPr>
              <w:spacing w:line="276" w:lineRule="auto"/>
              <w:jc w:val="right"/>
              <w:rPr>
                <w:sz w:val="18"/>
                <w:szCs w:val="18"/>
              </w:rPr>
            </w:pPr>
            <w:r>
              <w:rPr>
                <w:sz w:val="18"/>
                <w:szCs w:val="18"/>
              </w:rPr>
              <w:t>350,063.49</w:t>
            </w:r>
          </w:p>
        </w:tc>
        <w:tc>
          <w:tcPr>
            <w:tcW w:w="1302" w:type="dxa"/>
          </w:tcPr>
          <w:p>
            <w:pPr>
              <w:spacing w:line="276" w:lineRule="auto"/>
              <w:jc w:val="right"/>
              <w:rPr>
                <w:sz w:val="18"/>
                <w:szCs w:val="18"/>
              </w:rPr>
            </w:pPr>
            <w:r>
              <w:rPr>
                <w:sz w:val="18"/>
                <w:szCs w:val="18"/>
              </w:rPr>
              <w:t>8,820,147.97</w:t>
            </w:r>
          </w:p>
        </w:tc>
        <w:tc>
          <w:tcPr>
            <w:tcW w:w="1522" w:type="dxa"/>
          </w:tcPr>
          <w:p>
            <w:pPr>
              <w:spacing w:line="276" w:lineRule="auto"/>
              <w:jc w:val="right"/>
              <w:rPr>
                <w:b/>
                <w:sz w:val="18"/>
                <w:szCs w:val="18"/>
              </w:rPr>
            </w:pPr>
            <w:r>
              <w:rPr>
                <w:b/>
                <w:sz w:val="18"/>
                <w:szCs w:val="18"/>
              </w:rPr>
              <w:t>9,170,211.46</w:t>
            </w:r>
          </w:p>
        </w:tc>
        <w:tc>
          <w:tcPr>
            <w:tcW w:w="1551" w:type="dxa"/>
          </w:tcPr>
          <w:p>
            <w:pPr>
              <w:spacing w:line="276" w:lineRule="auto"/>
              <w:jc w:val="right"/>
              <w:rPr>
                <w:sz w:val="18"/>
                <w:szCs w:val="18"/>
              </w:rPr>
            </w:pPr>
          </w:p>
        </w:tc>
        <w:tc>
          <w:tcPr>
            <w:tcW w:w="1345" w:type="dxa"/>
          </w:tcPr>
          <w:p>
            <w:pPr>
              <w:spacing w:line="276" w:lineRule="auto"/>
              <w:rPr>
                <w:sz w:val="18"/>
                <w:szCs w:val="18"/>
              </w:rPr>
            </w:pPr>
            <w:r>
              <w:rPr>
                <w:sz w:val="18"/>
                <w:szCs w:val="18"/>
              </w:rPr>
              <w:t>Receivables</w:t>
            </w:r>
          </w:p>
          <w:p>
            <w:pPr>
              <w:spacing w:line="276" w:lineRule="auto"/>
              <w:rPr>
                <w:sz w:val="18"/>
                <w:szCs w:val="18"/>
              </w:rPr>
            </w:pPr>
            <w:r>
              <w:rPr>
                <w:sz w:val="18"/>
                <w:szCs w:val="18"/>
              </w:rPr>
              <w:t>Interest Income</w:t>
            </w:r>
          </w:p>
          <w:p>
            <w:pPr>
              <w:spacing w:line="276" w:lineRule="auto"/>
              <w:rPr>
                <w:sz w:val="18"/>
                <w:szCs w:val="18"/>
              </w:rPr>
            </w:pPr>
            <w:r>
              <w:rPr>
                <w:sz w:val="18"/>
                <w:szCs w:val="18"/>
              </w:rPr>
              <w:t>Other Income</w:t>
            </w:r>
          </w:p>
        </w:tc>
      </w:tr>
      <w:tr>
        <w:trPr>
          <w:cantSplit/>
          <w:jc w:val="center"/>
        </w:trPr>
        <w:tc>
          <w:tcPr>
            <w:tcW w:w="1877" w:type="dxa"/>
          </w:tcPr>
          <w:p>
            <w:pPr>
              <w:spacing w:line="276" w:lineRule="auto"/>
              <w:rPr>
                <w:sz w:val="18"/>
                <w:szCs w:val="18"/>
              </w:rPr>
            </w:pPr>
            <w:r>
              <w:rPr>
                <w:sz w:val="18"/>
                <w:szCs w:val="18"/>
              </w:rPr>
              <w:t>Various Debit Memo</w:t>
            </w:r>
          </w:p>
          <w:p>
            <w:pPr>
              <w:spacing w:line="276" w:lineRule="auto"/>
              <w:rPr>
                <w:sz w:val="18"/>
                <w:szCs w:val="18"/>
              </w:rPr>
            </w:pPr>
            <w:r>
              <w:rPr>
                <w:sz w:val="18"/>
                <w:szCs w:val="18"/>
              </w:rPr>
              <w:t>(Deduction)</w:t>
            </w:r>
          </w:p>
        </w:tc>
        <w:tc>
          <w:tcPr>
            <w:tcW w:w="1350" w:type="dxa"/>
          </w:tcPr>
          <w:p>
            <w:pPr>
              <w:spacing w:line="276" w:lineRule="auto"/>
              <w:jc w:val="right"/>
              <w:rPr>
                <w:sz w:val="18"/>
                <w:szCs w:val="18"/>
              </w:rPr>
            </w:pPr>
            <w:r>
              <w:rPr>
                <w:sz w:val="18"/>
                <w:szCs w:val="18"/>
              </w:rPr>
              <w:t>(369,760.42)</w:t>
            </w:r>
          </w:p>
        </w:tc>
        <w:tc>
          <w:tcPr>
            <w:tcW w:w="1302" w:type="dxa"/>
          </w:tcPr>
          <w:p>
            <w:pPr>
              <w:spacing w:line="276" w:lineRule="auto"/>
              <w:jc w:val="right"/>
              <w:rPr>
                <w:sz w:val="18"/>
                <w:szCs w:val="18"/>
              </w:rPr>
            </w:pPr>
            <w:r>
              <w:rPr>
                <w:sz w:val="18"/>
                <w:szCs w:val="18"/>
              </w:rPr>
              <w:t>(463,165.00)</w:t>
            </w:r>
          </w:p>
        </w:tc>
        <w:tc>
          <w:tcPr>
            <w:tcW w:w="1522" w:type="dxa"/>
          </w:tcPr>
          <w:p>
            <w:pPr>
              <w:spacing w:line="276" w:lineRule="auto"/>
              <w:jc w:val="right"/>
              <w:rPr>
                <w:b/>
                <w:sz w:val="18"/>
                <w:szCs w:val="18"/>
              </w:rPr>
            </w:pPr>
          </w:p>
        </w:tc>
        <w:tc>
          <w:tcPr>
            <w:tcW w:w="1551" w:type="dxa"/>
          </w:tcPr>
          <w:p>
            <w:pPr>
              <w:spacing w:line="276" w:lineRule="auto"/>
              <w:jc w:val="right"/>
              <w:rPr>
                <w:sz w:val="18"/>
                <w:szCs w:val="18"/>
              </w:rPr>
            </w:pPr>
            <w:r>
              <w:rPr>
                <w:b/>
                <w:sz w:val="18"/>
                <w:szCs w:val="18"/>
              </w:rPr>
              <w:t>(P832,925.42)</w:t>
            </w:r>
          </w:p>
        </w:tc>
        <w:tc>
          <w:tcPr>
            <w:tcW w:w="1345" w:type="dxa"/>
          </w:tcPr>
          <w:p>
            <w:pPr>
              <w:spacing w:line="276" w:lineRule="auto"/>
              <w:rPr>
                <w:sz w:val="18"/>
                <w:szCs w:val="18"/>
              </w:rPr>
            </w:pPr>
            <w:r>
              <w:rPr>
                <w:sz w:val="18"/>
                <w:szCs w:val="18"/>
              </w:rPr>
              <w:t>Expenses</w:t>
            </w:r>
          </w:p>
        </w:tc>
      </w:tr>
      <w:tr>
        <w:trPr>
          <w:cantSplit/>
          <w:jc w:val="center"/>
        </w:trPr>
        <w:tc>
          <w:tcPr>
            <w:tcW w:w="1877" w:type="dxa"/>
          </w:tcPr>
          <w:p>
            <w:pPr>
              <w:spacing w:line="276" w:lineRule="auto"/>
              <w:rPr>
                <w:sz w:val="18"/>
                <w:szCs w:val="18"/>
              </w:rPr>
            </w:pPr>
            <w:r>
              <w:rPr>
                <w:sz w:val="18"/>
                <w:szCs w:val="18"/>
              </w:rPr>
              <w:t>Various Book Adjustments (Addition)</w:t>
            </w:r>
          </w:p>
        </w:tc>
        <w:tc>
          <w:tcPr>
            <w:tcW w:w="1350" w:type="dxa"/>
          </w:tcPr>
          <w:p>
            <w:pPr>
              <w:spacing w:line="276" w:lineRule="auto"/>
              <w:jc w:val="right"/>
              <w:rPr>
                <w:sz w:val="18"/>
                <w:szCs w:val="18"/>
              </w:rPr>
            </w:pPr>
            <w:r>
              <w:rPr>
                <w:sz w:val="18"/>
                <w:szCs w:val="18"/>
              </w:rPr>
              <w:t>3,214,308.81</w:t>
            </w:r>
          </w:p>
        </w:tc>
        <w:tc>
          <w:tcPr>
            <w:tcW w:w="1302" w:type="dxa"/>
          </w:tcPr>
          <w:p>
            <w:pPr>
              <w:spacing w:line="276" w:lineRule="auto"/>
              <w:jc w:val="right"/>
              <w:rPr>
                <w:sz w:val="18"/>
                <w:szCs w:val="18"/>
              </w:rPr>
            </w:pPr>
            <w:r>
              <w:rPr>
                <w:sz w:val="18"/>
                <w:szCs w:val="18"/>
              </w:rPr>
              <w:t>269,113.55</w:t>
            </w:r>
          </w:p>
        </w:tc>
        <w:tc>
          <w:tcPr>
            <w:tcW w:w="1522" w:type="dxa"/>
          </w:tcPr>
          <w:p>
            <w:pPr>
              <w:spacing w:line="276" w:lineRule="auto"/>
              <w:jc w:val="right"/>
              <w:rPr>
                <w:b/>
                <w:sz w:val="18"/>
                <w:szCs w:val="18"/>
              </w:rPr>
            </w:pPr>
            <w:r>
              <w:rPr>
                <w:b/>
                <w:sz w:val="18"/>
                <w:szCs w:val="18"/>
              </w:rPr>
              <w:t>3,483,422.36</w:t>
            </w:r>
          </w:p>
        </w:tc>
        <w:tc>
          <w:tcPr>
            <w:tcW w:w="1551" w:type="dxa"/>
          </w:tcPr>
          <w:p>
            <w:pPr>
              <w:spacing w:line="276" w:lineRule="auto"/>
              <w:jc w:val="right"/>
              <w:rPr>
                <w:sz w:val="18"/>
                <w:szCs w:val="18"/>
              </w:rPr>
            </w:pPr>
          </w:p>
        </w:tc>
        <w:tc>
          <w:tcPr>
            <w:tcW w:w="1345" w:type="dxa"/>
          </w:tcPr>
          <w:p>
            <w:pPr>
              <w:spacing w:line="276" w:lineRule="auto"/>
              <w:rPr>
                <w:sz w:val="18"/>
                <w:szCs w:val="18"/>
              </w:rPr>
            </w:pPr>
            <w:r>
              <w:rPr>
                <w:sz w:val="18"/>
                <w:szCs w:val="18"/>
              </w:rPr>
              <w:t>Cash Local Treasury</w:t>
            </w:r>
          </w:p>
        </w:tc>
      </w:tr>
      <w:tr>
        <w:trPr>
          <w:cantSplit/>
          <w:jc w:val="center"/>
        </w:trPr>
        <w:tc>
          <w:tcPr>
            <w:tcW w:w="1877" w:type="dxa"/>
          </w:tcPr>
          <w:p>
            <w:pPr>
              <w:spacing w:line="276" w:lineRule="auto"/>
              <w:rPr>
                <w:sz w:val="18"/>
                <w:szCs w:val="18"/>
              </w:rPr>
            </w:pPr>
            <w:r>
              <w:rPr>
                <w:sz w:val="18"/>
                <w:szCs w:val="18"/>
              </w:rPr>
              <w:t>Various Book Adjustments (Deduction)</w:t>
            </w:r>
          </w:p>
        </w:tc>
        <w:tc>
          <w:tcPr>
            <w:tcW w:w="1350" w:type="dxa"/>
          </w:tcPr>
          <w:p>
            <w:pPr>
              <w:spacing w:line="276" w:lineRule="auto"/>
              <w:jc w:val="right"/>
              <w:rPr>
                <w:sz w:val="18"/>
                <w:szCs w:val="18"/>
              </w:rPr>
            </w:pPr>
            <w:r>
              <w:rPr>
                <w:sz w:val="18"/>
                <w:szCs w:val="18"/>
              </w:rPr>
              <w:t>(1,244,329.54)</w:t>
            </w:r>
          </w:p>
        </w:tc>
        <w:tc>
          <w:tcPr>
            <w:tcW w:w="1302" w:type="dxa"/>
          </w:tcPr>
          <w:p>
            <w:pPr>
              <w:spacing w:line="276" w:lineRule="auto"/>
              <w:jc w:val="right"/>
              <w:rPr>
                <w:sz w:val="18"/>
                <w:szCs w:val="18"/>
              </w:rPr>
            </w:pPr>
            <w:r>
              <w:rPr>
                <w:sz w:val="18"/>
                <w:szCs w:val="18"/>
              </w:rPr>
              <w:t>(7,380.50)</w:t>
            </w:r>
          </w:p>
        </w:tc>
        <w:tc>
          <w:tcPr>
            <w:tcW w:w="1522" w:type="dxa"/>
          </w:tcPr>
          <w:p>
            <w:pPr>
              <w:spacing w:line="276" w:lineRule="auto"/>
              <w:jc w:val="right"/>
              <w:rPr>
                <w:b/>
                <w:sz w:val="18"/>
                <w:szCs w:val="18"/>
              </w:rPr>
            </w:pPr>
          </w:p>
        </w:tc>
        <w:tc>
          <w:tcPr>
            <w:tcW w:w="1551" w:type="dxa"/>
          </w:tcPr>
          <w:p>
            <w:pPr>
              <w:spacing w:line="276" w:lineRule="auto"/>
              <w:jc w:val="right"/>
              <w:rPr>
                <w:sz w:val="18"/>
                <w:szCs w:val="18"/>
              </w:rPr>
            </w:pPr>
            <w:r>
              <w:rPr>
                <w:b/>
                <w:sz w:val="18"/>
                <w:szCs w:val="18"/>
              </w:rPr>
              <w:t>(1,251,710.04)</w:t>
            </w:r>
          </w:p>
        </w:tc>
        <w:tc>
          <w:tcPr>
            <w:tcW w:w="1345" w:type="dxa"/>
          </w:tcPr>
          <w:p>
            <w:pPr>
              <w:spacing w:line="276" w:lineRule="auto"/>
              <w:rPr>
                <w:sz w:val="18"/>
                <w:szCs w:val="18"/>
              </w:rPr>
            </w:pPr>
            <w:r>
              <w:rPr>
                <w:sz w:val="18"/>
                <w:szCs w:val="18"/>
              </w:rPr>
              <w:t>Expenses</w:t>
            </w:r>
          </w:p>
        </w:tc>
      </w:tr>
      <w:tr>
        <w:trPr>
          <w:cantSplit/>
          <w:jc w:val="center"/>
        </w:trPr>
        <w:tc>
          <w:tcPr>
            <w:tcW w:w="1877" w:type="dxa"/>
          </w:tcPr>
          <w:p>
            <w:pPr>
              <w:spacing w:line="276" w:lineRule="auto"/>
              <w:rPr>
                <w:b/>
                <w:sz w:val="18"/>
                <w:szCs w:val="18"/>
              </w:rPr>
            </w:pPr>
            <w:r>
              <w:rPr>
                <w:b/>
                <w:sz w:val="18"/>
                <w:szCs w:val="18"/>
              </w:rPr>
              <w:t>TOTAL</w:t>
            </w:r>
          </w:p>
        </w:tc>
        <w:tc>
          <w:tcPr>
            <w:tcW w:w="1350" w:type="dxa"/>
          </w:tcPr>
          <w:p>
            <w:pPr>
              <w:spacing w:line="276" w:lineRule="auto"/>
              <w:jc w:val="right"/>
              <w:rPr>
                <w:b/>
                <w:sz w:val="18"/>
                <w:szCs w:val="18"/>
              </w:rPr>
            </w:pPr>
            <w:r>
              <w:rPr>
                <w:b/>
                <w:sz w:val="18"/>
                <w:szCs w:val="18"/>
              </w:rPr>
              <w:t>P1,951,452.34</w:t>
            </w:r>
          </w:p>
        </w:tc>
        <w:tc>
          <w:tcPr>
            <w:tcW w:w="1302" w:type="dxa"/>
          </w:tcPr>
          <w:p>
            <w:pPr>
              <w:spacing w:line="276" w:lineRule="auto"/>
              <w:jc w:val="right"/>
              <w:rPr>
                <w:b/>
                <w:sz w:val="18"/>
                <w:szCs w:val="18"/>
              </w:rPr>
            </w:pPr>
            <w:r>
              <w:rPr>
                <w:b/>
                <w:sz w:val="18"/>
                <w:szCs w:val="18"/>
              </w:rPr>
              <w:t>P8,779,891.41</w:t>
            </w:r>
          </w:p>
        </w:tc>
        <w:tc>
          <w:tcPr>
            <w:tcW w:w="1522" w:type="dxa"/>
          </w:tcPr>
          <w:p>
            <w:pPr>
              <w:spacing w:line="276" w:lineRule="auto"/>
              <w:jc w:val="right"/>
              <w:rPr>
                <w:b/>
                <w:sz w:val="18"/>
                <w:szCs w:val="18"/>
              </w:rPr>
            </w:pPr>
            <w:r>
              <w:rPr>
                <w:b/>
                <w:sz w:val="18"/>
                <w:szCs w:val="18"/>
              </w:rPr>
              <w:t>P12,815,988.21</w:t>
            </w:r>
          </w:p>
        </w:tc>
        <w:tc>
          <w:tcPr>
            <w:tcW w:w="1551" w:type="dxa"/>
          </w:tcPr>
          <w:p>
            <w:pPr>
              <w:spacing w:line="276" w:lineRule="auto"/>
              <w:jc w:val="right"/>
              <w:rPr>
                <w:b/>
                <w:sz w:val="18"/>
                <w:szCs w:val="18"/>
              </w:rPr>
            </w:pPr>
            <w:r>
              <w:rPr>
                <w:b/>
                <w:sz w:val="18"/>
                <w:szCs w:val="18"/>
              </w:rPr>
              <w:t>(P2,084,635.46)</w:t>
            </w:r>
          </w:p>
        </w:tc>
        <w:tc>
          <w:tcPr>
            <w:tcW w:w="1345" w:type="dxa"/>
          </w:tcPr>
          <w:p>
            <w:pPr>
              <w:spacing w:line="276" w:lineRule="auto"/>
              <w:jc w:val="right"/>
              <w:rPr>
                <w:b/>
                <w:sz w:val="18"/>
                <w:szCs w:val="18"/>
              </w:rPr>
            </w:pPr>
          </w:p>
        </w:tc>
      </w:tr>
    </w:tbl>
    <w:p>
      <w:pPr>
        <w:spacing w:line="276" w:lineRule="auto"/>
        <w:jc w:val="both"/>
      </w:pPr>
    </w:p>
    <w:p>
      <w:pPr>
        <w:spacing w:line="276" w:lineRule="auto"/>
        <w:jc w:val="both"/>
      </w:pPr>
      <w:r>
        <w:t xml:space="preserve">Consequently, the ending balance of Cash in Bank – LCCA as presented in the Statement of Financial Position is understated by P10,731,343.75 (net of understatement </w:t>
      </w:r>
      <w:proofErr w:type="gramStart"/>
      <w:r>
        <w:t>of  P</w:t>
      </w:r>
      <w:proofErr w:type="gramEnd"/>
      <w:r>
        <w:t>12,815,988.21 and overstatement of P2,084,635.46). Likewise, fair presentation of the ending balances of other affected accounts is rendered doubtful.</w:t>
      </w:r>
    </w:p>
    <w:p>
      <w:pPr>
        <w:spacing w:line="276" w:lineRule="auto"/>
        <w:jc w:val="both"/>
      </w:pPr>
    </w:p>
    <w:p>
      <w:pPr>
        <w:pStyle w:val="ListParagraph"/>
        <w:numPr>
          <w:ilvl w:val="0"/>
          <w:numId w:val="5"/>
        </w:numPr>
        <w:spacing w:after="0"/>
        <w:ind w:left="284"/>
        <w:jc w:val="both"/>
        <w:rPr>
          <w:rFonts w:ascii="Times New Roman" w:hAnsi="Times New Roman"/>
          <w:b/>
          <w:i/>
          <w:sz w:val="24"/>
          <w:szCs w:val="24"/>
        </w:rPr>
      </w:pPr>
      <w:r>
        <w:rPr>
          <w:rFonts w:ascii="Times New Roman" w:hAnsi="Times New Roman"/>
          <w:b/>
          <w:i/>
          <w:sz w:val="24"/>
          <w:szCs w:val="24"/>
        </w:rPr>
        <w:t>Non-reconciliation of cash-local treasury account balances between the records of City Accounting Office (CAO) and City Treasurer’s Office (CTO) resulted in a variance totaling P1,045,840.36.</w:t>
      </w:r>
    </w:p>
    <w:p>
      <w:pPr>
        <w:pStyle w:val="ListParagraph"/>
        <w:spacing w:after="0"/>
        <w:ind w:left="360"/>
        <w:jc w:val="both"/>
        <w:rPr>
          <w:rFonts w:ascii="Times New Roman" w:hAnsi="Times New Roman"/>
          <w:b/>
          <w:i/>
          <w:sz w:val="24"/>
          <w:szCs w:val="24"/>
        </w:rPr>
      </w:pPr>
    </w:p>
    <w:p>
      <w:pPr>
        <w:spacing w:line="276" w:lineRule="auto"/>
        <w:jc w:val="both"/>
      </w:pPr>
      <w:r>
        <w:t>Section 74 of PD No. 1445 provides:</w:t>
      </w:r>
    </w:p>
    <w:p>
      <w:pPr>
        <w:spacing w:line="276" w:lineRule="auto"/>
        <w:jc w:val="both"/>
      </w:pPr>
    </w:p>
    <w:p>
      <w:pPr>
        <w:spacing w:line="276" w:lineRule="auto"/>
        <w:ind w:left="720" w:right="702" w:hanging="11"/>
        <w:jc w:val="both"/>
        <w:rPr>
          <w:rFonts w:eastAsiaTheme="minorHAnsi"/>
          <w:bCs/>
          <w:color w:val="000000" w:themeColor="text1"/>
        </w:rPr>
      </w:pPr>
      <w:r>
        <w:rPr>
          <w:rFonts w:eastAsiaTheme="minorHAnsi"/>
          <w:bCs/>
          <w:color w:val="000000" w:themeColor="text1"/>
        </w:rPr>
        <w:t>Monthly reports of depositories to agency head. At the close of each month, depositories shall report to the agency head, in such form as he may direct, the condition of the agency account standing on their books. The head of the agency shall see to it that a reconciliation is made between the balance shown in the reports and the balance found in the books of the agency.</w:t>
      </w:r>
      <w:r>
        <w:rPr>
          <w:rFonts w:eastAsiaTheme="minorHAnsi"/>
          <w:bCs/>
          <w:color w:val="000000" w:themeColor="text1"/>
        </w:rPr>
        <w:cr/>
      </w:r>
    </w:p>
    <w:p>
      <w:pPr>
        <w:pStyle w:val="NoSpacing"/>
        <w:spacing w:line="276" w:lineRule="auto"/>
        <w:jc w:val="both"/>
        <w:rPr>
          <w:rFonts w:ascii="Times New Roman" w:hAnsi="Times New Roman"/>
          <w:sz w:val="24"/>
          <w:szCs w:val="24"/>
        </w:rPr>
      </w:pPr>
      <w:r>
        <w:rPr>
          <w:rFonts w:ascii="Times New Roman" w:hAnsi="Times New Roman"/>
          <w:sz w:val="24"/>
          <w:szCs w:val="24"/>
        </w:rPr>
        <w:lastRenderedPageBreak/>
        <w:t xml:space="preserve">A comparison of the balances per General Ledger (GL) and records of the City Treasurer for various funds of the City Government of </w:t>
      </w:r>
      <w:proofErr w:type="spellStart"/>
      <w:r>
        <w:rPr>
          <w:rFonts w:ascii="Times New Roman" w:hAnsi="Times New Roman"/>
          <w:sz w:val="24"/>
          <w:szCs w:val="24"/>
        </w:rPr>
        <w:t>Panabo</w:t>
      </w:r>
      <w:proofErr w:type="spellEnd"/>
      <w:r>
        <w:rPr>
          <w:rFonts w:ascii="Times New Roman" w:hAnsi="Times New Roman"/>
          <w:sz w:val="24"/>
          <w:szCs w:val="24"/>
        </w:rPr>
        <w:t xml:space="preserve"> as at December 31, 2022 are presented in Table 1.4.</w:t>
      </w:r>
    </w:p>
    <w:p>
      <w:pPr>
        <w:pStyle w:val="NoSpacing"/>
        <w:spacing w:line="276" w:lineRule="auto"/>
        <w:jc w:val="both"/>
        <w:rPr>
          <w:rFonts w:ascii="Times New Roman" w:hAnsi="Times New Roman"/>
          <w:sz w:val="24"/>
          <w:szCs w:val="24"/>
        </w:rPr>
      </w:pPr>
    </w:p>
    <w:p>
      <w:pPr>
        <w:pStyle w:val="NoSpacing"/>
        <w:spacing w:line="276" w:lineRule="auto"/>
        <w:jc w:val="both"/>
        <w:rPr>
          <w:rFonts w:ascii="Times New Roman" w:hAnsi="Times New Roman"/>
          <w:i/>
          <w:sz w:val="24"/>
          <w:szCs w:val="24"/>
        </w:rPr>
      </w:pPr>
      <w:r>
        <w:rPr>
          <w:rFonts w:ascii="Times New Roman" w:hAnsi="Times New Roman"/>
          <w:i/>
          <w:sz w:val="24"/>
          <w:szCs w:val="24"/>
        </w:rPr>
        <w:t>Table 1.4. Comparison of Cash – Local Treasury balance between CAO’s and CTO’s records</w:t>
      </w:r>
    </w:p>
    <w:tbl>
      <w:tblPr>
        <w:tblStyle w:val="TableGrid"/>
        <w:tblW w:w="0" w:type="auto"/>
        <w:jc w:val="center"/>
        <w:tblLook w:val="04A0" w:firstRow="1" w:lastRow="0" w:firstColumn="1" w:lastColumn="0" w:noHBand="0" w:noVBand="1"/>
      </w:tblPr>
      <w:tblGrid>
        <w:gridCol w:w="2771"/>
        <w:gridCol w:w="2199"/>
        <w:gridCol w:w="2131"/>
        <w:gridCol w:w="1755"/>
      </w:tblGrid>
      <w:tr>
        <w:trPr>
          <w:trHeight w:val="20"/>
          <w:tblHeader/>
          <w:jc w:val="center"/>
        </w:trPr>
        <w:tc>
          <w:tcPr>
            <w:tcW w:w="3022" w:type="dxa"/>
            <w:vAlign w:val="center"/>
          </w:tcPr>
          <w:p>
            <w:pPr>
              <w:pStyle w:val="NoSpacing"/>
              <w:spacing w:line="276" w:lineRule="auto"/>
              <w:jc w:val="center"/>
              <w:rPr>
                <w:rFonts w:ascii="Times New Roman" w:hAnsi="Times New Roman"/>
                <w:b/>
              </w:rPr>
            </w:pPr>
            <w:r>
              <w:rPr>
                <w:rFonts w:ascii="Times New Roman" w:hAnsi="Times New Roman"/>
                <w:b/>
              </w:rPr>
              <w:t>FUNDS</w:t>
            </w:r>
          </w:p>
        </w:tc>
        <w:tc>
          <w:tcPr>
            <w:tcW w:w="2296" w:type="dxa"/>
            <w:vAlign w:val="center"/>
          </w:tcPr>
          <w:p>
            <w:pPr>
              <w:pStyle w:val="NoSpacing"/>
              <w:spacing w:line="276" w:lineRule="auto"/>
              <w:jc w:val="center"/>
              <w:rPr>
                <w:rFonts w:ascii="Times New Roman" w:hAnsi="Times New Roman"/>
                <w:b/>
              </w:rPr>
            </w:pPr>
            <w:r>
              <w:rPr>
                <w:rFonts w:ascii="Times New Roman" w:hAnsi="Times New Roman"/>
                <w:b/>
              </w:rPr>
              <w:t>City Accounting Office</w:t>
            </w:r>
          </w:p>
        </w:tc>
        <w:tc>
          <w:tcPr>
            <w:tcW w:w="2235" w:type="dxa"/>
            <w:vAlign w:val="center"/>
          </w:tcPr>
          <w:p>
            <w:pPr>
              <w:pStyle w:val="NoSpacing"/>
              <w:spacing w:line="276" w:lineRule="auto"/>
              <w:jc w:val="center"/>
              <w:rPr>
                <w:rFonts w:ascii="Times New Roman" w:hAnsi="Times New Roman"/>
                <w:b/>
              </w:rPr>
            </w:pPr>
            <w:r>
              <w:rPr>
                <w:rFonts w:ascii="Times New Roman" w:hAnsi="Times New Roman"/>
                <w:b/>
              </w:rPr>
              <w:t>City Treasurer’s Office</w:t>
            </w:r>
          </w:p>
        </w:tc>
        <w:tc>
          <w:tcPr>
            <w:tcW w:w="1797" w:type="dxa"/>
            <w:vAlign w:val="center"/>
          </w:tcPr>
          <w:p>
            <w:pPr>
              <w:pStyle w:val="NoSpacing"/>
              <w:spacing w:line="276" w:lineRule="auto"/>
              <w:jc w:val="center"/>
              <w:rPr>
                <w:rFonts w:ascii="Times New Roman" w:hAnsi="Times New Roman"/>
                <w:b/>
              </w:rPr>
            </w:pPr>
            <w:r>
              <w:rPr>
                <w:rFonts w:ascii="Times New Roman" w:hAnsi="Times New Roman"/>
                <w:b/>
              </w:rPr>
              <w:t>VARIANCE</w:t>
            </w:r>
          </w:p>
        </w:tc>
      </w:tr>
      <w:tr>
        <w:trPr>
          <w:trHeight w:val="20"/>
          <w:jc w:val="center"/>
        </w:trPr>
        <w:tc>
          <w:tcPr>
            <w:tcW w:w="3022" w:type="dxa"/>
          </w:tcPr>
          <w:p>
            <w:pPr>
              <w:pStyle w:val="NoSpacing"/>
              <w:spacing w:line="276" w:lineRule="auto"/>
              <w:rPr>
                <w:rFonts w:ascii="Times New Roman" w:hAnsi="Times New Roman"/>
              </w:rPr>
            </w:pPr>
            <w:r>
              <w:rPr>
                <w:rFonts w:ascii="Times New Roman" w:hAnsi="Times New Roman"/>
              </w:rPr>
              <w:t>General Fund – Proper</w:t>
            </w:r>
          </w:p>
        </w:tc>
        <w:tc>
          <w:tcPr>
            <w:tcW w:w="2296" w:type="dxa"/>
          </w:tcPr>
          <w:p>
            <w:pPr>
              <w:pStyle w:val="NoSpacing"/>
              <w:spacing w:line="276" w:lineRule="auto"/>
              <w:jc w:val="right"/>
              <w:rPr>
                <w:rFonts w:ascii="Times New Roman" w:hAnsi="Times New Roman"/>
              </w:rPr>
            </w:pPr>
            <w:r>
              <w:rPr>
                <w:rFonts w:ascii="Times New Roman" w:hAnsi="Times New Roman"/>
              </w:rPr>
              <w:t>P7,999,681.15</w:t>
            </w:r>
          </w:p>
        </w:tc>
        <w:tc>
          <w:tcPr>
            <w:tcW w:w="2235" w:type="dxa"/>
          </w:tcPr>
          <w:p>
            <w:pPr>
              <w:pStyle w:val="NoSpacing"/>
              <w:spacing w:line="276" w:lineRule="auto"/>
              <w:jc w:val="right"/>
              <w:rPr>
                <w:rFonts w:ascii="Times New Roman" w:hAnsi="Times New Roman"/>
              </w:rPr>
            </w:pPr>
            <w:r>
              <w:rPr>
                <w:rFonts w:ascii="Times New Roman" w:hAnsi="Times New Roman"/>
              </w:rPr>
              <w:t>P7,544,898.24</w:t>
            </w:r>
          </w:p>
        </w:tc>
        <w:tc>
          <w:tcPr>
            <w:tcW w:w="1797" w:type="dxa"/>
          </w:tcPr>
          <w:p>
            <w:pPr>
              <w:pStyle w:val="NoSpacing"/>
              <w:spacing w:line="276" w:lineRule="auto"/>
              <w:jc w:val="right"/>
              <w:rPr>
                <w:rFonts w:ascii="Times New Roman" w:hAnsi="Times New Roman"/>
              </w:rPr>
            </w:pPr>
            <w:r>
              <w:rPr>
                <w:rFonts w:ascii="Times New Roman" w:hAnsi="Times New Roman"/>
              </w:rPr>
              <w:t>P454,782.91</w:t>
            </w:r>
          </w:p>
        </w:tc>
      </w:tr>
      <w:tr>
        <w:trPr>
          <w:trHeight w:val="20"/>
          <w:jc w:val="center"/>
        </w:trPr>
        <w:tc>
          <w:tcPr>
            <w:tcW w:w="3022" w:type="dxa"/>
          </w:tcPr>
          <w:p>
            <w:pPr>
              <w:pStyle w:val="NoSpacing"/>
              <w:spacing w:line="276" w:lineRule="auto"/>
              <w:rPr>
                <w:rFonts w:ascii="Times New Roman" w:hAnsi="Times New Roman"/>
              </w:rPr>
            </w:pPr>
            <w:r>
              <w:rPr>
                <w:rFonts w:ascii="Times New Roman" w:hAnsi="Times New Roman"/>
              </w:rPr>
              <w:t>Market Operations</w:t>
            </w:r>
          </w:p>
        </w:tc>
        <w:tc>
          <w:tcPr>
            <w:tcW w:w="2296" w:type="dxa"/>
          </w:tcPr>
          <w:p>
            <w:pPr>
              <w:pStyle w:val="NoSpacing"/>
              <w:spacing w:line="276" w:lineRule="auto"/>
              <w:jc w:val="right"/>
              <w:rPr>
                <w:rFonts w:ascii="Times New Roman" w:hAnsi="Times New Roman"/>
              </w:rPr>
            </w:pPr>
            <w:r>
              <w:rPr>
                <w:rFonts w:ascii="Times New Roman" w:hAnsi="Times New Roman"/>
              </w:rPr>
              <w:t>360,063.06</w:t>
            </w:r>
          </w:p>
        </w:tc>
        <w:tc>
          <w:tcPr>
            <w:tcW w:w="2235" w:type="dxa"/>
          </w:tcPr>
          <w:p>
            <w:pPr>
              <w:pStyle w:val="NoSpacing"/>
              <w:spacing w:line="276" w:lineRule="auto"/>
              <w:jc w:val="right"/>
              <w:rPr>
                <w:rFonts w:ascii="Times New Roman" w:hAnsi="Times New Roman"/>
              </w:rPr>
            </w:pPr>
            <w:r>
              <w:rPr>
                <w:rFonts w:ascii="Times New Roman" w:hAnsi="Times New Roman"/>
              </w:rPr>
              <w:t>513,678.60</w:t>
            </w:r>
          </w:p>
        </w:tc>
        <w:tc>
          <w:tcPr>
            <w:tcW w:w="1797" w:type="dxa"/>
          </w:tcPr>
          <w:p>
            <w:pPr>
              <w:pStyle w:val="NoSpacing"/>
              <w:spacing w:line="276" w:lineRule="auto"/>
              <w:jc w:val="right"/>
              <w:rPr>
                <w:rFonts w:ascii="Times New Roman" w:hAnsi="Times New Roman"/>
              </w:rPr>
            </w:pPr>
            <w:r>
              <w:rPr>
                <w:rFonts w:ascii="Times New Roman" w:hAnsi="Times New Roman"/>
              </w:rPr>
              <w:t>153,615.54</w:t>
            </w:r>
          </w:p>
        </w:tc>
      </w:tr>
      <w:tr>
        <w:trPr>
          <w:trHeight w:val="20"/>
          <w:jc w:val="center"/>
        </w:trPr>
        <w:tc>
          <w:tcPr>
            <w:tcW w:w="3022" w:type="dxa"/>
          </w:tcPr>
          <w:p>
            <w:pPr>
              <w:pStyle w:val="NoSpacing"/>
              <w:spacing w:line="276" w:lineRule="auto"/>
              <w:rPr>
                <w:rFonts w:ascii="Times New Roman" w:hAnsi="Times New Roman"/>
              </w:rPr>
            </w:pPr>
            <w:r>
              <w:rPr>
                <w:rFonts w:ascii="Times New Roman" w:hAnsi="Times New Roman"/>
              </w:rPr>
              <w:t>Slaughter Operations</w:t>
            </w:r>
          </w:p>
        </w:tc>
        <w:tc>
          <w:tcPr>
            <w:tcW w:w="2296" w:type="dxa"/>
          </w:tcPr>
          <w:p>
            <w:pPr>
              <w:pStyle w:val="NoSpacing"/>
              <w:spacing w:line="276" w:lineRule="auto"/>
              <w:jc w:val="right"/>
              <w:rPr>
                <w:rFonts w:ascii="Times New Roman" w:hAnsi="Times New Roman"/>
              </w:rPr>
            </w:pPr>
            <w:r>
              <w:rPr>
                <w:rFonts w:ascii="Times New Roman" w:hAnsi="Times New Roman"/>
              </w:rPr>
              <w:t>24,288.00</w:t>
            </w:r>
          </w:p>
        </w:tc>
        <w:tc>
          <w:tcPr>
            <w:tcW w:w="2235" w:type="dxa"/>
          </w:tcPr>
          <w:p>
            <w:pPr>
              <w:pStyle w:val="NoSpacing"/>
              <w:spacing w:line="276" w:lineRule="auto"/>
              <w:jc w:val="right"/>
              <w:rPr>
                <w:rFonts w:ascii="Times New Roman" w:hAnsi="Times New Roman"/>
              </w:rPr>
            </w:pPr>
            <w:r>
              <w:rPr>
                <w:rFonts w:ascii="Times New Roman" w:hAnsi="Times New Roman"/>
              </w:rPr>
              <w:t>18,242.00</w:t>
            </w:r>
          </w:p>
        </w:tc>
        <w:tc>
          <w:tcPr>
            <w:tcW w:w="1797" w:type="dxa"/>
          </w:tcPr>
          <w:p>
            <w:pPr>
              <w:pStyle w:val="NoSpacing"/>
              <w:spacing w:line="276" w:lineRule="auto"/>
              <w:jc w:val="right"/>
              <w:rPr>
                <w:rFonts w:ascii="Times New Roman" w:hAnsi="Times New Roman"/>
              </w:rPr>
            </w:pPr>
            <w:r>
              <w:rPr>
                <w:rFonts w:ascii="Times New Roman" w:hAnsi="Times New Roman"/>
              </w:rPr>
              <w:t>6,046.00</w:t>
            </w:r>
          </w:p>
        </w:tc>
      </w:tr>
      <w:tr>
        <w:trPr>
          <w:trHeight w:val="20"/>
          <w:jc w:val="center"/>
        </w:trPr>
        <w:tc>
          <w:tcPr>
            <w:tcW w:w="3022" w:type="dxa"/>
          </w:tcPr>
          <w:p>
            <w:pPr>
              <w:pStyle w:val="NoSpacing"/>
              <w:spacing w:line="276" w:lineRule="auto"/>
              <w:rPr>
                <w:rFonts w:ascii="Times New Roman" w:hAnsi="Times New Roman"/>
              </w:rPr>
            </w:pPr>
            <w:r>
              <w:rPr>
                <w:rFonts w:ascii="Times New Roman" w:hAnsi="Times New Roman"/>
              </w:rPr>
              <w:t>Terminal Operations</w:t>
            </w:r>
          </w:p>
        </w:tc>
        <w:tc>
          <w:tcPr>
            <w:tcW w:w="2296" w:type="dxa"/>
          </w:tcPr>
          <w:p>
            <w:pPr>
              <w:pStyle w:val="NoSpacing"/>
              <w:spacing w:line="276" w:lineRule="auto"/>
              <w:jc w:val="right"/>
              <w:rPr>
                <w:rFonts w:ascii="Times New Roman" w:hAnsi="Times New Roman"/>
              </w:rPr>
            </w:pPr>
            <w:r>
              <w:rPr>
                <w:rFonts w:ascii="Times New Roman" w:hAnsi="Times New Roman"/>
              </w:rPr>
              <w:t>245,675.44</w:t>
            </w:r>
          </w:p>
        </w:tc>
        <w:tc>
          <w:tcPr>
            <w:tcW w:w="2235" w:type="dxa"/>
          </w:tcPr>
          <w:p>
            <w:pPr>
              <w:pStyle w:val="NoSpacing"/>
              <w:spacing w:line="276" w:lineRule="auto"/>
              <w:jc w:val="right"/>
              <w:rPr>
                <w:rFonts w:ascii="Times New Roman" w:hAnsi="Times New Roman"/>
              </w:rPr>
            </w:pPr>
            <w:r>
              <w:rPr>
                <w:rFonts w:ascii="Times New Roman" w:hAnsi="Times New Roman"/>
              </w:rPr>
              <w:t>86,222.35</w:t>
            </w:r>
          </w:p>
        </w:tc>
        <w:tc>
          <w:tcPr>
            <w:tcW w:w="1797" w:type="dxa"/>
          </w:tcPr>
          <w:p>
            <w:pPr>
              <w:pStyle w:val="NoSpacing"/>
              <w:spacing w:line="276" w:lineRule="auto"/>
              <w:jc w:val="right"/>
              <w:rPr>
                <w:rFonts w:ascii="Times New Roman" w:hAnsi="Times New Roman"/>
              </w:rPr>
            </w:pPr>
            <w:r>
              <w:rPr>
                <w:rFonts w:ascii="Times New Roman" w:hAnsi="Times New Roman"/>
              </w:rPr>
              <w:t>159,453.09</w:t>
            </w:r>
          </w:p>
        </w:tc>
      </w:tr>
      <w:tr>
        <w:trPr>
          <w:trHeight w:val="20"/>
          <w:jc w:val="center"/>
        </w:trPr>
        <w:tc>
          <w:tcPr>
            <w:tcW w:w="3022" w:type="dxa"/>
          </w:tcPr>
          <w:p>
            <w:pPr>
              <w:pStyle w:val="NoSpacing"/>
              <w:spacing w:line="276" w:lineRule="auto"/>
              <w:rPr>
                <w:rFonts w:ascii="Times New Roman" w:hAnsi="Times New Roman"/>
              </w:rPr>
            </w:pPr>
            <w:r>
              <w:rPr>
                <w:rFonts w:ascii="Times New Roman" w:hAnsi="Times New Roman"/>
              </w:rPr>
              <w:t>Cemetery Operations</w:t>
            </w:r>
          </w:p>
        </w:tc>
        <w:tc>
          <w:tcPr>
            <w:tcW w:w="2296" w:type="dxa"/>
          </w:tcPr>
          <w:p>
            <w:pPr>
              <w:pStyle w:val="NoSpacing"/>
              <w:spacing w:line="276" w:lineRule="auto"/>
              <w:jc w:val="right"/>
              <w:rPr>
                <w:rFonts w:ascii="Times New Roman" w:hAnsi="Times New Roman"/>
              </w:rPr>
            </w:pPr>
            <w:r>
              <w:rPr>
                <w:rFonts w:ascii="Times New Roman" w:hAnsi="Times New Roman"/>
              </w:rPr>
              <w:t>102,437.07</w:t>
            </w:r>
          </w:p>
        </w:tc>
        <w:tc>
          <w:tcPr>
            <w:tcW w:w="2235" w:type="dxa"/>
          </w:tcPr>
          <w:p>
            <w:pPr>
              <w:pStyle w:val="NoSpacing"/>
              <w:spacing w:line="276" w:lineRule="auto"/>
              <w:jc w:val="right"/>
              <w:rPr>
                <w:rFonts w:ascii="Times New Roman" w:hAnsi="Times New Roman"/>
              </w:rPr>
            </w:pPr>
            <w:r>
              <w:rPr>
                <w:rFonts w:ascii="Times New Roman" w:hAnsi="Times New Roman"/>
              </w:rPr>
              <w:t>31,285.50</w:t>
            </w:r>
          </w:p>
        </w:tc>
        <w:tc>
          <w:tcPr>
            <w:tcW w:w="1797" w:type="dxa"/>
          </w:tcPr>
          <w:p>
            <w:pPr>
              <w:pStyle w:val="NoSpacing"/>
              <w:spacing w:line="276" w:lineRule="auto"/>
              <w:jc w:val="right"/>
              <w:rPr>
                <w:rFonts w:ascii="Times New Roman" w:hAnsi="Times New Roman"/>
              </w:rPr>
            </w:pPr>
            <w:r>
              <w:rPr>
                <w:rFonts w:ascii="Times New Roman" w:hAnsi="Times New Roman"/>
              </w:rPr>
              <w:t>71,151.57</w:t>
            </w:r>
          </w:p>
        </w:tc>
      </w:tr>
      <w:tr>
        <w:trPr>
          <w:trHeight w:val="20"/>
          <w:jc w:val="center"/>
        </w:trPr>
        <w:tc>
          <w:tcPr>
            <w:tcW w:w="3022" w:type="dxa"/>
          </w:tcPr>
          <w:p>
            <w:pPr>
              <w:pStyle w:val="NoSpacing"/>
              <w:spacing w:line="276" w:lineRule="auto"/>
              <w:rPr>
                <w:rFonts w:ascii="Times New Roman" w:hAnsi="Times New Roman"/>
              </w:rPr>
            </w:pPr>
            <w:r>
              <w:rPr>
                <w:rFonts w:ascii="Times New Roman" w:hAnsi="Times New Roman"/>
              </w:rPr>
              <w:t>Special Educational Fund</w:t>
            </w:r>
          </w:p>
        </w:tc>
        <w:tc>
          <w:tcPr>
            <w:tcW w:w="2296" w:type="dxa"/>
          </w:tcPr>
          <w:p>
            <w:pPr>
              <w:pStyle w:val="NoSpacing"/>
              <w:spacing w:line="276" w:lineRule="auto"/>
              <w:jc w:val="right"/>
              <w:rPr>
                <w:rFonts w:ascii="Times New Roman" w:hAnsi="Times New Roman"/>
              </w:rPr>
            </w:pPr>
            <w:r>
              <w:rPr>
                <w:rFonts w:ascii="Times New Roman" w:hAnsi="Times New Roman"/>
              </w:rPr>
              <w:t>1,441,154.61</w:t>
            </w:r>
          </w:p>
        </w:tc>
        <w:tc>
          <w:tcPr>
            <w:tcW w:w="2235" w:type="dxa"/>
          </w:tcPr>
          <w:p>
            <w:pPr>
              <w:pStyle w:val="NoSpacing"/>
              <w:spacing w:line="276" w:lineRule="auto"/>
              <w:jc w:val="right"/>
              <w:rPr>
                <w:rFonts w:ascii="Times New Roman" w:hAnsi="Times New Roman"/>
              </w:rPr>
            </w:pPr>
            <w:r>
              <w:rPr>
                <w:rFonts w:ascii="Times New Roman" w:hAnsi="Times New Roman"/>
              </w:rPr>
              <w:t>1,240,363.36</w:t>
            </w:r>
          </w:p>
        </w:tc>
        <w:tc>
          <w:tcPr>
            <w:tcW w:w="1797" w:type="dxa"/>
          </w:tcPr>
          <w:p>
            <w:pPr>
              <w:pStyle w:val="NoSpacing"/>
              <w:spacing w:line="276" w:lineRule="auto"/>
              <w:jc w:val="right"/>
              <w:rPr>
                <w:rFonts w:ascii="Times New Roman" w:hAnsi="Times New Roman"/>
              </w:rPr>
            </w:pPr>
            <w:r>
              <w:rPr>
                <w:rFonts w:ascii="Times New Roman" w:hAnsi="Times New Roman"/>
              </w:rPr>
              <w:t>200,791.25</w:t>
            </w:r>
          </w:p>
        </w:tc>
      </w:tr>
      <w:tr>
        <w:trPr>
          <w:trHeight w:val="20"/>
          <w:jc w:val="center"/>
        </w:trPr>
        <w:tc>
          <w:tcPr>
            <w:tcW w:w="3022" w:type="dxa"/>
          </w:tcPr>
          <w:p>
            <w:pPr>
              <w:pStyle w:val="NoSpacing"/>
              <w:spacing w:line="276" w:lineRule="auto"/>
              <w:rPr>
                <w:rFonts w:ascii="Times New Roman" w:hAnsi="Times New Roman"/>
                <w:b/>
              </w:rPr>
            </w:pPr>
            <w:r>
              <w:rPr>
                <w:rFonts w:ascii="Times New Roman" w:hAnsi="Times New Roman"/>
                <w:b/>
              </w:rPr>
              <w:t>TOTAL</w:t>
            </w:r>
          </w:p>
        </w:tc>
        <w:tc>
          <w:tcPr>
            <w:tcW w:w="2296" w:type="dxa"/>
          </w:tcPr>
          <w:p>
            <w:pPr>
              <w:pStyle w:val="NoSpacing"/>
              <w:spacing w:line="276" w:lineRule="auto"/>
              <w:jc w:val="right"/>
              <w:rPr>
                <w:rFonts w:ascii="Times New Roman" w:hAnsi="Times New Roman"/>
                <w:b/>
              </w:rPr>
            </w:pPr>
            <w:r>
              <w:rPr>
                <w:rFonts w:ascii="Times New Roman" w:hAnsi="Times New Roman"/>
                <w:b/>
              </w:rPr>
              <w:t>P10,173,299.33</w:t>
            </w:r>
          </w:p>
        </w:tc>
        <w:tc>
          <w:tcPr>
            <w:tcW w:w="2235" w:type="dxa"/>
          </w:tcPr>
          <w:p>
            <w:pPr>
              <w:pStyle w:val="NoSpacing"/>
              <w:spacing w:line="276" w:lineRule="auto"/>
              <w:jc w:val="right"/>
              <w:rPr>
                <w:rFonts w:ascii="Times New Roman" w:hAnsi="Times New Roman"/>
                <w:b/>
              </w:rPr>
            </w:pPr>
            <w:r>
              <w:rPr>
                <w:rFonts w:ascii="Times New Roman" w:hAnsi="Times New Roman"/>
                <w:b/>
              </w:rPr>
              <w:t>P9,434,690.05</w:t>
            </w:r>
          </w:p>
        </w:tc>
        <w:tc>
          <w:tcPr>
            <w:tcW w:w="1797" w:type="dxa"/>
          </w:tcPr>
          <w:p>
            <w:pPr>
              <w:pStyle w:val="NoSpacing"/>
              <w:spacing w:line="276" w:lineRule="auto"/>
              <w:jc w:val="right"/>
              <w:rPr>
                <w:rFonts w:ascii="Times New Roman" w:hAnsi="Times New Roman"/>
                <w:b/>
              </w:rPr>
            </w:pPr>
            <w:r>
              <w:rPr>
                <w:rFonts w:ascii="Times New Roman" w:hAnsi="Times New Roman"/>
                <w:b/>
              </w:rPr>
              <w:t>P1,045,840.36</w:t>
            </w:r>
          </w:p>
        </w:tc>
      </w:tr>
    </w:tbl>
    <w:p>
      <w:pPr>
        <w:pStyle w:val="NoSpacing"/>
        <w:spacing w:line="276" w:lineRule="auto"/>
        <w:jc w:val="both"/>
        <w:rPr>
          <w:rFonts w:ascii="Times New Roman" w:hAnsi="Times New Roman"/>
          <w:i/>
          <w:sz w:val="24"/>
          <w:szCs w:val="24"/>
        </w:rPr>
      </w:pPr>
    </w:p>
    <w:p>
      <w:pPr>
        <w:pStyle w:val="NoSpacing"/>
        <w:spacing w:line="276" w:lineRule="auto"/>
        <w:jc w:val="both"/>
        <w:rPr>
          <w:rFonts w:ascii="Times New Roman" w:hAnsi="Times New Roman"/>
          <w:sz w:val="24"/>
          <w:szCs w:val="24"/>
        </w:rPr>
      </w:pPr>
      <w:r>
        <w:rPr>
          <w:rFonts w:ascii="Times New Roman" w:hAnsi="Times New Roman"/>
          <w:sz w:val="24"/>
          <w:szCs w:val="24"/>
        </w:rPr>
        <w:t>The records of the CAO and CTO have a variance of P1,045,840.36, which is 10.28% of the total amount of Cash – Local Treasury. Inquiry to the personnel-in-charge in the CAO revealed that the variance was firstly incurred way back 2013 and 2014, and the personnel-in-charge in that particular year did not regularly reconcile with the CTO.</w:t>
      </w:r>
    </w:p>
    <w:p>
      <w:pPr>
        <w:pStyle w:val="NoSpacing"/>
        <w:spacing w:line="276" w:lineRule="auto"/>
        <w:jc w:val="both"/>
        <w:rPr>
          <w:rFonts w:ascii="Times New Roman" w:hAnsi="Times New Roman"/>
          <w:sz w:val="24"/>
          <w:szCs w:val="24"/>
        </w:rPr>
      </w:pPr>
    </w:p>
    <w:p>
      <w:pPr>
        <w:pStyle w:val="NoSpacing"/>
        <w:spacing w:line="276" w:lineRule="auto"/>
        <w:jc w:val="both"/>
        <w:rPr>
          <w:rFonts w:ascii="Times New Roman" w:hAnsi="Times New Roman"/>
          <w:i/>
          <w:sz w:val="24"/>
          <w:szCs w:val="24"/>
        </w:rPr>
      </w:pPr>
      <w:r>
        <w:rPr>
          <w:rFonts w:ascii="Times New Roman" w:hAnsi="Times New Roman"/>
          <w:sz w:val="24"/>
          <w:szCs w:val="24"/>
        </w:rPr>
        <w:t>Reconciliation between records is vital and is an internal control procedure which aimed at ascertaining the reliability of the account balances. The non-reconciliation between the accounting and treasury records resulted to unreliable recorded balance of Cash – Local Treasury in the Financial Statement of the City as at December 31, 2022.</w:t>
      </w:r>
    </w:p>
    <w:p>
      <w:pPr>
        <w:spacing w:line="276" w:lineRule="auto"/>
        <w:jc w:val="both"/>
        <w:rPr>
          <w:rFonts w:eastAsia="Calibri"/>
        </w:rPr>
      </w:pPr>
    </w:p>
    <w:p>
      <w:pPr>
        <w:pStyle w:val="ListParagraph"/>
        <w:numPr>
          <w:ilvl w:val="0"/>
          <w:numId w:val="5"/>
        </w:numPr>
        <w:spacing w:after="0"/>
        <w:ind w:left="360"/>
        <w:jc w:val="both"/>
        <w:rPr>
          <w:rFonts w:ascii="Times New Roman" w:hAnsi="Times New Roman"/>
          <w:b/>
          <w:i/>
          <w:sz w:val="24"/>
          <w:szCs w:val="24"/>
        </w:rPr>
      </w:pPr>
      <w:r>
        <w:rPr>
          <w:rFonts w:ascii="Times New Roman" w:hAnsi="Times New Roman"/>
          <w:b/>
          <w:i/>
          <w:sz w:val="24"/>
          <w:szCs w:val="24"/>
        </w:rPr>
        <w:t>Non-existence of bank account with recorded cash in bank balance amounting to P33,180.73</w:t>
      </w:r>
    </w:p>
    <w:p>
      <w:pPr>
        <w:spacing w:line="276" w:lineRule="auto"/>
        <w:ind w:left="66" w:right="-86"/>
        <w:jc w:val="both"/>
      </w:pPr>
    </w:p>
    <w:p>
      <w:pPr>
        <w:spacing w:line="276" w:lineRule="auto"/>
        <w:ind w:right="-29"/>
        <w:jc w:val="both"/>
      </w:pPr>
      <w:r>
        <w:t>This audit observation has been included in the Annual Audit Report for CY2014, however, no adjustments have been made as of date, thus, this reiteration.</w:t>
      </w:r>
    </w:p>
    <w:p>
      <w:pPr>
        <w:spacing w:line="276" w:lineRule="auto"/>
        <w:ind w:right="-86"/>
        <w:jc w:val="both"/>
      </w:pPr>
    </w:p>
    <w:p>
      <w:pPr>
        <w:spacing w:line="276" w:lineRule="auto"/>
        <w:ind w:right="-86"/>
        <w:jc w:val="both"/>
      </w:pPr>
      <w:r>
        <w:t>The non-existing bank account pertains to Savings Deposit Account No. 2057084 under One Network Bank (ONB) with balance amounting to P33,180.73. The latest transaction recorded for this account was made in 2008 for the payment of bank charges for dormant account and since that period, it has been dormant. According to the reply to the Confirmation Request made by COA to ONB on January 21, 2015, this account number can no longer be found in the bank’s system. The City Treasurer also stated that the documents for the said account were not turned-over to him upon his assumption to office. The City Accounting Office also stated that the Bank Reconciliation Statement is no longer prepared for this account since bank statements have not been received.</w:t>
      </w:r>
    </w:p>
    <w:p>
      <w:pPr>
        <w:spacing w:line="276" w:lineRule="auto"/>
        <w:ind w:right="-86"/>
        <w:jc w:val="both"/>
      </w:pPr>
      <w:r>
        <w:lastRenderedPageBreak/>
        <w:t>Based on the foregoing facts, there is no actual cash in bank for the recorded balance, thus, the need to adjust the balance of CIB-LCCA to reflect its correct amount. Further, the unavailability of information in the ONB’s system is likely due to the closure of the bank account due to dormancy. Thus, the accountable officer (during 2008 in which the last transaction was recorded) is liable for the penalties, charges and cash loss due the closure and dormancy of the bank account.</w:t>
      </w:r>
    </w:p>
    <w:p>
      <w:pPr>
        <w:spacing w:line="276" w:lineRule="auto"/>
        <w:ind w:right="-86"/>
        <w:jc w:val="both"/>
      </w:pPr>
    </w:p>
    <w:p>
      <w:pPr>
        <w:pStyle w:val="ListParagraph"/>
        <w:numPr>
          <w:ilvl w:val="0"/>
          <w:numId w:val="5"/>
        </w:numPr>
        <w:spacing w:after="0"/>
        <w:ind w:left="360"/>
        <w:jc w:val="both"/>
        <w:rPr>
          <w:rFonts w:ascii="Times New Roman" w:hAnsi="Times New Roman"/>
          <w:b/>
          <w:i/>
          <w:sz w:val="24"/>
          <w:szCs w:val="24"/>
        </w:rPr>
      </w:pPr>
      <w:r>
        <w:rPr>
          <w:rFonts w:ascii="Times New Roman" w:hAnsi="Times New Roman"/>
          <w:b/>
          <w:i/>
          <w:sz w:val="24"/>
          <w:szCs w:val="24"/>
        </w:rPr>
        <w:t>Cash balances totaling P6,880,556.93 under Trust Fund bank accounts which the specific purpose has already been implemented and/or has been dormant were not reverted back to General Fund</w:t>
      </w:r>
    </w:p>
    <w:p>
      <w:pPr>
        <w:autoSpaceDE w:val="0"/>
        <w:autoSpaceDN w:val="0"/>
        <w:adjustRightInd w:val="0"/>
        <w:spacing w:line="276" w:lineRule="auto"/>
        <w:jc w:val="both"/>
        <w:rPr>
          <w:i/>
        </w:rPr>
      </w:pPr>
    </w:p>
    <w:p>
      <w:pPr>
        <w:autoSpaceDE w:val="0"/>
        <w:autoSpaceDN w:val="0"/>
        <w:adjustRightInd w:val="0"/>
        <w:spacing w:line="276" w:lineRule="auto"/>
        <w:jc w:val="both"/>
        <w:rPr>
          <w:rFonts w:eastAsiaTheme="minorHAnsi"/>
          <w:bCs/>
          <w:color w:val="000000" w:themeColor="text1"/>
        </w:rPr>
      </w:pPr>
      <w:r>
        <w:rPr>
          <w:rFonts w:eastAsiaTheme="minorHAnsi"/>
          <w:bCs/>
          <w:color w:val="000000" w:themeColor="text1"/>
        </w:rPr>
        <w:t>Executive Order (EO) No. 431 dated May 30, 2005 directed the reversion of all dormant accounts, unnecessary special and trust funds to the general fund and for other purpose. Pursuant to the said EO, Joint Circular No. 4-2012 of the Permanent Committee of the Department of Finance, Department of Budget and Management, and the Commission on Audit defines “unnecessary special and trust fund” as:</w:t>
      </w:r>
    </w:p>
    <w:p>
      <w:pPr>
        <w:autoSpaceDE w:val="0"/>
        <w:autoSpaceDN w:val="0"/>
        <w:adjustRightInd w:val="0"/>
        <w:spacing w:line="276" w:lineRule="auto"/>
        <w:ind w:firstLine="720"/>
        <w:jc w:val="both"/>
        <w:rPr>
          <w:rFonts w:eastAsiaTheme="minorHAnsi"/>
          <w:bCs/>
          <w:color w:val="000000" w:themeColor="text1"/>
        </w:rPr>
      </w:pPr>
    </w:p>
    <w:p>
      <w:pPr>
        <w:spacing w:line="276" w:lineRule="auto"/>
        <w:ind w:left="720" w:right="702" w:hanging="11"/>
        <w:jc w:val="both"/>
        <w:rPr>
          <w:rFonts w:eastAsiaTheme="minorHAnsi"/>
          <w:bCs/>
          <w:color w:val="000000" w:themeColor="text1"/>
        </w:rPr>
      </w:pPr>
      <w:r>
        <w:rPr>
          <w:rFonts w:eastAsiaTheme="minorHAnsi"/>
          <w:bCs/>
          <w:color w:val="000000" w:themeColor="text1"/>
        </w:rPr>
        <w:t>…xxx…authorized special and trust funds maintained by government agencies with AGDBs but which are no longer necessary for the attainment of the purposes for which said funds were established i.e. specific projects/programs, the implementation of which have been completed or abandoned.</w:t>
      </w:r>
    </w:p>
    <w:p>
      <w:pPr>
        <w:spacing w:line="276" w:lineRule="auto"/>
        <w:jc w:val="both"/>
      </w:pPr>
    </w:p>
    <w:p>
      <w:pPr>
        <w:spacing w:line="276" w:lineRule="auto"/>
        <w:jc w:val="both"/>
      </w:pPr>
      <w:r>
        <w:t>Further, section 99 of PD No. 1445 provides the transfer of unexpended balances to the general fund, to wit:</w:t>
      </w:r>
    </w:p>
    <w:p>
      <w:pPr>
        <w:spacing w:line="276" w:lineRule="auto"/>
        <w:jc w:val="both"/>
      </w:pPr>
    </w:p>
    <w:p>
      <w:pPr>
        <w:tabs>
          <w:tab w:val="left" w:pos="7938"/>
        </w:tabs>
        <w:spacing w:line="276" w:lineRule="auto"/>
        <w:ind w:left="720" w:right="702" w:hanging="11"/>
        <w:jc w:val="both"/>
      </w:pPr>
      <w:r>
        <w:t>The Commission may transfer at any time, from moneys appropriated for a specific purpose, to the unappropriated general fund any surplus balance standing to the credit of any appropriation or fund when the officer having administrative control thereof certifies to the Commission that there is a surplus in excess of the requirements, or that the work or purpose for which the appropriation was made has been completed, indefinitely postponed or abandoned, and that there is no outstanding obligation to be paid therefrom.</w:t>
      </w:r>
    </w:p>
    <w:p>
      <w:pPr>
        <w:spacing w:line="276" w:lineRule="auto"/>
        <w:ind w:right="-86"/>
        <w:jc w:val="both"/>
      </w:pPr>
    </w:p>
    <w:p>
      <w:pPr>
        <w:autoSpaceDE w:val="0"/>
        <w:autoSpaceDN w:val="0"/>
        <w:adjustRightInd w:val="0"/>
        <w:spacing w:line="276" w:lineRule="auto"/>
        <w:jc w:val="both"/>
        <w:rPr>
          <w:rFonts w:eastAsiaTheme="minorHAnsi"/>
          <w:bCs/>
          <w:color w:val="000000" w:themeColor="text1"/>
        </w:rPr>
      </w:pPr>
      <w:r>
        <w:rPr>
          <w:rFonts w:eastAsiaTheme="minorHAnsi"/>
          <w:bCs/>
          <w:color w:val="000000" w:themeColor="text1"/>
        </w:rPr>
        <w:t>Review of the balances of Cash in Bank - LCCA account of various Trust Fund accounts revealed that as at December 31, 2022, a total of P6,880,556.93 remained recorded in the six (6) Trust Fund books of the City which the specific purpose has already been implemented and/or the account have become dormant. Details of the said funds are shown in Table 1.5.</w:t>
      </w:r>
    </w:p>
    <w:p>
      <w:pPr>
        <w:autoSpaceDE w:val="0"/>
        <w:autoSpaceDN w:val="0"/>
        <w:adjustRightInd w:val="0"/>
        <w:spacing w:line="276" w:lineRule="auto"/>
        <w:jc w:val="both"/>
        <w:rPr>
          <w:rFonts w:eastAsiaTheme="minorHAnsi"/>
          <w:bCs/>
          <w:color w:val="000000" w:themeColor="text1"/>
        </w:rPr>
      </w:pPr>
      <w:r>
        <w:rPr>
          <w:rFonts w:eastAsiaTheme="minorHAnsi"/>
          <w:bCs/>
          <w:i/>
          <w:color w:val="000000" w:themeColor="text1"/>
        </w:rPr>
        <w:lastRenderedPageBreak/>
        <w:t xml:space="preserve">  Table 1.5</w:t>
      </w:r>
      <w:r>
        <w:rPr>
          <w:rFonts w:eastAsiaTheme="minorHAnsi"/>
          <w:bCs/>
          <w:color w:val="000000" w:themeColor="text1"/>
        </w:rPr>
        <w:t xml:space="preserve">. </w:t>
      </w:r>
      <w:r>
        <w:rPr>
          <w:rFonts w:eastAsiaTheme="minorHAnsi"/>
          <w:bCs/>
          <w:i/>
          <w:color w:val="000000" w:themeColor="text1"/>
        </w:rPr>
        <w:t>List of Cash in Bank – LCCA with unused balances as at December 31, 2022</w:t>
      </w:r>
    </w:p>
    <w:tbl>
      <w:tblPr>
        <w:tblStyle w:val="TableGrid"/>
        <w:tblW w:w="0" w:type="auto"/>
        <w:jc w:val="center"/>
        <w:tblLook w:val="04A0" w:firstRow="1" w:lastRow="0" w:firstColumn="1" w:lastColumn="0" w:noHBand="0" w:noVBand="1"/>
      </w:tblPr>
      <w:tblGrid>
        <w:gridCol w:w="4815"/>
        <w:gridCol w:w="1956"/>
        <w:gridCol w:w="1672"/>
      </w:tblGrid>
      <w:tr>
        <w:trPr>
          <w:tblHeader/>
          <w:jc w:val="center"/>
        </w:trPr>
        <w:tc>
          <w:tcPr>
            <w:tcW w:w="4815" w:type="dxa"/>
          </w:tcPr>
          <w:p>
            <w:pPr>
              <w:tabs>
                <w:tab w:val="left" w:pos="315"/>
                <w:tab w:val="center" w:pos="2299"/>
              </w:tabs>
              <w:autoSpaceDE w:val="0"/>
              <w:autoSpaceDN w:val="0"/>
              <w:adjustRightInd w:val="0"/>
              <w:spacing w:line="276" w:lineRule="auto"/>
              <w:rPr>
                <w:rFonts w:eastAsiaTheme="minorHAnsi"/>
                <w:b/>
                <w:bCs/>
                <w:color w:val="000000" w:themeColor="text1"/>
                <w:sz w:val="22"/>
                <w:szCs w:val="22"/>
              </w:rPr>
            </w:pPr>
            <w:r>
              <w:rPr>
                <w:rFonts w:eastAsiaTheme="minorHAnsi"/>
                <w:b/>
                <w:bCs/>
                <w:color w:val="000000" w:themeColor="text1"/>
                <w:sz w:val="22"/>
                <w:szCs w:val="22"/>
              </w:rPr>
              <w:tab/>
            </w:r>
            <w:r>
              <w:rPr>
                <w:rFonts w:eastAsiaTheme="minorHAnsi"/>
                <w:b/>
                <w:bCs/>
                <w:color w:val="000000" w:themeColor="text1"/>
                <w:sz w:val="22"/>
                <w:szCs w:val="22"/>
              </w:rPr>
              <w:tab/>
              <w:t>Account Name</w:t>
            </w:r>
          </w:p>
        </w:tc>
        <w:tc>
          <w:tcPr>
            <w:tcW w:w="1956" w:type="dxa"/>
          </w:tcPr>
          <w:p>
            <w:pPr>
              <w:autoSpaceDE w:val="0"/>
              <w:autoSpaceDN w:val="0"/>
              <w:adjustRightInd w:val="0"/>
              <w:spacing w:line="276" w:lineRule="auto"/>
              <w:jc w:val="center"/>
              <w:rPr>
                <w:rFonts w:eastAsiaTheme="minorHAnsi"/>
                <w:b/>
                <w:bCs/>
                <w:color w:val="000000" w:themeColor="text1"/>
                <w:sz w:val="22"/>
                <w:szCs w:val="22"/>
              </w:rPr>
            </w:pPr>
            <w:r>
              <w:rPr>
                <w:rFonts w:eastAsiaTheme="minorHAnsi"/>
                <w:b/>
                <w:bCs/>
                <w:color w:val="000000" w:themeColor="text1"/>
                <w:sz w:val="22"/>
                <w:szCs w:val="22"/>
              </w:rPr>
              <w:t>Account No.</w:t>
            </w:r>
          </w:p>
        </w:tc>
        <w:tc>
          <w:tcPr>
            <w:tcW w:w="1672" w:type="dxa"/>
          </w:tcPr>
          <w:p>
            <w:pPr>
              <w:autoSpaceDE w:val="0"/>
              <w:autoSpaceDN w:val="0"/>
              <w:adjustRightInd w:val="0"/>
              <w:spacing w:line="276" w:lineRule="auto"/>
              <w:jc w:val="center"/>
              <w:rPr>
                <w:rFonts w:eastAsiaTheme="minorHAnsi"/>
                <w:b/>
                <w:bCs/>
                <w:color w:val="000000" w:themeColor="text1"/>
                <w:sz w:val="22"/>
                <w:szCs w:val="22"/>
              </w:rPr>
            </w:pPr>
            <w:r>
              <w:rPr>
                <w:rFonts w:eastAsiaTheme="minorHAnsi"/>
                <w:b/>
                <w:bCs/>
                <w:color w:val="000000" w:themeColor="text1"/>
                <w:sz w:val="22"/>
                <w:szCs w:val="22"/>
              </w:rPr>
              <w:t>Book Balance</w:t>
            </w:r>
          </w:p>
        </w:tc>
      </w:tr>
      <w:tr>
        <w:trPr>
          <w:jc w:val="center"/>
        </w:trPr>
        <w:tc>
          <w:tcPr>
            <w:tcW w:w="4815" w:type="dxa"/>
          </w:tcPr>
          <w:p>
            <w:pPr>
              <w:autoSpaceDE w:val="0"/>
              <w:autoSpaceDN w:val="0"/>
              <w:adjustRightInd w:val="0"/>
              <w:spacing w:line="276" w:lineRule="auto"/>
              <w:jc w:val="both"/>
              <w:rPr>
                <w:rFonts w:eastAsiaTheme="minorHAnsi"/>
                <w:bCs/>
                <w:color w:val="000000" w:themeColor="text1"/>
                <w:sz w:val="22"/>
                <w:szCs w:val="22"/>
              </w:rPr>
            </w:pPr>
            <w:r>
              <w:rPr>
                <w:rFonts w:eastAsiaTheme="minorHAnsi"/>
                <w:bCs/>
                <w:color w:val="000000" w:themeColor="text1"/>
                <w:sz w:val="22"/>
                <w:szCs w:val="22"/>
              </w:rPr>
              <w:t>MPC</w:t>
            </w:r>
          </w:p>
        </w:tc>
        <w:tc>
          <w:tcPr>
            <w:tcW w:w="1956" w:type="dxa"/>
          </w:tcPr>
          <w:p>
            <w:pPr>
              <w:autoSpaceDE w:val="0"/>
              <w:autoSpaceDN w:val="0"/>
              <w:adjustRightInd w:val="0"/>
              <w:spacing w:line="276" w:lineRule="auto"/>
              <w:jc w:val="center"/>
              <w:rPr>
                <w:rFonts w:eastAsiaTheme="minorHAnsi"/>
                <w:bCs/>
                <w:color w:val="000000" w:themeColor="text1"/>
                <w:sz w:val="22"/>
                <w:szCs w:val="22"/>
              </w:rPr>
            </w:pPr>
            <w:r>
              <w:rPr>
                <w:rFonts w:eastAsiaTheme="minorHAnsi"/>
                <w:bCs/>
                <w:color w:val="000000" w:themeColor="text1"/>
                <w:sz w:val="22"/>
                <w:szCs w:val="22"/>
              </w:rPr>
              <w:t>1742-1035-59</w:t>
            </w:r>
          </w:p>
        </w:tc>
        <w:tc>
          <w:tcPr>
            <w:tcW w:w="1672" w:type="dxa"/>
          </w:tcPr>
          <w:p>
            <w:pPr>
              <w:autoSpaceDE w:val="0"/>
              <w:autoSpaceDN w:val="0"/>
              <w:adjustRightInd w:val="0"/>
              <w:spacing w:line="276" w:lineRule="auto"/>
              <w:jc w:val="right"/>
              <w:rPr>
                <w:rFonts w:eastAsiaTheme="minorHAnsi"/>
                <w:bCs/>
                <w:color w:val="000000" w:themeColor="text1"/>
                <w:sz w:val="22"/>
                <w:szCs w:val="22"/>
              </w:rPr>
            </w:pPr>
            <w:r>
              <w:rPr>
                <w:rFonts w:eastAsiaTheme="minorHAnsi"/>
                <w:bCs/>
                <w:color w:val="000000" w:themeColor="text1"/>
                <w:sz w:val="22"/>
                <w:szCs w:val="22"/>
              </w:rPr>
              <w:t>P145,140.24</w:t>
            </w:r>
          </w:p>
        </w:tc>
      </w:tr>
      <w:tr>
        <w:trPr>
          <w:jc w:val="center"/>
        </w:trPr>
        <w:tc>
          <w:tcPr>
            <w:tcW w:w="4815" w:type="dxa"/>
          </w:tcPr>
          <w:p>
            <w:pPr>
              <w:autoSpaceDE w:val="0"/>
              <w:autoSpaceDN w:val="0"/>
              <w:adjustRightInd w:val="0"/>
              <w:spacing w:line="276" w:lineRule="auto"/>
              <w:jc w:val="both"/>
              <w:rPr>
                <w:rFonts w:eastAsiaTheme="minorHAnsi"/>
                <w:bCs/>
                <w:color w:val="000000" w:themeColor="text1"/>
                <w:sz w:val="22"/>
                <w:szCs w:val="22"/>
              </w:rPr>
            </w:pPr>
            <w:r>
              <w:rPr>
                <w:rFonts w:eastAsiaTheme="minorHAnsi"/>
                <w:bCs/>
                <w:color w:val="000000" w:themeColor="text1"/>
                <w:sz w:val="22"/>
                <w:szCs w:val="22"/>
              </w:rPr>
              <w:t>City Hall</w:t>
            </w:r>
          </w:p>
        </w:tc>
        <w:tc>
          <w:tcPr>
            <w:tcW w:w="1956" w:type="dxa"/>
          </w:tcPr>
          <w:p>
            <w:pPr>
              <w:autoSpaceDE w:val="0"/>
              <w:autoSpaceDN w:val="0"/>
              <w:adjustRightInd w:val="0"/>
              <w:spacing w:line="276" w:lineRule="auto"/>
              <w:jc w:val="center"/>
              <w:rPr>
                <w:rFonts w:eastAsiaTheme="minorHAnsi"/>
                <w:bCs/>
                <w:color w:val="000000" w:themeColor="text1"/>
                <w:sz w:val="22"/>
                <w:szCs w:val="22"/>
              </w:rPr>
            </w:pPr>
            <w:r>
              <w:rPr>
                <w:rFonts w:eastAsiaTheme="minorHAnsi"/>
                <w:bCs/>
                <w:color w:val="000000" w:themeColor="text1"/>
                <w:sz w:val="22"/>
                <w:szCs w:val="22"/>
              </w:rPr>
              <w:t>1742-1035-67</w:t>
            </w:r>
          </w:p>
        </w:tc>
        <w:tc>
          <w:tcPr>
            <w:tcW w:w="1672" w:type="dxa"/>
          </w:tcPr>
          <w:p>
            <w:pPr>
              <w:autoSpaceDE w:val="0"/>
              <w:autoSpaceDN w:val="0"/>
              <w:adjustRightInd w:val="0"/>
              <w:spacing w:line="276" w:lineRule="auto"/>
              <w:jc w:val="right"/>
              <w:rPr>
                <w:rFonts w:eastAsiaTheme="minorHAnsi"/>
                <w:bCs/>
                <w:color w:val="000000" w:themeColor="text1"/>
                <w:sz w:val="22"/>
                <w:szCs w:val="22"/>
              </w:rPr>
            </w:pPr>
            <w:r>
              <w:rPr>
                <w:rFonts w:eastAsiaTheme="minorHAnsi"/>
                <w:bCs/>
                <w:color w:val="000000" w:themeColor="text1"/>
                <w:sz w:val="22"/>
                <w:szCs w:val="22"/>
              </w:rPr>
              <w:t>926,453.27</w:t>
            </w:r>
          </w:p>
        </w:tc>
      </w:tr>
      <w:tr>
        <w:trPr>
          <w:jc w:val="center"/>
        </w:trPr>
        <w:tc>
          <w:tcPr>
            <w:tcW w:w="4815" w:type="dxa"/>
          </w:tcPr>
          <w:p>
            <w:pPr>
              <w:autoSpaceDE w:val="0"/>
              <w:autoSpaceDN w:val="0"/>
              <w:adjustRightInd w:val="0"/>
              <w:spacing w:line="276" w:lineRule="auto"/>
              <w:jc w:val="both"/>
              <w:rPr>
                <w:rFonts w:eastAsiaTheme="minorHAnsi"/>
                <w:bCs/>
                <w:color w:val="000000" w:themeColor="text1"/>
                <w:sz w:val="22"/>
                <w:szCs w:val="22"/>
              </w:rPr>
            </w:pPr>
            <w:r>
              <w:rPr>
                <w:rFonts w:eastAsiaTheme="minorHAnsi"/>
                <w:bCs/>
                <w:color w:val="000000" w:themeColor="text1"/>
                <w:sz w:val="22"/>
                <w:szCs w:val="22"/>
              </w:rPr>
              <w:t>Performance Challenge Fund</w:t>
            </w:r>
          </w:p>
        </w:tc>
        <w:tc>
          <w:tcPr>
            <w:tcW w:w="1956" w:type="dxa"/>
          </w:tcPr>
          <w:p>
            <w:pPr>
              <w:autoSpaceDE w:val="0"/>
              <w:autoSpaceDN w:val="0"/>
              <w:adjustRightInd w:val="0"/>
              <w:spacing w:line="276" w:lineRule="auto"/>
              <w:jc w:val="center"/>
              <w:rPr>
                <w:rFonts w:eastAsiaTheme="minorHAnsi"/>
                <w:bCs/>
                <w:color w:val="000000" w:themeColor="text1"/>
                <w:sz w:val="22"/>
                <w:szCs w:val="22"/>
              </w:rPr>
            </w:pPr>
            <w:r>
              <w:rPr>
                <w:rFonts w:eastAsiaTheme="minorHAnsi"/>
                <w:bCs/>
                <w:color w:val="000000" w:themeColor="text1"/>
                <w:sz w:val="22"/>
                <w:szCs w:val="22"/>
              </w:rPr>
              <w:t>1742-1045-04</w:t>
            </w:r>
          </w:p>
        </w:tc>
        <w:tc>
          <w:tcPr>
            <w:tcW w:w="1672" w:type="dxa"/>
          </w:tcPr>
          <w:p>
            <w:pPr>
              <w:autoSpaceDE w:val="0"/>
              <w:autoSpaceDN w:val="0"/>
              <w:adjustRightInd w:val="0"/>
              <w:spacing w:line="276" w:lineRule="auto"/>
              <w:jc w:val="right"/>
              <w:rPr>
                <w:rFonts w:eastAsiaTheme="minorHAnsi"/>
                <w:bCs/>
                <w:color w:val="000000" w:themeColor="text1"/>
                <w:sz w:val="22"/>
                <w:szCs w:val="22"/>
              </w:rPr>
            </w:pPr>
            <w:r>
              <w:rPr>
                <w:rFonts w:eastAsiaTheme="minorHAnsi"/>
                <w:bCs/>
                <w:color w:val="000000" w:themeColor="text1"/>
                <w:sz w:val="22"/>
                <w:szCs w:val="22"/>
              </w:rPr>
              <w:t>3,481,264.28</w:t>
            </w:r>
          </w:p>
        </w:tc>
      </w:tr>
      <w:tr>
        <w:trPr>
          <w:jc w:val="center"/>
        </w:trPr>
        <w:tc>
          <w:tcPr>
            <w:tcW w:w="4815" w:type="dxa"/>
          </w:tcPr>
          <w:p>
            <w:pPr>
              <w:autoSpaceDE w:val="0"/>
              <w:autoSpaceDN w:val="0"/>
              <w:adjustRightInd w:val="0"/>
              <w:spacing w:line="276" w:lineRule="auto"/>
              <w:jc w:val="both"/>
              <w:rPr>
                <w:rFonts w:eastAsiaTheme="minorHAnsi"/>
                <w:bCs/>
                <w:color w:val="000000" w:themeColor="text1"/>
                <w:sz w:val="22"/>
                <w:szCs w:val="22"/>
              </w:rPr>
            </w:pPr>
            <w:r>
              <w:rPr>
                <w:rFonts w:eastAsiaTheme="minorHAnsi"/>
                <w:bCs/>
                <w:color w:val="000000" w:themeColor="text1"/>
                <w:sz w:val="22"/>
                <w:szCs w:val="22"/>
              </w:rPr>
              <w:t>MRDP – Rural Infra (Loan Proceeds)</w:t>
            </w:r>
          </w:p>
        </w:tc>
        <w:tc>
          <w:tcPr>
            <w:tcW w:w="1956" w:type="dxa"/>
          </w:tcPr>
          <w:p>
            <w:pPr>
              <w:autoSpaceDE w:val="0"/>
              <w:autoSpaceDN w:val="0"/>
              <w:adjustRightInd w:val="0"/>
              <w:spacing w:line="276" w:lineRule="auto"/>
              <w:jc w:val="center"/>
              <w:rPr>
                <w:rFonts w:eastAsiaTheme="minorHAnsi"/>
                <w:bCs/>
                <w:color w:val="000000" w:themeColor="text1"/>
                <w:sz w:val="22"/>
                <w:szCs w:val="22"/>
              </w:rPr>
            </w:pPr>
            <w:r>
              <w:rPr>
                <w:rFonts w:eastAsiaTheme="minorHAnsi"/>
                <w:bCs/>
                <w:color w:val="000000" w:themeColor="text1"/>
                <w:sz w:val="22"/>
                <w:szCs w:val="22"/>
              </w:rPr>
              <w:t>1742-1043-85</w:t>
            </w:r>
          </w:p>
        </w:tc>
        <w:tc>
          <w:tcPr>
            <w:tcW w:w="1672" w:type="dxa"/>
          </w:tcPr>
          <w:p>
            <w:pPr>
              <w:autoSpaceDE w:val="0"/>
              <w:autoSpaceDN w:val="0"/>
              <w:adjustRightInd w:val="0"/>
              <w:spacing w:line="276" w:lineRule="auto"/>
              <w:jc w:val="right"/>
              <w:rPr>
                <w:rFonts w:eastAsiaTheme="minorHAnsi"/>
                <w:bCs/>
                <w:color w:val="000000" w:themeColor="text1"/>
                <w:sz w:val="22"/>
                <w:szCs w:val="22"/>
              </w:rPr>
            </w:pPr>
            <w:r>
              <w:rPr>
                <w:rFonts w:eastAsiaTheme="minorHAnsi"/>
                <w:bCs/>
                <w:color w:val="000000" w:themeColor="text1"/>
                <w:sz w:val="22"/>
                <w:szCs w:val="22"/>
              </w:rPr>
              <w:t>230,874.17</w:t>
            </w:r>
          </w:p>
        </w:tc>
      </w:tr>
      <w:tr>
        <w:trPr>
          <w:jc w:val="center"/>
        </w:trPr>
        <w:tc>
          <w:tcPr>
            <w:tcW w:w="4815" w:type="dxa"/>
          </w:tcPr>
          <w:p>
            <w:pPr>
              <w:autoSpaceDE w:val="0"/>
              <w:autoSpaceDN w:val="0"/>
              <w:adjustRightInd w:val="0"/>
              <w:spacing w:line="276" w:lineRule="auto"/>
              <w:jc w:val="both"/>
              <w:rPr>
                <w:rFonts w:eastAsiaTheme="minorHAnsi"/>
                <w:bCs/>
                <w:color w:val="000000" w:themeColor="text1"/>
                <w:sz w:val="22"/>
                <w:szCs w:val="22"/>
              </w:rPr>
            </w:pPr>
            <w:r>
              <w:rPr>
                <w:rFonts w:eastAsiaTheme="minorHAnsi"/>
                <w:bCs/>
                <w:color w:val="000000" w:themeColor="text1"/>
                <w:sz w:val="22"/>
                <w:szCs w:val="22"/>
              </w:rPr>
              <w:t>MRDP – Rural Infra (Local Counterpart Fund)</w:t>
            </w:r>
          </w:p>
        </w:tc>
        <w:tc>
          <w:tcPr>
            <w:tcW w:w="1956" w:type="dxa"/>
          </w:tcPr>
          <w:p>
            <w:pPr>
              <w:autoSpaceDE w:val="0"/>
              <w:autoSpaceDN w:val="0"/>
              <w:adjustRightInd w:val="0"/>
              <w:spacing w:line="276" w:lineRule="auto"/>
              <w:jc w:val="center"/>
              <w:rPr>
                <w:rFonts w:eastAsiaTheme="minorHAnsi"/>
                <w:bCs/>
                <w:color w:val="000000" w:themeColor="text1"/>
                <w:sz w:val="22"/>
                <w:szCs w:val="22"/>
              </w:rPr>
            </w:pPr>
            <w:r>
              <w:rPr>
                <w:rFonts w:eastAsiaTheme="minorHAnsi"/>
                <w:bCs/>
                <w:color w:val="000000" w:themeColor="text1"/>
                <w:sz w:val="22"/>
                <w:szCs w:val="22"/>
              </w:rPr>
              <w:t>1742-1044-07</w:t>
            </w:r>
          </w:p>
        </w:tc>
        <w:tc>
          <w:tcPr>
            <w:tcW w:w="1672" w:type="dxa"/>
          </w:tcPr>
          <w:p>
            <w:pPr>
              <w:autoSpaceDE w:val="0"/>
              <w:autoSpaceDN w:val="0"/>
              <w:adjustRightInd w:val="0"/>
              <w:spacing w:line="276" w:lineRule="auto"/>
              <w:jc w:val="right"/>
              <w:rPr>
                <w:rFonts w:eastAsiaTheme="minorHAnsi"/>
                <w:bCs/>
                <w:color w:val="000000" w:themeColor="text1"/>
                <w:sz w:val="22"/>
                <w:szCs w:val="22"/>
              </w:rPr>
            </w:pPr>
            <w:r>
              <w:rPr>
                <w:rFonts w:eastAsiaTheme="minorHAnsi"/>
                <w:bCs/>
                <w:color w:val="000000" w:themeColor="text1"/>
                <w:sz w:val="22"/>
                <w:szCs w:val="22"/>
              </w:rPr>
              <w:t>2,069,597.57</w:t>
            </w:r>
          </w:p>
        </w:tc>
      </w:tr>
      <w:tr>
        <w:trPr>
          <w:jc w:val="center"/>
        </w:trPr>
        <w:tc>
          <w:tcPr>
            <w:tcW w:w="4815" w:type="dxa"/>
          </w:tcPr>
          <w:p>
            <w:pPr>
              <w:autoSpaceDE w:val="0"/>
              <w:autoSpaceDN w:val="0"/>
              <w:adjustRightInd w:val="0"/>
              <w:spacing w:line="276" w:lineRule="auto"/>
              <w:jc w:val="both"/>
              <w:rPr>
                <w:rFonts w:eastAsiaTheme="minorHAnsi"/>
                <w:bCs/>
                <w:color w:val="000000" w:themeColor="text1"/>
                <w:sz w:val="22"/>
                <w:szCs w:val="22"/>
              </w:rPr>
            </w:pPr>
            <w:r>
              <w:rPr>
                <w:rFonts w:eastAsiaTheme="minorHAnsi"/>
                <w:bCs/>
                <w:color w:val="000000" w:themeColor="text1"/>
                <w:sz w:val="22"/>
                <w:szCs w:val="22"/>
              </w:rPr>
              <w:t>MDG Faces</w:t>
            </w:r>
          </w:p>
        </w:tc>
        <w:tc>
          <w:tcPr>
            <w:tcW w:w="1956" w:type="dxa"/>
          </w:tcPr>
          <w:p>
            <w:pPr>
              <w:autoSpaceDE w:val="0"/>
              <w:autoSpaceDN w:val="0"/>
              <w:adjustRightInd w:val="0"/>
              <w:spacing w:line="276" w:lineRule="auto"/>
              <w:jc w:val="center"/>
              <w:rPr>
                <w:rFonts w:eastAsiaTheme="minorHAnsi"/>
                <w:bCs/>
                <w:color w:val="000000" w:themeColor="text1"/>
                <w:sz w:val="22"/>
                <w:szCs w:val="22"/>
              </w:rPr>
            </w:pPr>
            <w:r>
              <w:rPr>
                <w:rFonts w:eastAsiaTheme="minorHAnsi"/>
                <w:bCs/>
                <w:color w:val="000000" w:themeColor="text1"/>
                <w:sz w:val="22"/>
                <w:szCs w:val="22"/>
              </w:rPr>
              <w:t>1742-1045-20</w:t>
            </w:r>
          </w:p>
        </w:tc>
        <w:tc>
          <w:tcPr>
            <w:tcW w:w="1672" w:type="dxa"/>
          </w:tcPr>
          <w:p>
            <w:pPr>
              <w:autoSpaceDE w:val="0"/>
              <w:autoSpaceDN w:val="0"/>
              <w:adjustRightInd w:val="0"/>
              <w:spacing w:line="276" w:lineRule="auto"/>
              <w:jc w:val="right"/>
              <w:rPr>
                <w:rFonts w:eastAsiaTheme="minorHAnsi"/>
                <w:bCs/>
                <w:color w:val="000000" w:themeColor="text1"/>
                <w:sz w:val="22"/>
                <w:szCs w:val="22"/>
              </w:rPr>
            </w:pPr>
            <w:r>
              <w:rPr>
                <w:rFonts w:eastAsiaTheme="minorHAnsi"/>
                <w:bCs/>
                <w:color w:val="000000" w:themeColor="text1"/>
                <w:sz w:val="22"/>
                <w:szCs w:val="22"/>
              </w:rPr>
              <w:t>-0.00-</w:t>
            </w:r>
          </w:p>
        </w:tc>
      </w:tr>
      <w:tr>
        <w:trPr>
          <w:jc w:val="center"/>
        </w:trPr>
        <w:tc>
          <w:tcPr>
            <w:tcW w:w="4815" w:type="dxa"/>
          </w:tcPr>
          <w:p>
            <w:pPr>
              <w:autoSpaceDE w:val="0"/>
              <w:autoSpaceDN w:val="0"/>
              <w:adjustRightInd w:val="0"/>
              <w:spacing w:line="276" w:lineRule="auto"/>
              <w:jc w:val="both"/>
              <w:rPr>
                <w:rFonts w:eastAsiaTheme="minorHAnsi"/>
                <w:bCs/>
                <w:color w:val="000000" w:themeColor="text1"/>
                <w:sz w:val="22"/>
                <w:szCs w:val="22"/>
              </w:rPr>
            </w:pPr>
            <w:r>
              <w:rPr>
                <w:rFonts w:eastAsiaTheme="minorHAnsi"/>
                <w:bCs/>
                <w:color w:val="000000" w:themeColor="text1"/>
                <w:sz w:val="22"/>
                <w:szCs w:val="22"/>
              </w:rPr>
              <w:t>Mindanao Railway Project</w:t>
            </w:r>
          </w:p>
        </w:tc>
        <w:tc>
          <w:tcPr>
            <w:tcW w:w="1956" w:type="dxa"/>
          </w:tcPr>
          <w:p>
            <w:pPr>
              <w:autoSpaceDE w:val="0"/>
              <w:autoSpaceDN w:val="0"/>
              <w:adjustRightInd w:val="0"/>
              <w:spacing w:line="276" w:lineRule="auto"/>
              <w:jc w:val="center"/>
              <w:rPr>
                <w:rFonts w:eastAsiaTheme="minorHAnsi"/>
                <w:bCs/>
                <w:color w:val="000000" w:themeColor="text1"/>
                <w:sz w:val="22"/>
                <w:szCs w:val="22"/>
              </w:rPr>
            </w:pPr>
            <w:r>
              <w:rPr>
                <w:rFonts w:eastAsiaTheme="minorHAnsi"/>
                <w:bCs/>
                <w:color w:val="000000" w:themeColor="text1"/>
                <w:sz w:val="22"/>
                <w:szCs w:val="22"/>
              </w:rPr>
              <w:t>1742-1066-55</w:t>
            </w:r>
          </w:p>
        </w:tc>
        <w:tc>
          <w:tcPr>
            <w:tcW w:w="1672" w:type="dxa"/>
          </w:tcPr>
          <w:p>
            <w:pPr>
              <w:autoSpaceDE w:val="0"/>
              <w:autoSpaceDN w:val="0"/>
              <w:adjustRightInd w:val="0"/>
              <w:spacing w:line="276" w:lineRule="auto"/>
              <w:jc w:val="right"/>
              <w:rPr>
                <w:rFonts w:eastAsiaTheme="minorHAnsi"/>
                <w:bCs/>
                <w:color w:val="000000" w:themeColor="text1"/>
                <w:sz w:val="22"/>
                <w:szCs w:val="22"/>
              </w:rPr>
            </w:pPr>
            <w:r>
              <w:rPr>
                <w:rFonts w:eastAsiaTheme="minorHAnsi"/>
                <w:bCs/>
                <w:color w:val="000000" w:themeColor="text1"/>
                <w:sz w:val="22"/>
                <w:szCs w:val="22"/>
              </w:rPr>
              <w:t>27,227.40</w:t>
            </w:r>
          </w:p>
        </w:tc>
      </w:tr>
      <w:tr>
        <w:trPr>
          <w:jc w:val="center"/>
        </w:trPr>
        <w:tc>
          <w:tcPr>
            <w:tcW w:w="4815" w:type="dxa"/>
          </w:tcPr>
          <w:p>
            <w:pPr>
              <w:autoSpaceDE w:val="0"/>
              <w:autoSpaceDN w:val="0"/>
              <w:adjustRightInd w:val="0"/>
              <w:spacing w:line="276" w:lineRule="auto"/>
              <w:jc w:val="both"/>
              <w:rPr>
                <w:rFonts w:eastAsiaTheme="minorHAnsi"/>
                <w:b/>
                <w:bCs/>
                <w:color w:val="000000" w:themeColor="text1"/>
                <w:sz w:val="22"/>
                <w:szCs w:val="22"/>
              </w:rPr>
            </w:pPr>
            <w:r>
              <w:rPr>
                <w:rFonts w:eastAsiaTheme="minorHAnsi"/>
                <w:b/>
                <w:bCs/>
                <w:color w:val="000000" w:themeColor="text1"/>
                <w:sz w:val="22"/>
                <w:szCs w:val="22"/>
              </w:rPr>
              <w:t>Total</w:t>
            </w:r>
          </w:p>
        </w:tc>
        <w:tc>
          <w:tcPr>
            <w:tcW w:w="1956" w:type="dxa"/>
          </w:tcPr>
          <w:p>
            <w:pPr>
              <w:autoSpaceDE w:val="0"/>
              <w:autoSpaceDN w:val="0"/>
              <w:adjustRightInd w:val="0"/>
              <w:spacing w:line="276" w:lineRule="auto"/>
              <w:jc w:val="both"/>
              <w:rPr>
                <w:rFonts w:eastAsiaTheme="minorHAnsi"/>
                <w:bCs/>
                <w:color w:val="000000" w:themeColor="text1"/>
                <w:sz w:val="22"/>
                <w:szCs w:val="22"/>
              </w:rPr>
            </w:pPr>
          </w:p>
        </w:tc>
        <w:tc>
          <w:tcPr>
            <w:tcW w:w="1672" w:type="dxa"/>
          </w:tcPr>
          <w:p>
            <w:pPr>
              <w:autoSpaceDE w:val="0"/>
              <w:autoSpaceDN w:val="0"/>
              <w:adjustRightInd w:val="0"/>
              <w:spacing w:line="276" w:lineRule="auto"/>
              <w:jc w:val="right"/>
              <w:rPr>
                <w:rFonts w:eastAsiaTheme="minorHAnsi"/>
                <w:b/>
                <w:bCs/>
                <w:color w:val="000000" w:themeColor="text1"/>
                <w:sz w:val="22"/>
                <w:szCs w:val="22"/>
              </w:rPr>
            </w:pPr>
            <w:r>
              <w:rPr>
                <w:rFonts w:eastAsiaTheme="minorHAnsi"/>
                <w:b/>
                <w:bCs/>
                <w:color w:val="000000" w:themeColor="text1"/>
                <w:sz w:val="22"/>
                <w:szCs w:val="22"/>
              </w:rPr>
              <w:t>P 6,880,556.93</w:t>
            </w:r>
          </w:p>
        </w:tc>
      </w:tr>
    </w:tbl>
    <w:p>
      <w:pPr>
        <w:spacing w:line="276" w:lineRule="auto"/>
        <w:ind w:right="-86"/>
        <w:jc w:val="both"/>
      </w:pPr>
    </w:p>
    <w:p>
      <w:pPr>
        <w:autoSpaceDE w:val="0"/>
        <w:autoSpaceDN w:val="0"/>
        <w:adjustRightInd w:val="0"/>
        <w:spacing w:line="276" w:lineRule="auto"/>
        <w:jc w:val="both"/>
        <w:rPr>
          <w:rFonts w:eastAsiaTheme="minorHAnsi"/>
          <w:bCs/>
          <w:color w:val="000000" w:themeColor="text1"/>
        </w:rPr>
      </w:pPr>
      <w:r>
        <w:rPr>
          <w:rFonts w:eastAsiaTheme="minorHAnsi"/>
          <w:bCs/>
          <w:color w:val="000000" w:themeColor="text1"/>
        </w:rPr>
        <w:t>Further review of the above-listed bank accounts revealed that most of the transactions pertain to intra-agency and interest income. Inquiry with the personnel-in-charge revealed that these bank accounts pertain to unused funds from the completed/abandoned projects implemented by the City Government. The intra-agency transactions were made in order that bank accounts remain active.</w:t>
      </w:r>
    </w:p>
    <w:p>
      <w:pPr>
        <w:autoSpaceDE w:val="0"/>
        <w:autoSpaceDN w:val="0"/>
        <w:adjustRightInd w:val="0"/>
        <w:spacing w:line="276" w:lineRule="auto"/>
        <w:jc w:val="both"/>
        <w:rPr>
          <w:rFonts w:eastAsiaTheme="minorHAnsi"/>
          <w:bCs/>
          <w:color w:val="000000" w:themeColor="text1"/>
        </w:rPr>
      </w:pPr>
    </w:p>
    <w:p>
      <w:pPr>
        <w:autoSpaceDE w:val="0"/>
        <w:autoSpaceDN w:val="0"/>
        <w:adjustRightInd w:val="0"/>
        <w:spacing w:line="276" w:lineRule="auto"/>
        <w:jc w:val="both"/>
        <w:rPr>
          <w:rFonts w:eastAsiaTheme="minorHAnsi"/>
          <w:bCs/>
          <w:color w:val="000000" w:themeColor="text1"/>
        </w:rPr>
      </w:pPr>
      <w:r>
        <w:rPr>
          <w:rFonts w:eastAsiaTheme="minorHAnsi"/>
          <w:bCs/>
          <w:color w:val="000000" w:themeColor="text1"/>
        </w:rPr>
        <w:t xml:space="preserve">Moreover, the audit team requested from the CTO documents showing legal basis and purpose of opening the bank accounts. However, as of date, no information was provided on the reason that the Sangguniang </w:t>
      </w:r>
      <w:proofErr w:type="spellStart"/>
      <w:r>
        <w:rPr>
          <w:rFonts w:eastAsiaTheme="minorHAnsi"/>
          <w:bCs/>
          <w:color w:val="000000" w:themeColor="text1"/>
        </w:rPr>
        <w:t>Panlungsod</w:t>
      </w:r>
      <w:proofErr w:type="spellEnd"/>
      <w:r>
        <w:rPr>
          <w:rFonts w:eastAsiaTheme="minorHAnsi"/>
          <w:bCs/>
          <w:color w:val="000000" w:themeColor="text1"/>
        </w:rPr>
        <w:t xml:space="preserve"> (SP) is on process of retrieval of their previous resolutions of which it takes more time. These documents should have been properly maintained by the CTO as permanent documents. Absence of these documents cast doubts on legal basis in opening and maintaining these banks accounts.</w:t>
      </w:r>
    </w:p>
    <w:p>
      <w:pPr>
        <w:autoSpaceDE w:val="0"/>
        <w:autoSpaceDN w:val="0"/>
        <w:adjustRightInd w:val="0"/>
        <w:spacing w:line="276" w:lineRule="auto"/>
        <w:jc w:val="both"/>
        <w:rPr>
          <w:rFonts w:eastAsiaTheme="minorHAnsi"/>
          <w:bCs/>
          <w:color w:val="000000" w:themeColor="text1"/>
        </w:rPr>
      </w:pPr>
    </w:p>
    <w:p>
      <w:pPr>
        <w:spacing w:line="276" w:lineRule="auto"/>
        <w:ind w:right="-86"/>
        <w:jc w:val="both"/>
      </w:pPr>
      <w:r>
        <w:rPr>
          <w:rFonts w:eastAsiaTheme="minorHAnsi"/>
          <w:bCs/>
          <w:color w:val="000000" w:themeColor="text1"/>
        </w:rPr>
        <w:t>Consequently, the retention of these funds deprived the government of additional resources that could be used to fund other priority projects for the benefit of the public.</w:t>
      </w:r>
    </w:p>
    <w:p>
      <w:pPr>
        <w:spacing w:line="276" w:lineRule="auto"/>
        <w:ind w:right="-86"/>
        <w:jc w:val="both"/>
      </w:pPr>
    </w:p>
    <w:p>
      <w:pPr>
        <w:pStyle w:val="ListParagraph"/>
        <w:numPr>
          <w:ilvl w:val="0"/>
          <w:numId w:val="5"/>
        </w:numPr>
        <w:spacing w:after="0"/>
        <w:ind w:left="360" w:right="-86"/>
        <w:jc w:val="both"/>
        <w:rPr>
          <w:rFonts w:ascii="Times New Roman" w:hAnsi="Times New Roman"/>
          <w:b/>
          <w:i/>
          <w:sz w:val="24"/>
          <w:szCs w:val="24"/>
        </w:rPr>
      </w:pPr>
      <w:r>
        <w:rPr>
          <w:rFonts w:ascii="Times New Roman" w:hAnsi="Times New Roman"/>
          <w:b/>
          <w:i/>
          <w:sz w:val="24"/>
          <w:szCs w:val="24"/>
        </w:rPr>
        <w:t>Cancelled checks were not attached to the Reports of Check Issued (RCI) neither submitted to the Commission on Audit</w:t>
      </w:r>
    </w:p>
    <w:p>
      <w:pPr>
        <w:spacing w:line="276" w:lineRule="auto"/>
        <w:ind w:right="-86"/>
        <w:jc w:val="both"/>
      </w:pPr>
    </w:p>
    <w:p>
      <w:pPr>
        <w:spacing w:line="276" w:lineRule="auto"/>
        <w:jc w:val="both"/>
      </w:pPr>
      <w:r>
        <w:t>The New Government Accounting System Manual (NGAS) for LGUs also provides the pertinent cash management controls and procedures:</w:t>
      </w:r>
    </w:p>
    <w:p>
      <w:pPr>
        <w:spacing w:line="276" w:lineRule="auto"/>
        <w:ind w:right="288" w:firstLine="720"/>
        <w:jc w:val="both"/>
        <w:rPr>
          <w:i/>
        </w:rPr>
      </w:pPr>
    </w:p>
    <w:p>
      <w:pPr>
        <w:spacing w:line="276" w:lineRule="auto"/>
        <w:ind w:left="720" w:right="702"/>
        <w:jc w:val="both"/>
      </w:pPr>
      <w:r>
        <w:t>Sec.  55.   Report of Checks Issued (RCI). – The Report of Checks Issued (Annex 47) shall be prepared by the Cashier/Disbursing Officers daily to report checks issued during the period including cancelled ones.” (Chapter 2, Volume II, NGAS)</w:t>
      </w:r>
    </w:p>
    <w:p>
      <w:pPr>
        <w:spacing w:line="276" w:lineRule="auto"/>
        <w:ind w:right="288" w:firstLine="720"/>
        <w:jc w:val="both"/>
      </w:pPr>
    </w:p>
    <w:p>
      <w:pPr>
        <w:spacing w:line="276" w:lineRule="auto"/>
        <w:ind w:left="720" w:right="702"/>
        <w:jc w:val="both"/>
      </w:pPr>
      <w:r>
        <w:t xml:space="preserve">Sec. 43.  Reporting of Checks Issued. – The checks released to claimants shall be reported in the Report of Checks Issued (RCI) which shall be prepared daily by the Treasurer for each fund.  It shall be submitted to the </w:t>
      </w:r>
      <w:r>
        <w:lastRenderedPageBreak/>
        <w:t>Accountant for preparation of Journal of Entry Voucher based on individual checks issued and recording in the Check Disbursements Journal.”  (Chapter 3, Volume I, NGAS)</w:t>
      </w:r>
    </w:p>
    <w:p>
      <w:pPr>
        <w:spacing w:line="276" w:lineRule="auto"/>
        <w:ind w:right="288" w:firstLine="720"/>
        <w:jc w:val="both"/>
      </w:pPr>
    </w:p>
    <w:p>
      <w:pPr>
        <w:spacing w:line="276" w:lineRule="auto"/>
        <w:ind w:left="720" w:right="702"/>
        <w:jc w:val="both"/>
      </w:pPr>
      <w:r>
        <w:t>Sec.  44.  Check Disbursement Process. – The steps in disbursements through issuance of check is shown below:</w:t>
      </w:r>
    </w:p>
    <w:p>
      <w:pPr>
        <w:spacing w:line="276" w:lineRule="auto"/>
        <w:ind w:right="288" w:firstLine="720"/>
        <w:jc w:val="center"/>
      </w:pPr>
      <w:r>
        <w:t>xxx</w:t>
      </w:r>
    </w:p>
    <w:p>
      <w:pPr>
        <w:spacing w:line="276" w:lineRule="auto"/>
        <w:ind w:left="1429" w:right="702" w:firstLine="11"/>
        <w:jc w:val="both"/>
      </w:pPr>
      <w:r>
        <w:t>k. Forward RCI, DV, supporting documents and JEV to the Office of the Auditor.” (Chapter 3, Volume I, NGAS)</w:t>
      </w:r>
    </w:p>
    <w:p>
      <w:pPr>
        <w:spacing w:line="276" w:lineRule="auto"/>
        <w:ind w:right="-86"/>
        <w:jc w:val="both"/>
      </w:pPr>
    </w:p>
    <w:p>
      <w:pPr>
        <w:spacing w:line="276" w:lineRule="auto"/>
        <w:ind w:right="-86"/>
        <w:jc w:val="both"/>
      </w:pPr>
      <w:r>
        <w:t>Review on the submission of financial reports and supporting documents revealed that cancelled checks were not submitted to the COA Office. We noted that there were 43 cancelled checks which were not submitted together with the RCI.</w:t>
      </w:r>
    </w:p>
    <w:p>
      <w:pPr>
        <w:spacing w:line="276" w:lineRule="auto"/>
        <w:ind w:right="-86"/>
        <w:jc w:val="both"/>
      </w:pPr>
    </w:p>
    <w:p>
      <w:pPr>
        <w:pStyle w:val="NoSpacing"/>
        <w:spacing w:line="276" w:lineRule="auto"/>
        <w:ind w:left="720" w:firstLine="270"/>
        <w:jc w:val="both"/>
        <w:rPr>
          <w:rFonts w:ascii="Times New Roman" w:hAnsi="Times New Roman"/>
          <w:i/>
          <w:sz w:val="24"/>
          <w:szCs w:val="24"/>
        </w:rPr>
      </w:pPr>
      <w:r>
        <w:rPr>
          <w:rFonts w:ascii="Times New Roman" w:hAnsi="Times New Roman"/>
          <w:i/>
          <w:sz w:val="24"/>
          <w:szCs w:val="24"/>
        </w:rPr>
        <w:t>Table 1.6. Quantity of cancelled checks per fund (see Annex E)</w:t>
      </w:r>
    </w:p>
    <w:tbl>
      <w:tblPr>
        <w:tblStyle w:val="TableGrid"/>
        <w:tblW w:w="0" w:type="auto"/>
        <w:jc w:val="center"/>
        <w:tblLook w:val="04A0" w:firstRow="1" w:lastRow="0" w:firstColumn="1" w:lastColumn="0" w:noHBand="0" w:noVBand="1"/>
      </w:tblPr>
      <w:tblGrid>
        <w:gridCol w:w="2830"/>
        <w:gridCol w:w="2057"/>
        <w:gridCol w:w="1949"/>
      </w:tblGrid>
      <w:tr>
        <w:trPr>
          <w:trHeight w:val="20"/>
          <w:jc w:val="center"/>
        </w:trPr>
        <w:tc>
          <w:tcPr>
            <w:tcW w:w="2830" w:type="dxa"/>
            <w:shd w:val="clear" w:color="auto" w:fill="auto"/>
            <w:vAlign w:val="center"/>
          </w:tcPr>
          <w:p>
            <w:pPr>
              <w:pStyle w:val="NoSpacing"/>
              <w:spacing w:line="276" w:lineRule="auto"/>
              <w:jc w:val="center"/>
              <w:rPr>
                <w:rFonts w:ascii="Times New Roman" w:hAnsi="Times New Roman"/>
                <w:b/>
              </w:rPr>
            </w:pPr>
            <w:r>
              <w:rPr>
                <w:rFonts w:ascii="Times New Roman" w:hAnsi="Times New Roman"/>
                <w:b/>
              </w:rPr>
              <w:t>Type of Fund</w:t>
            </w:r>
          </w:p>
        </w:tc>
        <w:tc>
          <w:tcPr>
            <w:tcW w:w="2057" w:type="dxa"/>
            <w:shd w:val="clear" w:color="auto" w:fill="auto"/>
            <w:vAlign w:val="center"/>
          </w:tcPr>
          <w:p>
            <w:pPr>
              <w:pStyle w:val="NoSpacing"/>
              <w:spacing w:line="276" w:lineRule="auto"/>
              <w:jc w:val="center"/>
              <w:rPr>
                <w:rFonts w:ascii="Times New Roman" w:hAnsi="Times New Roman"/>
                <w:b/>
              </w:rPr>
            </w:pPr>
            <w:r>
              <w:rPr>
                <w:rFonts w:ascii="Times New Roman" w:hAnsi="Times New Roman"/>
                <w:b/>
              </w:rPr>
              <w:t>Account no.</w:t>
            </w:r>
          </w:p>
        </w:tc>
        <w:tc>
          <w:tcPr>
            <w:tcW w:w="1949" w:type="dxa"/>
            <w:shd w:val="clear" w:color="auto" w:fill="auto"/>
            <w:vAlign w:val="center"/>
          </w:tcPr>
          <w:p>
            <w:pPr>
              <w:pStyle w:val="NoSpacing"/>
              <w:spacing w:line="276" w:lineRule="auto"/>
              <w:jc w:val="center"/>
              <w:rPr>
                <w:rFonts w:ascii="Times New Roman" w:hAnsi="Times New Roman"/>
                <w:b/>
              </w:rPr>
            </w:pPr>
            <w:r>
              <w:rPr>
                <w:rFonts w:ascii="Times New Roman" w:hAnsi="Times New Roman"/>
                <w:b/>
              </w:rPr>
              <w:t>Quantity of Cancelled Checks</w:t>
            </w:r>
          </w:p>
        </w:tc>
      </w:tr>
      <w:tr>
        <w:trPr>
          <w:trHeight w:val="20"/>
          <w:jc w:val="center"/>
        </w:trPr>
        <w:tc>
          <w:tcPr>
            <w:tcW w:w="2830" w:type="dxa"/>
          </w:tcPr>
          <w:p>
            <w:pPr>
              <w:pStyle w:val="NoSpacing"/>
              <w:spacing w:line="276" w:lineRule="auto"/>
              <w:jc w:val="both"/>
              <w:rPr>
                <w:rFonts w:ascii="Times New Roman" w:hAnsi="Times New Roman"/>
              </w:rPr>
            </w:pPr>
            <w:r>
              <w:rPr>
                <w:rFonts w:ascii="Times New Roman" w:hAnsi="Times New Roman"/>
              </w:rPr>
              <w:t>General Fund Proper</w:t>
            </w:r>
          </w:p>
        </w:tc>
        <w:tc>
          <w:tcPr>
            <w:tcW w:w="2057" w:type="dxa"/>
          </w:tcPr>
          <w:p>
            <w:pPr>
              <w:pStyle w:val="NoSpacing"/>
              <w:spacing w:line="276" w:lineRule="auto"/>
              <w:jc w:val="center"/>
              <w:rPr>
                <w:rFonts w:ascii="Times New Roman" w:hAnsi="Times New Roman"/>
              </w:rPr>
            </w:pPr>
            <w:r>
              <w:rPr>
                <w:rFonts w:ascii="Times New Roman" w:hAnsi="Times New Roman"/>
              </w:rPr>
              <w:t>1742-1006-90</w:t>
            </w:r>
          </w:p>
        </w:tc>
        <w:tc>
          <w:tcPr>
            <w:tcW w:w="1949" w:type="dxa"/>
          </w:tcPr>
          <w:p>
            <w:pPr>
              <w:pStyle w:val="NoSpacing"/>
              <w:spacing w:line="276" w:lineRule="auto"/>
              <w:jc w:val="center"/>
              <w:rPr>
                <w:rFonts w:ascii="Times New Roman" w:hAnsi="Times New Roman"/>
              </w:rPr>
            </w:pPr>
            <w:r>
              <w:rPr>
                <w:rFonts w:ascii="Times New Roman" w:hAnsi="Times New Roman"/>
              </w:rPr>
              <w:t>32</w:t>
            </w:r>
          </w:p>
        </w:tc>
      </w:tr>
      <w:tr>
        <w:trPr>
          <w:trHeight w:val="20"/>
          <w:jc w:val="center"/>
        </w:trPr>
        <w:tc>
          <w:tcPr>
            <w:tcW w:w="2830" w:type="dxa"/>
          </w:tcPr>
          <w:p>
            <w:pPr>
              <w:pStyle w:val="NoSpacing"/>
              <w:spacing w:line="276" w:lineRule="auto"/>
              <w:jc w:val="both"/>
              <w:rPr>
                <w:rFonts w:ascii="Times New Roman" w:hAnsi="Times New Roman"/>
              </w:rPr>
            </w:pPr>
            <w:r>
              <w:rPr>
                <w:rFonts w:ascii="Times New Roman" w:hAnsi="Times New Roman"/>
              </w:rPr>
              <w:t>20% Development Fund</w:t>
            </w:r>
          </w:p>
        </w:tc>
        <w:tc>
          <w:tcPr>
            <w:tcW w:w="2057" w:type="dxa"/>
          </w:tcPr>
          <w:p>
            <w:pPr>
              <w:pStyle w:val="NoSpacing"/>
              <w:spacing w:line="276" w:lineRule="auto"/>
              <w:jc w:val="center"/>
              <w:rPr>
                <w:rFonts w:ascii="Times New Roman" w:hAnsi="Times New Roman"/>
              </w:rPr>
            </w:pPr>
            <w:r>
              <w:rPr>
                <w:rFonts w:ascii="Times New Roman" w:hAnsi="Times New Roman"/>
              </w:rPr>
              <w:t>1742-1037-96</w:t>
            </w:r>
          </w:p>
        </w:tc>
        <w:tc>
          <w:tcPr>
            <w:tcW w:w="1949" w:type="dxa"/>
          </w:tcPr>
          <w:p>
            <w:pPr>
              <w:pStyle w:val="NoSpacing"/>
              <w:spacing w:line="276" w:lineRule="auto"/>
              <w:jc w:val="center"/>
              <w:rPr>
                <w:rFonts w:ascii="Times New Roman" w:hAnsi="Times New Roman"/>
              </w:rPr>
            </w:pPr>
            <w:r>
              <w:rPr>
                <w:rFonts w:ascii="Times New Roman" w:hAnsi="Times New Roman"/>
              </w:rPr>
              <w:t>1</w:t>
            </w:r>
          </w:p>
        </w:tc>
      </w:tr>
      <w:tr>
        <w:trPr>
          <w:trHeight w:val="20"/>
          <w:jc w:val="center"/>
        </w:trPr>
        <w:tc>
          <w:tcPr>
            <w:tcW w:w="2830" w:type="dxa"/>
          </w:tcPr>
          <w:p>
            <w:pPr>
              <w:pStyle w:val="NoSpacing"/>
              <w:spacing w:line="276" w:lineRule="auto"/>
              <w:jc w:val="both"/>
              <w:rPr>
                <w:rFonts w:ascii="Times New Roman" w:hAnsi="Times New Roman"/>
              </w:rPr>
            </w:pPr>
            <w:r>
              <w:rPr>
                <w:rFonts w:ascii="Times New Roman" w:hAnsi="Times New Roman"/>
              </w:rPr>
              <w:t>Terminal Operations</w:t>
            </w:r>
          </w:p>
        </w:tc>
        <w:tc>
          <w:tcPr>
            <w:tcW w:w="2057" w:type="dxa"/>
          </w:tcPr>
          <w:p>
            <w:pPr>
              <w:pStyle w:val="NoSpacing"/>
              <w:spacing w:line="276" w:lineRule="auto"/>
              <w:jc w:val="center"/>
              <w:rPr>
                <w:rFonts w:ascii="Times New Roman" w:hAnsi="Times New Roman"/>
              </w:rPr>
            </w:pPr>
            <w:r>
              <w:rPr>
                <w:rFonts w:ascii="Times New Roman" w:hAnsi="Times New Roman"/>
              </w:rPr>
              <w:t>1742-1033-46</w:t>
            </w:r>
          </w:p>
        </w:tc>
        <w:tc>
          <w:tcPr>
            <w:tcW w:w="1949" w:type="dxa"/>
          </w:tcPr>
          <w:p>
            <w:pPr>
              <w:pStyle w:val="NoSpacing"/>
              <w:spacing w:line="276" w:lineRule="auto"/>
              <w:jc w:val="center"/>
              <w:rPr>
                <w:rFonts w:ascii="Times New Roman" w:hAnsi="Times New Roman"/>
              </w:rPr>
            </w:pPr>
            <w:r>
              <w:rPr>
                <w:rFonts w:ascii="Times New Roman" w:hAnsi="Times New Roman"/>
              </w:rPr>
              <w:t>2</w:t>
            </w:r>
          </w:p>
        </w:tc>
      </w:tr>
      <w:tr>
        <w:trPr>
          <w:trHeight w:val="20"/>
          <w:jc w:val="center"/>
        </w:trPr>
        <w:tc>
          <w:tcPr>
            <w:tcW w:w="2830" w:type="dxa"/>
          </w:tcPr>
          <w:p>
            <w:pPr>
              <w:pStyle w:val="NoSpacing"/>
              <w:spacing w:line="276" w:lineRule="auto"/>
              <w:jc w:val="both"/>
              <w:rPr>
                <w:rFonts w:ascii="Times New Roman" w:hAnsi="Times New Roman"/>
              </w:rPr>
            </w:pPr>
            <w:r>
              <w:rPr>
                <w:rFonts w:ascii="Times New Roman" w:hAnsi="Times New Roman"/>
              </w:rPr>
              <w:t>Cemetery Operations</w:t>
            </w:r>
          </w:p>
        </w:tc>
        <w:tc>
          <w:tcPr>
            <w:tcW w:w="2057" w:type="dxa"/>
          </w:tcPr>
          <w:p>
            <w:pPr>
              <w:pStyle w:val="NoSpacing"/>
              <w:spacing w:line="276" w:lineRule="auto"/>
              <w:jc w:val="center"/>
              <w:rPr>
                <w:rFonts w:ascii="Times New Roman" w:hAnsi="Times New Roman"/>
              </w:rPr>
            </w:pPr>
            <w:r>
              <w:rPr>
                <w:rFonts w:ascii="Times New Roman" w:hAnsi="Times New Roman"/>
              </w:rPr>
              <w:t>1742-1037-10</w:t>
            </w:r>
          </w:p>
        </w:tc>
        <w:tc>
          <w:tcPr>
            <w:tcW w:w="1949" w:type="dxa"/>
          </w:tcPr>
          <w:p>
            <w:pPr>
              <w:pStyle w:val="NoSpacing"/>
              <w:spacing w:line="276" w:lineRule="auto"/>
              <w:jc w:val="center"/>
              <w:rPr>
                <w:rFonts w:ascii="Times New Roman" w:hAnsi="Times New Roman"/>
              </w:rPr>
            </w:pPr>
            <w:r>
              <w:rPr>
                <w:rFonts w:ascii="Times New Roman" w:hAnsi="Times New Roman"/>
              </w:rPr>
              <w:t>5</w:t>
            </w:r>
          </w:p>
        </w:tc>
      </w:tr>
      <w:tr>
        <w:trPr>
          <w:trHeight w:val="20"/>
          <w:jc w:val="center"/>
        </w:trPr>
        <w:tc>
          <w:tcPr>
            <w:tcW w:w="2830" w:type="dxa"/>
          </w:tcPr>
          <w:p>
            <w:pPr>
              <w:pStyle w:val="NoSpacing"/>
              <w:spacing w:line="276" w:lineRule="auto"/>
              <w:jc w:val="both"/>
              <w:rPr>
                <w:rFonts w:ascii="Times New Roman" w:hAnsi="Times New Roman"/>
              </w:rPr>
            </w:pPr>
            <w:r>
              <w:rPr>
                <w:rFonts w:ascii="Times New Roman" w:hAnsi="Times New Roman"/>
              </w:rPr>
              <w:t>Market Operations</w:t>
            </w:r>
          </w:p>
        </w:tc>
        <w:tc>
          <w:tcPr>
            <w:tcW w:w="2057" w:type="dxa"/>
          </w:tcPr>
          <w:p>
            <w:pPr>
              <w:pStyle w:val="NoSpacing"/>
              <w:spacing w:line="276" w:lineRule="auto"/>
              <w:jc w:val="center"/>
              <w:rPr>
                <w:rFonts w:ascii="Times New Roman" w:hAnsi="Times New Roman"/>
              </w:rPr>
            </w:pPr>
            <w:r>
              <w:rPr>
                <w:rFonts w:ascii="Times New Roman" w:hAnsi="Times New Roman"/>
              </w:rPr>
              <w:t>1742-1008-35</w:t>
            </w:r>
          </w:p>
        </w:tc>
        <w:tc>
          <w:tcPr>
            <w:tcW w:w="1949" w:type="dxa"/>
          </w:tcPr>
          <w:p>
            <w:pPr>
              <w:pStyle w:val="NoSpacing"/>
              <w:spacing w:line="276" w:lineRule="auto"/>
              <w:jc w:val="center"/>
              <w:rPr>
                <w:rFonts w:ascii="Times New Roman" w:hAnsi="Times New Roman"/>
              </w:rPr>
            </w:pPr>
            <w:r>
              <w:rPr>
                <w:rFonts w:ascii="Times New Roman" w:hAnsi="Times New Roman"/>
              </w:rPr>
              <w:t>2</w:t>
            </w:r>
          </w:p>
        </w:tc>
      </w:tr>
      <w:tr>
        <w:trPr>
          <w:trHeight w:val="20"/>
          <w:jc w:val="center"/>
        </w:trPr>
        <w:tc>
          <w:tcPr>
            <w:tcW w:w="2830" w:type="dxa"/>
          </w:tcPr>
          <w:p>
            <w:pPr>
              <w:pStyle w:val="NoSpacing"/>
              <w:spacing w:line="276" w:lineRule="auto"/>
              <w:jc w:val="both"/>
              <w:rPr>
                <w:rFonts w:ascii="Times New Roman" w:hAnsi="Times New Roman"/>
              </w:rPr>
            </w:pPr>
            <w:r>
              <w:rPr>
                <w:rFonts w:ascii="Times New Roman" w:hAnsi="Times New Roman"/>
              </w:rPr>
              <w:t>Trust Fund Proper</w:t>
            </w:r>
          </w:p>
        </w:tc>
        <w:tc>
          <w:tcPr>
            <w:tcW w:w="2057" w:type="dxa"/>
          </w:tcPr>
          <w:p>
            <w:pPr>
              <w:pStyle w:val="NoSpacing"/>
              <w:spacing w:line="276" w:lineRule="auto"/>
              <w:jc w:val="center"/>
              <w:rPr>
                <w:rFonts w:ascii="Times New Roman" w:hAnsi="Times New Roman"/>
              </w:rPr>
            </w:pPr>
            <w:r>
              <w:rPr>
                <w:rFonts w:ascii="Times New Roman" w:hAnsi="Times New Roman"/>
              </w:rPr>
              <w:t>1742-1007-03</w:t>
            </w:r>
          </w:p>
        </w:tc>
        <w:tc>
          <w:tcPr>
            <w:tcW w:w="1949" w:type="dxa"/>
          </w:tcPr>
          <w:p>
            <w:pPr>
              <w:pStyle w:val="NoSpacing"/>
              <w:spacing w:line="276" w:lineRule="auto"/>
              <w:jc w:val="center"/>
              <w:rPr>
                <w:rFonts w:ascii="Times New Roman" w:hAnsi="Times New Roman"/>
              </w:rPr>
            </w:pPr>
            <w:r>
              <w:rPr>
                <w:rFonts w:ascii="Times New Roman" w:hAnsi="Times New Roman"/>
              </w:rPr>
              <w:t>1</w:t>
            </w:r>
          </w:p>
        </w:tc>
      </w:tr>
      <w:tr>
        <w:trPr>
          <w:trHeight w:val="20"/>
          <w:jc w:val="center"/>
        </w:trPr>
        <w:tc>
          <w:tcPr>
            <w:tcW w:w="2830" w:type="dxa"/>
          </w:tcPr>
          <w:p>
            <w:pPr>
              <w:pStyle w:val="NoSpacing"/>
              <w:spacing w:line="276" w:lineRule="auto"/>
              <w:jc w:val="both"/>
              <w:rPr>
                <w:rFonts w:ascii="Times New Roman" w:hAnsi="Times New Roman"/>
                <w:b/>
              </w:rPr>
            </w:pPr>
            <w:r>
              <w:rPr>
                <w:rFonts w:ascii="Times New Roman" w:hAnsi="Times New Roman"/>
                <w:b/>
              </w:rPr>
              <w:t>TOTAL</w:t>
            </w:r>
          </w:p>
        </w:tc>
        <w:tc>
          <w:tcPr>
            <w:tcW w:w="2057" w:type="dxa"/>
          </w:tcPr>
          <w:p>
            <w:pPr>
              <w:pStyle w:val="NoSpacing"/>
              <w:spacing w:line="276" w:lineRule="auto"/>
              <w:jc w:val="center"/>
              <w:rPr>
                <w:rFonts w:ascii="Times New Roman" w:hAnsi="Times New Roman"/>
              </w:rPr>
            </w:pPr>
          </w:p>
        </w:tc>
        <w:tc>
          <w:tcPr>
            <w:tcW w:w="1949" w:type="dxa"/>
          </w:tcPr>
          <w:p>
            <w:pPr>
              <w:pStyle w:val="NoSpacing"/>
              <w:spacing w:line="276" w:lineRule="auto"/>
              <w:jc w:val="center"/>
              <w:rPr>
                <w:rFonts w:ascii="Times New Roman" w:hAnsi="Times New Roman"/>
                <w:b/>
              </w:rPr>
            </w:pPr>
            <w:r>
              <w:rPr>
                <w:rFonts w:ascii="Times New Roman" w:hAnsi="Times New Roman"/>
                <w:b/>
              </w:rPr>
              <w:t>43</w:t>
            </w:r>
          </w:p>
        </w:tc>
      </w:tr>
    </w:tbl>
    <w:p>
      <w:pPr>
        <w:spacing w:line="276" w:lineRule="auto"/>
        <w:ind w:right="-86"/>
        <w:jc w:val="both"/>
      </w:pPr>
    </w:p>
    <w:p>
      <w:pPr>
        <w:pStyle w:val="NoSpacing"/>
        <w:spacing w:line="276" w:lineRule="auto"/>
        <w:jc w:val="both"/>
        <w:rPr>
          <w:rFonts w:ascii="Times New Roman" w:hAnsi="Times New Roman"/>
          <w:sz w:val="24"/>
          <w:szCs w:val="24"/>
        </w:rPr>
      </w:pPr>
      <w:r>
        <w:rPr>
          <w:rFonts w:ascii="Times New Roman" w:hAnsi="Times New Roman"/>
          <w:sz w:val="24"/>
          <w:szCs w:val="24"/>
        </w:rPr>
        <w:t>Inquiry from the CTO disclosed that they already transmitted List of Cancelled Checks for CY 2022 with 147</w:t>
      </w:r>
      <w:r>
        <w:rPr>
          <w:rFonts w:ascii="Times New Roman" w:hAnsi="Times New Roman"/>
          <w:b/>
          <w:sz w:val="24"/>
          <w:szCs w:val="24"/>
        </w:rPr>
        <w:t xml:space="preserve"> </w:t>
      </w:r>
      <w:r>
        <w:rPr>
          <w:rFonts w:ascii="Times New Roman" w:hAnsi="Times New Roman"/>
          <w:sz w:val="24"/>
          <w:szCs w:val="24"/>
        </w:rPr>
        <w:t>cancelled checks attached to CAO, viz:</w:t>
      </w:r>
    </w:p>
    <w:p>
      <w:pPr>
        <w:spacing w:line="276" w:lineRule="auto"/>
        <w:ind w:right="-86"/>
        <w:jc w:val="both"/>
      </w:pPr>
    </w:p>
    <w:p>
      <w:pPr>
        <w:pStyle w:val="NoSpacing"/>
        <w:spacing w:line="276" w:lineRule="auto"/>
        <w:ind w:firstLine="360"/>
        <w:jc w:val="both"/>
        <w:rPr>
          <w:rFonts w:ascii="Times New Roman" w:hAnsi="Times New Roman"/>
          <w:i/>
          <w:sz w:val="24"/>
          <w:szCs w:val="24"/>
        </w:rPr>
      </w:pPr>
      <w:r>
        <w:rPr>
          <w:rFonts w:ascii="Times New Roman" w:hAnsi="Times New Roman"/>
          <w:i/>
          <w:sz w:val="24"/>
          <w:szCs w:val="24"/>
        </w:rPr>
        <w:t>Table 1.7. Schedule of transmitted cancelled checks to the City Accounting Office</w:t>
      </w:r>
    </w:p>
    <w:tbl>
      <w:tblPr>
        <w:tblStyle w:val="TableGrid"/>
        <w:tblW w:w="0" w:type="auto"/>
        <w:jc w:val="center"/>
        <w:tblLook w:val="04A0" w:firstRow="1" w:lastRow="0" w:firstColumn="1" w:lastColumn="0" w:noHBand="0" w:noVBand="1"/>
      </w:tblPr>
      <w:tblGrid>
        <w:gridCol w:w="2943"/>
        <w:gridCol w:w="2693"/>
        <w:gridCol w:w="2409"/>
      </w:tblGrid>
      <w:tr>
        <w:trPr>
          <w:trHeight w:val="20"/>
          <w:tblHeader/>
          <w:jc w:val="center"/>
        </w:trPr>
        <w:tc>
          <w:tcPr>
            <w:tcW w:w="2943" w:type="dxa"/>
            <w:shd w:val="clear" w:color="auto" w:fill="auto"/>
            <w:vAlign w:val="center"/>
          </w:tcPr>
          <w:p>
            <w:pPr>
              <w:pStyle w:val="NoSpacing"/>
              <w:spacing w:line="276" w:lineRule="auto"/>
              <w:jc w:val="center"/>
              <w:rPr>
                <w:rFonts w:ascii="Times New Roman" w:hAnsi="Times New Roman"/>
                <w:b/>
              </w:rPr>
            </w:pPr>
            <w:bookmarkStart w:id="1" w:name="OLE_LINK1"/>
            <w:r>
              <w:rPr>
                <w:rFonts w:ascii="Times New Roman" w:hAnsi="Times New Roman"/>
                <w:b/>
              </w:rPr>
              <w:t>Month Covered</w:t>
            </w:r>
          </w:p>
        </w:tc>
        <w:tc>
          <w:tcPr>
            <w:tcW w:w="2693" w:type="dxa"/>
            <w:shd w:val="clear" w:color="auto" w:fill="auto"/>
            <w:vAlign w:val="center"/>
          </w:tcPr>
          <w:p>
            <w:pPr>
              <w:pStyle w:val="NoSpacing"/>
              <w:spacing w:line="276" w:lineRule="auto"/>
              <w:jc w:val="center"/>
              <w:rPr>
                <w:rFonts w:ascii="Times New Roman" w:hAnsi="Times New Roman"/>
                <w:b/>
              </w:rPr>
            </w:pPr>
            <w:r>
              <w:rPr>
                <w:rFonts w:ascii="Times New Roman" w:hAnsi="Times New Roman"/>
                <w:b/>
              </w:rPr>
              <w:t>Date Transmitted to City Accounting Office</w:t>
            </w:r>
          </w:p>
        </w:tc>
        <w:tc>
          <w:tcPr>
            <w:tcW w:w="2409" w:type="dxa"/>
            <w:shd w:val="clear" w:color="auto" w:fill="auto"/>
            <w:vAlign w:val="center"/>
          </w:tcPr>
          <w:p>
            <w:pPr>
              <w:pStyle w:val="NoSpacing"/>
              <w:spacing w:line="276" w:lineRule="auto"/>
              <w:jc w:val="center"/>
              <w:rPr>
                <w:rFonts w:ascii="Times New Roman" w:hAnsi="Times New Roman"/>
                <w:b/>
              </w:rPr>
            </w:pPr>
            <w:r>
              <w:rPr>
                <w:rFonts w:ascii="Times New Roman" w:hAnsi="Times New Roman"/>
                <w:b/>
              </w:rPr>
              <w:t>Quantity</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January 2022</w:t>
            </w:r>
          </w:p>
        </w:tc>
        <w:tc>
          <w:tcPr>
            <w:tcW w:w="2693" w:type="dxa"/>
          </w:tcPr>
          <w:p>
            <w:pPr>
              <w:pStyle w:val="NoSpacing"/>
              <w:spacing w:line="276" w:lineRule="auto"/>
              <w:rPr>
                <w:rFonts w:ascii="Times New Roman" w:hAnsi="Times New Roman"/>
              </w:rPr>
            </w:pPr>
            <w:r>
              <w:rPr>
                <w:rFonts w:ascii="Times New Roman" w:hAnsi="Times New Roman"/>
              </w:rPr>
              <w:t>January 28, 2022</w:t>
            </w:r>
          </w:p>
        </w:tc>
        <w:tc>
          <w:tcPr>
            <w:tcW w:w="2409" w:type="dxa"/>
          </w:tcPr>
          <w:p>
            <w:pPr>
              <w:pStyle w:val="NoSpacing"/>
              <w:spacing w:line="276" w:lineRule="auto"/>
              <w:jc w:val="center"/>
              <w:rPr>
                <w:rFonts w:ascii="Times New Roman" w:hAnsi="Times New Roman"/>
              </w:rPr>
            </w:pPr>
            <w:r>
              <w:rPr>
                <w:rFonts w:ascii="Times New Roman" w:hAnsi="Times New Roman"/>
              </w:rPr>
              <w:t>15</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February 2022</w:t>
            </w:r>
          </w:p>
        </w:tc>
        <w:tc>
          <w:tcPr>
            <w:tcW w:w="2693" w:type="dxa"/>
          </w:tcPr>
          <w:p>
            <w:pPr>
              <w:pStyle w:val="NoSpacing"/>
              <w:spacing w:line="276" w:lineRule="auto"/>
              <w:rPr>
                <w:rFonts w:ascii="Times New Roman" w:hAnsi="Times New Roman"/>
              </w:rPr>
            </w:pPr>
            <w:r>
              <w:rPr>
                <w:rFonts w:ascii="Times New Roman" w:hAnsi="Times New Roman"/>
              </w:rPr>
              <w:t>March 1, 2022</w:t>
            </w:r>
          </w:p>
        </w:tc>
        <w:tc>
          <w:tcPr>
            <w:tcW w:w="2409" w:type="dxa"/>
          </w:tcPr>
          <w:p>
            <w:pPr>
              <w:pStyle w:val="NoSpacing"/>
              <w:spacing w:line="276" w:lineRule="auto"/>
              <w:jc w:val="center"/>
              <w:rPr>
                <w:rFonts w:ascii="Times New Roman" w:hAnsi="Times New Roman"/>
              </w:rPr>
            </w:pPr>
            <w:r>
              <w:rPr>
                <w:rFonts w:ascii="Times New Roman" w:hAnsi="Times New Roman"/>
              </w:rPr>
              <w:t>18</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March 2022</w:t>
            </w:r>
          </w:p>
        </w:tc>
        <w:tc>
          <w:tcPr>
            <w:tcW w:w="2693" w:type="dxa"/>
          </w:tcPr>
          <w:p>
            <w:pPr>
              <w:pStyle w:val="NoSpacing"/>
              <w:spacing w:line="276" w:lineRule="auto"/>
              <w:rPr>
                <w:rFonts w:ascii="Times New Roman" w:hAnsi="Times New Roman"/>
              </w:rPr>
            </w:pPr>
            <w:r>
              <w:rPr>
                <w:rFonts w:ascii="Times New Roman" w:hAnsi="Times New Roman"/>
              </w:rPr>
              <w:t>April 1, 2022</w:t>
            </w:r>
          </w:p>
        </w:tc>
        <w:tc>
          <w:tcPr>
            <w:tcW w:w="2409" w:type="dxa"/>
          </w:tcPr>
          <w:p>
            <w:pPr>
              <w:pStyle w:val="NoSpacing"/>
              <w:spacing w:line="276" w:lineRule="auto"/>
              <w:jc w:val="center"/>
              <w:rPr>
                <w:rFonts w:ascii="Times New Roman" w:hAnsi="Times New Roman"/>
              </w:rPr>
            </w:pPr>
            <w:r>
              <w:rPr>
                <w:rFonts w:ascii="Times New Roman" w:hAnsi="Times New Roman"/>
              </w:rPr>
              <w:t>10</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April 2022</w:t>
            </w:r>
          </w:p>
        </w:tc>
        <w:tc>
          <w:tcPr>
            <w:tcW w:w="2693" w:type="dxa"/>
          </w:tcPr>
          <w:p>
            <w:pPr>
              <w:pStyle w:val="NoSpacing"/>
              <w:spacing w:line="276" w:lineRule="auto"/>
              <w:rPr>
                <w:rFonts w:ascii="Times New Roman" w:hAnsi="Times New Roman"/>
              </w:rPr>
            </w:pPr>
            <w:r>
              <w:rPr>
                <w:rFonts w:ascii="Times New Roman" w:hAnsi="Times New Roman"/>
              </w:rPr>
              <w:t>May 2, 2022</w:t>
            </w:r>
          </w:p>
        </w:tc>
        <w:tc>
          <w:tcPr>
            <w:tcW w:w="2409" w:type="dxa"/>
          </w:tcPr>
          <w:p>
            <w:pPr>
              <w:pStyle w:val="NoSpacing"/>
              <w:spacing w:line="276" w:lineRule="auto"/>
              <w:jc w:val="center"/>
              <w:rPr>
                <w:rFonts w:ascii="Times New Roman" w:hAnsi="Times New Roman"/>
              </w:rPr>
            </w:pPr>
            <w:r>
              <w:rPr>
                <w:rFonts w:ascii="Times New Roman" w:hAnsi="Times New Roman"/>
              </w:rPr>
              <w:t>11</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May 2022</w:t>
            </w:r>
          </w:p>
        </w:tc>
        <w:tc>
          <w:tcPr>
            <w:tcW w:w="2693" w:type="dxa"/>
          </w:tcPr>
          <w:p>
            <w:pPr>
              <w:pStyle w:val="NoSpacing"/>
              <w:spacing w:line="276" w:lineRule="auto"/>
              <w:rPr>
                <w:rFonts w:ascii="Times New Roman" w:hAnsi="Times New Roman"/>
              </w:rPr>
            </w:pPr>
            <w:r>
              <w:rPr>
                <w:rFonts w:ascii="Times New Roman" w:hAnsi="Times New Roman"/>
              </w:rPr>
              <w:t>June 7, 2022</w:t>
            </w:r>
          </w:p>
        </w:tc>
        <w:tc>
          <w:tcPr>
            <w:tcW w:w="2409" w:type="dxa"/>
          </w:tcPr>
          <w:p>
            <w:pPr>
              <w:pStyle w:val="NoSpacing"/>
              <w:spacing w:line="276" w:lineRule="auto"/>
              <w:jc w:val="center"/>
              <w:rPr>
                <w:rFonts w:ascii="Times New Roman" w:hAnsi="Times New Roman"/>
              </w:rPr>
            </w:pPr>
            <w:r>
              <w:rPr>
                <w:rFonts w:ascii="Times New Roman" w:hAnsi="Times New Roman"/>
              </w:rPr>
              <w:t>15</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June 2022</w:t>
            </w:r>
          </w:p>
        </w:tc>
        <w:tc>
          <w:tcPr>
            <w:tcW w:w="2693" w:type="dxa"/>
          </w:tcPr>
          <w:p>
            <w:pPr>
              <w:pStyle w:val="NoSpacing"/>
              <w:spacing w:line="276" w:lineRule="auto"/>
              <w:rPr>
                <w:rFonts w:ascii="Times New Roman" w:hAnsi="Times New Roman"/>
              </w:rPr>
            </w:pPr>
            <w:r>
              <w:rPr>
                <w:rFonts w:ascii="Times New Roman" w:hAnsi="Times New Roman"/>
              </w:rPr>
              <w:t>July 6, 2022</w:t>
            </w:r>
          </w:p>
        </w:tc>
        <w:tc>
          <w:tcPr>
            <w:tcW w:w="2409" w:type="dxa"/>
          </w:tcPr>
          <w:p>
            <w:pPr>
              <w:pStyle w:val="NoSpacing"/>
              <w:spacing w:line="276" w:lineRule="auto"/>
              <w:jc w:val="center"/>
              <w:rPr>
                <w:rFonts w:ascii="Times New Roman" w:hAnsi="Times New Roman"/>
              </w:rPr>
            </w:pPr>
            <w:r>
              <w:rPr>
                <w:rFonts w:ascii="Times New Roman" w:hAnsi="Times New Roman"/>
              </w:rPr>
              <w:t>7</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July 2022</w:t>
            </w:r>
          </w:p>
        </w:tc>
        <w:tc>
          <w:tcPr>
            <w:tcW w:w="2693" w:type="dxa"/>
          </w:tcPr>
          <w:p>
            <w:pPr>
              <w:pStyle w:val="NoSpacing"/>
              <w:spacing w:line="276" w:lineRule="auto"/>
              <w:rPr>
                <w:rFonts w:ascii="Times New Roman" w:hAnsi="Times New Roman"/>
              </w:rPr>
            </w:pPr>
            <w:r>
              <w:rPr>
                <w:rFonts w:ascii="Times New Roman" w:hAnsi="Times New Roman"/>
              </w:rPr>
              <w:t>August 2, 2022</w:t>
            </w:r>
          </w:p>
        </w:tc>
        <w:tc>
          <w:tcPr>
            <w:tcW w:w="2409" w:type="dxa"/>
          </w:tcPr>
          <w:p>
            <w:pPr>
              <w:pStyle w:val="NoSpacing"/>
              <w:spacing w:line="276" w:lineRule="auto"/>
              <w:jc w:val="center"/>
              <w:rPr>
                <w:rFonts w:ascii="Times New Roman" w:hAnsi="Times New Roman"/>
              </w:rPr>
            </w:pPr>
            <w:r>
              <w:rPr>
                <w:rFonts w:ascii="Times New Roman" w:hAnsi="Times New Roman"/>
              </w:rPr>
              <w:t>10</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August 2022</w:t>
            </w:r>
          </w:p>
        </w:tc>
        <w:tc>
          <w:tcPr>
            <w:tcW w:w="2693" w:type="dxa"/>
          </w:tcPr>
          <w:p>
            <w:pPr>
              <w:pStyle w:val="NoSpacing"/>
              <w:spacing w:line="276" w:lineRule="auto"/>
              <w:rPr>
                <w:rFonts w:ascii="Times New Roman" w:hAnsi="Times New Roman"/>
              </w:rPr>
            </w:pPr>
            <w:r>
              <w:rPr>
                <w:rFonts w:ascii="Times New Roman" w:hAnsi="Times New Roman"/>
              </w:rPr>
              <w:t>September 1, 2022</w:t>
            </w:r>
          </w:p>
        </w:tc>
        <w:tc>
          <w:tcPr>
            <w:tcW w:w="2409" w:type="dxa"/>
          </w:tcPr>
          <w:p>
            <w:pPr>
              <w:pStyle w:val="NoSpacing"/>
              <w:spacing w:line="276" w:lineRule="auto"/>
              <w:jc w:val="center"/>
              <w:rPr>
                <w:rFonts w:ascii="Times New Roman" w:hAnsi="Times New Roman"/>
              </w:rPr>
            </w:pPr>
            <w:r>
              <w:rPr>
                <w:rFonts w:ascii="Times New Roman" w:hAnsi="Times New Roman"/>
              </w:rPr>
              <w:t>26</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September 2022</w:t>
            </w:r>
          </w:p>
        </w:tc>
        <w:tc>
          <w:tcPr>
            <w:tcW w:w="2693" w:type="dxa"/>
          </w:tcPr>
          <w:p>
            <w:pPr>
              <w:pStyle w:val="NoSpacing"/>
              <w:spacing w:line="276" w:lineRule="auto"/>
              <w:rPr>
                <w:rFonts w:ascii="Times New Roman" w:hAnsi="Times New Roman"/>
              </w:rPr>
            </w:pPr>
            <w:r>
              <w:rPr>
                <w:rFonts w:ascii="Times New Roman" w:hAnsi="Times New Roman"/>
              </w:rPr>
              <w:t>October 4, 2022</w:t>
            </w:r>
          </w:p>
        </w:tc>
        <w:tc>
          <w:tcPr>
            <w:tcW w:w="2409" w:type="dxa"/>
          </w:tcPr>
          <w:p>
            <w:pPr>
              <w:pStyle w:val="NoSpacing"/>
              <w:spacing w:line="276" w:lineRule="auto"/>
              <w:jc w:val="center"/>
              <w:rPr>
                <w:rFonts w:ascii="Times New Roman" w:hAnsi="Times New Roman"/>
              </w:rPr>
            </w:pPr>
            <w:r>
              <w:rPr>
                <w:rFonts w:ascii="Times New Roman" w:hAnsi="Times New Roman"/>
              </w:rPr>
              <w:t>13</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October 2022</w:t>
            </w:r>
          </w:p>
        </w:tc>
        <w:tc>
          <w:tcPr>
            <w:tcW w:w="2693" w:type="dxa"/>
          </w:tcPr>
          <w:p>
            <w:pPr>
              <w:pStyle w:val="NoSpacing"/>
              <w:spacing w:line="276" w:lineRule="auto"/>
              <w:rPr>
                <w:rFonts w:ascii="Times New Roman" w:hAnsi="Times New Roman"/>
              </w:rPr>
            </w:pPr>
            <w:r>
              <w:rPr>
                <w:rFonts w:ascii="Times New Roman" w:hAnsi="Times New Roman"/>
              </w:rPr>
              <w:t>November 3, 2022</w:t>
            </w:r>
          </w:p>
        </w:tc>
        <w:tc>
          <w:tcPr>
            <w:tcW w:w="2409" w:type="dxa"/>
          </w:tcPr>
          <w:p>
            <w:pPr>
              <w:pStyle w:val="NoSpacing"/>
              <w:spacing w:line="276" w:lineRule="auto"/>
              <w:jc w:val="center"/>
              <w:rPr>
                <w:rFonts w:ascii="Times New Roman" w:hAnsi="Times New Roman"/>
              </w:rPr>
            </w:pPr>
            <w:r>
              <w:rPr>
                <w:rFonts w:ascii="Times New Roman" w:hAnsi="Times New Roman"/>
              </w:rPr>
              <w:t>4</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lastRenderedPageBreak/>
              <w:t>November 2022</w:t>
            </w:r>
          </w:p>
        </w:tc>
        <w:tc>
          <w:tcPr>
            <w:tcW w:w="2693" w:type="dxa"/>
          </w:tcPr>
          <w:p>
            <w:pPr>
              <w:pStyle w:val="NoSpacing"/>
              <w:spacing w:line="276" w:lineRule="auto"/>
              <w:rPr>
                <w:rFonts w:ascii="Times New Roman" w:hAnsi="Times New Roman"/>
              </w:rPr>
            </w:pPr>
            <w:r>
              <w:rPr>
                <w:rFonts w:ascii="Times New Roman" w:hAnsi="Times New Roman"/>
              </w:rPr>
              <w:t>December 2, 2022</w:t>
            </w:r>
          </w:p>
        </w:tc>
        <w:tc>
          <w:tcPr>
            <w:tcW w:w="2409" w:type="dxa"/>
          </w:tcPr>
          <w:p>
            <w:pPr>
              <w:pStyle w:val="NoSpacing"/>
              <w:spacing w:line="276" w:lineRule="auto"/>
              <w:jc w:val="center"/>
              <w:rPr>
                <w:rFonts w:ascii="Times New Roman" w:hAnsi="Times New Roman"/>
              </w:rPr>
            </w:pPr>
            <w:r>
              <w:rPr>
                <w:rFonts w:ascii="Times New Roman" w:hAnsi="Times New Roman"/>
              </w:rPr>
              <w:t>9</w:t>
            </w:r>
          </w:p>
        </w:tc>
      </w:tr>
      <w:tr>
        <w:trPr>
          <w:trHeight w:val="20"/>
          <w:jc w:val="center"/>
        </w:trPr>
        <w:tc>
          <w:tcPr>
            <w:tcW w:w="2943" w:type="dxa"/>
          </w:tcPr>
          <w:p>
            <w:pPr>
              <w:pStyle w:val="NoSpacing"/>
              <w:spacing w:line="276" w:lineRule="auto"/>
              <w:rPr>
                <w:rFonts w:ascii="Times New Roman" w:hAnsi="Times New Roman"/>
              </w:rPr>
            </w:pPr>
            <w:r>
              <w:rPr>
                <w:rFonts w:ascii="Times New Roman" w:hAnsi="Times New Roman"/>
              </w:rPr>
              <w:t>December 2022</w:t>
            </w:r>
          </w:p>
        </w:tc>
        <w:tc>
          <w:tcPr>
            <w:tcW w:w="2693" w:type="dxa"/>
          </w:tcPr>
          <w:p>
            <w:pPr>
              <w:pStyle w:val="NoSpacing"/>
              <w:spacing w:line="276" w:lineRule="auto"/>
              <w:rPr>
                <w:rFonts w:ascii="Times New Roman" w:hAnsi="Times New Roman"/>
              </w:rPr>
            </w:pPr>
            <w:r>
              <w:rPr>
                <w:rFonts w:ascii="Times New Roman" w:hAnsi="Times New Roman"/>
              </w:rPr>
              <w:t>December 29, 2022</w:t>
            </w:r>
          </w:p>
        </w:tc>
        <w:tc>
          <w:tcPr>
            <w:tcW w:w="2409" w:type="dxa"/>
          </w:tcPr>
          <w:p>
            <w:pPr>
              <w:pStyle w:val="NoSpacing"/>
              <w:spacing w:line="276" w:lineRule="auto"/>
              <w:jc w:val="center"/>
              <w:rPr>
                <w:rFonts w:ascii="Times New Roman" w:hAnsi="Times New Roman"/>
              </w:rPr>
            </w:pPr>
            <w:r>
              <w:rPr>
                <w:rFonts w:ascii="Times New Roman" w:hAnsi="Times New Roman"/>
              </w:rPr>
              <w:t>9</w:t>
            </w:r>
          </w:p>
        </w:tc>
      </w:tr>
      <w:bookmarkEnd w:id="1"/>
    </w:tbl>
    <w:p>
      <w:pPr>
        <w:spacing w:line="276" w:lineRule="auto"/>
        <w:ind w:right="-86"/>
        <w:jc w:val="both"/>
      </w:pPr>
    </w:p>
    <w:p>
      <w:pPr>
        <w:pStyle w:val="NoSpacing"/>
        <w:spacing w:line="276" w:lineRule="auto"/>
        <w:jc w:val="both"/>
        <w:rPr>
          <w:rFonts w:ascii="Times New Roman" w:hAnsi="Times New Roman"/>
          <w:sz w:val="24"/>
          <w:szCs w:val="24"/>
        </w:rPr>
      </w:pPr>
      <w:r>
        <w:rPr>
          <w:rFonts w:ascii="Times New Roman" w:hAnsi="Times New Roman"/>
          <w:sz w:val="24"/>
          <w:szCs w:val="24"/>
        </w:rPr>
        <w:t xml:space="preserve">The validation of the existence of the cancelled checks as reported in the Reports of Checks Issued (RCI) is one of cash management control procedures. The CAO has already submitted 104 out of 147 cancelled checks to the Commission on Audit Office, and as to this date only 43 cancelled checks remained unsubmitted. The CAO explained that due to non-proper turnover of the personnel-in-charge who recently resigned, the cancelled checks were not transmitted to COA. </w:t>
      </w:r>
    </w:p>
    <w:p>
      <w:pPr>
        <w:pStyle w:val="NoSpacing"/>
        <w:spacing w:line="276" w:lineRule="auto"/>
        <w:jc w:val="both"/>
        <w:rPr>
          <w:rFonts w:ascii="Times New Roman" w:hAnsi="Times New Roman"/>
          <w:sz w:val="24"/>
          <w:szCs w:val="24"/>
        </w:rPr>
      </w:pPr>
    </w:p>
    <w:p>
      <w:pPr>
        <w:spacing w:line="276" w:lineRule="auto"/>
        <w:ind w:right="-86"/>
        <w:jc w:val="both"/>
      </w:pPr>
      <w:r>
        <w:t>The non-submission of cancelled checks is contrary to Section 44 (k) Vol. 1 of NGAS for LGUs, thus with the foregoing conditions, validation thereof could not be timely made.</w:t>
      </w:r>
    </w:p>
    <w:p>
      <w:pPr>
        <w:spacing w:line="276" w:lineRule="auto"/>
        <w:ind w:right="-86"/>
        <w:jc w:val="both"/>
      </w:pPr>
    </w:p>
    <w:p>
      <w:pPr>
        <w:pBdr>
          <w:top w:val="nil"/>
          <w:left w:val="nil"/>
          <w:bottom w:val="nil"/>
          <w:right w:val="nil"/>
          <w:between w:val="nil"/>
        </w:pBdr>
        <w:spacing w:line="276" w:lineRule="auto"/>
        <w:jc w:val="both"/>
        <w:rPr>
          <w:b/>
          <w:color w:val="000000"/>
        </w:rPr>
      </w:pPr>
      <w:r>
        <w:rPr>
          <w:b/>
          <w:color w:val="000000"/>
        </w:rPr>
        <w:t>Recommendations:</w:t>
      </w:r>
    </w:p>
    <w:p>
      <w:pPr>
        <w:pBdr>
          <w:top w:val="nil"/>
          <w:left w:val="nil"/>
          <w:bottom w:val="nil"/>
          <w:right w:val="nil"/>
          <w:between w:val="nil"/>
        </w:pBdr>
        <w:spacing w:line="276" w:lineRule="auto"/>
        <w:jc w:val="both"/>
        <w:rPr>
          <w:color w:val="000000"/>
        </w:rPr>
      </w:pPr>
    </w:p>
    <w:p>
      <w:pPr>
        <w:pBdr>
          <w:top w:val="nil"/>
          <w:left w:val="nil"/>
          <w:bottom w:val="nil"/>
          <w:right w:val="nil"/>
          <w:between w:val="nil"/>
        </w:pBdr>
        <w:spacing w:line="276" w:lineRule="auto"/>
        <w:jc w:val="both"/>
        <w:rPr>
          <w:color w:val="000000"/>
        </w:rPr>
      </w:pPr>
      <w:r>
        <w:rPr>
          <w:color w:val="000000"/>
        </w:rPr>
        <w:t>We recommended the City Mayor to:</w:t>
      </w:r>
    </w:p>
    <w:p>
      <w:pPr>
        <w:pBdr>
          <w:top w:val="nil"/>
          <w:left w:val="nil"/>
          <w:bottom w:val="nil"/>
          <w:right w:val="nil"/>
          <w:between w:val="nil"/>
        </w:pBdr>
        <w:spacing w:line="276" w:lineRule="auto"/>
        <w:jc w:val="both"/>
        <w:rPr>
          <w:color w:val="000000"/>
        </w:rPr>
      </w:pPr>
    </w:p>
    <w:p>
      <w:pPr>
        <w:numPr>
          <w:ilvl w:val="0"/>
          <w:numId w:val="7"/>
        </w:numPr>
        <w:pBdr>
          <w:top w:val="nil"/>
          <w:left w:val="nil"/>
          <w:bottom w:val="nil"/>
          <w:right w:val="nil"/>
          <w:between w:val="nil"/>
        </w:pBdr>
        <w:spacing w:line="276" w:lineRule="auto"/>
        <w:ind w:left="720"/>
        <w:jc w:val="both"/>
        <w:rPr>
          <w:color w:val="000000"/>
        </w:rPr>
      </w:pPr>
      <w:r>
        <w:rPr>
          <w:color w:val="000000"/>
        </w:rPr>
        <w:t>Direct the City Treasurer’s Office (CTO) to ensure timely submission of the Schedule of Staled Checks and the Bank Credit/Debit Memoranda to the City Accounting Office for its proper recording in the books of accounts;</w:t>
      </w:r>
    </w:p>
    <w:p>
      <w:pPr>
        <w:pBdr>
          <w:top w:val="nil"/>
          <w:left w:val="nil"/>
          <w:bottom w:val="nil"/>
          <w:right w:val="nil"/>
          <w:between w:val="nil"/>
        </w:pBdr>
        <w:spacing w:line="276" w:lineRule="auto"/>
        <w:ind w:left="720"/>
        <w:jc w:val="both"/>
        <w:rPr>
          <w:color w:val="000000"/>
        </w:rPr>
      </w:pPr>
    </w:p>
    <w:p>
      <w:pPr>
        <w:numPr>
          <w:ilvl w:val="0"/>
          <w:numId w:val="7"/>
        </w:numPr>
        <w:pBdr>
          <w:top w:val="nil"/>
          <w:left w:val="nil"/>
          <w:bottom w:val="nil"/>
          <w:right w:val="nil"/>
          <w:between w:val="nil"/>
        </w:pBdr>
        <w:spacing w:line="276" w:lineRule="auto"/>
        <w:ind w:left="720" w:right="-86"/>
        <w:jc w:val="both"/>
      </w:pPr>
      <w:r>
        <w:rPr>
          <w:color w:val="000000"/>
        </w:rPr>
        <w:t xml:space="preserve">Instruct the CTO and </w:t>
      </w:r>
      <w:r>
        <w:t xml:space="preserve">City Accounting Office </w:t>
      </w:r>
      <w:r>
        <w:rPr>
          <w:color w:val="000000"/>
        </w:rPr>
        <w:t>(CAO) to</w:t>
      </w:r>
      <w:r>
        <w:t xml:space="preserve"> reconcile the discrepancies noted between their records and to regularly reconcile the same so that errors and discrepancies in balances could be traced and accordingly adjusted;</w:t>
      </w:r>
    </w:p>
    <w:p>
      <w:pPr>
        <w:pBdr>
          <w:top w:val="nil"/>
          <w:left w:val="nil"/>
          <w:bottom w:val="nil"/>
          <w:right w:val="nil"/>
          <w:between w:val="nil"/>
        </w:pBdr>
        <w:spacing w:line="276" w:lineRule="auto"/>
        <w:ind w:right="-86"/>
        <w:jc w:val="both"/>
      </w:pPr>
    </w:p>
    <w:p>
      <w:pPr>
        <w:numPr>
          <w:ilvl w:val="0"/>
          <w:numId w:val="7"/>
        </w:numPr>
        <w:pBdr>
          <w:top w:val="nil"/>
          <w:left w:val="nil"/>
          <w:bottom w:val="nil"/>
          <w:right w:val="nil"/>
          <w:between w:val="nil"/>
        </w:pBdr>
        <w:spacing w:line="276" w:lineRule="auto"/>
        <w:ind w:left="720" w:right="-86"/>
        <w:jc w:val="both"/>
        <w:rPr>
          <w:rFonts w:eastAsia="Calibri"/>
          <w:color w:val="000000"/>
        </w:rPr>
      </w:pPr>
      <w:r>
        <w:t>Order the CTO to determine the accountable officer liable for the closure/dormancy of the bank account under One Network Bank; after which, the City Accounting Office to adjust the Cash in Bank – Local Currency Current Account by setting-up a receivable account for the liable accountable officer;</w:t>
      </w:r>
    </w:p>
    <w:p>
      <w:pPr>
        <w:pBdr>
          <w:top w:val="nil"/>
          <w:left w:val="nil"/>
          <w:bottom w:val="nil"/>
          <w:right w:val="nil"/>
          <w:between w:val="nil"/>
        </w:pBdr>
        <w:spacing w:line="276" w:lineRule="auto"/>
        <w:ind w:left="720" w:right="-86"/>
        <w:jc w:val="both"/>
        <w:rPr>
          <w:rFonts w:eastAsia="Calibri"/>
          <w:color w:val="000000"/>
        </w:rPr>
      </w:pPr>
    </w:p>
    <w:p>
      <w:pPr>
        <w:numPr>
          <w:ilvl w:val="0"/>
          <w:numId w:val="7"/>
        </w:numPr>
        <w:pBdr>
          <w:top w:val="nil"/>
          <w:left w:val="nil"/>
          <w:bottom w:val="nil"/>
          <w:right w:val="nil"/>
          <w:between w:val="nil"/>
        </w:pBdr>
        <w:spacing w:line="276" w:lineRule="auto"/>
        <w:ind w:left="720" w:right="-86"/>
        <w:jc w:val="both"/>
        <w:rPr>
          <w:rFonts w:eastAsia="Calibri"/>
          <w:color w:val="000000"/>
        </w:rPr>
      </w:pPr>
      <w:r>
        <w:rPr>
          <w:rFonts w:eastAsiaTheme="minorHAnsi"/>
          <w:bCs/>
        </w:rPr>
        <w:t>Direct the CTO to close the dormant bank accounts and to revert the balances to the general fund or the National Treasury, wherever applicable, in order to provide the government of additional resources to support its various programs and projects;</w:t>
      </w:r>
    </w:p>
    <w:p>
      <w:pPr>
        <w:pBdr>
          <w:top w:val="nil"/>
          <w:left w:val="nil"/>
          <w:bottom w:val="nil"/>
          <w:right w:val="nil"/>
          <w:between w:val="nil"/>
        </w:pBdr>
        <w:spacing w:line="276" w:lineRule="auto"/>
        <w:ind w:left="720" w:right="-86"/>
        <w:jc w:val="both"/>
        <w:rPr>
          <w:rFonts w:eastAsia="Calibri"/>
          <w:color w:val="000000"/>
        </w:rPr>
      </w:pPr>
    </w:p>
    <w:p>
      <w:pPr>
        <w:numPr>
          <w:ilvl w:val="0"/>
          <w:numId w:val="7"/>
        </w:numPr>
        <w:pBdr>
          <w:top w:val="nil"/>
          <w:left w:val="nil"/>
          <w:bottom w:val="nil"/>
          <w:right w:val="nil"/>
          <w:between w:val="nil"/>
        </w:pBdr>
        <w:spacing w:line="276" w:lineRule="auto"/>
        <w:ind w:left="720" w:right="-86"/>
        <w:jc w:val="both"/>
        <w:rPr>
          <w:rFonts w:eastAsia="Calibri"/>
          <w:color w:val="000000"/>
        </w:rPr>
      </w:pPr>
      <w:r>
        <w:t>Direct the CAO to submit the remaining 43 checks to COA for validation and to ensure regular submission thereof;</w:t>
      </w:r>
    </w:p>
    <w:p>
      <w:pPr>
        <w:pBdr>
          <w:top w:val="nil"/>
          <w:left w:val="nil"/>
          <w:bottom w:val="nil"/>
          <w:right w:val="nil"/>
          <w:between w:val="nil"/>
        </w:pBdr>
        <w:spacing w:line="276" w:lineRule="auto"/>
        <w:ind w:left="720"/>
        <w:jc w:val="both"/>
        <w:rPr>
          <w:color w:val="000000"/>
        </w:rPr>
      </w:pPr>
    </w:p>
    <w:p>
      <w:pPr>
        <w:numPr>
          <w:ilvl w:val="0"/>
          <w:numId w:val="7"/>
        </w:numPr>
        <w:pBdr>
          <w:top w:val="nil"/>
          <w:left w:val="nil"/>
          <w:bottom w:val="nil"/>
          <w:right w:val="nil"/>
          <w:between w:val="nil"/>
        </w:pBdr>
        <w:spacing w:line="276" w:lineRule="auto"/>
        <w:ind w:left="720"/>
        <w:jc w:val="both"/>
      </w:pPr>
      <w:r>
        <w:lastRenderedPageBreak/>
        <w:t>Enjoin the CAO to draw adjusting entries to correct the balances of affected Cash and cash equivalent accounts due to the deficiencies/errors noted; and,</w:t>
      </w:r>
    </w:p>
    <w:p>
      <w:pPr>
        <w:pBdr>
          <w:top w:val="nil"/>
          <w:left w:val="nil"/>
          <w:bottom w:val="nil"/>
          <w:right w:val="nil"/>
          <w:between w:val="nil"/>
        </w:pBdr>
        <w:spacing w:line="276" w:lineRule="auto"/>
        <w:ind w:left="720"/>
        <w:jc w:val="both"/>
      </w:pPr>
    </w:p>
    <w:p>
      <w:pPr>
        <w:numPr>
          <w:ilvl w:val="0"/>
          <w:numId w:val="7"/>
        </w:numPr>
        <w:pBdr>
          <w:top w:val="nil"/>
          <w:left w:val="nil"/>
          <w:bottom w:val="nil"/>
          <w:right w:val="nil"/>
          <w:between w:val="nil"/>
        </w:pBdr>
        <w:spacing w:line="276" w:lineRule="auto"/>
        <w:ind w:left="720"/>
        <w:jc w:val="both"/>
      </w:pPr>
      <w:r>
        <w:t>Enjoin the CTO to adjust entries in the Cash Books to reflect the correct.</w:t>
      </w:r>
    </w:p>
    <w:p>
      <w:pPr>
        <w:spacing w:line="276" w:lineRule="auto"/>
        <w:ind w:right="-86"/>
        <w:jc w:val="both"/>
      </w:pPr>
    </w:p>
    <w:p>
      <w:pPr>
        <w:spacing w:line="276" w:lineRule="auto"/>
        <w:ind w:right="162"/>
        <w:jc w:val="both"/>
        <w:rPr>
          <w:b/>
          <w:bCs/>
        </w:rPr>
      </w:pPr>
      <w:r>
        <w:rPr>
          <w:b/>
          <w:bCs/>
        </w:rPr>
        <w:t>Management’s Comment:</w:t>
      </w:r>
    </w:p>
    <w:p>
      <w:pPr>
        <w:spacing w:line="276" w:lineRule="auto"/>
        <w:ind w:right="162"/>
        <w:jc w:val="both"/>
        <w:rPr>
          <w:b/>
          <w:bCs/>
        </w:rPr>
      </w:pPr>
    </w:p>
    <w:p>
      <w:pPr>
        <w:spacing w:line="276" w:lineRule="auto"/>
        <w:ind w:right="162"/>
        <w:jc w:val="both"/>
      </w:pPr>
      <w:r>
        <w:t>The management was amenable to the audit observation and recommendations. They stated that they are aware of the long outstanding reconciling items. However, the CAO could not make the necessary adjustments due to lack of supporting documents (SDs). CAO has constantly followed up with the CTO for the submission of the necessary SDs but the latter has not yet been submitted. Likewise, the schedules of staled checks for CY 2022 and for prior years, which shall serve as basis for reversing the entry of the transactions, was not submitted to CAO by CTO.</w:t>
      </w:r>
    </w:p>
    <w:p>
      <w:pPr>
        <w:spacing w:line="276" w:lineRule="auto"/>
        <w:ind w:right="162"/>
        <w:jc w:val="both"/>
      </w:pPr>
    </w:p>
    <w:p>
      <w:pPr>
        <w:spacing w:line="276" w:lineRule="auto"/>
        <w:ind w:right="162"/>
        <w:jc w:val="both"/>
      </w:pPr>
      <w:r>
        <w:t>The CAO assured that adjusting entries will be taken up to correct the discrepancies and errors upon receipt of the necessary supporting documents. The CAO also informed that they have highlighted to their personnel the timely and accurate bookings of all transactions of the City and emphasized the reliability and credibility of the financial statement presentation. The CAO pledged their best efforts in making all the necessary actions to address all issues that had arisen in the accounting operation in order to maintain and ultimately present fairly the financial statement of the City.</w:t>
      </w:r>
    </w:p>
    <w:p>
      <w:pPr>
        <w:spacing w:line="276" w:lineRule="auto"/>
        <w:ind w:right="162"/>
        <w:jc w:val="both"/>
      </w:pPr>
    </w:p>
    <w:p>
      <w:pPr>
        <w:spacing w:line="276" w:lineRule="auto"/>
        <w:jc w:val="both"/>
      </w:pPr>
      <w:r>
        <w:rPr>
          <w:bCs/>
        </w:rPr>
        <w:t>The CTO</w:t>
      </w:r>
      <w:r>
        <w:t xml:space="preserve"> explained that personnel are frequently reminded to ensure the correctness of information and data in the reports and the timely submission thereof. Although, the office is striving to operate at its optimal performance despite the lack of manpower to complement the operations and functions of the office, it is inevitable to commit unintentional errors and lapses given the circumstances. There is only one (1) designated casual personnel for the encoding of Disbursement Vouchers, for check issuance, and for preparation of the List of Staled Checks. Further, recent reshuffling affected the proficiency of work due to re-training of the newly assigned personnel. </w:t>
      </w:r>
    </w:p>
    <w:p>
      <w:pPr>
        <w:spacing w:line="276" w:lineRule="auto"/>
        <w:jc w:val="both"/>
      </w:pPr>
    </w:p>
    <w:p>
      <w:pPr>
        <w:spacing w:line="276" w:lineRule="auto"/>
        <w:jc w:val="both"/>
      </w:pPr>
      <w:r>
        <w:t>The CTO had already submitted the List of Staled Checks on February 9, 2023 to CAO. On the other hand, the CTO expressed difficulty in securing copies of CMs and DMs from Land Bank of the Philippines despite several letter requests and verbal follow-ups made to the said government depository bank. As of writing, no reply was received from LBP.</w:t>
      </w:r>
    </w:p>
    <w:p>
      <w:pPr>
        <w:spacing w:line="276" w:lineRule="auto"/>
        <w:ind w:right="162"/>
        <w:jc w:val="both"/>
      </w:pPr>
      <w:r>
        <w:t>The CTO assured the coordination with the CAO for the implementation of the audit recommendations through the following action plan:</w:t>
      </w:r>
    </w:p>
    <w:p>
      <w:pPr>
        <w:spacing w:line="276" w:lineRule="auto"/>
        <w:ind w:right="162"/>
        <w:jc w:val="both"/>
      </w:pPr>
    </w:p>
    <w:p>
      <w:pPr>
        <w:pStyle w:val="ListParagraph"/>
        <w:numPr>
          <w:ilvl w:val="0"/>
          <w:numId w:val="70"/>
        </w:numPr>
        <w:spacing w:after="0"/>
        <w:ind w:right="162"/>
        <w:jc w:val="both"/>
        <w:rPr>
          <w:rFonts w:ascii="Times New Roman" w:hAnsi="Times New Roman"/>
          <w:sz w:val="24"/>
          <w:szCs w:val="24"/>
        </w:rPr>
      </w:pPr>
      <w:r>
        <w:rPr>
          <w:rFonts w:ascii="Times New Roman" w:hAnsi="Times New Roman"/>
          <w:sz w:val="24"/>
          <w:szCs w:val="24"/>
        </w:rPr>
        <w:lastRenderedPageBreak/>
        <w:t>Conduct an intensive review and reconciliation of records with the CAO for those accounts with total variance of P1,045,840.36 which pertains to transaction in CYs 2013-2014</w:t>
      </w:r>
    </w:p>
    <w:p>
      <w:pPr>
        <w:pStyle w:val="ListParagraph"/>
        <w:numPr>
          <w:ilvl w:val="0"/>
          <w:numId w:val="70"/>
        </w:numPr>
        <w:spacing w:after="0"/>
        <w:ind w:right="162"/>
        <w:jc w:val="both"/>
        <w:rPr>
          <w:rFonts w:ascii="Times New Roman" w:hAnsi="Times New Roman"/>
          <w:sz w:val="24"/>
          <w:szCs w:val="24"/>
        </w:rPr>
      </w:pPr>
      <w:r>
        <w:rPr>
          <w:rFonts w:ascii="Times New Roman" w:hAnsi="Times New Roman"/>
          <w:sz w:val="24"/>
          <w:szCs w:val="24"/>
        </w:rPr>
        <w:t>Conduct interview and retrieve records to determine the precise information concerning the non-existent DBP account with remaining recorded balance of P33,180.73</w:t>
      </w:r>
    </w:p>
    <w:p>
      <w:pPr>
        <w:pStyle w:val="ListParagraph"/>
        <w:numPr>
          <w:ilvl w:val="0"/>
          <w:numId w:val="70"/>
        </w:numPr>
        <w:spacing w:after="0"/>
        <w:ind w:right="-7"/>
        <w:jc w:val="both"/>
        <w:rPr>
          <w:rFonts w:ascii="Times New Roman" w:hAnsi="Times New Roman"/>
          <w:sz w:val="24"/>
          <w:szCs w:val="24"/>
        </w:rPr>
      </w:pPr>
      <w:r>
        <w:rPr>
          <w:rFonts w:ascii="Times New Roman" w:hAnsi="Times New Roman"/>
          <w:sz w:val="24"/>
          <w:szCs w:val="24"/>
        </w:rPr>
        <w:t xml:space="preserve">Recommend the City Mayor to request the Sangguniang </w:t>
      </w:r>
      <w:proofErr w:type="spellStart"/>
      <w:r>
        <w:rPr>
          <w:rFonts w:ascii="Times New Roman" w:hAnsi="Times New Roman"/>
          <w:sz w:val="24"/>
          <w:szCs w:val="24"/>
        </w:rPr>
        <w:t>Panlungsod</w:t>
      </w:r>
      <w:proofErr w:type="spellEnd"/>
      <w:r>
        <w:rPr>
          <w:rFonts w:ascii="Times New Roman" w:hAnsi="Times New Roman"/>
          <w:sz w:val="24"/>
          <w:szCs w:val="24"/>
        </w:rPr>
        <w:t xml:space="preserve"> to pass a resolution for the closure of all dormant bank accounts of the City and its reversion to the GF-Proper or to the Bureau of Treasury, wherever, is applicable.</w:t>
      </w:r>
    </w:p>
    <w:p>
      <w:pPr>
        <w:spacing w:line="276" w:lineRule="auto"/>
        <w:ind w:right="-7"/>
        <w:jc w:val="both"/>
      </w:pPr>
    </w:p>
    <w:p>
      <w:pPr>
        <w:spacing w:line="276" w:lineRule="auto"/>
        <w:ind w:right="-7"/>
        <w:jc w:val="both"/>
      </w:pPr>
      <w:r>
        <w:t xml:space="preserve">The CTO appealed for ample time in retrieving their records kept at the CTO archival room. A report will be submitted immediately to CAO after review and reconciliation. </w:t>
      </w:r>
    </w:p>
    <w:p>
      <w:pPr>
        <w:spacing w:line="276" w:lineRule="auto"/>
        <w:ind w:right="162"/>
        <w:jc w:val="both"/>
      </w:pPr>
    </w:p>
    <w:p>
      <w:pPr>
        <w:spacing w:line="276" w:lineRule="auto"/>
        <w:ind w:right="-7"/>
        <w:jc w:val="both"/>
        <w:rPr>
          <w:b/>
          <w:bCs/>
        </w:rPr>
      </w:pPr>
      <w:r>
        <w:rPr>
          <w:b/>
          <w:bCs/>
        </w:rPr>
        <w:t>Auditor’s Rejoinder:</w:t>
      </w:r>
    </w:p>
    <w:p>
      <w:pPr>
        <w:spacing w:line="276" w:lineRule="auto"/>
        <w:ind w:right="-7"/>
        <w:jc w:val="both"/>
        <w:rPr>
          <w:color w:val="FF0000"/>
        </w:rPr>
      </w:pPr>
    </w:p>
    <w:p>
      <w:pPr>
        <w:spacing w:line="276" w:lineRule="auto"/>
        <w:ind w:right="162"/>
        <w:jc w:val="both"/>
      </w:pPr>
      <w:r>
        <w:t xml:space="preserve">The Audit Team understood the predicament of the CAO and took cognizance of the immediate action made by the CTO in the submission of the list of staled checks and communications made with LBP. However, the 43 cancelled checks were not yet submitted to the Audit as of date of this report. </w:t>
      </w:r>
    </w:p>
    <w:p>
      <w:pPr>
        <w:spacing w:line="276" w:lineRule="auto"/>
        <w:ind w:right="-7"/>
        <w:jc w:val="both"/>
        <w:rPr>
          <w:b/>
          <w:bCs/>
        </w:rPr>
      </w:pPr>
    </w:p>
    <w:p>
      <w:pPr>
        <w:spacing w:line="276" w:lineRule="auto"/>
        <w:ind w:right="-7"/>
        <w:jc w:val="both"/>
      </w:pPr>
      <w:r>
        <w:t>The Audit Team acknowledged the commitment and efforts of CTO and CAO for the reconciliation of the aforementioned accounts and for the correction of lapses in cash management. However, these audit observations and recommendations are reiterations from prior years’ Annual Audit Reports; thus, stringent management action to correct the noted deficiencies should be employed to ensure the reliability and accuracy of the reflected balance of the Cash and Cash Equivalent account in the financial statements.</w:t>
      </w:r>
    </w:p>
    <w:p>
      <w:pPr>
        <w:spacing w:line="276" w:lineRule="auto"/>
        <w:ind w:right="162"/>
        <w:jc w:val="both"/>
      </w:pPr>
    </w:p>
    <w:p>
      <w:pPr>
        <w:spacing w:line="276" w:lineRule="auto"/>
        <w:ind w:right="162"/>
        <w:jc w:val="both"/>
      </w:pPr>
    </w:p>
    <w:p>
      <w:pPr>
        <w:spacing w:line="276" w:lineRule="auto"/>
        <w:ind w:right="162"/>
        <w:jc w:val="both"/>
        <w:rPr>
          <w:b/>
          <w:bCs/>
          <w:i/>
        </w:rPr>
      </w:pPr>
      <w:r>
        <w:rPr>
          <w:b/>
          <w:bCs/>
          <w:i/>
        </w:rPr>
        <w:t>Property, Plant and Equipment – Various errors and deficiencies</w:t>
      </w:r>
    </w:p>
    <w:p>
      <w:pPr>
        <w:spacing w:line="276" w:lineRule="auto"/>
        <w:ind w:right="162"/>
        <w:jc w:val="both"/>
      </w:pPr>
    </w:p>
    <w:p>
      <w:pPr>
        <w:pStyle w:val="BodyText"/>
        <w:numPr>
          <w:ilvl w:val="0"/>
          <w:numId w:val="2"/>
        </w:numPr>
        <w:spacing w:after="0" w:line="276" w:lineRule="auto"/>
        <w:ind w:left="0" w:firstLine="0"/>
        <w:jc w:val="both"/>
        <w:rPr>
          <w:b/>
        </w:rPr>
      </w:pPr>
      <w:r>
        <w:rPr>
          <w:b/>
          <w:lang w:eastAsia="en-PH"/>
        </w:rPr>
        <w:t xml:space="preserve">The accuracy of the reported balance of Property, Plant and Equipment amounting to P3,124,650,522.09 could not be ascertained due to </w:t>
      </w:r>
      <w:proofErr w:type="gramStart"/>
      <w:r>
        <w:rPr>
          <w:b/>
          <w:lang w:eastAsia="en-PH"/>
        </w:rPr>
        <w:t>various  errors</w:t>
      </w:r>
      <w:proofErr w:type="gramEnd"/>
      <w:r>
        <w:rPr>
          <w:b/>
          <w:lang w:eastAsia="en-PH"/>
        </w:rPr>
        <w:t xml:space="preserve"> and deficiencies noted, thus, fair presentation of balances presented in the financial statements at year-end is rendered doubtful.</w:t>
      </w:r>
    </w:p>
    <w:p>
      <w:pPr>
        <w:spacing w:line="276" w:lineRule="auto"/>
        <w:jc w:val="both"/>
        <w:rPr>
          <w:b/>
          <w:color w:val="000000"/>
          <w:lang w:eastAsia="en-PH"/>
        </w:rPr>
      </w:pPr>
    </w:p>
    <w:p>
      <w:pPr>
        <w:spacing w:line="276" w:lineRule="auto"/>
        <w:jc w:val="both"/>
        <w:rPr>
          <w:color w:val="000000"/>
          <w:lang w:eastAsia="en-PH"/>
        </w:rPr>
      </w:pPr>
      <w:r>
        <w:rPr>
          <w:color w:val="000000"/>
          <w:lang w:eastAsia="en-PH"/>
        </w:rPr>
        <w:t>Section 27 of the International Public-Sector Accounting Standards (IPSAS) 1 provides that:</w:t>
      </w:r>
    </w:p>
    <w:p>
      <w:pPr>
        <w:spacing w:line="276" w:lineRule="auto"/>
        <w:ind w:firstLine="720"/>
        <w:jc w:val="both"/>
        <w:rPr>
          <w:i/>
          <w:color w:val="000000"/>
          <w:lang w:eastAsia="en-PH"/>
        </w:rPr>
      </w:pPr>
    </w:p>
    <w:p>
      <w:pPr>
        <w:tabs>
          <w:tab w:val="left" w:pos="8640"/>
        </w:tabs>
        <w:spacing w:line="276" w:lineRule="auto"/>
        <w:ind w:left="706" w:right="702" w:firstLine="14"/>
        <w:jc w:val="both"/>
        <w:rPr>
          <w:color w:val="000000"/>
          <w:lang w:eastAsia="en-PH"/>
        </w:rPr>
      </w:pPr>
      <w:r>
        <w:rPr>
          <w:color w:val="000000"/>
          <w:lang w:eastAsia="en-PH"/>
        </w:rPr>
        <w:t xml:space="preserve">Financial statements shall present fairly the financial position, financial performance and cash flow of an entity. Fair presentation requires that </w:t>
      </w:r>
      <w:r>
        <w:rPr>
          <w:color w:val="000000"/>
          <w:lang w:eastAsia="en-PH"/>
        </w:rPr>
        <w:lastRenderedPageBreak/>
        <w:t>faithful representation of the effects of transactions, other events and conditions in accordance with definitions and recognition criteria for assets, liabilities, revenue and expenses set out in IPSASs…xxx…</w:t>
      </w:r>
    </w:p>
    <w:p>
      <w:pPr>
        <w:pBdr>
          <w:top w:val="nil"/>
          <w:left w:val="nil"/>
          <w:bottom w:val="nil"/>
          <w:right w:val="nil"/>
          <w:between w:val="nil"/>
        </w:pBdr>
        <w:spacing w:line="276" w:lineRule="auto"/>
        <w:ind w:right="288"/>
        <w:jc w:val="both"/>
        <w:rPr>
          <w:color w:val="000000"/>
          <w:lang w:eastAsia="en-PH"/>
        </w:rPr>
      </w:pPr>
    </w:p>
    <w:p>
      <w:pPr>
        <w:pBdr>
          <w:top w:val="nil"/>
          <w:left w:val="nil"/>
          <w:bottom w:val="nil"/>
          <w:right w:val="nil"/>
          <w:between w:val="nil"/>
        </w:pBdr>
        <w:spacing w:line="276" w:lineRule="auto"/>
        <w:ind w:right="-23"/>
        <w:jc w:val="both"/>
        <w:rPr>
          <w:color w:val="000000"/>
          <w:lang w:eastAsia="en-PH"/>
        </w:rPr>
      </w:pPr>
      <w:r>
        <w:rPr>
          <w:color w:val="000000"/>
          <w:lang w:eastAsia="en-PH"/>
        </w:rPr>
        <w:t>Also, COA Circular No. 2020-006 dated January 31, 2020 prescribes the Guidelines and Procedures in the Conduct of Physical Count of Property, Plant and Equipment (PPE), Recognition of PPE Items Found at Station, and Disposition for Non-existing/Missing PPE Items, for the One-Time Cleansing of PPE Account Balances of Government Agencies for the establishment of PPE balances that are verifiable as to existence, condition and accountability.</w:t>
      </w:r>
    </w:p>
    <w:p>
      <w:pPr>
        <w:spacing w:line="276" w:lineRule="auto"/>
        <w:jc w:val="both"/>
        <w:rPr>
          <w:color w:val="000000"/>
          <w:lang w:eastAsia="en-PH"/>
        </w:rPr>
      </w:pPr>
    </w:p>
    <w:p>
      <w:pPr>
        <w:spacing w:line="276" w:lineRule="auto"/>
        <w:jc w:val="both"/>
        <w:rPr>
          <w:color w:val="000000"/>
          <w:lang w:eastAsia="en-PH"/>
        </w:rPr>
      </w:pPr>
      <w:r>
        <w:rPr>
          <w:color w:val="000000"/>
          <w:lang w:eastAsia="en-PH"/>
        </w:rPr>
        <w:t xml:space="preserve">As at December 31, 2022, the Statement of Financial Position (all funds) of the City Government of </w:t>
      </w:r>
      <w:proofErr w:type="spellStart"/>
      <w:r>
        <w:rPr>
          <w:color w:val="000000"/>
          <w:lang w:eastAsia="en-PH"/>
        </w:rPr>
        <w:t>Panabo</w:t>
      </w:r>
      <w:proofErr w:type="spellEnd"/>
      <w:r>
        <w:rPr>
          <w:color w:val="000000"/>
          <w:lang w:eastAsia="en-PH"/>
        </w:rPr>
        <w:t xml:space="preserve"> showed a balance of P3,124,650,522.09 for its Property, Plant and Equipment (PPE), net of accumulated depreciation. Review of the balances of the PPE account revealed the following deficiencies:</w:t>
      </w:r>
    </w:p>
    <w:p>
      <w:pPr>
        <w:spacing w:line="276" w:lineRule="auto"/>
        <w:jc w:val="both"/>
        <w:rPr>
          <w:color w:val="000000"/>
          <w:lang w:eastAsia="en-PH"/>
        </w:rPr>
      </w:pPr>
    </w:p>
    <w:p>
      <w:pPr>
        <w:numPr>
          <w:ilvl w:val="0"/>
          <w:numId w:val="11"/>
        </w:numPr>
        <w:pBdr>
          <w:top w:val="nil"/>
          <w:left w:val="nil"/>
          <w:bottom w:val="nil"/>
          <w:right w:val="nil"/>
          <w:between w:val="nil"/>
        </w:pBdr>
        <w:spacing w:line="276" w:lineRule="auto"/>
        <w:ind w:left="360"/>
        <w:jc w:val="both"/>
        <w:rPr>
          <w:b/>
          <w:i/>
          <w:color w:val="000000"/>
          <w:lang w:eastAsia="en-PH"/>
        </w:rPr>
      </w:pPr>
      <w:r>
        <w:rPr>
          <w:b/>
          <w:i/>
          <w:color w:val="000000"/>
          <w:lang w:eastAsia="en-PH"/>
        </w:rPr>
        <w:t>Details of PPE obtained from the City Accounting Office (CAO) and submitted report of physical count from the City General Services Office (CGSO) revealed a total net variance of P199,727,463.18 in several PPE accounts, to wit:</w:t>
      </w:r>
    </w:p>
    <w:p>
      <w:pPr>
        <w:pBdr>
          <w:top w:val="nil"/>
          <w:left w:val="nil"/>
          <w:bottom w:val="nil"/>
          <w:right w:val="nil"/>
          <w:between w:val="nil"/>
        </w:pBdr>
        <w:spacing w:line="276" w:lineRule="auto"/>
        <w:jc w:val="both"/>
        <w:rPr>
          <w:i/>
          <w:color w:val="000000"/>
          <w:lang w:eastAsia="en-PH"/>
        </w:rPr>
      </w:pPr>
    </w:p>
    <w:p>
      <w:pPr>
        <w:pBdr>
          <w:top w:val="nil"/>
          <w:left w:val="nil"/>
          <w:bottom w:val="nil"/>
          <w:right w:val="nil"/>
          <w:between w:val="nil"/>
        </w:pBdr>
        <w:spacing w:line="276" w:lineRule="auto"/>
        <w:jc w:val="both"/>
        <w:rPr>
          <w:b/>
          <w:i/>
          <w:color w:val="000000"/>
          <w:lang w:eastAsia="en-PH"/>
        </w:rPr>
      </w:pPr>
      <w:r>
        <w:rPr>
          <w:i/>
          <w:color w:val="000000"/>
          <w:lang w:eastAsia="en-PH"/>
        </w:rPr>
        <w:t>Table 2.1. Variances noted per PPE Account between Accounting and CGSO records</w:t>
      </w:r>
    </w:p>
    <w:tbl>
      <w:tblPr>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0"/>
        <w:gridCol w:w="1757"/>
        <w:gridCol w:w="1756"/>
        <w:gridCol w:w="1612"/>
      </w:tblGrid>
      <w:tr>
        <w:trPr>
          <w:trHeight w:val="20"/>
          <w:tblHeader/>
          <w:jc w:val="center"/>
        </w:trPr>
        <w:tc>
          <w:tcPr>
            <w:tcW w:w="3780" w:type="dxa"/>
            <w:shd w:val="clear" w:color="auto" w:fill="auto"/>
            <w:vAlign w:val="center"/>
          </w:tcPr>
          <w:p>
            <w:pPr>
              <w:spacing w:line="276" w:lineRule="auto"/>
              <w:jc w:val="center"/>
              <w:rPr>
                <w:b/>
                <w:sz w:val="22"/>
                <w:szCs w:val="22"/>
                <w:lang w:eastAsia="en-PH"/>
              </w:rPr>
            </w:pPr>
            <w:r>
              <w:rPr>
                <w:b/>
                <w:sz w:val="22"/>
                <w:szCs w:val="22"/>
                <w:lang w:eastAsia="en-PH"/>
              </w:rPr>
              <w:t>PPE Account</w:t>
            </w:r>
          </w:p>
        </w:tc>
        <w:tc>
          <w:tcPr>
            <w:tcW w:w="1757"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Acquisition Cost per CAO</w:t>
            </w:r>
          </w:p>
        </w:tc>
        <w:tc>
          <w:tcPr>
            <w:tcW w:w="1756"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Acquisition Cost per CGSO</w:t>
            </w:r>
          </w:p>
        </w:tc>
        <w:tc>
          <w:tcPr>
            <w:tcW w:w="1612"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Variance</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Flood Control Systems</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19,644,568.46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18,010,993.58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1,633,574.88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Water Supply Systems</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18,857,454.82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4,886,906.96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13,970,547.86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Other Infrastructure Assets</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168,166,653.68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149,351,556.84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18,815,096.84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School Buildings</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92,343,172.52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89,274,519.44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3,068,653.08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Markets</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91,373,712.55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71,373,712.55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20,000,000.00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Other Structures</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321,538,115.63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246,949,664.50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74,588,451.13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Office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24,522,241.94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20,066,278.60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4,455,963.34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Information and Communication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30,876,157.54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19,662,550.12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11,213,607.42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Agricultural and Forestry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6,794,850.00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4,342,830.00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2,452,020.00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Communication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6,537,800.77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2,524,718.00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4,013,082.77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Construction and Heavy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374,206,613.64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328,086,380.90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46,120,232.74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Disaster Response and Rescue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3,517,857.00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3,551,051.00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 (33,194.00)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Military, Police and Security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99,000.00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99,000.00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Medical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14,201,992.56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14,089,892.56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112,100.00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Sports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3,066,000.00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3,129,700.00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 (63,700.00)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Technical and Scientific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14,124,454.50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13,893,112.04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231,342.46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lastRenderedPageBreak/>
              <w:t>Other Machinery and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17,416,952.35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27,086,584.35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 (9,669,632.00)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Motor Vehicles</w:t>
            </w:r>
          </w:p>
        </w:tc>
        <w:tc>
          <w:tcPr>
            <w:tcW w:w="1757" w:type="dxa"/>
            <w:shd w:val="clear" w:color="auto" w:fill="auto"/>
            <w:vAlign w:val="bottom"/>
          </w:tcPr>
          <w:p>
            <w:pPr>
              <w:spacing w:line="276" w:lineRule="auto"/>
              <w:jc w:val="right"/>
              <w:rPr>
                <w:color w:val="000000"/>
                <w:sz w:val="20"/>
                <w:szCs w:val="20"/>
                <w:lang w:eastAsia="en-PH"/>
              </w:rPr>
            </w:pPr>
            <w:r>
              <w:rPr>
                <w:color w:val="000000"/>
                <w:sz w:val="20"/>
                <w:szCs w:val="20"/>
                <w:lang w:eastAsia="en-PH"/>
              </w:rPr>
              <w:t xml:space="preserve">147,109,542.90 </w:t>
            </w:r>
          </w:p>
        </w:tc>
        <w:tc>
          <w:tcPr>
            <w:tcW w:w="1756" w:type="dxa"/>
            <w:shd w:val="clear" w:color="auto" w:fill="auto"/>
            <w:vAlign w:val="bottom"/>
          </w:tcPr>
          <w:p>
            <w:pPr>
              <w:spacing w:line="276" w:lineRule="auto"/>
              <w:jc w:val="right"/>
              <w:rPr>
                <w:color w:val="000000"/>
                <w:sz w:val="20"/>
                <w:szCs w:val="20"/>
                <w:lang w:eastAsia="en-PH"/>
              </w:rPr>
            </w:pPr>
            <w:r>
              <w:rPr>
                <w:color w:val="000000"/>
                <w:sz w:val="20"/>
                <w:szCs w:val="20"/>
                <w:lang w:eastAsia="en-PH"/>
              </w:rPr>
              <w:t xml:space="preserve">158,431,006.01 </w:t>
            </w:r>
          </w:p>
        </w:tc>
        <w:tc>
          <w:tcPr>
            <w:tcW w:w="1612" w:type="dxa"/>
            <w:shd w:val="clear" w:color="auto" w:fill="auto"/>
            <w:vAlign w:val="bottom"/>
          </w:tcPr>
          <w:p>
            <w:pPr>
              <w:spacing w:line="276" w:lineRule="auto"/>
              <w:jc w:val="right"/>
              <w:rPr>
                <w:color w:val="000000"/>
                <w:sz w:val="20"/>
                <w:szCs w:val="20"/>
                <w:lang w:eastAsia="en-PH"/>
              </w:rPr>
            </w:pPr>
            <w:r>
              <w:rPr>
                <w:color w:val="000000"/>
                <w:sz w:val="20"/>
                <w:szCs w:val="20"/>
                <w:lang w:eastAsia="en-PH"/>
              </w:rPr>
              <w:t xml:space="preserve"> (11,321,463.11)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Watercrafts</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4,174,454.40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4,059,016.00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115,438.40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Other Transportation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1,426,849.01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1,426,849.01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Furniture and Fixtures</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14,009,188.30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9,322,368.11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4,686,820.19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 xml:space="preserve">Books </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63,198.60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63,198.60 </w:t>
            </w:r>
          </w:p>
        </w:tc>
      </w:tr>
      <w:tr>
        <w:trPr>
          <w:trHeight w:val="20"/>
          <w:jc w:val="center"/>
        </w:trPr>
        <w:tc>
          <w:tcPr>
            <w:tcW w:w="3780" w:type="dxa"/>
            <w:shd w:val="clear" w:color="auto" w:fill="auto"/>
            <w:vAlign w:val="bottom"/>
          </w:tcPr>
          <w:p>
            <w:pPr>
              <w:spacing w:line="276" w:lineRule="auto"/>
              <w:rPr>
                <w:color w:val="000000"/>
                <w:sz w:val="22"/>
                <w:szCs w:val="22"/>
                <w:lang w:eastAsia="en-PH"/>
              </w:rPr>
            </w:pPr>
            <w:r>
              <w:rPr>
                <w:color w:val="000000"/>
                <w:sz w:val="22"/>
                <w:szCs w:val="22"/>
                <w:lang w:eastAsia="en-PH"/>
              </w:rPr>
              <w:t>Other Property, Plant and Equipment</w:t>
            </w:r>
          </w:p>
        </w:tc>
        <w:tc>
          <w:tcPr>
            <w:tcW w:w="1757"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55,668,671.11 </w:t>
            </w:r>
          </w:p>
        </w:tc>
        <w:tc>
          <w:tcPr>
            <w:tcW w:w="1756"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41,919,197.54 </w:t>
            </w:r>
          </w:p>
        </w:tc>
        <w:tc>
          <w:tcPr>
            <w:tcW w:w="1612" w:type="dxa"/>
            <w:shd w:val="clear" w:color="auto" w:fill="auto"/>
            <w:vAlign w:val="bottom"/>
          </w:tcPr>
          <w:p>
            <w:pPr>
              <w:spacing w:line="276" w:lineRule="auto"/>
              <w:jc w:val="right"/>
              <w:rPr>
                <w:color w:val="000000"/>
                <w:sz w:val="22"/>
                <w:szCs w:val="22"/>
                <w:lang w:eastAsia="en-PH"/>
              </w:rPr>
            </w:pPr>
            <w:r>
              <w:rPr>
                <w:color w:val="000000"/>
                <w:sz w:val="22"/>
                <w:szCs w:val="22"/>
                <w:lang w:eastAsia="en-PH"/>
              </w:rPr>
              <w:t xml:space="preserve">13,749,473.57 </w:t>
            </w:r>
          </w:p>
        </w:tc>
      </w:tr>
      <w:tr>
        <w:trPr>
          <w:trHeight w:val="20"/>
          <w:jc w:val="center"/>
        </w:trPr>
        <w:tc>
          <w:tcPr>
            <w:tcW w:w="3780" w:type="dxa"/>
            <w:shd w:val="clear" w:color="auto" w:fill="auto"/>
            <w:vAlign w:val="bottom"/>
          </w:tcPr>
          <w:p>
            <w:pPr>
              <w:spacing w:line="276" w:lineRule="auto"/>
              <w:rPr>
                <w:b/>
                <w:color w:val="000000"/>
                <w:sz w:val="22"/>
                <w:szCs w:val="22"/>
                <w:lang w:eastAsia="en-PH"/>
              </w:rPr>
            </w:pPr>
            <w:r>
              <w:rPr>
                <w:b/>
                <w:color w:val="000000"/>
                <w:sz w:val="22"/>
                <w:szCs w:val="22"/>
                <w:lang w:eastAsia="en-PH"/>
              </w:rPr>
              <w:t>TOTAL</w:t>
            </w:r>
          </w:p>
        </w:tc>
        <w:tc>
          <w:tcPr>
            <w:tcW w:w="1757" w:type="dxa"/>
            <w:shd w:val="clear" w:color="auto" w:fill="auto"/>
            <w:vAlign w:val="bottom"/>
          </w:tcPr>
          <w:p>
            <w:pPr>
              <w:spacing w:line="276" w:lineRule="auto"/>
              <w:jc w:val="right"/>
              <w:rPr>
                <w:b/>
                <w:color w:val="000000"/>
                <w:sz w:val="22"/>
                <w:szCs w:val="22"/>
                <w:lang w:eastAsia="en-PH"/>
              </w:rPr>
            </w:pPr>
            <w:r>
              <w:rPr>
                <w:b/>
                <w:color w:val="000000"/>
                <w:sz w:val="22"/>
                <w:szCs w:val="22"/>
                <w:lang w:eastAsia="en-PH"/>
              </w:rPr>
              <w:t xml:space="preserve">1,429,739,502.28 </w:t>
            </w:r>
          </w:p>
        </w:tc>
        <w:tc>
          <w:tcPr>
            <w:tcW w:w="1756" w:type="dxa"/>
            <w:shd w:val="clear" w:color="auto" w:fill="auto"/>
            <w:vAlign w:val="bottom"/>
          </w:tcPr>
          <w:p>
            <w:pPr>
              <w:spacing w:line="276" w:lineRule="auto"/>
              <w:jc w:val="right"/>
              <w:rPr>
                <w:b/>
                <w:color w:val="000000"/>
                <w:sz w:val="22"/>
                <w:szCs w:val="22"/>
                <w:lang w:eastAsia="en-PH"/>
              </w:rPr>
            </w:pPr>
            <w:r>
              <w:rPr>
                <w:b/>
                <w:color w:val="000000"/>
                <w:sz w:val="22"/>
                <w:szCs w:val="22"/>
                <w:lang w:eastAsia="en-PH"/>
              </w:rPr>
              <w:t xml:space="preserve">1,230,012,039.10 </w:t>
            </w:r>
          </w:p>
        </w:tc>
        <w:tc>
          <w:tcPr>
            <w:tcW w:w="1612" w:type="dxa"/>
            <w:shd w:val="clear" w:color="auto" w:fill="auto"/>
            <w:vAlign w:val="bottom"/>
          </w:tcPr>
          <w:p>
            <w:pPr>
              <w:spacing w:line="276" w:lineRule="auto"/>
              <w:jc w:val="right"/>
              <w:rPr>
                <w:b/>
                <w:color w:val="000000"/>
                <w:sz w:val="22"/>
                <w:szCs w:val="22"/>
                <w:lang w:eastAsia="en-PH"/>
              </w:rPr>
            </w:pPr>
            <w:r>
              <w:rPr>
                <w:b/>
                <w:color w:val="000000"/>
                <w:sz w:val="22"/>
                <w:szCs w:val="22"/>
                <w:lang w:eastAsia="en-PH"/>
              </w:rPr>
              <w:t xml:space="preserve">199,727,463.18 </w:t>
            </w:r>
          </w:p>
        </w:tc>
      </w:tr>
    </w:tbl>
    <w:p>
      <w:pPr>
        <w:spacing w:line="276" w:lineRule="auto"/>
        <w:ind w:left="720"/>
        <w:jc w:val="both"/>
        <w:rPr>
          <w:color w:val="000000"/>
          <w:lang w:eastAsia="en-PH"/>
        </w:rPr>
      </w:pPr>
    </w:p>
    <w:p>
      <w:pPr>
        <w:spacing w:line="276" w:lineRule="auto"/>
        <w:jc w:val="both"/>
        <w:rPr>
          <w:i/>
          <w:color w:val="000000"/>
          <w:lang w:eastAsia="en-PH"/>
        </w:rPr>
      </w:pPr>
      <w:r>
        <w:rPr>
          <w:color w:val="000000"/>
          <w:lang w:eastAsia="en-PH"/>
        </w:rPr>
        <w:t xml:space="preserve">The noted variance amounting to P199,727,463.18 is inconsistent with the provision of COA Circular No. 2020-006 dated January 31, 2020, which enumerates the guidelines and procedures in the conduct of physical count of PPE, recognition of PPE items found at the station, and disposition for non-existing/missing PPE items, for the one-time cleansing of PPE account balances of government agencies. Section 5.12 of the said Circular emphasizes that </w:t>
      </w:r>
      <w:r>
        <w:rPr>
          <w:i/>
          <w:color w:val="000000"/>
          <w:lang w:eastAsia="en-PH"/>
        </w:rPr>
        <w:t>“…property records shall be updated based on the results of the physical inventory and reconciled with the accounting records to come up with the reconciled balances of PPE accounts to be considered as the correct balances of the agency’s PPEs.”</w:t>
      </w:r>
    </w:p>
    <w:p>
      <w:pPr>
        <w:spacing w:line="276" w:lineRule="auto"/>
        <w:jc w:val="both"/>
        <w:rPr>
          <w:color w:val="000000"/>
          <w:lang w:eastAsia="en-PH"/>
        </w:rPr>
      </w:pPr>
    </w:p>
    <w:p>
      <w:pPr>
        <w:spacing w:line="276" w:lineRule="auto"/>
        <w:jc w:val="both"/>
        <w:rPr>
          <w:color w:val="000000"/>
          <w:lang w:eastAsia="en-PH"/>
        </w:rPr>
      </w:pPr>
      <w:r>
        <w:rPr>
          <w:color w:val="000000"/>
          <w:lang w:eastAsia="en-PH"/>
        </w:rPr>
        <w:t>Inquiry with CGSO personnel revealed that there is still an ongoing reconciliation between their office and the CAO. However, it is important to note that immediate reconciliation and resolution of the said variances are essential for the fairness of the presentation of the affected PPE accounts in the financial statements.</w:t>
      </w:r>
    </w:p>
    <w:p>
      <w:pPr>
        <w:spacing w:line="276" w:lineRule="auto"/>
        <w:jc w:val="both"/>
        <w:rPr>
          <w:color w:val="000000"/>
          <w:lang w:eastAsia="en-PH"/>
        </w:rPr>
      </w:pPr>
    </w:p>
    <w:p>
      <w:pPr>
        <w:numPr>
          <w:ilvl w:val="0"/>
          <w:numId w:val="11"/>
        </w:numPr>
        <w:pBdr>
          <w:top w:val="nil"/>
          <w:left w:val="nil"/>
          <w:bottom w:val="nil"/>
          <w:right w:val="nil"/>
          <w:between w:val="nil"/>
        </w:pBdr>
        <w:spacing w:line="276" w:lineRule="auto"/>
        <w:ind w:left="360"/>
        <w:jc w:val="both"/>
        <w:rPr>
          <w:b/>
          <w:i/>
          <w:color w:val="000000"/>
          <w:lang w:eastAsia="en-PH"/>
        </w:rPr>
      </w:pPr>
      <w:r>
        <w:rPr>
          <w:b/>
          <w:i/>
          <w:color w:val="000000"/>
          <w:lang w:eastAsia="en-PH"/>
        </w:rPr>
        <w:t xml:space="preserve">The CAO applied inconsistent usage of useful life in various PPE accounts totaling P1,169,347,469.29, with the following details: </w:t>
      </w:r>
    </w:p>
    <w:p>
      <w:pPr>
        <w:pBdr>
          <w:top w:val="nil"/>
          <w:left w:val="nil"/>
          <w:bottom w:val="nil"/>
          <w:right w:val="nil"/>
          <w:between w:val="nil"/>
        </w:pBdr>
        <w:spacing w:line="276" w:lineRule="auto"/>
        <w:ind w:left="360"/>
        <w:jc w:val="both"/>
        <w:rPr>
          <w:b/>
          <w:i/>
          <w:color w:val="000000"/>
          <w:lang w:eastAsia="en-PH"/>
        </w:rPr>
      </w:pPr>
    </w:p>
    <w:p>
      <w:pPr>
        <w:spacing w:line="276" w:lineRule="auto"/>
        <w:jc w:val="both"/>
        <w:rPr>
          <w:i/>
          <w:color w:val="000000"/>
          <w:lang w:eastAsia="en-PH"/>
        </w:rPr>
      </w:pPr>
      <w:r>
        <w:rPr>
          <w:i/>
          <w:color w:val="000000"/>
          <w:lang w:eastAsia="en-PH"/>
        </w:rPr>
        <w:t xml:space="preserve">Table 2.2. Schedule of PPE Account where varied useful life </w:t>
      </w:r>
      <w:proofErr w:type="gramStart"/>
      <w:r>
        <w:rPr>
          <w:i/>
          <w:color w:val="000000"/>
          <w:lang w:eastAsia="en-PH"/>
        </w:rPr>
        <w:t>were</w:t>
      </w:r>
      <w:proofErr w:type="gramEnd"/>
      <w:r>
        <w:rPr>
          <w:i/>
          <w:color w:val="000000"/>
          <w:lang w:eastAsia="en-PH"/>
        </w:rPr>
        <w:t xml:space="preserve"> applied by CAO</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5"/>
        <w:gridCol w:w="1985"/>
        <w:gridCol w:w="1635"/>
        <w:gridCol w:w="1870"/>
      </w:tblGrid>
      <w:tr>
        <w:trPr>
          <w:trHeight w:val="20"/>
          <w:tblHeader/>
          <w:jc w:val="center"/>
        </w:trPr>
        <w:tc>
          <w:tcPr>
            <w:tcW w:w="3505" w:type="dxa"/>
            <w:shd w:val="clear" w:color="auto" w:fill="auto"/>
            <w:vAlign w:val="center"/>
          </w:tcPr>
          <w:p>
            <w:pPr>
              <w:spacing w:line="276" w:lineRule="auto"/>
              <w:jc w:val="center"/>
              <w:rPr>
                <w:b/>
                <w:sz w:val="22"/>
                <w:szCs w:val="22"/>
                <w:lang w:eastAsia="en-PH"/>
              </w:rPr>
            </w:pPr>
            <w:r>
              <w:rPr>
                <w:b/>
                <w:sz w:val="22"/>
                <w:szCs w:val="22"/>
                <w:lang w:eastAsia="en-PH"/>
              </w:rPr>
              <w:t>PPE Account</w:t>
            </w:r>
          </w:p>
        </w:tc>
        <w:tc>
          <w:tcPr>
            <w:tcW w:w="1985"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Net Book Value</w:t>
            </w:r>
          </w:p>
        </w:tc>
        <w:tc>
          <w:tcPr>
            <w:tcW w:w="1635"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Useful Life in Years per CAO Records</w:t>
            </w:r>
          </w:p>
        </w:tc>
        <w:tc>
          <w:tcPr>
            <w:tcW w:w="1870"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Useful Life in Years per Notes to FS</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Agricultural and Forestry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P2,802,098.67</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5,8,10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Buildings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293,355,008.48</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10,20,22,30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10,20,30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Communication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1,318,015.85</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3,5,7,10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Construction and Heavy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160,098,190.07</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5,6,7,8,10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Disaster Response and Rescue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1,327,787.40</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5,7,10,15</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No disclosure</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Flood Control System</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17,588,822.46</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20,25</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25</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Furniture and Fixtures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7,419,378.95</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3,5,10,15,16</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Hospitals and Health Centers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7,093,589.43</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5,10,20,30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10,20,30</w:t>
            </w:r>
          </w:p>
          <w:p>
            <w:pPr>
              <w:spacing w:line="276" w:lineRule="auto"/>
              <w:jc w:val="center"/>
              <w:rPr>
                <w:color w:val="000000"/>
                <w:sz w:val="22"/>
                <w:szCs w:val="22"/>
                <w:lang w:eastAsia="en-PH"/>
              </w:rPr>
            </w:pPr>
            <w:r>
              <w:rPr>
                <w:color w:val="000000"/>
                <w:sz w:val="22"/>
                <w:szCs w:val="22"/>
                <w:lang w:eastAsia="en-PH"/>
              </w:rPr>
              <w:lastRenderedPageBreak/>
              <w:t>(Presumably classified under building)</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lastRenderedPageBreak/>
              <w:t>Information and Communication Technology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13,409,686.81</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5,10,20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50</w:t>
            </w:r>
          </w:p>
          <w:p>
            <w:pPr>
              <w:spacing w:line="276" w:lineRule="auto"/>
              <w:jc w:val="center"/>
              <w:rPr>
                <w:color w:val="000000"/>
                <w:sz w:val="22"/>
                <w:szCs w:val="22"/>
                <w:lang w:eastAsia="en-PH"/>
              </w:rPr>
            </w:pPr>
            <w:r>
              <w:rPr>
                <w:color w:val="000000"/>
                <w:sz w:val="22"/>
                <w:szCs w:val="22"/>
                <w:lang w:eastAsia="en-PH"/>
              </w:rPr>
              <w:t>(IT – Equipment Hardware)</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Marine and Fishery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52,148.24</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5,10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Markets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57,613,474.86</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7,10,20,30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10,20,30</w:t>
            </w:r>
          </w:p>
          <w:p>
            <w:pPr>
              <w:spacing w:line="276" w:lineRule="auto"/>
              <w:jc w:val="center"/>
              <w:rPr>
                <w:color w:val="000000"/>
                <w:sz w:val="22"/>
                <w:szCs w:val="22"/>
                <w:lang w:eastAsia="en-PH"/>
              </w:rPr>
            </w:pPr>
            <w:r>
              <w:rPr>
                <w:color w:val="000000"/>
                <w:sz w:val="22"/>
                <w:szCs w:val="22"/>
                <w:lang w:eastAsia="en-PH"/>
              </w:rPr>
              <w:t>(Presumably classified under building)</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Medical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10,507,279.73</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5,10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Motor Vehicles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49,572,727.29</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5,6,7,8,10,20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7</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Office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9,291,885.70</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5,6,7,10,20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5</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Other Infrastructure Assets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136,803,573.29</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5,17,18,20,23,</w:t>
            </w:r>
          </w:p>
          <w:p>
            <w:pPr>
              <w:spacing w:line="276" w:lineRule="auto"/>
              <w:jc w:val="center"/>
              <w:rPr>
                <w:color w:val="000000"/>
                <w:sz w:val="22"/>
                <w:szCs w:val="22"/>
                <w:lang w:eastAsia="en-PH"/>
              </w:rPr>
            </w:pPr>
            <w:r>
              <w:rPr>
                <w:color w:val="000000"/>
                <w:sz w:val="22"/>
                <w:szCs w:val="22"/>
                <w:lang w:eastAsia="en-PH"/>
              </w:rPr>
              <w:t>24,25,30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5</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Other Land Improvements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29,788,996.01</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10,20,30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Other Machinery and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7,556,890.51</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4,5,7,10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Other Property, Plant and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22,898,176.95</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5,6,10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5</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Other Structures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271,743,850.86</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5,10,15,20,25,</w:t>
            </w:r>
          </w:p>
          <w:p>
            <w:pPr>
              <w:spacing w:line="276" w:lineRule="auto"/>
              <w:jc w:val="center"/>
              <w:rPr>
                <w:color w:val="000000"/>
                <w:sz w:val="22"/>
                <w:szCs w:val="22"/>
                <w:lang w:eastAsia="en-PH"/>
              </w:rPr>
            </w:pPr>
            <w:r>
              <w:rPr>
                <w:color w:val="000000"/>
                <w:sz w:val="22"/>
                <w:szCs w:val="22"/>
                <w:lang w:eastAsia="en-PH"/>
              </w:rPr>
              <w:t>27,29,30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10,20,30</w:t>
            </w:r>
          </w:p>
          <w:p>
            <w:pPr>
              <w:spacing w:line="276" w:lineRule="auto"/>
              <w:jc w:val="center"/>
              <w:rPr>
                <w:color w:val="000000"/>
                <w:sz w:val="22"/>
                <w:szCs w:val="22"/>
                <w:lang w:eastAsia="en-PH"/>
              </w:rPr>
            </w:pPr>
            <w:r>
              <w:rPr>
                <w:color w:val="000000"/>
                <w:sz w:val="22"/>
                <w:szCs w:val="22"/>
                <w:lang w:eastAsia="en-PH"/>
              </w:rPr>
              <w:t>(Presumably classified under building)</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Parks, Plazas and Monuments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35,471,706.98</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20,25</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20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Sewer Systems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12,439,122.13</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20,25</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No disclosure</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Technical and Scientific Equipment</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4,837,846.79</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5,10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Water Supply Systems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14,949,906.50</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15,25</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15</w:t>
            </w:r>
          </w:p>
        </w:tc>
      </w:tr>
      <w:tr>
        <w:trPr>
          <w:trHeight w:val="20"/>
          <w:jc w:val="center"/>
        </w:trPr>
        <w:tc>
          <w:tcPr>
            <w:tcW w:w="3505" w:type="dxa"/>
            <w:shd w:val="clear" w:color="auto" w:fill="auto"/>
          </w:tcPr>
          <w:p>
            <w:pPr>
              <w:spacing w:line="276" w:lineRule="auto"/>
              <w:rPr>
                <w:color w:val="000000"/>
                <w:sz w:val="22"/>
                <w:szCs w:val="22"/>
                <w:lang w:eastAsia="en-PH"/>
              </w:rPr>
            </w:pPr>
            <w:r>
              <w:rPr>
                <w:color w:val="000000"/>
                <w:sz w:val="22"/>
                <w:szCs w:val="22"/>
                <w:lang w:eastAsia="en-PH"/>
              </w:rPr>
              <w:t>Watercrafts</w:t>
            </w:r>
          </w:p>
        </w:tc>
        <w:tc>
          <w:tcPr>
            <w:tcW w:w="1985" w:type="dxa"/>
            <w:shd w:val="clear" w:color="auto" w:fill="auto"/>
          </w:tcPr>
          <w:p>
            <w:pPr>
              <w:spacing w:line="276" w:lineRule="auto"/>
              <w:jc w:val="right"/>
              <w:rPr>
                <w:color w:val="000000"/>
                <w:sz w:val="22"/>
                <w:szCs w:val="22"/>
                <w:lang w:eastAsia="en-PH"/>
              </w:rPr>
            </w:pPr>
            <w:r>
              <w:rPr>
                <w:color w:val="000000"/>
                <w:sz w:val="22"/>
                <w:szCs w:val="22"/>
                <w:lang w:eastAsia="en-PH"/>
              </w:rPr>
              <w:t>1,407,305.33</w:t>
            </w:r>
          </w:p>
        </w:tc>
        <w:tc>
          <w:tcPr>
            <w:tcW w:w="1635" w:type="dxa"/>
            <w:shd w:val="clear" w:color="auto" w:fill="auto"/>
          </w:tcPr>
          <w:p>
            <w:pPr>
              <w:spacing w:line="276" w:lineRule="auto"/>
              <w:jc w:val="center"/>
              <w:rPr>
                <w:color w:val="000000"/>
                <w:sz w:val="22"/>
                <w:szCs w:val="22"/>
                <w:lang w:eastAsia="en-PH"/>
              </w:rPr>
            </w:pPr>
            <w:r>
              <w:rPr>
                <w:color w:val="000000"/>
                <w:sz w:val="22"/>
                <w:szCs w:val="22"/>
                <w:lang w:eastAsia="en-PH"/>
              </w:rPr>
              <w:t>5,10</w:t>
            </w:r>
          </w:p>
        </w:tc>
        <w:tc>
          <w:tcPr>
            <w:tcW w:w="1870" w:type="dxa"/>
            <w:shd w:val="clear" w:color="auto" w:fill="auto"/>
          </w:tcPr>
          <w:p>
            <w:pPr>
              <w:spacing w:line="276" w:lineRule="auto"/>
              <w:jc w:val="center"/>
              <w:rPr>
                <w:color w:val="000000"/>
                <w:sz w:val="22"/>
                <w:szCs w:val="22"/>
                <w:lang w:eastAsia="en-PH"/>
              </w:rPr>
            </w:pPr>
            <w:r>
              <w:rPr>
                <w:color w:val="000000"/>
                <w:sz w:val="22"/>
                <w:szCs w:val="22"/>
                <w:lang w:eastAsia="en-PH"/>
              </w:rPr>
              <w:t>10</w:t>
            </w:r>
          </w:p>
        </w:tc>
      </w:tr>
      <w:tr>
        <w:trPr>
          <w:trHeight w:val="20"/>
          <w:jc w:val="center"/>
        </w:trPr>
        <w:tc>
          <w:tcPr>
            <w:tcW w:w="3505" w:type="dxa"/>
            <w:shd w:val="clear" w:color="auto" w:fill="auto"/>
            <w:vAlign w:val="bottom"/>
          </w:tcPr>
          <w:p>
            <w:pPr>
              <w:spacing w:line="276" w:lineRule="auto"/>
              <w:rPr>
                <w:b/>
                <w:color w:val="000000"/>
                <w:sz w:val="22"/>
                <w:szCs w:val="22"/>
                <w:lang w:eastAsia="en-PH"/>
              </w:rPr>
            </w:pPr>
            <w:r>
              <w:rPr>
                <w:b/>
                <w:color w:val="000000"/>
                <w:sz w:val="22"/>
                <w:szCs w:val="22"/>
                <w:lang w:eastAsia="en-PH"/>
              </w:rPr>
              <w:t xml:space="preserve">Total </w:t>
            </w:r>
          </w:p>
        </w:tc>
        <w:tc>
          <w:tcPr>
            <w:tcW w:w="1985" w:type="dxa"/>
            <w:shd w:val="clear" w:color="auto" w:fill="auto"/>
          </w:tcPr>
          <w:p>
            <w:pPr>
              <w:spacing w:line="276" w:lineRule="auto"/>
              <w:jc w:val="right"/>
              <w:rPr>
                <w:b/>
                <w:color w:val="000000"/>
                <w:sz w:val="22"/>
                <w:szCs w:val="22"/>
                <w:lang w:eastAsia="en-PH"/>
              </w:rPr>
            </w:pPr>
            <w:r>
              <w:rPr>
                <w:b/>
                <w:color w:val="000000"/>
                <w:sz w:val="22"/>
                <w:szCs w:val="22"/>
                <w:lang w:eastAsia="en-PH"/>
              </w:rPr>
              <w:t>P1,169,347,469.29</w:t>
            </w:r>
          </w:p>
        </w:tc>
        <w:tc>
          <w:tcPr>
            <w:tcW w:w="1635" w:type="dxa"/>
            <w:shd w:val="clear" w:color="auto" w:fill="auto"/>
            <w:vAlign w:val="bottom"/>
          </w:tcPr>
          <w:p>
            <w:pPr>
              <w:spacing w:line="276" w:lineRule="auto"/>
              <w:jc w:val="center"/>
              <w:rPr>
                <w:b/>
                <w:color w:val="000000"/>
                <w:sz w:val="22"/>
                <w:szCs w:val="22"/>
                <w:lang w:eastAsia="en-PH"/>
              </w:rPr>
            </w:pPr>
          </w:p>
        </w:tc>
        <w:tc>
          <w:tcPr>
            <w:tcW w:w="1870" w:type="dxa"/>
            <w:shd w:val="clear" w:color="auto" w:fill="auto"/>
            <w:vAlign w:val="bottom"/>
          </w:tcPr>
          <w:p>
            <w:pPr>
              <w:spacing w:line="276" w:lineRule="auto"/>
              <w:jc w:val="center"/>
              <w:rPr>
                <w:b/>
                <w:color w:val="000000"/>
                <w:sz w:val="22"/>
                <w:szCs w:val="22"/>
                <w:lang w:eastAsia="en-PH"/>
              </w:rPr>
            </w:pPr>
          </w:p>
        </w:tc>
      </w:tr>
    </w:tbl>
    <w:p>
      <w:pPr>
        <w:spacing w:line="276" w:lineRule="auto"/>
        <w:jc w:val="both"/>
        <w:rPr>
          <w:color w:val="000000"/>
          <w:lang w:eastAsia="en-PH"/>
        </w:rPr>
      </w:pPr>
      <w:r>
        <w:rPr>
          <w:color w:val="000000"/>
          <w:lang w:eastAsia="en-PH"/>
        </w:rPr>
        <w:tab/>
      </w:r>
    </w:p>
    <w:p>
      <w:pPr>
        <w:spacing w:line="276" w:lineRule="auto"/>
        <w:jc w:val="both"/>
        <w:rPr>
          <w:color w:val="000000"/>
          <w:lang w:eastAsia="en-PH"/>
        </w:rPr>
      </w:pPr>
      <w:r>
        <w:rPr>
          <w:color w:val="000000"/>
          <w:lang w:eastAsia="en-PH"/>
        </w:rPr>
        <w:t xml:space="preserve">As noted in Table 2.2, it can be observed that varying useful lives were applied to the same PPE account. Also, the useful lives reflected in the Notes to Financial Statements is not similar to the actual useful life applied by the CAO in the computation of depreciation. </w:t>
      </w:r>
    </w:p>
    <w:p>
      <w:pPr>
        <w:spacing w:line="276" w:lineRule="auto"/>
        <w:ind w:firstLine="720"/>
        <w:jc w:val="both"/>
        <w:rPr>
          <w:color w:val="000000"/>
          <w:lang w:eastAsia="en-PH"/>
        </w:rPr>
      </w:pPr>
    </w:p>
    <w:p>
      <w:pPr>
        <w:spacing w:line="276" w:lineRule="auto"/>
        <w:jc w:val="both"/>
        <w:rPr>
          <w:color w:val="000000"/>
          <w:lang w:eastAsia="en-PH"/>
        </w:rPr>
      </w:pPr>
      <w:r>
        <w:rPr>
          <w:color w:val="000000"/>
          <w:lang w:eastAsia="en-PH"/>
        </w:rPr>
        <w:t>Interview with the CAO revealed the reasons for the non-uniformity of useful lives adopted, to wit: (1) the useful lives of some PPE items inputted in the system were from old entries made; (2) unfamiliarity of the assigned personnel; and (3) different personnel assigned to input in the system.</w:t>
      </w:r>
    </w:p>
    <w:p>
      <w:pPr>
        <w:spacing w:line="276" w:lineRule="auto"/>
        <w:jc w:val="both"/>
        <w:rPr>
          <w:color w:val="000000"/>
          <w:lang w:eastAsia="en-PH"/>
        </w:rPr>
      </w:pPr>
    </w:p>
    <w:p>
      <w:pPr>
        <w:spacing w:line="276" w:lineRule="auto"/>
        <w:jc w:val="both"/>
        <w:rPr>
          <w:color w:val="000000"/>
          <w:lang w:eastAsia="en-PH"/>
        </w:rPr>
      </w:pPr>
      <w:r>
        <w:rPr>
          <w:color w:val="000000"/>
          <w:lang w:eastAsia="en-PH"/>
        </w:rPr>
        <w:lastRenderedPageBreak/>
        <w:t>The non-uniformity of the useful lives adopted, including the discrepancy in the disclosure found in the Notes to Financial Statements, affected the computation of depreciation of the abovementioned PPE accounts and its eventual presentation in the Statement of Financial Position.</w:t>
      </w:r>
    </w:p>
    <w:p>
      <w:pPr>
        <w:spacing w:line="276" w:lineRule="auto"/>
        <w:jc w:val="both"/>
        <w:rPr>
          <w:color w:val="000000"/>
          <w:lang w:eastAsia="en-PH"/>
        </w:rPr>
      </w:pPr>
    </w:p>
    <w:p>
      <w:pPr>
        <w:numPr>
          <w:ilvl w:val="0"/>
          <w:numId w:val="11"/>
        </w:numPr>
        <w:pBdr>
          <w:top w:val="nil"/>
          <w:left w:val="nil"/>
          <w:bottom w:val="nil"/>
          <w:right w:val="nil"/>
          <w:between w:val="nil"/>
        </w:pBdr>
        <w:spacing w:line="276" w:lineRule="auto"/>
        <w:ind w:left="360"/>
        <w:jc w:val="both"/>
        <w:rPr>
          <w:b/>
          <w:i/>
          <w:color w:val="000000"/>
          <w:lang w:eastAsia="en-PH"/>
        </w:rPr>
      </w:pPr>
      <w:r>
        <w:rPr>
          <w:b/>
          <w:i/>
          <w:color w:val="000000"/>
          <w:lang w:eastAsia="en-PH"/>
        </w:rPr>
        <w:t>PPE items totaling P202,450,628.15 were classified in the inappropriate PPE accounts and a total of P3,045,267.57 PPE items have inconsistent account classification</w:t>
      </w:r>
    </w:p>
    <w:p>
      <w:pPr>
        <w:pBdr>
          <w:top w:val="nil"/>
          <w:left w:val="nil"/>
          <w:bottom w:val="nil"/>
          <w:right w:val="nil"/>
          <w:between w:val="nil"/>
        </w:pBdr>
        <w:spacing w:line="276" w:lineRule="auto"/>
        <w:ind w:left="360"/>
        <w:jc w:val="both"/>
        <w:rPr>
          <w:b/>
          <w:i/>
          <w:color w:val="000000"/>
          <w:lang w:eastAsia="en-PH"/>
        </w:rPr>
      </w:pPr>
    </w:p>
    <w:p>
      <w:pPr>
        <w:spacing w:line="276" w:lineRule="auto"/>
        <w:jc w:val="both"/>
        <w:rPr>
          <w:color w:val="000000"/>
          <w:lang w:eastAsia="en-PH"/>
        </w:rPr>
      </w:pPr>
      <w:r>
        <w:rPr>
          <w:color w:val="000000"/>
          <w:lang w:eastAsia="en-PH"/>
        </w:rPr>
        <w:t>Detailed review of the PPE accounts showed improper and inconsistent classification of several PPE items as presented in Table 2.3.</w:t>
      </w:r>
    </w:p>
    <w:p>
      <w:pPr>
        <w:spacing w:line="276" w:lineRule="auto"/>
        <w:jc w:val="both"/>
        <w:rPr>
          <w:color w:val="000000"/>
          <w:lang w:eastAsia="en-PH"/>
        </w:rPr>
      </w:pPr>
    </w:p>
    <w:p>
      <w:pPr>
        <w:spacing w:line="276" w:lineRule="auto"/>
        <w:jc w:val="both"/>
        <w:rPr>
          <w:i/>
          <w:color w:val="000000"/>
          <w:lang w:eastAsia="en-PH"/>
        </w:rPr>
      </w:pPr>
      <w:r>
        <w:rPr>
          <w:i/>
          <w:color w:val="000000"/>
          <w:lang w:eastAsia="en-PH"/>
        </w:rPr>
        <w:t>Table 2.3. Improper Classification of PPE (see Annex F for details)</w:t>
      </w:r>
    </w:p>
    <w:tbl>
      <w:tblPr>
        <w:tblW w:w="8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3235"/>
        <w:gridCol w:w="1804"/>
        <w:gridCol w:w="1800"/>
        <w:gridCol w:w="1436"/>
      </w:tblGrid>
      <w:tr>
        <w:trPr>
          <w:trHeight w:val="20"/>
          <w:tblHeader/>
          <w:jc w:val="center"/>
        </w:trPr>
        <w:tc>
          <w:tcPr>
            <w:tcW w:w="540" w:type="dxa"/>
            <w:shd w:val="clear" w:color="auto" w:fill="auto"/>
            <w:vAlign w:val="center"/>
          </w:tcPr>
          <w:p>
            <w:pPr>
              <w:spacing w:line="276" w:lineRule="auto"/>
              <w:jc w:val="center"/>
              <w:rPr>
                <w:b/>
                <w:color w:val="000000"/>
                <w:sz w:val="20"/>
                <w:szCs w:val="20"/>
                <w:lang w:eastAsia="en-PH"/>
              </w:rPr>
            </w:pPr>
            <w:r>
              <w:rPr>
                <w:b/>
                <w:color w:val="000000"/>
                <w:sz w:val="20"/>
                <w:szCs w:val="20"/>
                <w:lang w:eastAsia="en-PH"/>
              </w:rPr>
              <w:t>No.</w:t>
            </w:r>
          </w:p>
        </w:tc>
        <w:tc>
          <w:tcPr>
            <w:tcW w:w="3235" w:type="dxa"/>
            <w:shd w:val="clear" w:color="auto" w:fill="auto"/>
            <w:vAlign w:val="center"/>
          </w:tcPr>
          <w:p>
            <w:pPr>
              <w:spacing w:line="276" w:lineRule="auto"/>
              <w:jc w:val="center"/>
              <w:rPr>
                <w:b/>
                <w:color w:val="000000"/>
                <w:sz w:val="20"/>
                <w:szCs w:val="20"/>
                <w:lang w:eastAsia="en-PH"/>
              </w:rPr>
            </w:pPr>
            <w:r>
              <w:rPr>
                <w:b/>
                <w:color w:val="000000"/>
                <w:sz w:val="20"/>
                <w:szCs w:val="20"/>
                <w:lang w:eastAsia="en-PH"/>
              </w:rPr>
              <w:t>Deficiency Noted</w:t>
            </w:r>
          </w:p>
        </w:tc>
        <w:tc>
          <w:tcPr>
            <w:tcW w:w="1804" w:type="dxa"/>
            <w:shd w:val="clear" w:color="auto" w:fill="auto"/>
            <w:vAlign w:val="bottom"/>
          </w:tcPr>
          <w:p>
            <w:pPr>
              <w:spacing w:line="276" w:lineRule="auto"/>
              <w:jc w:val="center"/>
              <w:rPr>
                <w:b/>
                <w:color w:val="000000"/>
                <w:sz w:val="20"/>
                <w:szCs w:val="20"/>
                <w:lang w:eastAsia="en-PH"/>
              </w:rPr>
            </w:pPr>
            <w:r>
              <w:rPr>
                <w:b/>
                <w:color w:val="000000"/>
                <w:sz w:val="20"/>
                <w:szCs w:val="20"/>
                <w:lang w:eastAsia="en-PH"/>
              </w:rPr>
              <w:t>Carrying Amount</w:t>
            </w:r>
          </w:p>
        </w:tc>
        <w:tc>
          <w:tcPr>
            <w:tcW w:w="1800" w:type="dxa"/>
            <w:shd w:val="clear" w:color="auto" w:fill="auto"/>
            <w:vAlign w:val="bottom"/>
          </w:tcPr>
          <w:p>
            <w:pPr>
              <w:spacing w:line="276" w:lineRule="auto"/>
              <w:jc w:val="center"/>
              <w:rPr>
                <w:b/>
                <w:color w:val="000000"/>
                <w:sz w:val="20"/>
                <w:szCs w:val="20"/>
                <w:lang w:eastAsia="en-PH"/>
              </w:rPr>
            </w:pPr>
            <w:r>
              <w:rPr>
                <w:b/>
                <w:color w:val="000000"/>
                <w:sz w:val="20"/>
                <w:szCs w:val="20"/>
                <w:lang w:eastAsia="en-PH"/>
              </w:rPr>
              <w:t>Current Classification</w:t>
            </w:r>
          </w:p>
        </w:tc>
        <w:tc>
          <w:tcPr>
            <w:tcW w:w="1436" w:type="dxa"/>
          </w:tcPr>
          <w:p>
            <w:pPr>
              <w:spacing w:line="276" w:lineRule="auto"/>
              <w:jc w:val="center"/>
              <w:rPr>
                <w:b/>
                <w:color w:val="000000"/>
                <w:sz w:val="20"/>
                <w:szCs w:val="20"/>
                <w:lang w:eastAsia="en-PH"/>
              </w:rPr>
            </w:pPr>
            <w:r>
              <w:rPr>
                <w:b/>
                <w:color w:val="000000"/>
                <w:sz w:val="20"/>
                <w:szCs w:val="20"/>
                <w:lang w:eastAsia="en-PH"/>
              </w:rPr>
              <w:t>Correct Classification</w:t>
            </w:r>
          </w:p>
        </w:tc>
      </w:tr>
      <w:tr>
        <w:trPr>
          <w:trHeight w:val="20"/>
          <w:jc w:val="center"/>
        </w:trPr>
        <w:tc>
          <w:tcPr>
            <w:tcW w:w="540" w:type="dxa"/>
            <w:shd w:val="clear" w:color="auto" w:fill="auto"/>
          </w:tcPr>
          <w:p>
            <w:pPr>
              <w:spacing w:line="276" w:lineRule="auto"/>
              <w:jc w:val="center"/>
              <w:rPr>
                <w:color w:val="000000"/>
                <w:sz w:val="20"/>
                <w:szCs w:val="20"/>
                <w:lang w:eastAsia="en-PH"/>
              </w:rPr>
            </w:pPr>
            <w:r>
              <w:rPr>
                <w:color w:val="000000"/>
                <w:sz w:val="20"/>
                <w:szCs w:val="20"/>
                <w:lang w:eastAsia="en-PH"/>
              </w:rPr>
              <w:t>1</w:t>
            </w:r>
          </w:p>
        </w:tc>
        <w:tc>
          <w:tcPr>
            <w:tcW w:w="3235" w:type="dxa"/>
            <w:shd w:val="clear" w:color="auto" w:fill="auto"/>
          </w:tcPr>
          <w:p>
            <w:pPr>
              <w:spacing w:line="276" w:lineRule="auto"/>
              <w:rPr>
                <w:color w:val="000000"/>
                <w:sz w:val="20"/>
                <w:szCs w:val="20"/>
                <w:lang w:eastAsia="en-PH"/>
              </w:rPr>
            </w:pPr>
            <w:r>
              <w:rPr>
                <w:color w:val="000000"/>
                <w:sz w:val="20"/>
                <w:szCs w:val="20"/>
                <w:lang w:eastAsia="en-PH"/>
              </w:rPr>
              <w:t>Various buildings and other structures classified as Other Infrastructure Assets</w:t>
            </w:r>
          </w:p>
        </w:tc>
        <w:tc>
          <w:tcPr>
            <w:tcW w:w="1804" w:type="dxa"/>
            <w:shd w:val="clear" w:color="auto" w:fill="auto"/>
          </w:tcPr>
          <w:p>
            <w:pPr>
              <w:spacing w:line="276" w:lineRule="auto"/>
              <w:jc w:val="right"/>
              <w:rPr>
                <w:color w:val="000000"/>
                <w:sz w:val="20"/>
                <w:szCs w:val="20"/>
                <w:lang w:eastAsia="en-PH"/>
              </w:rPr>
            </w:pPr>
            <w:r>
              <w:rPr>
                <w:color w:val="000000"/>
                <w:sz w:val="20"/>
                <w:szCs w:val="20"/>
                <w:lang w:eastAsia="en-PH"/>
              </w:rPr>
              <w:t>P92,173,416.97</w:t>
            </w:r>
          </w:p>
        </w:tc>
        <w:tc>
          <w:tcPr>
            <w:tcW w:w="1800" w:type="dxa"/>
            <w:shd w:val="clear" w:color="auto" w:fill="auto"/>
          </w:tcPr>
          <w:p>
            <w:pPr>
              <w:spacing w:line="276" w:lineRule="auto"/>
              <w:jc w:val="center"/>
              <w:rPr>
                <w:color w:val="000000"/>
                <w:sz w:val="20"/>
                <w:szCs w:val="20"/>
                <w:lang w:eastAsia="en-PH"/>
              </w:rPr>
            </w:pPr>
            <w:r>
              <w:rPr>
                <w:color w:val="000000"/>
                <w:sz w:val="20"/>
                <w:szCs w:val="20"/>
                <w:lang w:eastAsia="en-PH"/>
              </w:rPr>
              <w:t>Other Infrastructure Assets</w:t>
            </w:r>
          </w:p>
        </w:tc>
        <w:tc>
          <w:tcPr>
            <w:tcW w:w="1436" w:type="dxa"/>
          </w:tcPr>
          <w:p>
            <w:pPr>
              <w:spacing w:line="276" w:lineRule="auto"/>
              <w:jc w:val="center"/>
              <w:rPr>
                <w:color w:val="000000"/>
                <w:sz w:val="20"/>
                <w:szCs w:val="20"/>
                <w:lang w:eastAsia="en-PH"/>
              </w:rPr>
            </w:pPr>
            <w:r>
              <w:rPr>
                <w:color w:val="000000"/>
                <w:sz w:val="20"/>
                <w:szCs w:val="20"/>
                <w:lang w:eastAsia="en-PH"/>
              </w:rPr>
              <w:t>Appropriate accounts under Buildings and Other Structures</w:t>
            </w:r>
          </w:p>
        </w:tc>
      </w:tr>
      <w:tr>
        <w:trPr>
          <w:trHeight w:val="20"/>
          <w:jc w:val="center"/>
        </w:trPr>
        <w:tc>
          <w:tcPr>
            <w:tcW w:w="540" w:type="dxa"/>
            <w:shd w:val="clear" w:color="auto" w:fill="auto"/>
          </w:tcPr>
          <w:p>
            <w:pPr>
              <w:spacing w:line="276" w:lineRule="auto"/>
              <w:jc w:val="center"/>
              <w:rPr>
                <w:color w:val="000000"/>
                <w:sz w:val="20"/>
                <w:szCs w:val="20"/>
                <w:lang w:eastAsia="en-PH"/>
              </w:rPr>
            </w:pPr>
            <w:r>
              <w:rPr>
                <w:color w:val="000000"/>
                <w:sz w:val="20"/>
                <w:szCs w:val="20"/>
                <w:lang w:eastAsia="en-PH"/>
              </w:rPr>
              <w:t>2</w:t>
            </w:r>
          </w:p>
        </w:tc>
        <w:tc>
          <w:tcPr>
            <w:tcW w:w="3235" w:type="dxa"/>
            <w:shd w:val="clear" w:color="auto" w:fill="auto"/>
          </w:tcPr>
          <w:p>
            <w:pPr>
              <w:spacing w:line="276" w:lineRule="auto"/>
              <w:rPr>
                <w:color w:val="000000"/>
                <w:sz w:val="20"/>
                <w:szCs w:val="20"/>
                <w:lang w:eastAsia="en-PH"/>
              </w:rPr>
            </w:pPr>
            <w:r>
              <w:rPr>
                <w:color w:val="000000"/>
                <w:sz w:val="20"/>
                <w:szCs w:val="20"/>
                <w:lang w:eastAsia="en-PH"/>
              </w:rPr>
              <w:t>Improvement of Parks and Plazas classified as Other Structures</w:t>
            </w:r>
          </w:p>
        </w:tc>
        <w:tc>
          <w:tcPr>
            <w:tcW w:w="1804" w:type="dxa"/>
            <w:shd w:val="clear" w:color="auto" w:fill="auto"/>
          </w:tcPr>
          <w:p>
            <w:pPr>
              <w:spacing w:line="276" w:lineRule="auto"/>
              <w:jc w:val="right"/>
              <w:rPr>
                <w:color w:val="000000"/>
                <w:sz w:val="20"/>
                <w:szCs w:val="20"/>
                <w:lang w:eastAsia="en-PH"/>
              </w:rPr>
            </w:pPr>
            <w:r>
              <w:rPr>
                <w:color w:val="000000"/>
                <w:sz w:val="20"/>
                <w:szCs w:val="20"/>
                <w:lang w:eastAsia="en-PH"/>
              </w:rPr>
              <w:t>572,923.62</w:t>
            </w:r>
          </w:p>
        </w:tc>
        <w:tc>
          <w:tcPr>
            <w:tcW w:w="1800" w:type="dxa"/>
            <w:shd w:val="clear" w:color="auto" w:fill="auto"/>
          </w:tcPr>
          <w:p>
            <w:pPr>
              <w:spacing w:line="276" w:lineRule="auto"/>
              <w:jc w:val="center"/>
              <w:rPr>
                <w:color w:val="000000"/>
                <w:sz w:val="20"/>
                <w:szCs w:val="20"/>
                <w:lang w:eastAsia="en-PH"/>
              </w:rPr>
            </w:pPr>
            <w:r>
              <w:rPr>
                <w:color w:val="000000"/>
                <w:sz w:val="20"/>
                <w:szCs w:val="20"/>
                <w:lang w:eastAsia="en-PH"/>
              </w:rPr>
              <w:t>Other Structures</w:t>
            </w:r>
          </w:p>
        </w:tc>
        <w:tc>
          <w:tcPr>
            <w:tcW w:w="1436" w:type="dxa"/>
          </w:tcPr>
          <w:p>
            <w:pPr>
              <w:spacing w:line="276" w:lineRule="auto"/>
              <w:jc w:val="center"/>
              <w:rPr>
                <w:color w:val="000000"/>
                <w:sz w:val="20"/>
                <w:szCs w:val="20"/>
                <w:lang w:eastAsia="en-PH"/>
              </w:rPr>
            </w:pPr>
            <w:r>
              <w:rPr>
                <w:color w:val="000000"/>
                <w:sz w:val="20"/>
                <w:szCs w:val="20"/>
                <w:lang w:eastAsia="en-PH"/>
              </w:rPr>
              <w:t>Parks, Plazas and Monuments</w:t>
            </w:r>
          </w:p>
        </w:tc>
      </w:tr>
      <w:tr>
        <w:trPr>
          <w:trHeight w:val="20"/>
          <w:jc w:val="center"/>
        </w:trPr>
        <w:tc>
          <w:tcPr>
            <w:tcW w:w="540" w:type="dxa"/>
            <w:shd w:val="clear" w:color="auto" w:fill="auto"/>
          </w:tcPr>
          <w:p>
            <w:pPr>
              <w:spacing w:line="276" w:lineRule="auto"/>
              <w:jc w:val="center"/>
              <w:rPr>
                <w:color w:val="000000"/>
                <w:sz w:val="20"/>
                <w:szCs w:val="20"/>
                <w:lang w:eastAsia="en-PH"/>
              </w:rPr>
            </w:pPr>
            <w:r>
              <w:rPr>
                <w:color w:val="000000"/>
                <w:sz w:val="20"/>
                <w:szCs w:val="20"/>
                <w:lang w:eastAsia="en-PH"/>
              </w:rPr>
              <w:t>3</w:t>
            </w:r>
          </w:p>
        </w:tc>
        <w:tc>
          <w:tcPr>
            <w:tcW w:w="3235" w:type="dxa"/>
            <w:shd w:val="clear" w:color="auto" w:fill="auto"/>
          </w:tcPr>
          <w:p>
            <w:pPr>
              <w:spacing w:line="276" w:lineRule="auto"/>
              <w:rPr>
                <w:color w:val="000000"/>
                <w:sz w:val="20"/>
                <w:szCs w:val="20"/>
                <w:lang w:eastAsia="en-PH"/>
              </w:rPr>
            </w:pPr>
            <w:r>
              <w:rPr>
                <w:color w:val="000000"/>
                <w:sz w:val="20"/>
                <w:szCs w:val="20"/>
                <w:lang w:eastAsia="en-PH"/>
              </w:rPr>
              <w:t>Buildings classified as Other Structures</w:t>
            </w:r>
          </w:p>
        </w:tc>
        <w:tc>
          <w:tcPr>
            <w:tcW w:w="1804" w:type="dxa"/>
            <w:shd w:val="clear" w:color="auto" w:fill="auto"/>
          </w:tcPr>
          <w:p>
            <w:pPr>
              <w:spacing w:line="276" w:lineRule="auto"/>
              <w:jc w:val="right"/>
              <w:rPr>
                <w:color w:val="000000"/>
                <w:sz w:val="20"/>
                <w:szCs w:val="20"/>
                <w:lang w:eastAsia="en-PH"/>
              </w:rPr>
            </w:pPr>
            <w:r>
              <w:rPr>
                <w:color w:val="000000"/>
                <w:sz w:val="20"/>
                <w:szCs w:val="20"/>
                <w:lang w:eastAsia="en-PH"/>
              </w:rPr>
              <w:t>91,246,843.71</w:t>
            </w:r>
          </w:p>
        </w:tc>
        <w:tc>
          <w:tcPr>
            <w:tcW w:w="1800" w:type="dxa"/>
            <w:shd w:val="clear" w:color="auto" w:fill="auto"/>
          </w:tcPr>
          <w:p>
            <w:pPr>
              <w:spacing w:line="276" w:lineRule="auto"/>
              <w:jc w:val="center"/>
              <w:rPr>
                <w:color w:val="000000"/>
                <w:sz w:val="20"/>
                <w:szCs w:val="20"/>
                <w:lang w:eastAsia="en-PH"/>
              </w:rPr>
            </w:pPr>
            <w:r>
              <w:rPr>
                <w:color w:val="000000"/>
                <w:sz w:val="20"/>
                <w:szCs w:val="20"/>
                <w:lang w:eastAsia="en-PH"/>
              </w:rPr>
              <w:t>Other Structures</w:t>
            </w:r>
          </w:p>
        </w:tc>
        <w:tc>
          <w:tcPr>
            <w:tcW w:w="1436" w:type="dxa"/>
          </w:tcPr>
          <w:p>
            <w:pPr>
              <w:spacing w:line="276" w:lineRule="auto"/>
              <w:jc w:val="center"/>
              <w:rPr>
                <w:color w:val="000000"/>
                <w:sz w:val="20"/>
                <w:szCs w:val="20"/>
                <w:lang w:eastAsia="en-PH"/>
              </w:rPr>
            </w:pPr>
            <w:r>
              <w:rPr>
                <w:color w:val="000000"/>
                <w:sz w:val="20"/>
                <w:szCs w:val="20"/>
                <w:lang w:eastAsia="en-PH"/>
              </w:rPr>
              <w:t>Buildings</w:t>
            </w:r>
          </w:p>
        </w:tc>
      </w:tr>
      <w:tr>
        <w:trPr>
          <w:trHeight w:val="20"/>
          <w:jc w:val="center"/>
        </w:trPr>
        <w:tc>
          <w:tcPr>
            <w:tcW w:w="540" w:type="dxa"/>
            <w:vMerge w:val="restart"/>
            <w:shd w:val="clear" w:color="auto" w:fill="auto"/>
          </w:tcPr>
          <w:p>
            <w:pPr>
              <w:spacing w:line="276" w:lineRule="auto"/>
              <w:jc w:val="center"/>
              <w:rPr>
                <w:color w:val="000000"/>
                <w:sz w:val="20"/>
                <w:szCs w:val="20"/>
                <w:lang w:eastAsia="en-PH"/>
              </w:rPr>
            </w:pPr>
            <w:r>
              <w:rPr>
                <w:color w:val="000000"/>
                <w:sz w:val="20"/>
                <w:szCs w:val="20"/>
                <w:lang w:eastAsia="en-PH"/>
              </w:rPr>
              <w:t>4</w:t>
            </w:r>
          </w:p>
        </w:tc>
        <w:tc>
          <w:tcPr>
            <w:tcW w:w="3235" w:type="dxa"/>
            <w:vMerge w:val="restart"/>
            <w:shd w:val="clear" w:color="auto" w:fill="auto"/>
          </w:tcPr>
          <w:p>
            <w:pPr>
              <w:spacing w:line="276" w:lineRule="auto"/>
              <w:rPr>
                <w:color w:val="000000"/>
                <w:sz w:val="20"/>
                <w:szCs w:val="20"/>
                <w:lang w:eastAsia="en-PH"/>
              </w:rPr>
            </w:pPr>
            <w:r>
              <w:rPr>
                <w:color w:val="000000"/>
                <w:sz w:val="20"/>
                <w:szCs w:val="20"/>
                <w:lang w:eastAsia="en-PH"/>
              </w:rPr>
              <w:t>Perimeter fence classified as Other Infrastructure Assets and Other Structures</w:t>
            </w:r>
          </w:p>
        </w:tc>
        <w:tc>
          <w:tcPr>
            <w:tcW w:w="1804" w:type="dxa"/>
            <w:shd w:val="clear" w:color="auto" w:fill="auto"/>
          </w:tcPr>
          <w:p>
            <w:pPr>
              <w:spacing w:line="276" w:lineRule="auto"/>
              <w:jc w:val="right"/>
              <w:rPr>
                <w:color w:val="000000"/>
                <w:sz w:val="20"/>
                <w:szCs w:val="20"/>
                <w:lang w:eastAsia="en-PH"/>
              </w:rPr>
            </w:pPr>
            <w:r>
              <w:rPr>
                <w:color w:val="000000"/>
                <w:sz w:val="20"/>
                <w:szCs w:val="20"/>
                <w:lang w:eastAsia="en-PH"/>
              </w:rPr>
              <w:t>10,121,725.94</w:t>
            </w:r>
          </w:p>
        </w:tc>
        <w:tc>
          <w:tcPr>
            <w:tcW w:w="1800" w:type="dxa"/>
            <w:shd w:val="clear" w:color="auto" w:fill="auto"/>
          </w:tcPr>
          <w:p>
            <w:pPr>
              <w:spacing w:line="276" w:lineRule="auto"/>
              <w:jc w:val="center"/>
              <w:rPr>
                <w:color w:val="000000"/>
                <w:sz w:val="20"/>
                <w:szCs w:val="20"/>
                <w:lang w:eastAsia="en-PH"/>
              </w:rPr>
            </w:pPr>
            <w:r>
              <w:rPr>
                <w:color w:val="000000"/>
                <w:sz w:val="20"/>
                <w:szCs w:val="20"/>
                <w:lang w:eastAsia="en-PH"/>
              </w:rPr>
              <w:t>Other Infrastructure Assets</w:t>
            </w:r>
          </w:p>
        </w:tc>
        <w:tc>
          <w:tcPr>
            <w:tcW w:w="1436" w:type="dxa"/>
            <w:vMerge w:val="restart"/>
          </w:tcPr>
          <w:p>
            <w:pPr>
              <w:spacing w:line="276" w:lineRule="auto"/>
              <w:jc w:val="center"/>
              <w:rPr>
                <w:color w:val="000000"/>
                <w:sz w:val="20"/>
                <w:szCs w:val="20"/>
                <w:lang w:eastAsia="en-PH"/>
              </w:rPr>
            </w:pPr>
            <w:r>
              <w:rPr>
                <w:color w:val="000000"/>
                <w:sz w:val="20"/>
                <w:szCs w:val="20"/>
                <w:lang w:eastAsia="en-PH"/>
              </w:rPr>
              <w:t>Other Land Improvements</w:t>
            </w:r>
          </w:p>
        </w:tc>
      </w:tr>
      <w:tr>
        <w:trPr>
          <w:trHeight w:val="20"/>
          <w:jc w:val="center"/>
        </w:trPr>
        <w:tc>
          <w:tcPr>
            <w:tcW w:w="540" w:type="dxa"/>
            <w:vMerge/>
            <w:shd w:val="clear" w:color="auto" w:fill="auto"/>
          </w:tcPr>
          <w:p>
            <w:pPr>
              <w:widowControl w:val="0"/>
              <w:pBdr>
                <w:top w:val="nil"/>
                <w:left w:val="nil"/>
                <w:bottom w:val="nil"/>
                <w:right w:val="nil"/>
                <w:between w:val="nil"/>
              </w:pBdr>
              <w:spacing w:line="276" w:lineRule="auto"/>
              <w:rPr>
                <w:color w:val="000000"/>
                <w:sz w:val="20"/>
                <w:szCs w:val="20"/>
                <w:lang w:eastAsia="en-PH"/>
              </w:rPr>
            </w:pPr>
          </w:p>
        </w:tc>
        <w:tc>
          <w:tcPr>
            <w:tcW w:w="3235" w:type="dxa"/>
            <w:vMerge/>
            <w:shd w:val="clear" w:color="auto" w:fill="auto"/>
          </w:tcPr>
          <w:p>
            <w:pPr>
              <w:widowControl w:val="0"/>
              <w:pBdr>
                <w:top w:val="nil"/>
                <w:left w:val="nil"/>
                <w:bottom w:val="nil"/>
                <w:right w:val="nil"/>
                <w:between w:val="nil"/>
              </w:pBdr>
              <w:spacing w:line="276" w:lineRule="auto"/>
              <w:rPr>
                <w:color w:val="000000"/>
                <w:sz w:val="20"/>
                <w:szCs w:val="20"/>
                <w:lang w:eastAsia="en-PH"/>
              </w:rPr>
            </w:pPr>
          </w:p>
        </w:tc>
        <w:tc>
          <w:tcPr>
            <w:tcW w:w="1804" w:type="dxa"/>
            <w:shd w:val="clear" w:color="auto" w:fill="auto"/>
          </w:tcPr>
          <w:p>
            <w:pPr>
              <w:spacing w:line="276" w:lineRule="auto"/>
              <w:jc w:val="right"/>
              <w:rPr>
                <w:color w:val="000000"/>
                <w:sz w:val="20"/>
                <w:szCs w:val="20"/>
                <w:lang w:eastAsia="en-PH"/>
              </w:rPr>
            </w:pPr>
            <w:r>
              <w:rPr>
                <w:color w:val="000000"/>
                <w:sz w:val="20"/>
                <w:szCs w:val="20"/>
                <w:lang w:eastAsia="en-PH"/>
              </w:rPr>
              <w:t>226,411.33</w:t>
            </w:r>
          </w:p>
        </w:tc>
        <w:tc>
          <w:tcPr>
            <w:tcW w:w="1800" w:type="dxa"/>
            <w:shd w:val="clear" w:color="auto" w:fill="auto"/>
          </w:tcPr>
          <w:p>
            <w:pPr>
              <w:spacing w:line="276" w:lineRule="auto"/>
              <w:jc w:val="center"/>
              <w:rPr>
                <w:color w:val="000000"/>
                <w:sz w:val="20"/>
                <w:szCs w:val="20"/>
                <w:lang w:eastAsia="en-PH"/>
              </w:rPr>
            </w:pPr>
            <w:r>
              <w:rPr>
                <w:color w:val="000000"/>
                <w:sz w:val="20"/>
                <w:szCs w:val="20"/>
                <w:lang w:eastAsia="en-PH"/>
              </w:rPr>
              <w:t>Other Structures</w:t>
            </w:r>
          </w:p>
        </w:tc>
        <w:tc>
          <w:tcPr>
            <w:tcW w:w="1436" w:type="dxa"/>
            <w:vMerge/>
          </w:tcPr>
          <w:p>
            <w:pPr>
              <w:widowControl w:val="0"/>
              <w:pBdr>
                <w:top w:val="nil"/>
                <w:left w:val="nil"/>
                <w:bottom w:val="nil"/>
                <w:right w:val="nil"/>
                <w:between w:val="nil"/>
              </w:pBdr>
              <w:spacing w:line="276" w:lineRule="auto"/>
              <w:rPr>
                <w:color w:val="000000"/>
                <w:sz w:val="20"/>
                <w:szCs w:val="20"/>
                <w:lang w:eastAsia="en-PH"/>
              </w:rPr>
            </w:pPr>
          </w:p>
        </w:tc>
      </w:tr>
      <w:tr>
        <w:trPr>
          <w:trHeight w:val="20"/>
          <w:jc w:val="center"/>
        </w:trPr>
        <w:tc>
          <w:tcPr>
            <w:tcW w:w="540" w:type="dxa"/>
            <w:vMerge w:val="restart"/>
            <w:shd w:val="clear" w:color="auto" w:fill="auto"/>
          </w:tcPr>
          <w:p>
            <w:pPr>
              <w:spacing w:line="276" w:lineRule="auto"/>
              <w:jc w:val="center"/>
              <w:rPr>
                <w:color w:val="000000"/>
                <w:sz w:val="20"/>
                <w:szCs w:val="20"/>
                <w:lang w:eastAsia="en-PH"/>
              </w:rPr>
            </w:pPr>
            <w:r>
              <w:rPr>
                <w:color w:val="000000"/>
                <w:sz w:val="20"/>
                <w:szCs w:val="20"/>
                <w:lang w:eastAsia="en-PH"/>
              </w:rPr>
              <w:t>5</w:t>
            </w:r>
          </w:p>
        </w:tc>
        <w:tc>
          <w:tcPr>
            <w:tcW w:w="3235" w:type="dxa"/>
            <w:vMerge w:val="restart"/>
            <w:shd w:val="clear" w:color="auto" w:fill="auto"/>
          </w:tcPr>
          <w:p>
            <w:pPr>
              <w:spacing w:line="276" w:lineRule="auto"/>
              <w:rPr>
                <w:color w:val="000000"/>
                <w:sz w:val="20"/>
                <w:szCs w:val="20"/>
                <w:lang w:eastAsia="en-PH"/>
              </w:rPr>
            </w:pPr>
            <w:r>
              <w:rPr>
                <w:color w:val="000000"/>
                <w:sz w:val="20"/>
                <w:szCs w:val="20"/>
                <w:lang w:eastAsia="en-PH"/>
              </w:rPr>
              <w:t>Structures used for the delivery of public health services classified as Other Structures and Other Infrastructure Assets</w:t>
            </w:r>
          </w:p>
        </w:tc>
        <w:tc>
          <w:tcPr>
            <w:tcW w:w="1804" w:type="dxa"/>
            <w:shd w:val="clear" w:color="auto" w:fill="auto"/>
          </w:tcPr>
          <w:p>
            <w:pPr>
              <w:spacing w:line="276" w:lineRule="auto"/>
              <w:jc w:val="right"/>
              <w:rPr>
                <w:color w:val="000000"/>
                <w:sz w:val="20"/>
                <w:szCs w:val="20"/>
                <w:lang w:eastAsia="en-PH"/>
              </w:rPr>
            </w:pPr>
            <w:r>
              <w:rPr>
                <w:color w:val="000000"/>
                <w:sz w:val="20"/>
                <w:szCs w:val="20"/>
                <w:lang w:eastAsia="en-PH"/>
              </w:rPr>
              <w:t>5,509,016.22</w:t>
            </w:r>
          </w:p>
        </w:tc>
        <w:tc>
          <w:tcPr>
            <w:tcW w:w="1800" w:type="dxa"/>
            <w:shd w:val="clear" w:color="auto" w:fill="auto"/>
          </w:tcPr>
          <w:p>
            <w:pPr>
              <w:spacing w:line="276" w:lineRule="auto"/>
              <w:jc w:val="center"/>
              <w:rPr>
                <w:color w:val="000000"/>
                <w:sz w:val="20"/>
                <w:szCs w:val="20"/>
                <w:lang w:eastAsia="en-PH"/>
              </w:rPr>
            </w:pPr>
            <w:r>
              <w:rPr>
                <w:color w:val="000000"/>
                <w:sz w:val="20"/>
                <w:szCs w:val="20"/>
                <w:lang w:eastAsia="en-PH"/>
              </w:rPr>
              <w:t>Other Structures</w:t>
            </w:r>
          </w:p>
        </w:tc>
        <w:tc>
          <w:tcPr>
            <w:tcW w:w="1436" w:type="dxa"/>
            <w:vMerge w:val="restart"/>
          </w:tcPr>
          <w:p>
            <w:pPr>
              <w:spacing w:line="276" w:lineRule="auto"/>
              <w:jc w:val="center"/>
              <w:rPr>
                <w:color w:val="000000"/>
                <w:sz w:val="20"/>
                <w:szCs w:val="20"/>
                <w:lang w:eastAsia="en-PH"/>
              </w:rPr>
            </w:pPr>
            <w:r>
              <w:rPr>
                <w:color w:val="000000"/>
                <w:sz w:val="20"/>
                <w:szCs w:val="20"/>
                <w:lang w:eastAsia="en-PH"/>
              </w:rPr>
              <w:t>Hospitals and Health Centers</w:t>
            </w:r>
          </w:p>
        </w:tc>
      </w:tr>
      <w:tr>
        <w:trPr>
          <w:trHeight w:val="20"/>
          <w:jc w:val="center"/>
        </w:trPr>
        <w:tc>
          <w:tcPr>
            <w:tcW w:w="540" w:type="dxa"/>
            <w:vMerge/>
            <w:shd w:val="clear" w:color="auto" w:fill="auto"/>
          </w:tcPr>
          <w:p>
            <w:pPr>
              <w:widowControl w:val="0"/>
              <w:pBdr>
                <w:top w:val="nil"/>
                <w:left w:val="nil"/>
                <w:bottom w:val="nil"/>
                <w:right w:val="nil"/>
                <w:between w:val="nil"/>
              </w:pBdr>
              <w:spacing w:line="276" w:lineRule="auto"/>
              <w:rPr>
                <w:color w:val="000000"/>
                <w:sz w:val="20"/>
                <w:szCs w:val="20"/>
                <w:lang w:eastAsia="en-PH"/>
              </w:rPr>
            </w:pPr>
          </w:p>
        </w:tc>
        <w:tc>
          <w:tcPr>
            <w:tcW w:w="3235" w:type="dxa"/>
            <w:vMerge/>
            <w:shd w:val="clear" w:color="auto" w:fill="auto"/>
          </w:tcPr>
          <w:p>
            <w:pPr>
              <w:widowControl w:val="0"/>
              <w:pBdr>
                <w:top w:val="nil"/>
                <w:left w:val="nil"/>
                <w:bottom w:val="nil"/>
                <w:right w:val="nil"/>
                <w:between w:val="nil"/>
              </w:pBdr>
              <w:spacing w:line="276" w:lineRule="auto"/>
              <w:rPr>
                <w:color w:val="000000"/>
                <w:sz w:val="20"/>
                <w:szCs w:val="20"/>
                <w:lang w:eastAsia="en-PH"/>
              </w:rPr>
            </w:pPr>
          </w:p>
        </w:tc>
        <w:tc>
          <w:tcPr>
            <w:tcW w:w="1804" w:type="dxa"/>
            <w:shd w:val="clear" w:color="auto" w:fill="auto"/>
          </w:tcPr>
          <w:p>
            <w:pPr>
              <w:spacing w:line="276" w:lineRule="auto"/>
              <w:jc w:val="right"/>
              <w:rPr>
                <w:color w:val="000000"/>
                <w:sz w:val="20"/>
                <w:szCs w:val="20"/>
                <w:lang w:eastAsia="en-PH"/>
              </w:rPr>
            </w:pPr>
            <w:r>
              <w:rPr>
                <w:color w:val="000000"/>
                <w:sz w:val="20"/>
                <w:szCs w:val="20"/>
                <w:lang w:eastAsia="en-PH"/>
              </w:rPr>
              <w:t>2,600,290.36</w:t>
            </w:r>
          </w:p>
        </w:tc>
        <w:tc>
          <w:tcPr>
            <w:tcW w:w="1800" w:type="dxa"/>
            <w:shd w:val="clear" w:color="auto" w:fill="auto"/>
          </w:tcPr>
          <w:p>
            <w:pPr>
              <w:spacing w:line="276" w:lineRule="auto"/>
              <w:jc w:val="center"/>
              <w:rPr>
                <w:color w:val="000000"/>
                <w:sz w:val="20"/>
                <w:szCs w:val="20"/>
                <w:lang w:eastAsia="en-PH"/>
              </w:rPr>
            </w:pPr>
            <w:r>
              <w:rPr>
                <w:color w:val="000000"/>
                <w:sz w:val="20"/>
                <w:szCs w:val="20"/>
                <w:lang w:eastAsia="en-PH"/>
              </w:rPr>
              <w:t>Other Infrastructure Assets</w:t>
            </w:r>
          </w:p>
        </w:tc>
        <w:tc>
          <w:tcPr>
            <w:tcW w:w="1436" w:type="dxa"/>
            <w:vMerge/>
          </w:tcPr>
          <w:p>
            <w:pPr>
              <w:widowControl w:val="0"/>
              <w:pBdr>
                <w:top w:val="nil"/>
                <w:left w:val="nil"/>
                <w:bottom w:val="nil"/>
                <w:right w:val="nil"/>
                <w:between w:val="nil"/>
              </w:pBdr>
              <w:spacing w:line="276" w:lineRule="auto"/>
              <w:rPr>
                <w:color w:val="000000"/>
                <w:sz w:val="20"/>
                <w:szCs w:val="20"/>
                <w:lang w:eastAsia="en-PH"/>
              </w:rPr>
            </w:pPr>
          </w:p>
        </w:tc>
      </w:tr>
      <w:tr>
        <w:trPr>
          <w:trHeight w:val="20"/>
          <w:jc w:val="center"/>
        </w:trPr>
        <w:tc>
          <w:tcPr>
            <w:tcW w:w="540" w:type="dxa"/>
            <w:shd w:val="clear" w:color="auto" w:fill="auto"/>
            <w:vAlign w:val="bottom"/>
          </w:tcPr>
          <w:p>
            <w:pPr>
              <w:spacing w:line="276" w:lineRule="auto"/>
              <w:jc w:val="center"/>
              <w:rPr>
                <w:color w:val="000000"/>
                <w:sz w:val="20"/>
                <w:szCs w:val="20"/>
                <w:lang w:eastAsia="en-PH"/>
              </w:rPr>
            </w:pPr>
          </w:p>
        </w:tc>
        <w:tc>
          <w:tcPr>
            <w:tcW w:w="3235" w:type="dxa"/>
            <w:shd w:val="clear" w:color="auto" w:fill="auto"/>
          </w:tcPr>
          <w:p>
            <w:pPr>
              <w:spacing w:line="276" w:lineRule="auto"/>
              <w:rPr>
                <w:b/>
                <w:color w:val="000000"/>
                <w:sz w:val="20"/>
                <w:szCs w:val="20"/>
                <w:lang w:eastAsia="en-PH"/>
              </w:rPr>
            </w:pPr>
            <w:r>
              <w:rPr>
                <w:b/>
                <w:color w:val="000000"/>
                <w:sz w:val="20"/>
                <w:szCs w:val="20"/>
                <w:lang w:eastAsia="en-PH"/>
              </w:rPr>
              <w:t>TOTAL</w:t>
            </w:r>
          </w:p>
        </w:tc>
        <w:tc>
          <w:tcPr>
            <w:tcW w:w="1804" w:type="dxa"/>
            <w:shd w:val="clear" w:color="auto" w:fill="auto"/>
          </w:tcPr>
          <w:p>
            <w:pPr>
              <w:spacing w:line="276" w:lineRule="auto"/>
              <w:jc w:val="right"/>
              <w:rPr>
                <w:b/>
                <w:color w:val="000000"/>
                <w:sz w:val="20"/>
                <w:szCs w:val="20"/>
                <w:lang w:eastAsia="en-PH"/>
              </w:rPr>
            </w:pPr>
            <w:r>
              <w:rPr>
                <w:b/>
                <w:color w:val="000000"/>
                <w:sz w:val="20"/>
                <w:szCs w:val="20"/>
                <w:lang w:eastAsia="en-PH"/>
              </w:rPr>
              <w:t>P202,450,628.15</w:t>
            </w:r>
          </w:p>
        </w:tc>
        <w:tc>
          <w:tcPr>
            <w:tcW w:w="1800" w:type="dxa"/>
            <w:shd w:val="clear" w:color="auto" w:fill="auto"/>
            <w:vAlign w:val="bottom"/>
          </w:tcPr>
          <w:p>
            <w:pPr>
              <w:spacing w:line="276" w:lineRule="auto"/>
              <w:rPr>
                <w:color w:val="000000"/>
                <w:sz w:val="20"/>
                <w:szCs w:val="20"/>
                <w:lang w:eastAsia="en-PH"/>
              </w:rPr>
            </w:pPr>
          </w:p>
        </w:tc>
        <w:tc>
          <w:tcPr>
            <w:tcW w:w="1436" w:type="dxa"/>
            <w:vAlign w:val="bottom"/>
          </w:tcPr>
          <w:p>
            <w:pPr>
              <w:spacing w:line="276" w:lineRule="auto"/>
              <w:rPr>
                <w:color w:val="000000"/>
                <w:sz w:val="20"/>
                <w:szCs w:val="20"/>
                <w:lang w:eastAsia="en-PH"/>
              </w:rPr>
            </w:pPr>
          </w:p>
        </w:tc>
      </w:tr>
    </w:tbl>
    <w:p>
      <w:pPr>
        <w:spacing w:line="276" w:lineRule="auto"/>
        <w:jc w:val="both"/>
        <w:rPr>
          <w:color w:val="000000"/>
          <w:lang w:eastAsia="en-PH"/>
        </w:rPr>
      </w:pPr>
    </w:p>
    <w:p>
      <w:pPr>
        <w:spacing w:line="276" w:lineRule="auto"/>
        <w:jc w:val="both"/>
        <w:rPr>
          <w:color w:val="000000"/>
          <w:lang w:eastAsia="en-PH"/>
        </w:rPr>
      </w:pPr>
      <w:r>
        <w:rPr>
          <w:color w:val="000000"/>
          <w:lang w:eastAsia="en-PH"/>
        </w:rPr>
        <w:t>Discussions of the above-noted deficiencies are as follows:</w:t>
      </w:r>
    </w:p>
    <w:p>
      <w:pPr>
        <w:spacing w:line="276" w:lineRule="auto"/>
        <w:ind w:firstLine="720"/>
        <w:jc w:val="both"/>
        <w:rPr>
          <w:color w:val="000000"/>
          <w:lang w:eastAsia="en-PH"/>
        </w:rPr>
      </w:pPr>
    </w:p>
    <w:p>
      <w:pPr>
        <w:numPr>
          <w:ilvl w:val="0"/>
          <w:numId w:val="8"/>
        </w:numPr>
        <w:pBdr>
          <w:top w:val="nil"/>
          <w:left w:val="nil"/>
          <w:bottom w:val="nil"/>
          <w:right w:val="nil"/>
          <w:between w:val="nil"/>
        </w:pBdr>
        <w:spacing w:line="276" w:lineRule="auto"/>
        <w:ind w:left="360"/>
        <w:jc w:val="both"/>
        <w:rPr>
          <w:color w:val="000000"/>
          <w:lang w:eastAsia="en-PH"/>
        </w:rPr>
      </w:pPr>
      <w:r>
        <w:rPr>
          <w:color w:val="000000"/>
          <w:lang w:eastAsia="en-PH"/>
        </w:rPr>
        <w:t xml:space="preserve">For item no. 1, the buildings and other structures inappropriately classified as “Other Infrastructure Assets” include multi-purpose gym, covered court, multi-purpose hall, bleachers, rehabilitation center, community skills training center, daycare centers, and Gawad Kalinga building, among others. Based on the current classification of these PPE items, it can be inferred that the City may have equated these infrastructure projects as infrastructure assets hence, the classification under “Other Infrastructure </w:t>
      </w:r>
      <w:r>
        <w:rPr>
          <w:color w:val="000000"/>
          <w:lang w:eastAsia="en-PH"/>
        </w:rPr>
        <w:lastRenderedPageBreak/>
        <w:t xml:space="preserve">Assets”. However, these items should be classified under the appropriate Buildings and Other Structures accounts. </w:t>
      </w:r>
    </w:p>
    <w:p>
      <w:pPr>
        <w:pBdr>
          <w:top w:val="nil"/>
          <w:left w:val="nil"/>
          <w:bottom w:val="nil"/>
          <w:right w:val="nil"/>
          <w:between w:val="nil"/>
        </w:pBdr>
        <w:spacing w:line="276" w:lineRule="auto"/>
        <w:ind w:left="360"/>
        <w:jc w:val="both"/>
        <w:rPr>
          <w:color w:val="000000"/>
          <w:lang w:eastAsia="en-PH"/>
        </w:rPr>
      </w:pPr>
    </w:p>
    <w:p>
      <w:pPr>
        <w:spacing w:line="276" w:lineRule="auto"/>
        <w:ind w:left="360"/>
        <w:jc w:val="both"/>
        <w:rPr>
          <w:color w:val="000000"/>
          <w:lang w:eastAsia="en-PH"/>
        </w:rPr>
      </w:pPr>
      <w:r>
        <w:rPr>
          <w:color w:val="000000"/>
          <w:lang w:eastAsia="en-PH"/>
        </w:rPr>
        <w:t xml:space="preserve">In addition, Annex B of COA Circular 2015-009 dated December 1, 2015, which prescribes the revised chart of accounts for local government units, enumerates the composition of infrastructure assets which include road networks, flood control system, sewer systems, water supply systems, power supply systems, communication networks, seaport systems, airport systems, parks, plazas and monuments and other infrastructure assets. Other infrastructure assets are described as </w:t>
      </w:r>
      <w:r>
        <w:rPr>
          <w:lang w:eastAsia="en-PH"/>
        </w:rPr>
        <w:t>other public infrastructures which cannot be classified under any specific type of public infrastructures for public use or for income generating purposes.</w:t>
      </w:r>
    </w:p>
    <w:p>
      <w:pPr>
        <w:spacing w:line="276" w:lineRule="auto"/>
        <w:ind w:left="1080"/>
        <w:jc w:val="both"/>
        <w:rPr>
          <w:color w:val="000000"/>
          <w:lang w:eastAsia="en-PH"/>
        </w:rPr>
      </w:pPr>
    </w:p>
    <w:p>
      <w:pPr>
        <w:numPr>
          <w:ilvl w:val="0"/>
          <w:numId w:val="8"/>
        </w:numPr>
        <w:pBdr>
          <w:top w:val="nil"/>
          <w:left w:val="nil"/>
          <w:bottom w:val="nil"/>
          <w:right w:val="nil"/>
          <w:between w:val="nil"/>
        </w:pBdr>
        <w:spacing w:line="276" w:lineRule="auto"/>
        <w:ind w:left="360"/>
        <w:jc w:val="both"/>
        <w:rPr>
          <w:color w:val="000000"/>
          <w:lang w:eastAsia="en-PH"/>
        </w:rPr>
      </w:pPr>
      <w:r>
        <w:rPr>
          <w:color w:val="000000"/>
          <w:lang w:eastAsia="en-PH"/>
        </w:rPr>
        <w:t xml:space="preserve">For item no. 2, the improvement of park and plaza at the Old City Hall, </w:t>
      </w:r>
      <w:proofErr w:type="spellStart"/>
      <w:r>
        <w:rPr>
          <w:color w:val="000000"/>
          <w:lang w:eastAsia="en-PH"/>
        </w:rPr>
        <w:t>Brgy</w:t>
      </w:r>
      <w:proofErr w:type="spellEnd"/>
      <w:r>
        <w:rPr>
          <w:color w:val="000000"/>
          <w:lang w:eastAsia="en-PH"/>
        </w:rPr>
        <w:t>. New Pandan with a carrying amount of P572,923.62 is classified as “Other Structures”. This item should have been classified under “Parks, Plazas and Monuments” considering the purpose of the project.</w:t>
      </w:r>
    </w:p>
    <w:p>
      <w:pPr>
        <w:pBdr>
          <w:top w:val="nil"/>
          <w:left w:val="nil"/>
          <w:bottom w:val="nil"/>
          <w:right w:val="nil"/>
          <w:between w:val="nil"/>
        </w:pBdr>
        <w:spacing w:line="276" w:lineRule="auto"/>
        <w:ind w:left="360"/>
        <w:jc w:val="both"/>
        <w:rPr>
          <w:color w:val="000000"/>
          <w:lang w:eastAsia="en-PH"/>
        </w:rPr>
      </w:pPr>
    </w:p>
    <w:p>
      <w:pPr>
        <w:numPr>
          <w:ilvl w:val="0"/>
          <w:numId w:val="8"/>
        </w:numPr>
        <w:pBdr>
          <w:top w:val="nil"/>
          <w:left w:val="nil"/>
          <w:bottom w:val="nil"/>
          <w:right w:val="nil"/>
          <w:between w:val="nil"/>
        </w:pBdr>
        <w:spacing w:line="276" w:lineRule="auto"/>
        <w:ind w:left="360"/>
        <w:jc w:val="both"/>
        <w:rPr>
          <w:color w:val="000000"/>
          <w:lang w:eastAsia="en-PH"/>
        </w:rPr>
      </w:pPr>
      <w:r>
        <w:rPr>
          <w:color w:val="000000"/>
          <w:lang w:eastAsia="en-PH"/>
        </w:rPr>
        <w:t xml:space="preserve">In item no. 3, several buildings including Multi-Purpose Tourism Cultural and Sports Center (MPTCSC) building, GAD building, improvement of CIO and Library building, Angel </w:t>
      </w:r>
      <w:proofErr w:type="spellStart"/>
      <w:r>
        <w:rPr>
          <w:color w:val="000000"/>
          <w:lang w:eastAsia="en-PH"/>
        </w:rPr>
        <w:t>Barachael</w:t>
      </w:r>
      <w:proofErr w:type="spellEnd"/>
      <w:r>
        <w:rPr>
          <w:color w:val="000000"/>
          <w:lang w:eastAsia="en-PH"/>
        </w:rPr>
        <w:t xml:space="preserve"> Home for Boys and micro-mill building, among others are classified as “Other Structures” instead of being classified under the “Building” account. It must be noted that “Other Structures” account should only be used when the PPE does not meet any of the description of the several building and other structures accounts enumerated in the aforementioned revised chart of accounts. </w:t>
      </w:r>
    </w:p>
    <w:p>
      <w:pPr>
        <w:pBdr>
          <w:top w:val="nil"/>
          <w:left w:val="nil"/>
          <w:bottom w:val="nil"/>
          <w:right w:val="nil"/>
          <w:between w:val="nil"/>
        </w:pBdr>
        <w:spacing w:line="276" w:lineRule="auto"/>
        <w:jc w:val="both"/>
        <w:rPr>
          <w:color w:val="000000"/>
          <w:lang w:eastAsia="en-PH"/>
        </w:rPr>
      </w:pPr>
    </w:p>
    <w:p>
      <w:pPr>
        <w:numPr>
          <w:ilvl w:val="0"/>
          <w:numId w:val="8"/>
        </w:numPr>
        <w:pBdr>
          <w:top w:val="nil"/>
          <w:left w:val="nil"/>
          <w:bottom w:val="nil"/>
          <w:right w:val="nil"/>
          <w:between w:val="nil"/>
        </w:pBdr>
        <w:spacing w:line="276" w:lineRule="auto"/>
        <w:ind w:left="360"/>
        <w:jc w:val="both"/>
        <w:rPr>
          <w:i/>
          <w:color w:val="000000"/>
          <w:lang w:eastAsia="en-PH"/>
        </w:rPr>
      </w:pPr>
      <w:bookmarkStart w:id="2" w:name="_heading=h.gjdgxs" w:colFirst="0" w:colLast="0"/>
      <w:bookmarkEnd w:id="2"/>
      <w:r>
        <w:rPr>
          <w:color w:val="000000"/>
          <w:lang w:eastAsia="en-PH"/>
        </w:rPr>
        <w:t xml:space="preserve">For item no. 4, perimeter fences of various buildings and schools within the City are incorrectly recorded under “Other Infrastructure Assets” and “Other Structures”. However, these should have been recorded as “Other Land Improvements” as this account is described in the mentioned Circular as follows: </w:t>
      </w:r>
      <w:r>
        <w:rPr>
          <w:i/>
          <w:color w:val="000000"/>
          <w:lang w:eastAsia="en-PH"/>
        </w:rPr>
        <w:t>“This account is used to record the cost incurred in the purchase or fair value, if acquired through donation or transfers without cost, of land improvements such as parking lots, landscape, walkways, driveways, covered walks, fences and the like.”</w:t>
      </w:r>
    </w:p>
    <w:p>
      <w:pPr>
        <w:pBdr>
          <w:top w:val="nil"/>
          <w:left w:val="nil"/>
          <w:bottom w:val="nil"/>
          <w:right w:val="nil"/>
          <w:between w:val="nil"/>
        </w:pBdr>
        <w:spacing w:line="276" w:lineRule="auto"/>
        <w:ind w:left="360"/>
        <w:rPr>
          <w:color w:val="000000"/>
          <w:lang w:eastAsia="en-PH"/>
        </w:rPr>
      </w:pPr>
    </w:p>
    <w:p>
      <w:pPr>
        <w:numPr>
          <w:ilvl w:val="0"/>
          <w:numId w:val="8"/>
        </w:numPr>
        <w:pBdr>
          <w:top w:val="nil"/>
          <w:left w:val="nil"/>
          <w:bottom w:val="nil"/>
          <w:right w:val="nil"/>
          <w:between w:val="nil"/>
        </w:pBdr>
        <w:spacing w:line="276" w:lineRule="auto"/>
        <w:ind w:left="360"/>
        <w:jc w:val="both"/>
        <w:rPr>
          <w:i/>
          <w:color w:val="000000"/>
          <w:lang w:eastAsia="en-PH"/>
        </w:rPr>
      </w:pPr>
      <w:r>
        <w:rPr>
          <w:color w:val="000000"/>
          <w:lang w:eastAsia="en-PH"/>
        </w:rPr>
        <w:t xml:space="preserve">In item no. 5, several health centers and health stations located in various barangays are classified as “Other Structures” and “Other Infrastructure Assets”. However, these PPE items should be recorded under “Hospitals and Health Centers” since the cited COA Circular 2015-009 specified the following description for the said account, to wit: </w:t>
      </w:r>
      <w:r>
        <w:rPr>
          <w:i/>
          <w:color w:val="000000"/>
          <w:lang w:eastAsia="en-PH"/>
        </w:rPr>
        <w:t>“This account is used to record the cost incurred in the purchase or construction or fair value, if acquired through donation or transfers without cost, of hospitals and health centers, for use in the delivery of public health services.”</w:t>
      </w:r>
    </w:p>
    <w:p>
      <w:pPr>
        <w:spacing w:line="276" w:lineRule="auto"/>
        <w:jc w:val="both"/>
        <w:rPr>
          <w:i/>
          <w:color w:val="000000"/>
          <w:lang w:eastAsia="en-PH"/>
        </w:rPr>
      </w:pPr>
      <w:r>
        <w:rPr>
          <w:i/>
          <w:color w:val="000000"/>
          <w:lang w:eastAsia="en-PH"/>
        </w:rPr>
        <w:lastRenderedPageBreak/>
        <w:t>Table 2.4. Inconsistent Classification of PPE (see Annex G for details)</w:t>
      </w:r>
    </w:p>
    <w:tbl>
      <w:tblPr>
        <w:tblW w:w="8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7"/>
        <w:gridCol w:w="2238"/>
        <w:gridCol w:w="1890"/>
        <w:gridCol w:w="3860"/>
      </w:tblGrid>
      <w:tr>
        <w:trPr>
          <w:trHeight w:val="311"/>
          <w:jc w:val="center"/>
        </w:trPr>
        <w:tc>
          <w:tcPr>
            <w:tcW w:w="557"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No.</w:t>
            </w:r>
          </w:p>
        </w:tc>
        <w:tc>
          <w:tcPr>
            <w:tcW w:w="2238"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PPE Item</w:t>
            </w:r>
          </w:p>
        </w:tc>
        <w:tc>
          <w:tcPr>
            <w:tcW w:w="1890"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Carrying Amount</w:t>
            </w:r>
          </w:p>
        </w:tc>
        <w:tc>
          <w:tcPr>
            <w:tcW w:w="3860" w:type="dxa"/>
            <w:shd w:val="clear" w:color="auto" w:fill="auto"/>
            <w:vAlign w:val="center"/>
          </w:tcPr>
          <w:p>
            <w:pPr>
              <w:spacing w:line="276" w:lineRule="auto"/>
              <w:jc w:val="center"/>
              <w:rPr>
                <w:b/>
                <w:color w:val="000000"/>
                <w:sz w:val="22"/>
                <w:szCs w:val="22"/>
                <w:lang w:eastAsia="en-PH"/>
              </w:rPr>
            </w:pPr>
            <w:r>
              <w:rPr>
                <w:b/>
                <w:color w:val="000000"/>
                <w:sz w:val="22"/>
                <w:szCs w:val="22"/>
                <w:lang w:eastAsia="en-PH"/>
              </w:rPr>
              <w:t>Current Classification</w:t>
            </w:r>
          </w:p>
        </w:tc>
      </w:tr>
      <w:tr>
        <w:trPr>
          <w:trHeight w:val="311"/>
          <w:jc w:val="center"/>
        </w:trPr>
        <w:tc>
          <w:tcPr>
            <w:tcW w:w="557" w:type="dxa"/>
            <w:shd w:val="clear" w:color="auto" w:fill="auto"/>
          </w:tcPr>
          <w:p>
            <w:pPr>
              <w:spacing w:line="276" w:lineRule="auto"/>
              <w:jc w:val="center"/>
              <w:rPr>
                <w:color w:val="000000"/>
                <w:sz w:val="22"/>
                <w:szCs w:val="22"/>
                <w:lang w:eastAsia="en-PH"/>
              </w:rPr>
            </w:pPr>
            <w:r>
              <w:rPr>
                <w:color w:val="000000"/>
                <w:sz w:val="22"/>
                <w:szCs w:val="22"/>
                <w:lang w:eastAsia="en-PH"/>
              </w:rPr>
              <w:t>1</w:t>
            </w:r>
          </w:p>
        </w:tc>
        <w:tc>
          <w:tcPr>
            <w:tcW w:w="2238" w:type="dxa"/>
            <w:shd w:val="clear" w:color="auto" w:fill="auto"/>
          </w:tcPr>
          <w:p>
            <w:pPr>
              <w:spacing w:line="276" w:lineRule="auto"/>
              <w:rPr>
                <w:color w:val="000000"/>
                <w:sz w:val="22"/>
                <w:szCs w:val="22"/>
                <w:lang w:eastAsia="en-PH"/>
              </w:rPr>
            </w:pPr>
            <w:r>
              <w:rPr>
                <w:color w:val="000000"/>
                <w:sz w:val="22"/>
                <w:szCs w:val="22"/>
                <w:lang w:eastAsia="en-PH"/>
              </w:rPr>
              <w:t>Generator</w:t>
            </w:r>
          </w:p>
        </w:tc>
        <w:tc>
          <w:tcPr>
            <w:tcW w:w="1890" w:type="dxa"/>
            <w:shd w:val="clear" w:color="auto" w:fill="auto"/>
          </w:tcPr>
          <w:p>
            <w:pPr>
              <w:spacing w:line="276" w:lineRule="auto"/>
              <w:jc w:val="right"/>
              <w:rPr>
                <w:color w:val="000000"/>
                <w:sz w:val="22"/>
                <w:szCs w:val="22"/>
                <w:lang w:eastAsia="en-PH"/>
              </w:rPr>
            </w:pPr>
            <w:r>
              <w:rPr>
                <w:color w:val="000000"/>
                <w:sz w:val="22"/>
                <w:szCs w:val="22"/>
                <w:lang w:eastAsia="en-PH"/>
              </w:rPr>
              <w:t>P356,201.50</w:t>
            </w:r>
          </w:p>
        </w:tc>
        <w:tc>
          <w:tcPr>
            <w:tcW w:w="3860" w:type="dxa"/>
            <w:shd w:val="clear" w:color="auto" w:fill="auto"/>
            <w:vAlign w:val="bottom"/>
          </w:tcPr>
          <w:p>
            <w:pPr>
              <w:spacing w:line="276" w:lineRule="auto"/>
              <w:rPr>
                <w:color w:val="000000"/>
                <w:sz w:val="22"/>
                <w:szCs w:val="22"/>
                <w:lang w:eastAsia="en-PH"/>
              </w:rPr>
            </w:pPr>
            <w:r>
              <w:rPr>
                <w:color w:val="000000"/>
                <w:sz w:val="22"/>
                <w:szCs w:val="22"/>
                <w:lang w:eastAsia="en-PH"/>
              </w:rPr>
              <w:t>Other Machinery and Equipment; Other Property, Plant and Equipment</w:t>
            </w:r>
          </w:p>
        </w:tc>
      </w:tr>
      <w:tr>
        <w:trPr>
          <w:trHeight w:val="311"/>
          <w:jc w:val="center"/>
        </w:trPr>
        <w:tc>
          <w:tcPr>
            <w:tcW w:w="557" w:type="dxa"/>
            <w:shd w:val="clear" w:color="auto" w:fill="auto"/>
          </w:tcPr>
          <w:p>
            <w:pPr>
              <w:spacing w:line="276" w:lineRule="auto"/>
              <w:jc w:val="center"/>
              <w:rPr>
                <w:color w:val="000000"/>
                <w:sz w:val="22"/>
                <w:szCs w:val="22"/>
                <w:lang w:eastAsia="en-PH"/>
              </w:rPr>
            </w:pPr>
            <w:r>
              <w:rPr>
                <w:color w:val="000000"/>
                <w:sz w:val="22"/>
                <w:szCs w:val="22"/>
                <w:lang w:eastAsia="en-PH"/>
              </w:rPr>
              <w:t>2</w:t>
            </w:r>
          </w:p>
        </w:tc>
        <w:tc>
          <w:tcPr>
            <w:tcW w:w="2238" w:type="dxa"/>
            <w:shd w:val="clear" w:color="auto" w:fill="auto"/>
          </w:tcPr>
          <w:p>
            <w:pPr>
              <w:spacing w:line="276" w:lineRule="auto"/>
              <w:rPr>
                <w:color w:val="000000"/>
                <w:sz w:val="22"/>
                <w:szCs w:val="22"/>
                <w:lang w:eastAsia="en-PH"/>
              </w:rPr>
            </w:pPr>
            <w:r>
              <w:rPr>
                <w:color w:val="000000"/>
                <w:sz w:val="22"/>
                <w:szCs w:val="22"/>
                <w:lang w:eastAsia="en-PH"/>
              </w:rPr>
              <w:t>Submersible Pump</w:t>
            </w:r>
          </w:p>
        </w:tc>
        <w:tc>
          <w:tcPr>
            <w:tcW w:w="1890" w:type="dxa"/>
            <w:shd w:val="clear" w:color="auto" w:fill="auto"/>
          </w:tcPr>
          <w:p>
            <w:pPr>
              <w:spacing w:line="276" w:lineRule="auto"/>
              <w:jc w:val="right"/>
              <w:rPr>
                <w:color w:val="000000"/>
                <w:sz w:val="22"/>
                <w:szCs w:val="22"/>
                <w:lang w:eastAsia="en-PH"/>
              </w:rPr>
            </w:pPr>
            <w:r>
              <w:rPr>
                <w:color w:val="000000"/>
                <w:sz w:val="22"/>
                <w:szCs w:val="22"/>
                <w:lang w:eastAsia="en-PH"/>
              </w:rPr>
              <w:t>2,689,066.07</w:t>
            </w:r>
          </w:p>
        </w:tc>
        <w:tc>
          <w:tcPr>
            <w:tcW w:w="3860" w:type="dxa"/>
            <w:shd w:val="clear" w:color="auto" w:fill="auto"/>
            <w:vAlign w:val="bottom"/>
          </w:tcPr>
          <w:p>
            <w:pPr>
              <w:spacing w:line="276" w:lineRule="auto"/>
              <w:rPr>
                <w:color w:val="000000"/>
                <w:sz w:val="22"/>
                <w:szCs w:val="22"/>
                <w:lang w:eastAsia="en-PH"/>
              </w:rPr>
            </w:pPr>
            <w:r>
              <w:rPr>
                <w:color w:val="000000"/>
                <w:sz w:val="22"/>
                <w:szCs w:val="22"/>
                <w:lang w:eastAsia="en-PH"/>
              </w:rPr>
              <w:t>Other Machinery and Equipment; Other Property Plant and Equipment</w:t>
            </w:r>
          </w:p>
        </w:tc>
      </w:tr>
      <w:tr>
        <w:trPr>
          <w:trHeight w:val="88"/>
          <w:jc w:val="center"/>
        </w:trPr>
        <w:tc>
          <w:tcPr>
            <w:tcW w:w="557" w:type="dxa"/>
            <w:shd w:val="clear" w:color="auto" w:fill="auto"/>
            <w:vAlign w:val="bottom"/>
          </w:tcPr>
          <w:p>
            <w:pPr>
              <w:spacing w:line="276" w:lineRule="auto"/>
              <w:jc w:val="center"/>
              <w:rPr>
                <w:color w:val="000000"/>
                <w:sz w:val="22"/>
                <w:szCs w:val="22"/>
                <w:lang w:eastAsia="en-PH"/>
              </w:rPr>
            </w:pPr>
          </w:p>
        </w:tc>
        <w:tc>
          <w:tcPr>
            <w:tcW w:w="2238" w:type="dxa"/>
            <w:shd w:val="clear" w:color="auto" w:fill="auto"/>
            <w:vAlign w:val="center"/>
          </w:tcPr>
          <w:p>
            <w:pPr>
              <w:spacing w:line="276" w:lineRule="auto"/>
              <w:rPr>
                <w:b/>
                <w:color w:val="000000"/>
                <w:sz w:val="22"/>
                <w:szCs w:val="22"/>
                <w:lang w:eastAsia="en-PH"/>
              </w:rPr>
            </w:pPr>
            <w:r>
              <w:rPr>
                <w:b/>
                <w:color w:val="000000"/>
                <w:sz w:val="22"/>
                <w:szCs w:val="22"/>
                <w:lang w:eastAsia="en-PH"/>
              </w:rPr>
              <w:t>TOTAL</w:t>
            </w:r>
          </w:p>
        </w:tc>
        <w:tc>
          <w:tcPr>
            <w:tcW w:w="1890" w:type="dxa"/>
            <w:shd w:val="clear" w:color="auto" w:fill="auto"/>
            <w:vAlign w:val="center"/>
          </w:tcPr>
          <w:p>
            <w:pPr>
              <w:spacing w:line="276" w:lineRule="auto"/>
              <w:jc w:val="right"/>
              <w:rPr>
                <w:b/>
                <w:color w:val="000000"/>
                <w:sz w:val="22"/>
                <w:szCs w:val="22"/>
                <w:lang w:eastAsia="en-PH"/>
              </w:rPr>
            </w:pPr>
            <w:r>
              <w:rPr>
                <w:b/>
                <w:color w:val="000000"/>
                <w:sz w:val="22"/>
                <w:szCs w:val="22"/>
                <w:lang w:eastAsia="en-PH"/>
              </w:rPr>
              <w:t>P3,045,267.57</w:t>
            </w:r>
          </w:p>
        </w:tc>
        <w:tc>
          <w:tcPr>
            <w:tcW w:w="3860" w:type="dxa"/>
            <w:shd w:val="clear" w:color="auto" w:fill="auto"/>
            <w:vAlign w:val="bottom"/>
          </w:tcPr>
          <w:p>
            <w:pPr>
              <w:spacing w:line="276" w:lineRule="auto"/>
              <w:rPr>
                <w:color w:val="000000"/>
                <w:sz w:val="22"/>
                <w:szCs w:val="22"/>
                <w:lang w:eastAsia="en-PH"/>
              </w:rPr>
            </w:pPr>
          </w:p>
        </w:tc>
      </w:tr>
    </w:tbl>
    <w:p>
      <w:pPr>
        <w:spacing w:line="276" w:lineRule="auto"/>
        <w:ind w:firstLine="720"/>
        <w:jc w:val="both"/>
        <w:rPr>
          <w:color w:val="000000"/>
          <w:lang w:eastAsia="en-PH"/>
        </w:rPr>
      </w:pPr>
    </w:p>
    <w:p>
      <w:pPr>
        <w:spacing w:line="276" w:lineRule="auto"/>
        <w:jc w:val="both"/>
        <w:rPr>
          <w:color w:val="000000"/>
          <w:lang w:eastAsia="en-PH"/>
        </w:rPr>
      </w:pPr>
      <w:r>
        <w:rPr>
          <w:color w:val="000000"/>
          <w:lang w:eastAsia="en-PH"/>
        </w:rPr>
        <w:t xml:space="preserve">As noted in the table above, there is an inconsistency in the classification of generators and submersible pumps. These PPE items are either classified under “Other Machinery and Equipment” and “Other Property, Plant and Equipment” accounts. </w:t>
      </w:r>
    </w:p>
    <w:p>
      <w:pPr>
        <w:spacing w:line="276" w:lineRule="auto"/>
        <w:jc w:val="both"/>
        <w:rPr>
          <w:color w:val="000000"/>
          <w:lang w:eastAsia="en-PH"/>
        </w:rPr>
      </w:pPr>
    </w:p>
    <w:p>
      <w:pPr>
        <w:spacing w:line="276" w:lineRule="auto"/>
        <w:jc w:val="both"/>
        <w:rPr>
          <w:color w:val="000000"/>
          <w:lang w:eastAsia="en-PH"/>
        </w:rPr>
      </w:pPr>
      <w:r>
        <w:rPr>
          <w:color w:val="000000"/>
          <w:lang w:eastAsia="en-PH"/>
        </w:rPr>
        <w:t>Although the inappropriate and inconsistent classification of the noted PPE accounts do not affect the total balance of PPE presented in the financial statements, it could affect the computation of depreciation expense should there be a difference in the useful life of such assets. Further, the noted deficiencies affect the fair presentation of accounts in the financial statements as at year-end which would likewise affect the management’s ability to make appropriate decisions.</w:t>
      </w:r>
    </w:p>
    <w:p>
      <w:pPr>
        <w:spacing w:line="276" w:lineRule="auto"/>
        <w:jc w:val="both"/>
        <w:rPr>
          <w:color w:val="000000"/>
          <w:lang w:eastAsia="en-PH"/>
        </w:rPr>
      </w:pPr>
    </w:p>
    <w:p>
      <w:pPr>
        <w:numPr>
          <w:ilvl w:val="0"/>
          <w:numId w:val="11"/>
        </w:numPr>
        <w:pBdr>
          <w:top w:val="nil"/>
          <w:left w:val="nil"/>
          <w:bottom w:val="nil"/>
          <w:right w:val="nil"/>
          <w:between w:val="nil"/>
        </w:pBdr>
        <w:spacing w:line="276" w:lineRule="auto"/>
        <w:ind w:left="360"/>
        <w:jc w:val="both"/>
        <w:rPr>
          <w:b/>
          <w:i/>
          <w:color w:val="000000"/>
          <w:lang w:eastAsia="en-PH"/>
        </w:rPr>
      </w:pPr>
      <w:r>
        <w:rPr>
          <w:b/>
          <w:i/>
          <w:color w:val="000000"/>
          <w:lang w:eastAsia="en-PH"/>
        </w:rPr>
        <w:t>PPE items totaling P2,319,684.22 wherein the acquisition cost of each PPE item is below P50,000.00 were not derecognized and still formed part as PPE of the City</w:t>
      </w:r>
    </w:p>
    <w:p>
      <w:pPr>
        <w:spacing w:line="276" w:lineRule="auto"/>
        <w:ind w:left="1080"/>
        <w:jc w:val="both"/>
        <w:rPr>
          <w:color w:val="000000"/>
          <w:lang w:eastAsia="en-PH"/>
        </w:rPr>
      </w:pPr>
    </w:p>
    <w:p>
      <w:pPr>
        <w:spacing w:line="276" w:lineRule="auto"/>
        <w:jc w:val="both"/>
        <w:rPr>
          <w:color w:val="000000"/>
          <w:lang w:eastAsia="en-PH"/>
        </w:rPr>
      </w:pPr>
      <w:r>
        <w:rPr>
          <w:color w:val="000000"/>
          <w:lang w:eastAsia="en-PH"/>
        </w:rPr>
        <w:t>COA Circular 2022-004 dated May 31, 2022 was issued to prescribe the guidelines on the increase of capitalization threshold from P15,000.00 to P50,000.00. Pertinent provisions of the said Circular provide:</w:t>
      </w:r>
    </w:p>
    <w:p>
      <w:pPr>
        <w:spacing w:line="276" w:lineRule="auto"/>
        <w:ind w:right="288" w:firstLine="720"/>
        <w:jc w:val="both"/>
        <w:rPr>
          <w:i/>
          <w:color w:val="000000"/>
          <w:lang w:eastAsia="en-PH"/>
        </w:rPr>
      </w:pPr>
    </w:p>
    <w:p>
      <w:pPr>
        <w:spacing w:line="276" w:lineRule="auto"/>
        <w:ind w:left="1170" w:right="702" w:hanging="450"/>
        <w:jc w:val="both"/>
        <w:rPr>
          <w:color w:val="000000"/>
          <w:lang w:eastAsia="en-PH"/>
        </w:rPr>
      </w:pPr>
      <w:r>
        <w:rPr>
          <w:color w:val="000000"/>
          <w:lang w:eastAsia="en-PH"/>
        </w:rPr>
        <w:t>4.1 Tangible items which meet the definition and recognition criteria of PPE but cost is below Fifth Thousand Pesos (P50,000.00) shall be accounted in the books of accounts of the agencies as semi-expendable property…xxx…</w:t>
      </w:r>
    </w:p>
    <w:p>
      <w:pPr>
        <w:spacing w:line="276" w:lineRule="auto"/>
        <w:ind w:left="1170" w:right="288" w:hanging="450"/>
        <w:jc w:val="both"/>
        <w:rPr>
          <w:color w:val="000000"/>
          <w:lang w:eastAsia="en-PH"/>
        </w:rPr>
      </w:pPr>
    </w:p>
    <w:p>
      <w:pPr>
        <w:spacing w:line="276" w:lineRule="auto"/>
        <w:ind w:left="1170" w:right="702" w:hanging="450"/>
        <w:jc w:val="both"/>
        <w:rPr>
          <w:color w:val="000000"/>
          <w:lang w:eastAsia="en-PH"/>
        </w:rPr>
      </w:pPr>
      <w:r>
        <w:rPr>
          <w:color w:val="000000"/>
          <w:lang w:eastAsia="en-PH"/>
        </w:rPr>
        <w:t>4.2. The increase in the capitalization threshold from P15,000.00 to P50,000.00 shall be considered as a change in accounting policy and shall be applied retrospectively…xxx…</w:t>
      </w:r>
    </w:p>
    <w:p>
      <w:pPr>
        <w:spacing w:line="276" w:lineRule="auto"/>
        <w:ind w:right="288"/>
        <w:jc w:val="both"/>
        <w:rPr>
          <w:color w:val="000000"/>
          <w:lang w:eastAsia="en-PH"/>
        </w:rPr>
      </w:pPr>
    </w:p>
    <w:p>
      <w:pPr>
        <w:spacing w:line="276" w:lineRule="auto"/>
        <w:ind w:left="1170" w:right="702" w:hanging="450"/>
        <w:jc w:val="both"/>
        <w:rPr>
          <w:color w:val="000000"/>
          <w:lang w:eastAsia="en-PH"/>
        </w:rPr>
      </w:pPr>
      <w:r>
        <w:rPr>
          <w:color w:val="000000"/>
          <w:lang w:eastAsia="en-PH"/>
        </w:rPr>
        <w:t>4.3. For issued tangible items acquired prior to CY 2022 with amounts from 15,000.00 to below P50,000.00 previously classified as PPE.</w:t>
      </w:r>
    </w:p>
    <w:p>
      <w:pPr>
        <w:spacing w:line="276" w:lineRule="auto"/>
        <w:ind w:left="1170" w:right="288" w:hanging="450"/>
        <w:jc w:val="both"/>
        <w:rPr>
          <w:color w:val="000000"/>
          <w:lang w:eastAsia="en-PH"/>
        </w:rPr>
      </w:pPr>
    </w:p>
    <w:p>
      <w:pPr>
        <w:numPr>
          <w:ilvl w:val="0"/>
          <w:numId w:val="9"/>
        </w:numPr>
        <w:pBdr>
          <w:top w:val="nil"/>
          <w:left w:val="nil"/>
          <w:bottom w:val="nil"/>
          <w:right w:val="nil"/>
          <w:between w:val="nil"/>
        </w:pBdr>
        <w:spacing w:line="276" w:lineRule="auto"/>
        <w:ind w:right="702"/>
        <w:jc w:val="both"/>
        <w:rPr>
          <w:color w:val="000000"/>
          <w:lang w:eastAsia="en-PH"/>
        </w:rPr>
      </w:pPr>
      <w:r>
        <w:rPr>
          <w:color w:val="000000"/>
          <w:lang w:eastAsia="en-PH"/>
        </w:rPr>
        <w:t>The carrying amount shall be expensed/charged to the following accounts, as applicable:</w:t>
      </w:r>
    </w:p>
    <w:p>
      <w:pPr>
        <w:spacing w:line="276" w:lineRule="auto"/>
        <w:ind w:left="1266" w:right="288" w:firstLine="270"/>
        <w:jc w:val="center"/>
        <w:rPr>
          <w:color w:val="000000"/>
          <w:lang w:eastAsia="en-PH"/>
        </w:rPr>
      </w:pPr>
      <w:r>
        <w:rPr>
          <w:color w:val="000000"/>
          <w:lang w:eastAsia="en-PH"/>
        </w:rPr>
        <w:lastRenderedPageBreak/>
        <w:t>xxx</w:t>
      </w:r>
    </w:p>
    <w:p>
      <w:pPr>
        <w:spacing w:line="276" w:lineRule="auto"/>
        <w:ind w:left="1266" w:right="288" w:firstLine="270"/>
        <w:jc w:val="center"/>
        <w:rPr>
          <w:color w:val="000000"/>
          <w:lang w:eastAsia="en-PH"/>
        </w:rPr>
      </w:pPr>
    </w:p>
    <w:p>
      <w:pPr>
        <w:spacing w:line="276" w:lineRule="auto"/>
        <w:ind w:left="1170" w:right="288" w:hanging="450"/>
        <w:jc w:val="both"/>
        <w:rPr>
          <w:color w:val="000000"/>
          <w:lang w:eastAsia="en-PH"/>
        </w:rPr>
      </w:pPr>
      <w:r>
        <w:rPr>
          <w:color w:val="000000"/>
          <w:lang w:eastAsia="en-PH"/>
        </w:rPr>
        <w:tab/>
      </w:r>
      <w:r>
        <w:rPr>
          <w:color w:val="000000"/>
          <w:lang w:eastAsia="en-PH"/>
        </w:rPr>
        <w:tab/>
        <w:t>iii. Prior Period Adjustment and Government Equity for LGUs.</w:t>
      </w:r>
    </w:p>
    <w:p>
      <w:pPr>
        <w:spacing w:line="276" w:lineRule="auto"/>
        <w:ind w:left="1170" w:right="288" w:hanging="450"/>
        <w:jc w:val="both"/>
        <w:rPr>
          <w:color w:val="000000"/>
          <w:lang w:eastAsia="en-PH"/>
        </w:rPr>
      </w:pPr>
    </w:p>
    <w:p>
      <w:pPr>
        <w:numPr>
          <w:ilvl w:val="0"/>
          <w:numId w:val="9"/>
        </w:numPr>
        <w:pBdr>
          <w:top w:val="nil"/>
          <w:left w:val="nil"/>
          <w:bottom w:val="nil"/>
          <w:right w:val="nil"/>
          <w:between w:val="nil"/>
        </w:pBdr>
        <w:spacing w:line="276" w:lineRule="auto"/>
        <w:ind w:right="702"/>
        <w:jc w:val="both"/>
        <w:rPr>
          <w:color w:val="000000"/>
          <w:lang w:eastAsia="en-PH"/>
        </w:rPr>
      </w:pPr>
      <w:r>
        <w:rPr>
          <w:color w:val="000000"/>
          <w:lang w:eastAsia="en-PH"/>
        </w:rPr>
        <w:t>The corresponding accumulated depreciation and accumulated impairment loss shall be closed in the books of accounts.</w:t>
      </w:r>
    </w:p>
    <w:p>
      <w:pPr>
        <w:spacing w:line="276" w:lineRule="auto"/>
        <w:jc w:val="both"/>
        <w:rPr>
          <w:color w:val="000000"/>
          <w:lang w:eastAsia="en-PH"/>
        </w:rPr>
      </w:pPr>
    </w:p>
    <w:p>
      <w:pPr>
        <w:spacing w:line="276" w:lineRule="auto"/>
        <w:jc w:val="both"/>
        <w:rPr>
          <w:color w:val="000000"/>
          <w:lang w:eastAsia="en-PH"/>
        </w:rPr>
      </w:pPr>
      <w:r>
        <w:rPr>
          <w:color w:val="000000"/>
          <w:lang w:eastAsia="en-PH"/>
        </w:rPr>
        <w:t xml:space="preserve">Review of the schedule of PPE showed that there are still PPE items with acquisition costs below P50,000.00 which remained recorded in the books as PPE and not yet derecognized as shown below (details are enumerated in </w:t>
      </w:r>
      <w:r>
        <w:rPr>
          <w:i/>
          <w:color w:val="000000"/>
          <w:lang w:eastAsia="en-PH"/>
        </w:rPr>
        <w:t>Annex H</w:t>
      </w:r>
      <w:r>
        <w:rPr>
          <w:color w:val="000000"/>
          <w:lang w:eastAsia="en-PH"/>
        </w:rPr>
        <w:t>):</w:t>
      </w:r>
    </w:p>
    <w:p>
      <w:pPr>
        <w:spacing w:line="276" w:lineRule="auto"/>
        <w:ind w:left="1080"/>
        <w:jc w:val="both"/>
        <w:rPr>
          <w:color w:val="000000"/>
          <w:lang w:eastAsia="en-PH"/>
        </w:rPr>
      </w:pPr>
    </w:p>
    <w:p>
      <w:pPr>
        <w:spacing w:line="276" w:lineRule="auto"/>
        <w:ind w:right="288"/>
        <w:jc w:val="both"/>
        <w:rPr>
          <w:i/>
          <w:color w:val="000000"/>
          <w:sz w:val="21"/>
          <w:szCs w:val="21"/>
          <w:lang w:eastAsia="en-PH"/>
        </w:rPr>
      </w:pPr>
      <w:r>
        <w:rPr>
          <w:i/>
          <w:color w:val="000000"/>
          <w:sz w:val="21"/>
          <w:szCs w:val="21"/>
          <w:lang w:eastAsia="en-PH"/>
        </w:rPr>
        <w:t>Table 2.5. PPE Accounts which items with acquisition costs below P50,000.00 are still included</w:t>
      </w:r>
    </w:p>
    <w:tbl>
      <w:tblPr>
        <w:tblW w:w="85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8"/>
        <w:gridCol w:w="2384"/>
      </w:tblGrid>
      <w:tr>
        <w:trPr>
          <w:trHeight w:val="20"/>
          <w:tblHeader/>
          <w:jc w:val="center"/>
        </w:trPr>
        <w:tc>
          <w:tcPr>
            <w:tcW w:w="6198" w:type="dxa"/>
            <w:shd w:val="clear" w:color="auto" w:fill="auto"/>
            <w:vAlign w:val="bottom"/>
          </w:tcPr>
          <w:p>
            <w:pPr>
              <w:spacing w:line="276" w:lineRule="auto"/>
              <w:jc w:val="center"/>
              <w:rPr>
                <w:b/>
                <w:color w:val="000000"/>
                <w:sz w:val="22"/>
                <w:szCs w:val="22"/>
                <w:lang w:eastAsia="en-PH"/>
              </w:rPr>
            </w:pPr>
            <w:r>
              <w:rPr>
                <w:b/>
                <w:color w:val="000000"/>
                <w:sz w:val="22"/>
                <w:szCs w:val="22"/>
                <w:lang w:eastAsia="en-PH"/>
              </w:rPr>
              <w:t>PPE Account</w:t>
            </w:r>
          </w:p>
        </w:tc>
        <w:tc>
          <w:tcPr>
            <w:tcW w:w="2384" w:type="dxa"/>
            <w:shd w:val="clear" w:color="auto" w:fill="auto"/>
            <w:vAlign w:val="bottom"/>
          </w:tcPr>
          <w:p>
            <w:pPr>
              <w:spacing w:line="276" w:lineRule="auto"/>
              <w:jc w:val="center"/>
              <w:rPr>
                <w:b/>
                <w:color w:val="000000"/>
                <w:sz w:val="22"/>
                <w:szCs w:val="22"/>
                <w:lang w:eastAsia="en-PH"/>
              </w:rPr>
            </w:pPr>
            <w:r>
              <w:rPr>
                <w:b/>
                <w:color w:val="000000"/>
                <w:sz w:val="22"/>
                <w:szCs w:val="22"/>
                <w:lang w:eastAsia="en-PH"/>
              </w:rPr>
              <w:t>Carrying Amount</w:t>
            </w:r>
          </w:p>
        </w:tc>
      </w:tr>
      <w:tr>
        <w:trPr>
          <w:trHeight w:val="20"/>
          <w:jc w:val="center"/>
        </w:trPr>
        <w:tc>
          <w:tcPr>
            <w:tcW w:w="6198" w:type="dxa"/>
            <w:shd w:val="clear" w:color="auto" w:fill="auto"/>
            <w:vAlign w:val="bottom"/>
          </w:tcPr>
          <w:p>
            <w:pPr>
              <w:spacing w:line="276" w:lineRule="auto"/>
              <w:rPr>
                <w:color w:val="000000"/>
                <w:sz w:val="22"/>
                <w:szCs w:val="22"/>
                <w:lang w:eastAsia="en-PH"/>
              </w:rPr>
            </w:pPr>
            <w:r>
              <w:rPr>
                <w:color w:val="000000"/>
                <w:sz w:val="22"/>
                <w:szCs w:val="22"/>
                <w:lang w:eastAsia="en-PH"/>
              </w:rPr>
              <w:t>Furniture and Fixtures</w:t>
            </w:r>
          </w:p>
        </w:tc>
        <w:tc>
          <w:tcPr>
            <w:tcW w:w="2384" w:type="dxa"/>
            <w:shd w:val="clear" w:color="auto" w:fill="auto"/>
            <w:vAlign w:val="bottom"/>
          </w:tcPr>
          <w:p>
            <w:pPr>
              <w:spacing w:line="276" w:lineRule="auto"/>
              <w:jc w:val="right"/>
              <w:rPr>
                <w:color w:val="000000"/>
                <w:sz w:val="22"/>
                <w:szCs w:val="22"/>
                <w:lang w:eastAsia="en-PH"/>
              </w:rPr>
            </w:pPr>
            <w:r>
              <w:rPr>
                <w:color w:val="000000"/>
                <w:sz w:val="22"/>
                <w:szCs w:val="22"/>
                <w:lang w:eastAsia="en-PH"/>
              </w:rPr>
              <w:t>P39,663.49</w:t>
            </w:r>
          </w:p>
        </w:tc>
      </w:tr>
      <w:tr>
        <w:trPr>
          <w:trHeight w:val="20"/>
          <w:jc w:val="center"/>
        </w:trPr>
        <w:tc>
          <w:tcPr>
            <w:tcW w:w="6198" w:type="dxa"/>
            <w:shd w:val="clear" w:color="auto" w:fill="auto"/>
            <w:vAlign w:val="bottom"/>
          </w:tcPr>
          <w:p>
            <w:pPr>
              <w:spacing w:line="276" w:lineRule="auto"/>
              <w:rPr>
                <w:color w:val="000000"/>
                <w:sz w:val="22"/>
                <w:szCs w:val="22"/>
                <w:lang w:eastAsia="en-PH"/>
              </w:rPr>
            </w:pPr>
            <w:r>
              <w:rPr>
                <w:color w:val="000000"/>
                <w:sz w:val="22"/>
                <w:szCs w:val="22"/>
                <w:lang w:eastAsia="en-PH"/>
              </w:rPr>
              <w:t>Information and Communication Technology Equipment</w:t>
            </w:r>
          </w:p>
        </w:tc>
        <w:tc>
          <w:tcPr>
            <w:tcW w:w="2384" w:type="dxa"/>
            <w:shd w:val="clear" w:color="auto" w:fill="auto"/>
            <w:vAlign w:val="bottom"/>
          </w:tcPr>
          <w:p>
            <w:pPr>
              <w:spacing w:line="276" w:lineRule="auto"/>
              <w:jc w:val="right"/>
              <w:rPr>
                <w:color w:val="000000"/>
                <w:sz w:val="22"/>
                <w:szCs w:val="22"/>
                <w:lang w:eastAsia="en-PH"/>
              </w:rPr>
            </w:pPr>
            <w:r>
              <w:rPr>
                <w:color w:val="000000"/>
                <w:sz w:val="22"/>
                <w:szCs w:val="22"/>
                <w:lang w:eastAsia="en-PH"/>
              </w:rPr>
              <w:t>1,269,661.39</w:t>
            </w:r>
          </w:p>
        </w:tc>
      </w:tr>
      <w:tr>
        <w:trPr>
          <w:trHeight w:val="20"/>
          <w:jc w:val="center"/>
        </w:trPr>
        <w:tc>
          <w:tcPr>
            <w:tcW w:w="6198" w:type="dxa"/>
            <w:shd w:val="clear" w:color="auto" w:fill="auto"/>
            <w:vAlign w:val="bottom"/>
          </w:tcPr>
          <w:p>
            <w:pPr>
              <w:spacing w:line="276" w:lineRule="auto"/>
              <w:rPr>
                <w:color w:val="000000"/>
                <w:sz w:val="22"/>
                <w:szCs w:val="22"/>
                <w:lang w:eastAsia="en-PH"/>
              </w:rPr>
            </w:pPr>
            <w:r>
              <w:rPr>
                <w:color w:val="000000"/>
                <w:sz w:val="22"/>
                <w:szCs w:val="22"/>
                <w:lang w:eastAsia="en-PH"/>
              </w:rPr>
              <w:t>Motor Vehicles</w:t>
            </w:r>
          </w:p>
        </w:tc>
        <w:tc>
          <w:tcPr>
            <w:tcW w:w="2384" w:type="dxa"/>
            <w:shd w:val="clear" w:color="auto" w:fill="auto"/>
            <w:vAlign w:val="bottom"/>
          </w:tcPr>
          <w:p>
            <w:pPr>
              <w:spacing w:line="276" w:lineRule="auto"/>
              <w:jc w:val="right"/>
              <w:rPr>
                <w:color w:val="000000"/>
                <w:sz w:val="22"/>
                <w:szCs w:val="22"/>
                <w:lang w:eastAsia="en-PH"/>
              </w:rPr>
            </w:pPr>
            <w:r>
              <w:rPr>
                <w:color w:val="000000"/>
                <w:sz w:val="22"/>
                <w:szCs w:val="22"/>
                <w:lang w:eastAsia="en-PH"/>
              </w:rPr>
              <w:t>20,182.20</w:t>
            </w:r>
          </w:p>
        </w:tc>
      </w:tr>
      <w:tr>
        <w:trPr>
          <w:trHeight w:val="20"/>
          <w:jc w:val="center"/>
        </w:trPr>
        <w:tc>
          <w:tcPr>
            <w:tcW w:w="6198" w:type="dxa"/>
            <w:shd w:val="clear" w:color="auto" w:fill="auto"/>
            <w:vAlign w:val="bottom"/>
          </w:tcPr>
          <w:p>
            <w:pPr>
              <w:spacing w:line="276" w:lineRule="auto"/>
              <w:rPr>
                <w:color w:val="000000"/>
                <w:sz w:val="22"/>
                <w:szCs w:val="22"/>
                <w:lang w:eastAsia="en-PH"/>
              </w:rPr>
            </w:pPr>
            <w:r>
              <w:rPr>
                <w:color w:val="000000"/>
                <w:sz w:val="22"/>
                <w:szCs w:val="22"/>
                <w:lang w:eastAsia="en-PH"/>
              </w:rPr>
              <w:t>Office Equipment</w:t>
            </w:r>
          </w:p>
        </w:tc>
        <w:tc>
          <w:tcPr>
            <w:tcW w:w="2384" w:type="dxa"/>
            <w:shd w:val="clear" w:color="auto" w:fill="auto"/>
            <w:vAlign w:val="bottom"/>
          </w:tcPr>
          <w:p>
            <w:pPr>
              <w:spacing w:line="276" w:lineRule="auto"/>
              <w:jc w:val="right"/>
              <w:rPr>
                <w:color w:val="000000"/>
                <w:sz w:val="22"/>
                <w:szCs w:val="22"/>
                <w:lang w:eastAsia="en-PH"/>
              </w:rPr>
            </w:pPr>
            <w:r>
              <w:rPr>
                <w:color w:val="000000"/>
                <w:sz w:val="22"/>
                <w:szCs w:val="22"/>
                <w:lang w:eastAsia="en-PH"/>
              </w:rPr>
              <w:t>48,716.25</w:t>
            </w:r>
          </w:p>
        </w:tc>
      </w:tr>
      <w:tr>
        <w:trPr>
          <w:trHeight w:val="20"/>
          <w:jc w:val="center"/>
        </w:trPr>
        <w:tc>
          <w:tcPr>
            <w:tcW w:w="6198" w:type="dxa"/>
            <w:shd w:val="clear" w:color="auto" w:fill="auto"/>
            <w:vAlign w:val="bottom"/>
          </w:tcPr>
          <w:p>
            <w:pPr>
              <w:spacing w:line="276" w:lineRule="auto"/>
              <w:rPr>
                <w:color w:val="000000"/>
                <w:sz w:val="22"/>
                <w:szCs w:val="22"/>
                <w:lang w:eastAsia="en-PH"/>
              </w:rPr>
            </w:pPr>
            <w:r>
              <w:rPr>
                <w:color w:val="000000"/>
                <w:sz w:val="22"/>
                <w:szCs w:val="22"/>
                <w:lang w:eastAsia="en-PH"/>
              </w:rPr>
              <w:t>Other Land Improvements</w:t>
            </w:r>
          </w:p>
        </w:tc>
        <w:tc>
          <w:tcPr>
            <w:tcW w:w="2384" w:type="dxa"/>
            <w:shd w:val="clear" w:color="auto" w:fill="auto"/>
            <w:vAlign w:val="bottom"/>
          </w:tcPr>
          <w:p>
            <w:pPr>
              <w:spacing w:line="276" w:lineRule="auto"/>
              <w:jc w:val="right"/>
              <w:rPr>
                <w:color w:val="000000"/>
                <w:sz w:val="22"/>
                <w:szCs w:val="22"/>
                <w:lang w:eastAsia="en-PH"/>
              </w:rPr>
            </w:pPr>
            <w:r>
              <w:rPr>
                <w:color w:val="000000"/>
                <w:sz w:val="22"/>
                <w:szCs w:val="22"/>
                <w:lang w:eastAsia="en-PH"/>
              </w:rPr>
              <w:t>32,628.74</w:t>
            </w:r>
          </w:p>
        </w:tc>
      </w:tr>
      <w:tr>
        <w:trPr>
          <w:trHeight w:val="20"/>
          <w:jc w:val="center"/>
        </w:trPr>
        <w:tc>
          <w:tcPr>
            <w:tcW w:w="6198" w:type="dxa"/>
            <w:shd w:val="clear" w:color="auto" w:fill="auto"/>
            <w:vAlign w:val="bottom"/>
          </w:tcPr>
          <w:p>
            <w:pPr>
              <w:spacing w:line="276" w:lineRule="auto"/>
              <w:rPr>
                <w:color w:val="000000"/>
                <w:sz w:val="22"/>
                <w:szCs w:val="22"/>
                <w:lang w:eastAsia="en-PH"/>
              </w:rPr>
            </w:pPr>
            <w:r>
              <w:rPr>
                <w:color w:val="000000"/>
                <w:sz w:val="22"/>
                <w:szCs w:val="22"/>
                <w:lang w:eastAsia="en-PH"/>
              </w:rPr>
              <w:t>Other Property, Plant and Equipment</w:t>
            </w:r>
          </w:p>
        </w:tc>
        <w:tc>
          <w:tcPr>
            <w:tcW w:w="2384" w:type="dxa"/>
            <w:shd w:val="clear" w:color="auto" w:fill="auto"/>
            <w:vAlign w:val="bottom"/>
          </w:tcPr>
          <w:p>
            <w:pPr>
              <w:spacing w:line="276" w:lineRule="auto"/>
              <w:jc w:val="right"/>
              <w:rPr>
                <w:color w:val="000000"/>
                <w:sz w:val="22"/>
                <w:szCs w:val="22"/>
                <w:lang w:eastAsia="en-PH"/>
              </w:rPr>
            </w:pPr>
            <w:r>
              <w:rPr>
                <w:color w:val="000000"/>
                <w:sz w:val="22"/>
                <w:szCs w:val="22"/>
                <w:lang w:eastAsia="en-PH"/>
              </w:rPr>
              <w:t>738,464.86</w:t>
            </w:r>
          </w:p>
        </w:tc>
      </w:tr>
      <w:tr>
        <w:trPr>
          <w:trHeight w:val="20"/>
          <w:jc w:val="center"/>
        </w:trPr>
        <w:tc>
          <w:tcPr>
            <w:tcW w:w="6198" w:type="dxa"/>
            <w:shd w:val="clear" w:color="auto" w:fill="auto"/>
            <w:vAlign w:val="bottom"/>
          </w:tcPr>
          <w:p>
            <w:pPr>
              <w:spacing w:line="276" w:lineRule="auto"/>
              <w:rPr>
                <w:color w:val="000000"/>
                <w:sz w:val="22"/>
                <w:szCs w:val="22"/>
                <w:lang w:eastAsia="en-PH"/>
              </w:rPr>
            </w:pPr>
            <w:r>
              <w:rPr>
                <w:color w:val="000000"/>
                <w:sz w:val="22"/>
                <w:szCs w:val="22"/>
                <w:lang w:eastAsia="en-PH"/>
              </w:rPr>
              <w:t>Other Structures</w:t>
            </w:r>
          </w:p>
        </w:tc>
        <w:tc>
          <w:tcPr>
            <w:tcW w:w="2384" w:type="dxa"/>
            <w:shd w:val="clear" w:color="auto" w:fill="auto"/>
            <w:vAlign w:val="bottom"/>
          </w:tcPr>
          <w:p>
            <w:pPr>
              <w:spacing w:line="276" w:lineRule="auto"/>
              <w:jc w:val="right"/>
              <w:rPr>
                <w:color w:val="000000"/>
                <w:sz w:val="22"/>
                <w:szCs w:val="22"/>
                <w:lang w:eastAsia="en-PH"/>
              </w:rPr>
            </w:pPr>
            <w:r>
              <w:rPr>
                <w:color w:val="000000"/>
                <w:sz w:val="22"/>
                <w:szCs w:val="22"/>
                <w:lang w:eastAsia="en-PH"/>
              </w:rPr>
              <w:t>149,224.01</w:t>
            </w:r>
          </w:p>
        </w:tc>
      </w:tr>
      <w:tr>
        <w:trPr>
          <w:trHeight w:val="20"/>
          <w:jc w:val="center"/>
        </w:trPr>
        <w:tc>
          <w:tcPr>
            <w:tcW w:w="6198" w:type="dxa"/>
            <w:shd w:val="clear" w:color="auto" w:fill="auto"/>
            <w:vAlign w:val="bottom"/>
          </w:tcPr>
          <w:p>
            <w:pPr>
              <w:spacing w:line="276" w:lineRule="auto"/>
              <w:rPr>
                <w:color w:val="000000"/>
                <w:sz w:val="22"/>
                <w:szCs w:val="22"/>
                <w:lang w:eastAsia="en-PH"/>
              </w:rPr>
            </w:pPr>
            <w:r>
              <w:rPr>
                <w:color w:val="000000"/>
                <w:sz w:val="22"/>
                <w:szCs w:val="22"/>
                <w:lang w:eastAsia="en-PH"/>
              </w:rPr>
              <w:t>Technical and Scientific Equipment</w:t>
            </w:r>
          </w:p>
        </w:tc>
        <w:tc>
          <w:tcPr>
            <w:tcW w:w="2384" w:type="dxa"/>
            <w:shd w:val="clear" w:color="auto" w:fill="auto"/>
            <w:vAlign w:val="bottom"/>
          </w:tcPr>
          <w:p>
            <w:pPr>
              <w:spacing w:line="276" w:lineRule="auto"/>
              <w:jc w:val="right"/>
              <w:rPr>
                <w:color w:val="000000"/>
                <w:sz w:val="22"/>
                <w:szCs w:val="22"/>
                <w:lang w:eastAsia="en-PH"/>
              </w:rPr>
            </w:pPr>
            <w:r>
              <w:rPr>
                <w:color w:val="000000"/>
                <w:sz w:val="22"/>
                <w:szCs w:val="22"/>
                <w:lang w:eastAsia="en-PH"/>
              </w:rPr>
              <w:t>21,143.28</w:t>
            </w:r>
          </w:p>
        </w:tc>
      </w:tr>
      <w:tr>
        <w:trPr>
          <w:trHeight w:val="20"/>
          <w:jc w:val="center"/>
        </w:trPr>
        <w:tc>
          <w:tcPr>
            <w:tcW w:w="6198" w:type="dxa"/>
            <w:shd w:val="clear" w:color="auto" w:fill="auto"/>
            <w:vAlign w:val="center"/>
          </w:tcPr>
          <w:p>
            <w:pPr>
              <w:spacing w:line="276" w:lineRule="auto"/>
              <w:rPr>
                <w:b/>
                <w:color w:val="000000"/>
                <w:sz w:val="22"/>
                <w:szCs w:val="22"/>
                <w:lang w:eastAsia="en-PH"/>
              </w:rPr>
            </w:pPr>
            <w:r>
              <w:rPr>
                <w:b/>
                <w:color w:val="000000"/>
                <w:sz w:val="22"/>
                <w:szCs w:val="22"/>
                <w:lang w:eastAsia="en-PH"/>
              </w:rPr>
              <w:t>TOTAL</w:t>
            </w:r>
          </w:p>
        </w:tc>
        <w:tc>
          <w:tcPr>
            <w:tcW w:w="2384" w:type="dxa"/>
            <w:shd w:val="clear" w:color="auto" w:fill="auto"/>
            <w:vAlign w:val="bottom"/>
          </w:tcPr>
          <w:p>
            <w:pPr>
              <w:spacing w:line="276" w:lineRule="auto"/>
              <w:jc w:val="right"/>
              <w:rPr>
                <w:b/>
                <w:color w:val="000000"/>
                <w:sz w:val="22"/>
                <w:szCs w:val="22"/>
                <w:lang w:eastAsia="en-PH"/>
              </w:rPr>
            </w:pPr>
            <w:r>
              <w:rPr>
                <w:b/>
                <w:color w:val="000000"/>
                <w:sz w:val="22"/>
                <w:szCs w:val="22"/>
                <w:lang w:eastAsia="en-PH"/>
              </w:rPr>
              <w:t>P2,319,684.22</w:t>
            </w:r>
          </w:p>
        </w:tc>
      </w:tr>
    </w:tbl>
    <w:p>
      <w:pPr>
        <w:spacing w:line="276" w:lineRule="auto"/>
        <w:ind w:left="1080"/>
        <w:jc w:val="both"/>
        <w:rPr>
          <w:color w:val="000000"/>
          <w:lang w:eastAsia="en-PH"/>
        </w:rPr>
      </w:pPr>
    </w:p>
    <w:p>
      <w:pPr>
        <w:spacing w:line="276" w:lineRule="auto"/>
        <w:jc w:val="both"/>
        <w:rPr>
          <w:color w:val="000000"/>
          <w:lang w:eastAsia="en-PH"/>
        </w:rPr>
      </w:pPr>
      <w:r>
        <w:rPr>
          <w:color w:val="000000"/>
          <w:lang w:eastAsia="en-PH"/>
        </w:rPr>
        <w:t xml:space="preserve">Inquiry with CAO and further verification revealed that the City has already started derecognizing PPE with acquisition cost below P50,000.00. However, as identified in the table above, there are still PPE items which remained to be derecognized and still formed part as PPE of the City. </w:t>
      </w:r>
    </w:p>
    <w:p>
      <w:pPr>
        <w:spacing w:line="276" w:lineRule="auto"/>
        <w:jc w:val="both"/>
        <w:rPr>
          <w:color w:val="000000"/>
          <w:lang w:eastAsia="en-PH"/>
        </w:rPr>
      </w:pPr>
    </w:p>
    <w:p>
      <w:pPr>
        <w:numPr>
          <w:ilvl w:val="0"/>
          <w:numId w:val="11"/>
        </w:numPr>
        <w:pBdr>
          <w:top w:val="nil"/>
          <w:left w:val="nil"/>
          <w:bottom w:val="nil"/>
          <w:right w:val="nil"/>
          <w:between w:val="nil"/>
        </w:pBdr>
        <w:spacing w:line="276" w:lineRule="auto"/>
        <w:ind w:left="360"/>
        <w:jc w:val="both"/>
        <w:rPr>
          <w:b/>
          <w:i/>
          <w:color w:val="000000"/>
          <w:lang w:eastAsia="en-PH"/>
        </w:rPr>
      </w:pPr>
      <w:r>
        <w:rPr>
          <w:b/>
          <w:i/>
          <w:color w:val="000000"/>
          <w:lang w:eastAsia="en-PH"/>
        </w:rPr>
        <w:t>Non-conformity with the prescribed RPCPPE form</w:t>
      </w:r>
    </w:p>
    <w:p>
      <w:pPr>
        <w:spacing w:line="276" w:lineRule="auto"/>
        <w:ind w:left="1080"/>
        <w:jc w:val="both"/>
        <w:rPr>
          <w:color w:val="000000"/>
          <w:lang w:eastAsia="en-PH"/>
        </w:rPr>
      </w:pPr>
    </w:p>
    <w:p>
      <w:pPr>
        <w:spacing w:line="276" w:lineRule="auto"/>
        <w:jc w:val="both"/>
        <w:rPr>
          <w:lang w:eastAsia="en-PH"/>
        </w:rPr>
      </w:pPr>
      <w:r>
        <w:rPr>
          <w:lang w:eastAsia="en-PH"/>
        </w:rPr>
        <w:t>Section 124, paragraph 2 of the Manual on the New Government Accounting System for Local Government Units provides:</w:t>
      </w:r>
    </w:p>
    <w:p>
      <w:pPr>
        <w:tabs>
          <w:tab w:val="left" w:pos="7920"/>
        </w:tabs>
        <w:spacing w:line="276" w:lineRule="auto"/>
        <w:ind w:left="1440" w:right="1440"/>
        <w:jc w:val="both"/>
        <w:rPr>
          <w:i/>
          <w:lang w:eastAsia="en-PH"/>
        </w:rPr>
      </w:pPr>
    </w:p>
    <w:p>
      <w:pPr>
        <w:spacing w:line="276" w:lineRule="auto"/>
        <w:ind w:left="720" w:right="702"/>
        <w:jc w:val="both"/>
        <w:rPr>
          <w:lang w:eastAsia="en-PH"/>
        </w:rPr>
      </w:pPr>
      <w:r>
        <w:rPr>
          <w:lang w:eastAsia="en-PH"/>
        </w:rPr>
        <w:t>Physical count of property, plant and equipment by type shall be made annually and reported on the Report on the Physical Count of Property, Plant and Equipment (RPCPPE). This shall be submitted to the Auditor concerned not later than January 31, of each year.</w:t>
      </w:r>
    </w:p>
    <w:p>
      <w:pPr>
        <w:spacing w:line="276" w:lineRule="auto"/>
        <w:jc w:val="both"/>
        <w:rPr>
          <w:color w:val="000000"/>
          <w:lang w:eastAsia="en-PH"/>
        </w:rPr>
      </w:pPr>
    </w:p>
    <w:p>
      <w:pPr>
        <w:spacing w:line="276" w:lineRule="auto"/>
        <w:jc w:val="both"/>
        <w:rPr>
          <w:color w:val="000000"/>
          <w:lang w:eastAsia="en-PH"/>
        </w:rPr>
      </w:pPr>
      <w:r>
        <w:rPr>
          <w:color w:val="000000"/>
          <w:lang w:eastAsia="en-PH"/>
        </w:rPr>
        <w:t xml:space="preserve">Accordingly, the CGSO submitted a report on the physical inventory of property, plant and equipment together with the report on returned and unserviceable PPE on January 23, </w:t>
      </w:r>
      <w:r>
        <w:rPr>
          <w:color w:val="000000"/>
          <w:lang w:eastAsia="en-PH"/>
        </w:rPr>
        <w:lastRenderedPageBreak/>
        <w:t>2023. Detailed review and verification of the said report disclosed the following deficiencies:</w:t>
      </w:r>
    </w:p>
    <w:p>
      <w:pPr>
        <w:spacing w:line="276" w:lineRule="auto"/>
        <w:ind w:firstLine="720"/>
        <w:jc w:val="both"/>
        <w:rPr>
          <w:color w:val="000000"/>
          <w:lang w:eastAsia="en-PH"/>
        </w:rPr>
      </w:pPr>
    </w:p>
    <w:p>
      <w:pPr>
        <w:numPr>
          <w:ilvl w:val="0"/>
          <w:numId w:val="10"/>
        </w:numPr>
        <w:pBdr>
          <w:top w:val="nil"/>
          <w:left w:val="nil"/>
          <w:bottom w:val="nil"/>
          <w:right w:val="nil"/>
          <w:between w:val="nil"/>
        </w:pBdr>
        <w:spacing w:line="276" w:lineRule="auto"/>
        <w:ind w:left="360"/>
        <w:jc w:val="both"/>
        <w:rPr>
          <w:color w:val="000000"/>
          <w:lang w:eastAsia="en-PH"/>
        </w:rPr>
      </w:pPr>
      <w:r>
        <w:rPr>
          <w:color w:val="000000"/>
          <w:lang w:eastAsia="en-PH"/>
        </w:rPr>
        <w:t>The submitted report does not conform to the prescribed RPCPPE form as specified in the said Manual.</w:t>
      </w:r>
    </w:p>
    <w:p>
      <w:pPr>
        <w:pBdr>
          <w:top w:val="nil"/>
          <w:left w:val="nil"/>
          <w:bottom w:val="nil"/>
          <w:right w:val="nil"/>
          <w:between w:val="nil"/>
        </w:pBdr>
        <w:spacing w:line="276" w:lineRule="auto"/>
        <w:ind w:left="360"/>
        <w:jc w:val="both"/>
        <w:rPr>
          <w:color w:val="000000"/>
          <w:lang w:eastAsia="en-PH"/>
        </w:rPr>
      </w:pPr>
    </w:p>
    <w:p>
      <w:pPr>
        <w:numPr>
          <w:ilvl w:val="0"/>
          <w:numId w:val="10"/>
        </w:numPr>
        <w:pBdr>
          <w:top w:val="nil"/>
          <w:left w:val="nil"/>
          <w:bottom w:val="nil"/>
          <w:right w:val="nil"/>
          <w:between w:val="nil"/>
        </w:pBdr>
        <w:spacing w:line="276" w:lineRule="auto"/>
        <w:ind w:left="360"/>
        <w:jc w:val="both"/>
        <w:rPr>
          <w:color w:val="000000"/>
          <w:lang w:eastAsia="en-PH"/>
        </w:rPr>
      </w:pPr>
      <w:r>
        <w:rPr>
          <w:color w:val="000000"/>
          <w:lang w:eastAsia="en-PH"/>
        </w:rPr>
        <w:t xml:space="preserve">Not all of the PPE accounts were included in the actual physical count. Particularly, according to CGSO, there was no physical verification on the following PPE accounts: </w:t>
      </w:r>
    </w:p>
    <w:p>
      <w:pPr>
        <w:pBdr>
          <w:top w:val="nil"/>
          <w:left w:val="nil"/>
          <w:bottom w:val="nil"/>
          <w:right w:val="nil"/>
          <w:between w:val="nil"/>
        </w:pBdr>
        <w:spacing w:line="276" w:lineRule="auto"/>
        <w:ind w:left="360"/>
        <w:jc w:val="both"/>
        <w:rPr>
          <w:color w:val="000000"/>
          <w:lang w:eastAsia="en-PH"/>
        </w:rPr>
      </w:pP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Other Land Improvements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Land</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Road Networks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Flood Control Systems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Sewer Systems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Communication Networks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Parks, Plazas and Monuments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Water Supply Systems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Other Infrastructure Assets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Buildings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School Buildings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Hospitals and Health Centers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Markets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Slaughterhouses</w:t>
      </w:r>
    </w:p>
    <w:p>
      <w:pPr>
        <w:numPr>
          <w:ilvl w:val="1"/>
          <w:numId w:val="10"/>
        </w:numPr>
        <w:pBdr>
          <w:top w:val="nil"/>
          <w:left w:val="nil"/>
          <w:bottom w:val="nil"/>
          <w:right w:val="nil"/>
          <w:between w:val="nil"/>
        </w:pBdr>
        <w:spacing w:line="276" w:lineRule="auto"/>
        <w:ind w:left="720"/>
        <w:jc w:val="both"/>
        <w:rPr>
          <w:color w:val="000000"/>
          <w:lang w:eastAsia="en-PH"/>
        </w:rPr>
      </w:pPr>
      <w:r>
        <w:rPr>
          <w:color w:val="000000"/>
          <w:lang w:eastAsia="en-PH"/>
        </w:rPr>
        <w:t>Other Structures</w:t>
      </w:r>
    </w:p>
    <w:p>
      <w:pPr>
        <w:spacing w:line="276" w:lineRule="auto"/>
        <w:jc w:val="both"/>
        <w:rPr>
          <w:color w:val="000000"/>
          <w:lang w:eastAsia="en-PH"/>
        </w:rPr>
      </w:pPr>
    </w:p>
    <w:p>
      <w:pPr>
        <w:spacing w:line="276" w:lineRule="auto"/>
        <w:jc w:val="both"/>
        <w:rPr>
          <w:color w:val="000000"/>
          <w:lang w:eastAsia="en-PH"/>
        </w:rPr>
      </w:pPr>
      <w:r>
        <w:rPr>
          <w:color w:val="000000"/>
          <w:lang w:eastAsia="en-PH"/>
        </w:rPr>
        <w:t>Thus, the information and data presented in the RPCPPE for these accounts were based on CAO records.</w:t>
      </w:r>
    </w:p>
    <w:p>
      <w:pPr>
        <w:spacing w:line="276" w:lineRule="auto"/>
        <w:jc w:val="both"/>
        <w:rPr>
          <w:color w:val="000000"/>
          <w:lang w:eastAsia="en-PH"/>
        </w:rPr>
      </w:pPr>
    </w:p>
    <w:p>
      <w:pPr>
        <w:numPr>
          <w:ilvl w:val="0"/>
          <w:numId w:val="10"/>
        </w:numPr>
        <w:pBdr>
          <w:top w:val="nil"/>
          <w:left w:val="nil"/>
          <w:bottom w:val="nil"/>
          <w:right w:val="nil"/>
          <w:between w:val="nil"/>
        </w:pBdr>
        <w:spacing w:line="276" w:lineRule="auto"/>
        <w:ind w:left="360"/>
        <w:jc w:val="both"/>
        <w:rPr>
          <w:color w:val="000000"/>
          <w:lang w:eastAsia="en-PH"/>
        </w:rPr>
      </w:pPr>
      <w:r>
        <w:rPr>
          <w:color w:val="000000"/>
          <w:lang w:eastAsia="en-PH"/>
        </w:rPr>
        <w:t>For its Motor Vehicles account, information on the balance per card and quantity on hand per count as well as the presence of shortage/overage were not provided.</w:t>
      </w:r>
    </w:p>
    <w:p>
      <w:pPr>
        <w:pBdr>
          <w:top w:val="nil"/>
          <w:left w:val="nil"/>
          <w:bottom w:val="nil"/>
          <w:right w:val="nil"/>
          <w:between w:val="nil"/>
        </w:pBdr>
        <w:spacing w:line="276" w:lineRule="auto"/>
        <w:ind w:left="360"/>
        <w:jc w:val="both"/>
        <w:rPr>
          <w:color w:val="000000"/>
          <w:lang w:eastAsia="en-PH"/>
        </w:rPr>
      </w:pPr>
    </w:p>
    <w:p>
      <w:pPr>
        <w:numPr>
          <w:ilvl w:val="0"/>
          <w:numId w:val="10"/>
        </w:numPr>
        <w:pBdr>
          <w:top w:val="nil"/>
          <w:left w:val="nil"/>
          <w:bottom w:val="nil"/>
          <w:right w:val="nil"/>
          <w:between w:val="nil"/>
        </w:pBdr>
        <w:spacing w:line="276" w:lineRule="auto"/>
        <w:ind w:left="360"/>
        <w:jc w:val="both"/>
        <w:rPr>
          <w:color w:val="000000"/>
          <w:lang w:eastAsia="en-PH"/>
        </w:rPr>
      </w:pPr>
      <w:r>
        <w:rPr>
          <w:color w:val="000000"/>
          <w:lang w:eastAsia="en-PH"/>
        </w:rPr>
        <w:t>The RPCPPE was neither certified correct by the members of Inventory Committee nor approved by the City Mayor or by his authorized representative. It was only certified by the Department Head of the CGSO.</w:t>
      </w:r>
    </w:p>
    <w:p>
      <w:pPr>
        <w:spacing w:line="276" w:lineRule="auto"/>
        <w:jc w:val="both"/>
        <w:rPr>
          <w:color w:val="000000"/>
          <w:lang w:eastAsia="en-PH"/>
        </w:rPr>
      </w:pPr>
    </w:p>
    <w:p>
      <w:pPr>
        <w:spacing w:line="276" w:lineRule="auto"/>
        <w:jc w:val="both"/>
        <w:rPr>
          <w:color w:val="000000"/>
          <w:lang w:eastAsia="en-PH"/>
        </w:rPr>
      </w:pPr>
      <w:r>
        <w:rPr>
          <w:color w:val="000000"/>
          <w:lang w:eastAsia="en-PH"/>
        </w:rPr>
        <w:t xml:space="preserve">Taken altogether, the foregoing deficiencies indicate lapses in compliance to COA Circular No. 2020-006 dated January 31, 2020. As a result, the City Government failed to address the enormous amounts of discrepancies in PPE account balances. This condition of the PPE Accounts of the agency, if not thoroughly addressed, will continue to affect </w:t>
      </w:r>
      <w:r>
        <w:rPr>
          <w:color w:val="000000"/>
          <w:lang w:eastAsia="en-PH"/>
        </w:rPr>
        <w:lastRenderedPageBreak/>
        <w:t>and raise doubts on the City Government’s assertions on PPE’s existence, accuracy, valuation, ownership and presentation and disclosure in the financial statements.</w:t>
      </w:r>
    </w:p>
    <w:p>
      <w:pPr>
        <w:pStyle w:val="BodyText"/>
        <w:spacing w:after="0" w:line="276" w:lineRule="auto"/>
        <w:jc w:val="both"/>
        <w:rPr>
          <w:lang w:val="en-PH" w:eastAsia="en-PH"/>
        </w:rPr>
      </w:pPr>
    </w:p>
    <w:p>
      <w:pPr>
        <w:pStyle w:val="BodyText"/>
        <w:spacing w:after="0" w:line="276" w:lineRule="auto"/>
        <w:jc w:val="both"/>
        <w:rPr>
          <w:b/>
        </w:rPr>
      </w:pPr>
      <w:r>
        <w:rPr>
          <w:b/>
          <w:lang w:val="en-PH" w:eastAsia="en-PH"/>
        </w:rPr>
        <w:t>Recommendations:</w:t>
      </w:r>
    </w:p>
    <w:p>
      <w:pPr>
        <w:spacing w:line="276" w:lineRule="auto"/>
        <w:ind w:right="162"/>
        <w:jc w:val="both"/>
      </w:pPr>
    </w:p>
    <w:p>
      <w:pPr>
        <w:spacing w:line="276" w:lineRule="auto"/>
        <w:ind w:right="162"/>
        <w:jc w:val="both"/>
      </w:pPr>
      <w:r>
        <w:t>We recommended the City Mayor the following courses of action:</w:t>
      </w:r>
    </w:p>
    <w:p>
      <w:pPr>
        <w:spacing w:line="276" w:lineRule="auto"/>
        <w:ind w:right="162"/>
        <w:jc w:val="both"/>
      </w:pPr>
    </w:p>
    <w:p>
      <w:pPr>
        <w:pStyle w:val="ListParagraph"/>
        <w:numPr>
          <w:ilvl w:val="3"/>
          <w:numId w:val="11"/>
        </w:numPr>
        <w:spacing w:after="0"/>
        <w:ind w:left="360" w:right="58"/>
        <w:jc w:val="both"/>
        <w:rPr>
          <w:rFonts w:ascii="Times New Roman" w:hAnsi="Times New Roman"/>
          <w:sz w:val="24"/>
          <w:szCs w:val="24"/>
        </w:rPr>
      </w:pPr>
      <w:r>
        <w:rPr>
          <w:rFonts w:ascii="Times New Roman" w:hAnsi="Times New Roman"/>
          <w:sz w:val="24"/>
          <w:szCs w:val="24"/>
        </w:rPr>
        <w:t>Direct the City Accounting Office and the City General Services Office to fast-track the reconciliation of the PPE accounts in accordance with COA Circular No. 2020-006 dated January 31, 2020 and ensure the swift and regular reconciliation of records of both offices pertaining to the City’s PPE;</w:t>
      </w:r>
    </w:p>
    <w:p>
      <w:pPr>
        <w:spacing w:line="276" w:lineRule="auto"/>
        <w:ind w:left="360" w:right="58" w:hanging="360"/>
        <w:jc w:val="both"/>
      </w:pPr>
    </w:p>
    <w:p>
      <w:pPr>
        <w:pStyle w:val="ListParagraph"/>
        <w:numPr>
          <w:ilvl w:val="3"/>
          <w:numId w:val="11"/>
        </w:numPr>
        <w:spacing w:after="0"/>
        <w:ind w:left="360" w:right="58"/>
        <w:jc w:val="both"/>
        <w:rPr>
          <w:rFonts w:ascii="Times New Roman" w:hAnsi="Times New Roman"/>
          <w:sz w:val="24"/>
          <w:szCs w:val="24"/>
        </w:rPr>
      </w:pPr>
      <w:r>
        <w:rPr>
          <w:rFonts w:ascii="Times New Roman" w:hAnsi="Times New Roman"/>
          <w:sz w:val="24"/>
          <w:szCs w:val="24"/>
        </w:rPr>
        <w:t>Direct the City Accountant to ensure the uniformity of adopted useful life per PPE account and make all the necessary adjustments of the affected PPE accounts, when warranted;</w:t>
      </w:r>
    </w:p>
    <w:p>
      <w:pPr>
        <w:spacing w:line="276" w:lineRule="auto"/>
        <w:ind w:right="58"/>
        <w:jc w:val="both"/>
      </w:pPr>
    </w:p>
    <w:p>
      <w:pPr>
        <w:pStyle w:val="ListParagraph"/>
        <w:numPr>
          <w:ilvl w:val="3"/>
          <w:numId w:val="11"/>
        </w:numPr>
        <w:spacing w:after="0"/>
        <w:ind w:left="360" w:right="58"/>
        <w:jc w:val="both"/>
        <w:rPr>
          <w:rFonts w:ascii="Times New Roman" w:hAnsi="Times New Roman"/>
          <w:sz w:val="24"/>
          <w:szCs w:val="24"/>
        </w:rPr>
      </w:pPr>
      <w:r>
        <w:rPr>
          <w:rFonts w:ascii="Times New Roman" w:hAnsi="Times New Roman"/>
          <w:sz w:val="24"/>
          <w:szCs w:val="24"/>
        </w:rPr>
        <w:t>For the improper and inconsistent classification of PPE, direct the City Accountant to make the necessary adjusting entries to properly reflect the balances of PPE accounts affected;</w:t>
      </w:r>
    </w:p>
    <w:p>
      <w:pPr>
        <w:spacing w:line="276" w:lineRule="auto"/>
        <w:ind w:left="360" w:right="58" w:hanging="360"/>
        <w:jc w:val="both"/>
      </w:pPr>
    </w:p>
    <w:p>
      <w:pPr>
        <w:pStyle w:val="ListParagraph"/>
        <w:numPr>
          <w:ilvl w:val="3"/>
          <w:numId w:val="11"/>
        </w:numPr>
        <w:spacing w:after="0"/>
        <w:ind w:left="360" w:right="58"/>
        <w:jc w:val="both"/>
        <w:rPr>
          <w:rFonts w:ascii="Times New Roman" w:hAnsi="Times New Roman"/>
          <w:sz w:val="24"/>
          <w:szCs w:val="24"/>
        </w:rPr>
      </w:pPr>
      <w:r>
        <w:rPr>
          <w:rFonts w:ascii="Times New Roman" w:hAnsi="Times New Roman"/>
          <w:sz w:val="24"/>
          <w:szCs w:val="24"/>
        </w:rPr>
        <w:t>For PPE items with acquisition cost of below P50,000.00, make the appropriate adjusting entries to derecognize the affected PPE in accordance with COA Circular 2022-004 dated May 31, 2022; and,</w:t>
      </w:r>
    </w:p>
    <w:p>
      <w:pPr>
        <w:spacing w:line="276" w:lineRule="auto"/>
        <w:ind w:left="360" w:right="58" w:hanging="360"/>
        <w:jc w:val="both"/>
      </w:pPr>
    </w:p>
    <w:p>
      <w:pPr>
        <w:pStyle w:val="ListParagraph"/>
        <w:numPr>
          <w:ilvl w:val="3"/>
          <w:numId w:val="11"/>
        </w:numPr>
        <w:spacing w:after="0"/>
        <w:ind w:left="360" w:right="58"/>
        <w:jc w:val="both"/>
        <w:rPr>
          <w:rFonts w:ascii="Times New Roman" w:hAnsi="Times New Roman"/>
          <w:sz w:val="24"/>
          <w:szCs w:val="24"/>
        </w:rPr>
      </w:pPr>
      <w:r>
        <w:rPr>
          <w:rFonts w:ascii="Times New Roman" w:hAnsi="Times New Roman"/>
          <w:sz w:val="24"/>
          <w:szCs w:val="24"/>
        </w:rPr>
        <w:t>Direct the GSO to use the prescribed RPCPPE form and ensure that all the necessary information required therein are completely provided. Moreover, conduct a complete physical count of the PPE including land, land improvements, building and other structures as well as the infrastructure assets of the City.</w:t>
      </w:r>
    </w:p>
    <w:p>
      <w:pPr>
        <w:spacing w:line="276" w:lineRule="auto"/>
        <w:ind w:right="162"/>
        <w:jc w:val="both"/>
      </w:pPr>
    </w:p>
    <w:p>
      <w:pPr>
        <w:spacing w:line="276" w:lineRule="auto"/>
        <w:ind w:right="162"/>
        <w:jc w:val="both"/>
        <w:rPr>
          <w:b/>
          <w:bCs/>
        </w:rPr>
      </w:pPr>
      <w:r>
        <w:rPr>
          <w:b/>
          <w:bCs/>
        </w:rPr>
        <w:t>Management’s Comments:</w:t>
      </w:r>
    </w:p>
    <w:p>
      <w:pPr>
        <w:spacing w:line="276" w:lineRule="auto"/>
        <w:ind w:right="162"/>
        <w:jc w:val="both"/>
        <w:rPr>
          <w:b/>
          <w:bCs/>
        </w:rPr>
      </w:pPr>
    </w:p>
    <w:p>
      <w:pPr>
        <w:spacing w:line="276" w:lineRule="auto"/>
        <w:jc w:val="both"/>
      </w:pPr>
      <w:r>
        <w:t xml:space="preserve">The management was amenable to the audit observations and recommendations. They further explained the circumstances behind the deficiencies and provided the action plan to remedy it. </w:t>
      </w:r>
    </w:p>
    <w:p>
      <w:pPr>
        <w:spacing w:line="276" w:lineRule="auto"/>
        <w:jc w:val="both"/>
      </w:pPr>
    </w:p>
    <w:p>
      <w:pPr>
        <w:spacing w:line="276" w:lineRule="auto"/>
        <w:jc w:val="both"/>
        <w:rPr>
          <w:bCs/>
        </w:rPr>
      </w:pPr>
      <w:r>
        <w:rPr>
          <w:bCs/>
        </w:rPr>
        <w:t>CGSO cited the following reasons that may have caused the variance between their records and with CAO’s:</w:t>
      </w:r>
    </w:p>
    <w:p>
      <w:pPr>
        <w:spacing w:line="276" w:lineRule="auto"/>
        <w:jc w:val="both"/>
        <w:rPr>
          <w:bCs/>
        </w:rPr>
      </w:pPr>
    </w:p>
    <w:p>
      <w:pPr>
        <w:pStyle w:val="ListParagraph"/>
        <w:numPr>
          <w:ilvl w:val="0"/>
          <w:numId w:val="65"/>
        </w:numPr>
        <w:spacing w:after="0"/>
        <w:jc w:val="both"/>
        <w:rPr>
          <w:rFonts w:ascii="Times New Roman" w:eastAsia="Times New Roman" w:hAnsi="Times New Roman"/>
          <w:bCs/>
          <w:sz w:val="24"/>
          <w:szCs w:val="24"/>
          <w:lang w:val="en-US"/>
        </w:rPr>
      </w:pPr>
      <w:r>
        <w:rPr>
          <w:rFonts w:ascii="Times New Roman" w:eastAsia="Times New Roman" w:hAnsi="Times New Roman"/>
          <w:bCs/>
          <w:sz w:val="24"/>
          <w:szCs w:val="24"/>
          <w:lang w:val="en-US"/>
        </w:rPr>
        <w:t>Properties delivered in the warehouse may have not yet recorded by CAO due to time difference in the procurement process’ flow of transaction;</w:t>
      </w:r>
    </w:p>
    <w:p>
      <w:pPr>
        <w:pStyle w:val="ListParagraph"/>
        <w:numPr>
          <w:ilvl w:val="0"/>
          <w:numId w:val="65"/>
        </w:numPr>
        <w:spacing w:after="0"/>
        <w:jc w:val="both"/>
        <w:rPr>
          <w:rFonts w:ascii="Times New Roman" w:eastAsia="Times New Roman" w:hAnsi="Times New Roman"/>
          <w:bCs/>
          <w:sz w:val="24"/>
          <w:szCs w:val="24"/>
          <w:lang w:val="en-US"/>
        </w:rPr>
      </w:pPr>
      <w:r>
        <w:rPr>
          <w:rFonts w:ascii="Times New Roman" w:eastAsia="Times New Roman" w:hAnsi="Times New Roman"/>
          <w:bCs/>
          <w:sz w:val="24"/>
          <w:szCs w:val="24"/>
          <w:lang w:val="en-US"/>
        </w:rPr>
        <w:lastRenderedPageBreak/>
        <w:t>Properties below P50,000 were still recorded as PPE items in the CAO’s records;</w:t>
      </w:r>
    </w:p>
    <w:p>
      <w:pPr>
        <w:pStyle w:val="ListParagraph"/>
        <w:numPr>
          <w:ilvl w:val="0"/>
          <w:numId w:val="65"/>
        </w:numPr>
        <w:spacing w:after="0"/>
        <w:jc w:val="both"/>
        <w:rPr>
          <w:rFonts w:ascii="Times New Roman" w:eastAsia="Times New Roman" w:hAnsi="Times New Roman"/>
          <w:bCs/>
          <w:sz w:val="24"/>
          <w:szCs w:val="24"/>
          <w:lang w:val="en-US"/>
        </w:rPr>
      </w:pPr>
      <w:r>
        <w:rPr>
          <w:rFonts w:ascii="Times New Roman" w:eastAsia="Times New Roman" w:hAnsi="Times New Roman"/>
          <w:bCs/>
          <w:sz w:val="24"/>
          <w:szCs w:val="24"/>
          <w:lang w:val="en-US"/>
        </w:rPr>
        <w:t>Properties that were transferred without cost to barangays, NGAs and cooperatives were not yet derecognized by CAO;</w:t>
      </w:r>
    </w:p>
    <w:p>
      <w:pPr>
        <w:pStyle w:val="ListParagraph"/>
        <w:numPr>
          <w:ilvl w:val="0"/>
          <w:numId w:val="65"/>
        </w:numPr>
        <w:spacing w:after="0"/>
        <w:jc w:val="both"/>
        <w:rPr>
          <w:rFonts w:ascii="Times New Roman" w:eastAsia="Times New Roman" w:hAnsi="Times New Roman"/>
          <w:bCs/>
          <w:sz w:val="24"/>
          <w:szCs w:val="24"/>
          <w:lang w:val="en-US"/>
        </w:rPr>
      </w:pPr>
      <w:r>
        <w:rPr>
          <w:rFonts w:ascii="Times New Roman" w:eastAsia="Times New Roman" w:hAnsi="Times New Roman"/>
          <w:bCs/>
          <w:sz w:val="24"/>
          <w:szCs w:val="24"/>
          <w:lang w:val="en-US"/>
        </w:rPr>
        <w:t>Some PPE items were recorded by CAO &amp; CGSO under different PPE classifications;</w:t>
      </w:r>
    </w:p>
    <w:p>
      <w:pPr>
        <w:pStyle w:val="ListParagraph"/>
        <w:numPr>
          <w:ilvl w:val="0"/>
          <w:numId w:val="65"/>
        </w:numPr>
        <w:spacing w:after="0"/>
        <w:jc w:val="both"/>
        <w:rPr>
          <w:rFonts w:ascii="Times New Roman" w:eastAsia="Times New Roman" w:hAnsi="Times New Roman"/>
          <w:bCs/>
          <w:sz w:val="24"/>
          <w:szCs w:val="24"/>
          <w:lang w:val="en-US"/>
        </w:rPr>
      </w:pPr>
      <w:r>
        <w:rPr>
          <w:rFonts w:ascii="Times New Roman" w:eastAsia="Times New Roman" w:hAnsi="Times New Roman"/>
          <w:bCs/>
          <w:sz w:val="24"/>
          <w:szCs w:val="24"/>
          <w:lang w:val="en-US"/>
        </w:rPr>
        <w:t>PPE items recorded by CGSO but not yet recognized by CAO in the books since the payment was not yet processed.</w:t>
      </w:r>
    </w:p>
    <w:p>
      <w:pPr>
        <w:pStyle w:val="ListParagraph"/>
        <w:numPr>
          <w:ilvl w:val="0"/>
          <w:numId w:val="65"/>
        </w:numPr>
        <w:spacing w:after="0"/>
        <w:jc w:val="both"/>
        <w:rPr>
          <w:rFonts w:ascii="Times New Roman" w:eastAsia="Times New Roman" w:hAnsi="Times New Roman"/>
          <w:bCs/>
          <w:sz w:val="24"/>
          <w:szCs w:val="24"/>
          <w:lang w:val="en-US"/>
        </w:rPr>
      </w:pPr>
      <w:r>
        <w:rPr>
          <w:rFonts w:ascii="Times New Roman" w:hAnsi="Times New Roman"/>
          <w:bCs/>
          <w:sz w:val="24"/>
          <w:szCs w:val="24"/>
        </w:rPr>
        <w:t xml:space="preserve">For PPE items where cost recorded by CAO is higher than the CGSO, the reconciliation of records is still on-going. </w:t>
      </w:r>
    </w:p>
    <w:p>
      <w:pPr>
        <w:spacing w:line="276" w:lineRule="auto"/>
        <w:jc w:val="both"/>
        <w:rPr>
          <w:bCs/>
        </w:rPr>
      </w:pPr>
    </w:p>
    <w:p>
      <w:pPr>
        <w:spacing w:line="276" w:lineRule="auto"/>
        <w:jc w:val="both"/>
        <w:rPr>
          <w:bCs/>
        </w:rPr>
      </w:pPr>
      <w:r>
        <w:rPr>
          <w:bCs/>
        </w:rPr>
        <w:t>CAO conducted a partial reconciliation and found that there were a number of recognized PPE items that were not recorded by the CGSO and maintained that their records are more accurate since it is based on documents supporting its acquisition and any unrecorded purchases, if any, are reconciled during the preparation of Bank Reconciliation Statements. On the other hand, CGSO maintained that they have conducted physical count of PPE and inventory items, per office and per account, as basis of their records and as reflected in the RPCPPE.</w:t>
      </w:r>
    </w:p>
    <w:p>
      <w:pPr>
        <w:spacing w:line="276" w:lineRule="auto"/>
        <w:jc w:val="both"/>
        <w:rPr>
          <w:bCs/>
        </w:rPr>
      </w:pPr>
    </w:p>
    <w:p>
      <w:pPr>
        <w:spacing w:line="276" w:lineRule="auto"/>
        <w:jc w:val="both"/>
        <w:rPr>
          <w:bCs/>
        </w:rPr>
      </w:pPr>
      <w:r>
        <w:rPr>
          <w:bCs/>
        </w:rPr>
        <w:t>CAO further explained that the inconsistent usage of useful life and the inappropriate classification of PPE items was due to errors made in the preparation of accounting entries handled by non-technical personnel which were not equipped with the necessary knowledge about accounting basics. Although they conducted orientation to their encoders, proper matching of job description and their qualifications plays an important role. Although, review and monitoring of their outputs are in-placed, the City Accountant and its assistants cannot cope-up with the increasing volume of the City’s transactions since they focus more on the significant transactions.</w:t>
      </w:r>
    </w:p>
    <w:p>
      <w:pPr>
        <w:spacing w:line="276" w:lineRule="auto"/>
        <w:jc w:val="both"/>
        <w:rPr>
          <w:bCs/>
        </w:rPr>
      </w:pPr>
    </w:p>
    <w:p>
      <w:pPr>
        <w:spacing w:line="276" w:lineRule="auto"/>
        <w:jc w:val="both"/>
        <w:rPr>
          <w:bCs/>
        </w:rPr>
      </w:pPr>
      <w:r>
        <w:rPr>
          <w:bCs/>
        </w:rPr>
        <w:t>As to the non-derecognition of PPE items with costs below P50,000.00, the CAO stated that initial adjustments have already been made. However, since the COA Circular took effect in May 2022, it was not yet applied to budgetary items appropriated under capital outlays in budget year 2022 to prevent discrepancies in the Statement of Budget and Actual Amounts and Statement of Cash Flows.</w:t>
      </w:r>
    </w:p>
    <w:p>
      <w:pPr>
        <w:spacing w:line="276" w:lineRule="auto"/>
        <w:jc w:val="both"/>
        <w:rPr>
          <w:bCs/>
        </w:rPr>
      </w:pPr>
    </w:p>
    <w:p>
      <w:pPr>
        <w:spacing w:line="276" w:lineRule="auto"/>
        <w:jc w:val="both"/>
        <w:rPr>
          <w:bCs/>
        </w:rPr>
      </w:pPr>
      <w:r>
        <w:rPr>
          <w:bCs/>
        </w:rPr>
        <w:t>The CGSO also explained that the prescribed RPCPPE format was already used for several accounts. However, the office was amenable that they were not able to use the prescribed form for some PPE accounts as mentioned in the observation above.</w:t>
      </w:r>
    </w:p>
    <w:p>
      <w:pPr>
        <w:spacing w:line="276" w:lineRule="auto"/>
        <w:jc w:val="both"/>
        <w:rPr>
          <w:bCs/>
        </w:rPr>
      </w:pPr>
    </w:p>
    <w:p>
      <w:pPr>
        <w:spacing w:line="276" w:lineRule="auto"/>
        <w:jc w:val="both"/>
        <w:rPr>
          <w:bCs/>
        </w:rPr>
      </w:pPr>
      <w:r>
        <w:rPr>
          <w:bCs/>
        </w:rPr>
        <w:t>CAO and CGSO committed in coordinating to remedy the above-noted observations. They also presented the following action plan:</w:t>
      </w:r>
    </w:p>
    <w:p>
      <w:pPr>
        <w:spacing w:line="276" w:lineRule="auto"/>
        <w:jc w:val="both"/>
        <w:rPr>
          <w:bCs/>
        </w:rPr>
      </w:pPr>
    </w:p>
    <w:p>
      <w:pPr>
        <w:pStyle w:val="ListParagraph"/>
        <w:numPr>
          <w:ilvl w:val="0"/>
          <w:numId w:val="71"/>
        </w:numPr>
        <w:spacing w:after="0"/>
        <w:ind w:left="714" w:hanging="357"/>
        <w:jc w:val="both"/>
        <w:rPr>
          <w:rFonts w:ascii="Times New Roman" w:hAnsi="Times New Roman"/>
          <w:bCs/>
          <w:sz w:val="24"/>
          <w:szCs w:val="24"/>
        </w:rPr>
      </w:pPr>
      <w:r>
        <w:rPr>
          <w:rFonts w:ascii="Times New Roman" w:hAnsi="Times New Roman"/>
          <w:bCs/>
          <w:sz w:val="24"/>
          <w:szCs w:val="24"/>
        </w:rPr>
        <w:lastRenderedPageBreak/>
        <w:t>The reconciling items identified by the CAO will communicated to CGSO and continue the on-going reconciliation between the two offices and submit to the Audit Team the report of PPE reconciled</w:t>
      </w:r>
    </w:p>
    <w:p>
      <w:pPr>
        <w:pStyle w:val="ListParagraph"/>
        <w:numPr>
          <w:ilvl w:val="0"/>
          <w:numId w:val="71"/>
        </w:numPr>
        <w:spacing w:after="0"/>
        <w:ind w:left="714" w:hanging="357"/>
        <w:jc w:val="both"/>
        <w:rPr>
          <w:rFonts w:ascii="Times New Roman" w:hAnsi="Times New Roman"/>
          <w:bCs/>
          <w:sz w:val="24"/>
          <w:szCs w:val="24"/>
        </w:rPr>
      </w:pPr>
      <w:r>
        <w:rPr>
          <w:rFonts w:ascii="Times New Roman" w:hAnsi="Times New Roman"/>
          <w:bCs/>
          <w:sz w:val="24"/>
          <w:szCs w:val="24"/>
        </w:rPr>
        <w:t>CAO will further review the PPE ledgers and ensure uniformity in the usage of useful life of PPE per classification</w:t>
      </w:r>
    </w:p>
    <w:p>
      <w:pPr>
        <w:pStyle w:val="ListParagraph"/>
        <w:numPr>
          <w:ilvl w:val="0"/>
          <w:numId w:val="71"/>
        </w:numPr>
        <w:spacing w:after="0"/>
        <w:ind w:left="714" w:hanging="357"/>
        <w:jc w:val="both"/>
        <w:rPr>
          <w:rFonts w:ascii="Times New Roman" w:hAnsi="Times New Roman"/>
          <w:bCs/>
          <w:sz w:val="24"/>
          <w:szCs w:val="24"/>
        </w:rPr>
      </w:pPr>
      <w:r>
        <w:rPr>
          <w:rFonts w:ascii="Times New Roman" w:hAnsi="Times New Roman"/>
          <w:bCs/>
          <w:sz w:val="24"/>
          <w:szCs w:val="24"/>
        </w:rPr>
        <w:t>CAO will correct the errors in the classification of PPE items and in order to guide the encoders of proper entry, they will incorporate the pro-forma journal entries applicable for the transaction in the disbursement vouchers.</w:t>
      </w:r>
    </w:p>
    <w:p>
      <w:pPr>
        <w:pStyle w:val="ListParagraph"/>
        <w:numPr>
          <w:ilvl w:val="0"/>
          <w:numId w:val="71"/>
        </w:numPr>
        <w:spacing w:after="0"/>
        <w:ind w:left="714" w:hanging="357"/>
        <w:jc w:val="both"/>
        <w:rPr>
          <w:rFonts w:ascii="Times New Roman" w:hAnsi="Times New Roman"/>
          <w:bCs/>
          <w:sz w:val="24"/>
          <w:szCs w:val="24"/>
        </w:rPr>
      </w:pPr>
      <w:r>
        <w:rPr>
          <w:rFonts w:ascii="Times New Roman" w:hAnsi="Times New Roman"/>
          <w:bCs/>
          <w:sz w:val="24"/>
          <w:szCs w:val="24"/>
        </w:rPr>
        <w:t>CAO will reclassify semi-expendables items still recorded under PPE items in the succeeding period</w:t>
      </w:r>
    </w:p>
    <w:p>
      <w:pPr>
        <w:pStyle w:val="ListParagraph"/>
        <w:numPr>
          <w:ilvl w:val="0"/>
          <w:numId w:val="71"/>
        </w:numPr>
        <w:spacing w:after="0"/>
        <w:ind w:left="714" w:hanging="357"/>
        <w:jc w:val="both"/>
        <w:rPr>
          <w:rFonts w:ascii="Times New Roman" w:hAnsi="Times New Roman"/>
          <w:bCs/>
          <w:sz w:val="24"/>
          <w:szCs w:val="24"/>
        </w:rPr>
      </w:pPr>
      <w:r>
        <w:rPr>
          <w:rFonts w:ascii="Times New Roman" w:hAnsi="Times New Roman"/>
          <w:bCs/>
          <w:sz w:val="24"/>
          <w:szCs w:val="24"/>
        </w:rPr>
        <w:t xml:space="preserve">CGSO will used the prescribed RPCPPE format in their succeeding reports </w:t>
      </w:r>
    </w:p>
    <w:p>
      <w:pPr>
        <w:spacing w:line="276" w:lineRule="auto"/>
        <w:ind w:right="162"/>
        <w:jc w:val="both"/>
        <w:rPr>
          <w:b/>
          <w:bCs/>
        </w:rPr>
      </w:pPr>
    </w:p>
    <w:p>
      <w:pPr>
        <w:spacing w:line="276" w:lineRule="auto"/>
        <w:ind w:right="-7"/>
        <w:jc w:val="both"/>
        <w:rPr>
          <w:b/>
          <w:bCs/>
        </w:rPr>
      </w:pPr>
      <w:r>
        <w:rPr>
          <w:b/>
          <w:bCs/>
        </w:rPr>
        <w:t>Auditor’s Rejoinder:</w:t>
      </w:r>
    </w:p>
    <w:p>
      <w:pPr>
        <w:spacing w:line="276" w:lineRule="auto"/>
        <w:ind w:right="162"/>
        <w:jc w:val="both"/>
      </w:pPr>
    </w:p>
    <w:p>
      <w:pPr>
        <w:spacing w:line="276" w:lineRule="auto"/>
        <w:ind w:right="162"/>
        <w:jc w:val="both"/>
      </w:pPr>
      <w:r>
        <w:t xml:space="preserve">These audit observations have been reiterated a number of times in the prior years’ Annual Audit Reports of the City. The Commission on Audit has recognized that this recurrent problem is present in almost all government agencies. Thus, </w:t>
      </w:r>
      <w:r>
        <w:rPr>
          <w:color w:val="000000"/>
          <w:lang w:eastAsia="en-PH"/>
        </w:rPr>
        <w:t xml:space="preserve">COA Circular No. 2020-006 dated January 31, 2020 was issued for the purpose of one-time cleansing of the PPE accounts. </w:t>
      </w:r>
      <w:r>
        <w:t xml:space="preserve">The audit team recognized management’s efforts to comply with the Circular </w:t>
      </w:r>
      <w:r>
        <w:rPr>
          <w:color w:val="000000"/>
          <w:lang w:eastAsia="en-PH"/>
        </w:rPr>
        <w:t xml:space="preserve">and its proactive stance on the implementation of its procedures.  </w:t>
      </w:r>
      <w:r>
        <w:t>However, the management’s activities have been slowed down, particularly in the reconciliation of records between CAO and CGSO and compliance with prescribed forms and reports required under the Circular. This recurring observation will be addressed if the procedures provided in the Circular were duly complied with. As such, it is recommended that the management prioritize this concern by assigning personnel with technical expertise and with the sole purpose of implementing the procedures prescribed in the Circular.</w:t>
      </w:r>
    </w:p>
    <w:p>
      <w:pPr>
        <w:spacing w:line="276" w:lineRule="auto"/>
        <w:ind w:right="162"/>
        <w:jc w:val="both"/>
      </w:pPr>
    </w:p>
    <w:p>
      <w:pPr>
        <w:spacing w:line="276" w:lineRule="auto"/>
        <w:ind w:right="162"/>
        <w:jc w:val="both"/>
        <w:rPr>
          <w:b/>
        </w:rPr>
      </w:pPr>
      <w:r>
        <w:t xml:space="preserve">Moreover, one of the major concerns highlighted was </w:t>
      </w:r>
      <w:r>
        <w:rPr>
          <w:bCs/>
        </w:rPr>
        <w:t>the mismatching of job description and the qualifications of existing personnel assigned in the preparation of accounting records. We suggest that the management conduct an evaluation of the current personnel composition to determine if the qualifications of the existing person-in-charge match the job description and responsibilities and task required thereof. If a mismatch occurs, the management should provide intervention to correct the condition by providing trainings and assignment of qualified personnel for the position/job.</w:t>
      </w:r>
    </w:p>
    <w:p>
      <w:pPr>
        <w:spacing w:line="276" w:lineRule="auto"/>
        <w:jc w:val="both"/>
      </w:pPr>
    </w:p>
    <w:p>
      <w:pPr>
        <w:spacing w:line="276" w:lineRule="auto"/>
        <w:jc w:val="both"/>
      </w:pPr>
    </w:p>
    <w:p>
      <w:pPr>
        <w:spacing w:line="276" w:lineRule="auto"/>
        <w:jc w:val="both"/>
      </w:pPr>
    </w:p>
    <w:p>
      <w:pPr>
        <w:spacing w:line="276" w:lineRule="auto"/>
        <w:jc w:val="both"/>
      </w:pPr>
    </w:p>
    <w:p>
      <w:pPr>
        <w:spacing w:line="276" w:lineRule="auto"/>
        <w:jc w:val="both"/>
      </w:pPr>
    </w:p>
    <w:p>
      <w:pPr>
        <w:spacing w:line="276" w:lineRule="auto"/>
        <w:ind w:right="162"/>
        <w:jc w:val="both"/>
        <w:rPr>
          <w:b/>
          <w:bCs/>
          <w:i/>
          <w:color w:val="FF0000"/>
        </w:rPr>
      </w:pPr>
      <w:r>
        <w:rPr>
          <w:b/>
          <w:bCs/>
          <w:i/>
        </w:rPr>
        <w:lastRenderedPageBreak/>
        <w:t>Property, Plant and Equipment – Non-derecognition of items</w:t>
      </w:r>
    </w:p>
    <w:p>
      <w:pPr>
        <w:pStyle w:val="ListParagraph"/>
        <w:spacing w:after="0"/>
        <w:ind w:left="0"/>
        <w:jc w:val="both"/>
        <w:rPr>
          <w:rFonts w:ascii="Times New Roman" w:hAnsi="Times New Roman"/>
          <w:b/>
          <w:bCs/>
          <w:sz w:val="24"/>
          <w:szCs w:val="24"/>
        </w:rPr>
      </w:pPr>
    </w:p>
    <w:p>
      <w:pPr>
        <w:pStyle w:val="ListParagraph"/>
        <w:numPr>
          <w:ilvl w:val="0"/>
          <w:numId w:val="2"/>
        </w:numPr>
        <w:spacing w:after="0"/>
        <w:ind w:left="0" w:firstLine="0"/>
        <w:jc w:val="both"/>
        <w:rPr>
          <w:rFonts w:ascii="Times New Roman" w:hAnsi="Times New Roman"/>
          <w:b/>
          <w:bCs/>
          <w:sz w:val="24"/>
          <w:szCs w:val="24"/>
        </w:rPr>
      </w:pPr>
      <w:r>
        <w:rPr>
          <w:rFonts w:ascii="Times New Roman" w:hAnsi="Times New Roman"/>
          <w:b/>
          <w:bCs/>
          <w:sz w:val="24"/>
          <w:szCs w:val="24"/>
        </w:rPr>
        <w:t>Various Property, Plant and Equipment (PPE) items with a total carrying amount of P185,289,123.84 that are under the control and possession of national and other local government agencies were not transferred/derecognized, contrary to International Public-Sector Accounting Standards (IPSAS) 17.</w:t>
      </w:r>
    </w:p>
    <w:p>
      <w:pPr>
        <w:pStyle w:val="ListParagraph"/>
        <w:spacing w:after="0"/>
        <w:ind w:left="0"/>
        <w:jc w:val="both"/>
        <w:rPr>
          <w:rFonts w:ascii="Times New Roman" w:hAnsi="Times New Roman"/>
          <w:b/>
          <w:bCs/>
          <w:sz w:val="24"/>
          <w:szCs w:val="24"/>
        </w:rPr>
      </w:pPr>
    </w:p>
    <w:p>
      <w:pPr>
        <w:tabs>
          <w:tab w:val="left" w:pos="360"/>
        </w:tabs>
        <w:spacing w:line="276" w:lineRule="auto"/>
        <w:jc w:val="both"/>
      </w:pPr>
      <w:r>
        <w:t>Paragraph 82 of IPSAS 17 requires:</w:t>
      </w:r>
    </w:p>
    <w:p>
      <w:pPr>
        <w:tabs>
          <w:tab w:val="left" w:pos="360"/>
        </w:tabs>
        <w:spacing w:line="276" w:lineRule="auto"/>
        <w:jc w:val="both"/>
      </w:pPr>
    </w:p>
    <w:p>
      <w:pPr>
        <w:spacing w:line="276" w:lineRule="auto"/>
        <w:ind w:left="709" w:right="702" w:firstLine="11"/>
        <w:jc w:val="both"/>
      </w:pPr>
      <w:r>
        <w:t xml:space="preserve">The carrying amount of an item of property, plant, and equipment shall be derecognized: </w:t>
      </w:r>
    </w:p>
    <w:p>
      <w:pPr>
        <w:spacing w:line="276" w:lineRule="auto"/>
        <w:ind w:left="709" w:right="288" w:firstLine="11"/>
        <w:jc w:val="both"/>
      </w:pPr>
    </w:p>
    <w:p>
      <w:pPr>
        <w:numPr>
          <w:ilvl w:val="0"/>
          <w:numId w:val="13"/>
        </w:numPr>
        <w:spacing w:line="276" w:lineRule="auto"/>
        <w:ind w:left="1418" w:right="288"/>
        <w:jc w:val="both"/>
      </w:pPr>
      <w:r>
        <w:t>On disposal; or</w:t>
      </w:r>
    </w:p>
    <w:p>
      <w:pPr>
        <w:numPr>
          <w:ilvl w:val="0"/>
          <w:numId w:val="13"/>
        </w:numPr>
        <w:spacing w:line="276" w:lineRule="auto"/>
        <w:ind w:left="1418" w:right="702"/>
        <w:jc w:val="both"/>
      </w:pPr>
      <w:r>
        <w:t>When no future economic benefits or service potential is expected from its use or disposal.</w:t>
      </w:r>
    </w:p>
    <w:p>
      <w:pPr>
        <w:autoSpaceDE w:val="0"/>
        <w:autoSpaceDN w:val="0"/>
        <w:adjustRightInd w:val="0"/>
        <w:spacing w:line="276" w:lineRule="auto"/>
        <w:ind w:firstLine="720"/>
        <w:jc w:val="both"/>
        <w:rPr>
          <w:rFonts w:eastAsia="Calibri"/>
          <w:bCs/>
        </w:rPr>
      </w:pPr>
    </w:p>
    <w:p>
      <w:pPr>
        <w:autoSpaceDE w:val="0"/>
        <w:autoSpaceDN w:val="0"/>
        <w:adjustRightInd w:val="0"/>
        <w:spacing w:line="276" w:lineRule="auto"/>
        <w:jc w:val="both"/>
        <w:rPr>
          <w:rFonts w:eastAsia="Calibri"/>
          <w:color w:val="000000"/>
        </w:rPr>
      </w:pPr>
      <w:r>
        <w:rPr>
          <w:rFonts w:eastAsia="Calibri"/>
          <w:bCs/>
        </w:rPr>
        <w:t xml:space="preserve">As at December 31, 2022, the Statement of Financial Position for all funds of the City showed a total PPE balance of P3,124,650,522.09, net of accumulated depreciation. However, review and examination of the records maintained by the City Accounting Office (CAO) for its PPE accounts revealed that properties with a total of </w:t>
      </w:r>
      <w:r>
        <w:rPr>
          <w:rFonts w:eastAsia="Calibri"/>
          <w:color w:val="000000"/>
        </w:rPr>
        <w:t xml:space="preserve">P185,289,123.84 still formed part of the City’s PPE accounts despite being no longer qualified as such. The breakdown of the said properties </w:t>
      </w:r>
      <w:proofErr w:type="gramStart"/>
      <w:r>
        <w:rPr>
          <w:rFonts w:eastAsia="Calibri"/>
          <w:color w:val="000000"/>
        </w:rPr>
        <w:t>are</w:t>
      </w:r>
      <w:proofErr w:type="gramEnd"/>
      <w:r>
        <w:rPr>
          <w:rFonts w:eastAsia="Calibri"/>
          <w:color w:val="000000"/>
        </w:rPr>
        <w:t xml:space="preserve"> presented in Table 3.1 with detailed information shown in </w:t>
      </w:r>
      <w:r>
        <w:rPr>
          <w:rFonts w:eastAsia="Calibri"/>
          <w:i/>
          <w:color w:val="000000"/>
        </w:rPr>
        <w:t>Annex I</w:t>
      </w:r>
      <w:r>
        <w:rPr>
          <w:rFonts w:eastAsia="Calibri"/>
          <w:color w:val="000000"/>
        </w:rPr>
        <w:t>.</w:t>
      </w:r>
    </w:p>
    <w:p>
      <w:pPr>
        <w:autoSpaceDE w:val="0"/>
        <w:autoSpaceDN w:val="0"/>
        <w:adjustRightInd w:val="0"/>
        <w:spacing w:line="276" w:lineRule="auto"/>
        <w:ind w:firstLine="720"/>
        <w:jc w:val="both"/>
        <w:rPr>
          <w:rFonts w:eastAsia="Calibri"/>
          <w:color w:val="000000"/>
        </w:rPr>
      </w:pPr>
    </w:p>
    <w:p>
      <w:pPr>
        <w:autoSpaceDE w:val="0"/>
        <w:autoSpaceDN w:val="0"/>
        <w:adjustRightInd w:val="0"/>
        <w:spacing w:line="276" w:lineRule="auto"/>
        <w:jc w:val="both"/>
        <w:rPr>
          <w:rFonts w:eastAsia="Calibri"/>
          <w:bCs/>
          <w:i/>
        </w:rPr>
      </w:pPr>
      <w:r>
        <w:rPr>
          <w:rFonts w:eastAsia="Calibri"/>
          <w:bCs/>
          <w:i/>
        </w:rPr>
        <w:t>Table 3.1. PPE for derecognition</w:t>
      </w:r>
    </w:p>
    <w:tbl>
      <w:tblPr>
        <w:tblStyle w:val="TableGrid26"/>
        <w:tblW w:w="0" w:type="auto"/>
        <w:jc w:val="center"/>
        <w:tblLook w:val="04A0" w:firstRow="1" w:lastRow="0" w:firstColumn="1" w:lastColumn="0" w:noHBand="0" w:noVBand="1"/>
      </w:tblPr>
      <w:tblGrid>
        <w:gridCol w:w="3550"/>
        <w:gridCol w:w="3259"/>
        <w:gridCol w:w="2047"/>
      </w:tblGrid>
      <w:tr>
        <w:trPr>
          <w:tblHeader/>
          <w:jc w:val="center"/>
        </w:trPr>
        <w:tc>
          <w:tcPr>
            <w:tcW w:w="3686" w:type="dxa"/>
            <w:vAlign w:val="center"/>
          </w:tcPr>
          <w:p>
            <w:pPr>
              <w:autoSpaceDE w:val="0"/>
              <w:autoSpaceDN w:val="0"/>
              <w:adjustRightInd w:val="0"/>
              <w:spacing w:line="276" w:lineRule="auto"/>
              <w:jc w:val="center"/>
              <w:rPr>
                <w:rFonts w:eastAsia="Calibri"/>
                <w:b/>
                <w:bCs/>
                <w:sz w:val="22"/>
                <w:szCs w:val="22"/>
              </w:rPr>
            </w:pPr>
            <w:r>
              <w:rPr>
                <w:rFonts w:eastAsia="Calibri"/>
                <w:b/>
                <w:bCs/>
                <w:sz w:val="22"/>
                <w:szCs w:val="22"/>
              </w:rPr>
              <w:t>PPE Account</w:t>
            </w:r>
          </w:p>
        </w:tc>
        <w:tc>
          <w:tcPr>
            <w:tcW w:w="3402" w:type="dxa"/>
            <w:vAlign w:val="center"/>
          </w:tcPr>
          <w:p>
            <w:pPr>
              <w:autoSpaceDE w:val="0"/>
              <w:autoSpaceDN w:val="0"/>
              <w:adjustRightInd w:val="0"/>
              <w:spacing w:line="276" w:lineRule="auto"/>
              <w:jc w:val="center"/>
              <w:rPr>
                <w:rFonts w:eastAsia="Calibri"/>
                <w:b/>
                <w:bCs/>
                <w:sz w:val="22"/>
                <w:szCs w:val="22"/>
              </w:rPr>
            </w:pPr>
            <w:r>
              <w:rPr>
                <w:rFonts w:eastAsia="Calibri"/>
                <w:b/>
                <w:bCs/>
                <w:sz w:val="22"/>
                <w:szCs w:val="22"/>
              </w:rPr>
              <w:t>End-User</w:t>
            </w:r>
          </w:p>
        </w:tc>
        <w:tc>
          <w:tcPr>
            <w:tcW w:w="2070" w:type="dxa"/>
            <w:vAlign w:val="center"/>
          </w:tcPr>
          <w:p>
            <w:pPr>
              <w:autoSpaceDE w:val="0"/>
              <w:autoSpaceDN w:val="0"/>
              <w:adjustRightInd w:val="0"/>
              <w:spacing w:line="276" w:lineRule="auto"/>
              <w:jc w:val="center"/>
              <w:rPr>
                <w:rFonts w:eastAsia="Calibri"/>
                <w:b/>
                <w:bCs/>
                <w:sz w:val="22"/>
                <w:szCs w:val="22"/>
              </w:rPr>
            </w:pPr>
            <w:r>
              <w:rPr>
                <w:rFonts w:eastAsia="Calibri"/>
                <w:b/>
                <w:bCs/>
                <w:sz w:val="22"/>
                <w:szCs w:val="22"/>
              </w:rPr>
              <w:t>Carrying Amount</w:t>
            </w:r>
          </w:p>
        </w:tc>
      </w:tr>
      <w:tr>
        <w:trPr>
          <w:jc w:val="center"/>
        </w:trPr>
        <w:tc>
          <w:tcPr>
            <w:tcW w:w="9158" w:type="dxa"/>
            <w:gridSpan w:val="3"/>
            <w:shd w:val="clear" w:color="auto" w:fill="C6D9F1"/>
            <w:vAlign w:val="center"/>
          </w:tcPr>
          <w:p>
            <w:pPr>
              <w:autoSpaceDE w:val="0"/>
              <w:autoSpaceDN w:val="0"/>
              <w:adjustRightInd w:val="0"/>
              <w:spacing w:line="276" w:lineRule="auto"/>
              <w:rPr>
                <w:rFonts w:eastAsia="Calibri"/>
                <w:b/>
                <w:bCs/>
                <w:i/>
                <w:sz w:val="22"/>
                <w:szCs w:val="22"/>
              </w:rPr>
            </w:pPr>
            <w:r>
              <w:rPr>
                <w:rFonts w:eastAsia="Calibri"/>
                <w:b/>
                <w:bCs/>
                <w:i/>
                <w:sz w:val="22"/>
                <w:szCs w:val="22"/>
              </w:rPr>
              <w:t>GENERAL FUND</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Communication Equipment</w:t>
            </w:r>
          </w:p>
        </w:tc>
        <w:tc>
          <w:tcPr>
            <w:tcW w:w="3402" w:type="dxa"/>
            <w:vAlign w:val="center"/>
          </w:tcPr>
          <w:p>
            <w:pPr>
              <w:autoSpaceDE w:val="0"/>
              <w:autoSpaceDN w:val="0"/>
              <w:adjustRightInd w:val="0"/>
              <w:spacing w:line="276" w:lineRule="auto"/>
              <w:rPr>
                <w:rFonts w:eastAsia="Calibri"/>
                <w:bCs/>
                <w:sz w:val="22"/>
                <w:szCs w:val="22"/>
              </w:rPr>
            </w:pPr>
            <w:r>
              <w:rPr>
                <w:rFonts w:eastAsia="Calibri"/>
                <w:bCs/>
                <w:sz w:val="22"/>
                <w:szCs w:val="22"/>
              </w:rPr>
              <w:t>Department of Education DepEd</w:t>
            </w: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149,062.50</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Other Infrastructure Assets</w:t>
            </w:r>
          </w:p>
        </w:tc>
        <w:tc>
          <w:tcPr>
            <w:tcW w:w="3402" w:type="dxa"/>
            <w:vAlign w:val="center"/>
          </w:tcPr>
          <w:p>
            <w:pPr>
              <w:autoSpaceDE w:val="0"/>
              <w:autoSpaceDN w:val="0"/>
              <w:adjustRightInd w:val="0"/>
              <w:spacing w:line="276" w:lineRule="auto"/>
              <w:rPr>
                <w:rFonts w:eastAsia="Calibri"/>
                <w:bCs/>
                <w:sz w:val="22"/>
                <w:szCs w:val="22"/>
              </w:rPr>
            </w:pPr>
            <w:r>
              <w:rPr>
                <w:rFonts w:eastAsia="Calibri"/>
                <w:bCs/>
                <w:sz w:val="22"/>
                <w:szCs w:val="22"/>
              </w:rPr>
              <w:t>Various barangays, Bureau of Fire Protection (BFP)</w:t>
            </w: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55,488,929.83</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Other Structures</w:t>
            </w:r>
          </w:p>
        </w:tc>
        <w:tc>
          <w:tcPr>
            <w:tcW w:w="3402" w:type="dxa"/>
            <w:vAlign w:val="center"/>
          </w:tcPr>
          <w:p>
            <w:pPr>
              <w:autoSpaceDE w:val="0"/>
              <w:autoSpaceDN w:val="0"/>
              <w:adjustRightInd w:val="0"/>
              <w:spacing w:line="276" w:lineRule="auto"/>
              <w:rPr>
                <w:rFonts w:eastAsia="Calibri"/>
                <w:bCs/>
                <w:sz w:val="22"/>
                <w:szCs w:val="22"/>
              </w:rPr>
            </w:pPr>
            <w:r>
              <w:rPr>
                <w:rFonts w:eastAsia="Calibri"/>
                <w:bCs/>
                <w:sz w:val="22"/>
                <w:szCs w:val="22"/>
              </w:rPr>
              <w:t>Barangay Salvacion</w:t>
            </w: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106,648.26</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School Buildings</w:t>
            </w:r>
          </w:p>
        </w:tc>
        <w:tc>
          <w:tcPr>
            <w:tcW w:w="3402" w:type="dxa"/>
            <w:vAlign w:val="center"/>
          </w:tcPr>
          <w:p>
            <w:pPr>
              <w:autoSpaceDE w:val="0"/>
              <w:autoSpaceDN w:val="0"/>
              <w:adjustRightInd w:val="0"/>
              <w:spacing w:line="276" w:lineRule="auto"/>
              <w:rPr>
                <w:rFonts w:eastAsia="Calibri"/>
                <w:bCs/>
                <w:sz w:val="22"/>
                <w:szCs w:val="22"/>
              </w:rPr>
            </w:pPr>
            <w:r>
              <w:rPr>
                <w:rFonts w:eastAsia="Calibri"/>
                <w:bCs/>
                <w:sz w:val="22"/>
                <w:szCs w:val="22"/>
              </w:rPr>
              <w:t>Department of Education</w:t>
            </w: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1,040,567.64</w:t>
            </w:r>
          </w:p>
        </w:tc>
      </w:tr>
      <w:tr>
        <w:trPr>
          <w:jc w:val="center"/>
        </w:trPr>
        <w:tc>
          <w:tcPr>
            <w:tcW w:w="7088" w:type="dxa"/>
            <w:gridSpan w:val="2"/>
            <w:vAlign w:val="center"/>
          </w:tcPr>
          <w:p>
            <w:pPr>
              <w:autoSpaceDE w:val="0"/>
              <w:autoSpaceDN w:val="0"/>
              <w:adjustRightInd w:val="0"/>
              <w:spacing w:line="276" w:lineRule="auto"/>
              <w:jc w:val="right"/>
              <w:rPr>
                <w:rFonts w:eastAsia="Calibri"/>
                <w:b/>
                <w:i/>
                <w:sz w:val="22"/>
                <w:szCs w:val="22"/>
              </w:rPr>
            </w:pPr>
            <w:r>
              <w:rPr>
                <w:rFonts w:eastAsia="Calibri"/>
                <w:b/>
                <w:i/>
                <w:sz w:val="22"/>
                <w:szCs w:val="22"/>
              </w:rPr>
              <w:t>Subtotal</w:t>
            </w:r>
          </w:p>
        </w:tc>
        <w:tc>
          <w:tcPr>
            <w:tcW w:w="2070" w:type="dxa"/>
            <w:vAlign w:val="bottom"/>
          </w:tcPr>
          <w:p>
            <w:pPr>
              <w:autoSpaceDE w:val="0"/>
              <w:autoSpaceDN w:val="0"/>
              <w:adjustRightInd w:val="0"/>
              <w:spacing w:line="276" w:lineRule="auto"/>
              <w:jc w:val="right"/>
              <w:rPr>
                <w:rFonts w:eastAsia="Calibri"/>
                <w:b/>
                <w:i/>
                <w:sz w:val="22"/>
                <w:szCs w:val="22"/>
              </w:rPr>
            </w:pPr>
            <w:r>
              <w:rPr>
                <w:rFonts w:eastAsia="Calibri"/>
                <w:b/>
                <w:i/>
                <w:sz w:val="22"/>
                <w:szCs w:val="22"/>
              </w:rPr>
              <w:t>P56,785,208.23</w:t>
            </w:r>
          </w:p>
        </w:tc>
      </w:tr>
      <w:tr>
        <w:trPr>
          <w:jc w:val="center"/>
        </w:trPr>
        <w:tc>
          <w:tcPr>
            <w:tcW w:w="9158" w:type="dxa"/>
            <w:gridSpan w:val="3"/>
            <w:shd w:val="clear" w:color="auto" w:fill="C6D9F1"/>
            <w:vAlign w:val="center"/>
          </w:tcPr>
          <w:p>
            <w:pPr>
              <w:autoSpaceDE w:val="0"/>
              <w:autoSpaceDN w:val="0"/>
              <w:adjustRightInd w:val="0"/>
              <w:spacing w:line="276" w:lineRule="auto"/>
              <w:rPr>
                <w:rFonts w:eastAsia="Calibri"/>
                <w:b/>
                <w:i/>
                <w:sz w:val="22"/>
                <w:szCs w:val="22"/>
              </w:rPr>
            </w:pPr>
            <w:r>
              <w:rPr>
                <w:rFonts w:eastAsia="Calibri"/>
                <w:b/>
                <w:bCs/>
                <w:i/>
                <w:sz w:val="22"/>
                <w:szCs w:val="22"/>
              </w:rPr>
              <w:t>SPECIAL EDUCATION FUND</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Furniture and Fixtures</w:t>
            </w:r>
          </w:p>
        </w:tc>
        <w:tc>
          <w:tcPr>
            <w:tcW w:w="3402" w:type="dxa"/>
            <w:vMerge w:val="restart"/>
            <w:vAlign w:val="center"/>
          </w:tcPr>
          <w:p>
            <w:pPr>
              <w:autoSpaceDE w:val="0"/>
              <w:autoSpaceDN w:val="0"/>
              <w:adjustRightInd w:val="0"/>
              <w:spacing w:line="276" w:lineRule="auto"/>
              <w:rPr>
                <w:rFonts w:eastAsia="Calibri"/>
                <w:bCs/>
                <w:sz w:val="22"/>
                <w:szCs w:val="22"/>
              </w:rPr>
            </w:pPr>
            <w:r>
              <w:rPr>
                <w:rFonts w:eastAsia="Calibri"/>
                <w:bCs/>
                <w:sz w:val="22"/>
                <w:szCs w:val="22"/>
              </w:rPr>
              <w:t>Department of Education</w:t>
            </w: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P24,782.24</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Information and Communication Technology Equipment</w:t>
            </w:r>
          </w:p>
        </w:tc>
        <w:tc>
          <w:tcPr>
            <w:tcW w:w="3402" w:type="dxa"/>
            <w:vMerge/>
            <w:vAlign w:val="center"/>
          </w:tcPr>
          <w:p>
            <w:pPr>
              <w:autoSpaceDE w:val="0"/>
              <w:autoSpaceDN w:val="0"/>
              <w:adjustRightInd w:val="0"/>
              <w:spacing w:line="276" w:lineRule="auto"/>
              <w:rPr>
                <w:rFonts w:eastAsia="Calibri"/>
                <w:bCs/>
                <w:sz w:val="22"/>
                <w:szCs w:val="22"/>
              </w:rPr>
            </w:pP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3,190,260.77</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Office Equipment</w:t>
            </w:r>
          </w:p>
        </w:tc>
        <w:tc>
          <w:tcPr>
            <w:tcW w:w="3402" w:type="dxa"/>
            <w:vMerge/>
            <w:vAlign w:val="center"/>
          </w:tcPr>
          <w:p>
            <w:pPr>
              <w:autoSpaceDE w:val="0"/>
              <w:autoSpaceDN w:val="0"/>
              <w:adjustRightInd w:val="0"/>
              <w:spacing w:line="276" w:lineRule="auto"/>
              <w:rPr>
                <w:rFonts w:eastAsia="Calibri"/>
                <w:bCs/>
                <w:sz w:val="22"/>
                <w:szCs w:val="22"/>
              </w:rPr>
            </w:pP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1,720,037.47</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Other Infrastructure Assets</w:t>
            </w:r>
          </w:p>
        </w:tc>
        <w:tc>
          <w:tcPr>
            <w:tcW w:w="3402" w:type="dxa"/>
            <w:vMerge/>
            <w:vAlign w:val="center"/>
          </w:tcPr>
          <w:p>
            <w:pPr>
              <w:autoSpaceDE w:val="0"/>
              <w:autoSpaceDN w:val="0"/>
              <w:adjustRightInd w:val="0"/>
              <w:spacing w:line="276" w:lineRule="auto"/>
              <w:rPr>
                <w:rFonts w:eastAsia="Calibri"/>
                <w:bCs/>
                <w:sz w:val="22"/>
                <w:szCs w:val="22"/>
              </w:rPr>
            </w:pP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17,244,745.43</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Other Land Improvements</w:t>
            </w:r>
          </w:p>
        </w:tc>
        <w:tc>
          <w:tcPr>
            <w:tcW w:w="3402" w:type="dxa"/>
            <w:vMerge/>
            <w:vAlign w:val="center"/>
          </w:tcPr>
          <w:p>
            <w:pPr>
              <w:autoSpaceDE w:val="0"/>
              <w:autoSpaceDN w:val="0"/>
              <w:adjustRightInd w:val="0"/>
              <w:spacing w:line="276" w:lineRule="auto"/>
              <w:rPr>
                <w:rFonts w:eastAsia="Calibri"/>
                <w:bCs/>
                <w:sz w:val="22"/>
                <w:szCs w:val="22"/>
              </w:rPr>
            </w:pP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10,478,539.66</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Other Property, Plant and Equipment</w:t>
            </w:r>
          </w:p>
        </w:tc>
        <w:tc>
          <w:tcPr>
            <w:tcW w:w="3402" w:type="dxa"/>
            <w:vMerge/>
            <w:vAlign w:val="center"/>
          </w:tcPr>
          <w:p>
            <w:pPr>
              <w:autoSpaceDE w:val="0"/>
              <w:autoSpaceDN w:val="0"/>
              <w:adjustRightInd w:val="0"/>
              <w:spacing w:line="276" w:lineRule="auto"/>
              <w:rPr>
                <w:rFonts w:eastAsia="Calibri"/>
                <w:bCs/>
                <w:sz w:val="22"/>
                <w:szCs w:val="22"/>
              </w:rPr>
            </w:pP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24,584.48</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lastRenderedPageBreak/>
              <w:t>Other Structures</w:t>
            </w:r>
          </w:p>
        </w:tc>
        <w:tc>
          <w:tcPr>
            <w:tcW w:w="3402" w:type="dxa"/>
            <w:vMerge/>
            <w:vAlign w:val="center"/>
          </w:tcPr>
          <w:p>
            <w:pPr>
              <w:autoSpaceDE w:val="0"/>
              <w:autoSpaceDN w:val="0"/>
              <w:adjustRightInd w:val="0"/>
              <w:spacing w:line="276" w:lineRule="auto"/>
              <w:rPr>
                <w:rFonts w:eastAsia="Calibri"/>
                <w:bCs/>
                <w:sz w:val="22"/>
                <w:szCs w:val="22"/>
              </w:rPr>
            </w:pP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7,493,924.81</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School Buildings</w:t>
            </w:r>
          </w:p>
        </w:tc>
        <w:tc>
          <w:tcPr>
            <w:tcW w:w="3402" w:type="dxa"/>
            <w:vMerge/>
            <w:vAlign w:val="center"/>
          </w:tcPr>
          <w:p>
            <w:pPr>
              <w:autoSpaceDE w:val="0"/>
              <w:autoSpaceDN w:val="0"/>
              <w:adjustRightInd w:val="0"/>
              <w:spacing w:line="276" w:lineRule="auto"/>
              <w:rPr>
                <w:rFonts w:eastAsia="Calibri"/>
                <w:bCs/>
                <w:sz w:val="22"/>
                <w:szCs w:val="22"/>
              </w:rPr>
            </w:pP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77,925,133.34</w:t>
            </w:r>
          </w:p>
        </w:tc>
      </w:tr>
      <w:tr>
        <w:trPr>
          <w:jc w:val="center"/>
        </w:trPr>
        <w:tc>
          <w:tcPr>
            <w:tcW w:w="7088" w:type="dxa"/>
            <w:gridSpan w:val="2"/>
            <w:vAlign w:val="center"/>
          </w:tcPr>
          <w:p>
            <w:pPr>
              <w:autoSpaceDE w:val="0"/>
              <w:autoSpaceDN w:val="0"/>
              <w:adjustRightInd w:val="0"/>
              <w:spacing w:line="276" w:lineRule="auto"/>
              <w:jc w:val="right"/>
              <w:rPr>
                <w:rFonts w:eastAsia="Calibri"/>
                <w:bCs/>
                <w:i/>
                <w:sz w:val="22"/>
                <w:szCs w:val="22"/>
              </w:rPr>
            </w:pPr>
            <w:r>
              <w:rPr>
                <w:rFonts w:eastAsia="Calibri"/>
                <w:b/>
                <w:i/>
                <w:sz w:val="22"/>
                <w:szCs w:val="22"/>
              </w:rPr>
              <w:t>Subtotal</w:t>
            </w:r>
          </w:p>
        </w:tc>
        <w:tc>
          <w:tcPr>
            <w:tcW w:w="2070" w:type="dxa"/>
            <w:vAlign w:val="bottom"/>
          </w:tcPr>
          <w:p>
            <w:pPr>
              <w:autoSpaceDE w:val="0"/>
              <w:autoSpaceDN w:val="0"/>
              <w:adjustRightInd w:val="0"/>
              <w:spacing w:line="276" w:lineRule="auto"/>
              <w:jc w:val="right"/>
              <w:rPr>
                <w:rFonts w:eastAsia="Calibri"/>
                <w:b/>
                <w:i/>
                <w:sz w:val="22"/>
                <w:szCs w:val="22"/>
              </w:rPr>
            </w:pPr>
            <w:r>
              <w:rPr>
                <w:rFonts w:eastAsia="Calibri"/>
                <w:b/>
                <w:i/>
                <w:sz w:val="22"/>
                <w:szCs w:val="22"/>
              </w:rPr>
              <w:t>P118,102,008.20</w:t>
            </w:r>
          </w:p>
        </w:tc>
      </w:tr>
      <w:tr>
        <w:trPr>
          <w:jc w:val="center"/>
        </w:trPr>
        <w:tc>
          <w:tcPr>
            <w:tcW w:w="9158" w:type="dxa"/>
            <w:gridSpan w:val="3"/>
            <w:shd w:val="clear" w:color="auto" w:fill="C6D9F1"/>
            <w:vAlign w:val="center"/>
          </w:tcPr>
          <w:p>
            <w:pPr>
              <w:autoSpaceDE w:val="0"/>
              <w:autoSpaceDN w:val="0"/>
              <w:adjustRightInd w:val="0"/>
              <w:spacing w:line="276" w:lineRule="auto"/>
              <w:rPr>
                <w:rFonts w:eastAsia="Calibri"/>
                <w:b/>
                <w:i/>
                <w:sz w:val="22"/>
                <w:szCs w:val="22"/>
              </w:rPr>
            </w:pPr>
            <w:r>
              <w:rPr>
                <w:rFonts w:eastAsia="Calibri"/>
                <w:b/>
                <w:bCs/>
                <w:i/>
                <w:sz w:val="22"/>
                <w:szCs w:val="22"/>
              </w:rPr>
              <w:t>TRUST FUND</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Hospitals and Health Centers</w:t>
            </w:r>
          </w:p>
        </w:tc>
        <w:tc>
          <w:tcPr>
            <w:tcW w:w="3402" w:type="dxa"/>
            <w:vAlign w:val="center"/>
          </w:tcPr>
          <w:p>
            <w:pPr>
              <w:autoSpaceDE w:val="0"/>
              <w:autoSpaceDN w:val="0"/>
              <w:adjustRightInd w:val="0"/>
              <w:spacing w:line="276" w:lineRule="auto"/>
              <w:rPr>
                <w:rFonts w:eastAsia="Calibri"/>
                <w:bCs/>
                <w:sz w:val="22"/>
                <w:szCs w:val="22"/>
              </w:rPr>
            </w:pPr>
            <w:r>
              <w:rPr>
                <w:rFonts w:eastAsia="Calibri"/>
                <w:bCs/>
                <w:sz w:val="22"/>
                <w:szCs w:val="22"/>
              </w:rPr>
              <w:t>Barangay New Pandan</w:t>
            </w: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P147,143.61</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Other Infrastructure Assets</w:t>
            </w:r>
          </w:p>
        </w:tc>
        <w:tc>
          <w:tcPr>
            <w:tcW w:w="3402" w:type="dxa"/>
            <w:vAlign w:val="center"/>
          </w:tcPr>
          <w:p>
            <w:pPr>
              <w:autoSpaceDE w:val="0"/>
              <w:autoSpaceDN w:val="0"/>
              <w:adjustRightInd w:val="0"/>
              <w:spacing w:line="276" w:lineRule="auto"/>
              <w:rPr>
                <w:rFonts w:eastAsia="Calibri"/>
                <w:bCs/>
                <w:sz w:val="22"/>
                <w:szCs w:val="22"/>
              </w:rPr>
            </w:pPr>
            <w:r>
              <w:rPr>
                <w:rFonts w:eastAsia="Calibri"/>
                <w:bCs/>
                <w:sz w:val="22"/>
                <w:szCs w:val="22"/>
              </w:rPr>
              <w:t>Various barangays</w:t>
            </w:r>
          </w:p>
        </w:tc>
        <w:tc>
          <w:tcPr>
            <w:tcW w:w="2070" w:type="dxa"/>
            <w:vAlign w:val="bottom"/>
          </w:tcPr>
          <w:p>
            <w:pPr>
              <w:autoSpaceDE w:val="0"/>
              <w:autoSpaceDN w:val="0"/>
              <w:adjustRightInd w:val="0"/>
              <w:spacing w:line="276" w:lineRule="auto"/>
              <w:jc w:val="right"/>
              <w:rPr>
                <w:rFonts w:eastAsia="Calibri"/>
                <w:bCs/>
                <w:sz w:val="22"/>
                <w:szCs w:val="22"/>
              </w:rPr>
            </w:pPr>
            <w:r>
              <w:rPr>
                <w:rFonts w:eastAsia="Calibri"/>
                <w:bCs/>
                <w:sz w:val="22"/>
                <w:szCs w:val="22"/>
              </w:rPr>
              <w:t>7,312,120.54</w:t>
            </w:r>
          </w:p>
        </w:tc>
      </w:tr>
      <w:tr>
        <w:trPr>
          <w:jc w:val="center"/>
        </w:trPr>
        <w:tc>
          <w:tcPr>
            <w:tcW w:w="3686" w:type="dxa"/>
            <w:vAlign w:val="center"/>
          </w:tcPr>
          <w:p>
            <w:pPr>
              <w:autoSpaceDE w:val="0"/>
              <w:autoSpaceDN w:val="0"/>
              <w:adjustRightInd w:val="0"/>
              <w:spacing w:line="276" w:lineRule="auto"/>
              <w:rPr>
                <w:rFonts w:eastAsia="Calibri"/>
                <w:bCs/>
                <w:sz w:val="22"/>
                <w:szCs w:val="22"/>
              </w:rPr>
            </w:pPr>
            <w:r>
              <w:rPr>
                <w:rFonts w:eastAsia="Calibri"/>
                <w:bCs/>
                <w:sz w:val="22"/>
                <w:szCs w:val="22"/>
              </w:rPr>
              <w:t>School Buildings</w:t>
            </w:r>
          </w:p>
        </w:tc>
        <w:tc>
          <w:tcPr>
            <w:tcW w:w="3402" w:type="dxa"/>
            <w:vAlign w:val="center"/>
          </w:tcPr>
          <w:p>
            <w:pPr>
              <w:autoSpaceDE w:val="0"/>
              <w:autoSpaceDN w:val="0"/>
              <w:adjustRightInd w:val="0"/>
              <w:spacing w:line="276" w:lineRule="auto"/>
              <w:rPr>
                <w:rFonts w:eastAsia="Calibri"/>
                <w:b/>
                <w:sz w:val="22"/>
                <w:szCs w:val="22"/>
              </w:rPr>
            </w:pPr>
            <w:r>
              <w:rPr>
                <w:rFonts w:eastAsia="Calibri"/>
                <w:bCs/>
                <w:sz w:val="22"/>
                <w:szCs w:val="22"/>
              </w:rPr>
              <w:t>Department of Education</w:t>
            </w:r>
          </w:p>
        </w:tc>
        <w:tc>
          <w:tcPr>
            <w:tcW w:w="2070" w:type="dxa"/>
            <w:vAlign w:val="bottom"/>
          </w:tcPr>
          <w:p>
            <w:pPr>
              <w:autoSpaceDE w:val="0"/>
              <w:autoSpaceDN w:val="0"/>
              <w:adjustRightInd w:val="0"/>
              <w:spacing w:line="276" w:lineRule="auto"/>
              <w:jc w:val="right"/>
              <w:rPr>
                <w:rFonts w:eastAsia="Calibri"/>
                <w:b/>
                <w:sz w:val="22"/>
                <w:szCs w:val="22"/>
              </w:rPr>
            </w:pPr>
            <w:r>
              <w:rPr>
                <w:rFonts w:eastAsia="Calibri"/>
                <w:b/>
                <w:sz w:val="22"/>
                <w:szCs w:val="22"/>
              </w:rPr>
              <w:t>2,942,643.26</w:t>
            </w:r>
          </w:p>
        </w:tc>
      </w:tr>
      <w:tr>
        <w:trPr>
          <w:jc w:val="center"/>
        </w:trPr>
        <w:tc>
          <w:tcPr>
            <w:tcW w:w="7088" w:type="dxa"/>
            <w:gridSpan w:val="2"/>
            <w:vAlign w:val="center"/>
          </w:tcPr>
          <w:p>
            <w:pPr>
              <w:autoSpaceDE w:val="0"/>
              <w:autoSpaceDN w:val="0"/>
              <w:adjustRightInd w:val="0"/>
              <w:spacing w:line="276" w:lineRule="auto"/>
              <w:jc w:val="right"/>
              <w:rPr>
                <w:rFonts w:eastAsia="Calibri"/>
                <w:bCs/>
                <w:i/>
                <w:sz w:val="22"/>
                <w:szCs w:val="22"/>
              </w:rPr>
            </w:pPr>
            <w:r>
              <w:rPr>
                <w:rFonts w:eastAsia="Calibri"/>
                <w:b/>
                <w:i/>
                <w:sz w:val="22"/>
                <w:szCs w:val="22"/>
              </w:rPr>
              <w:t>Subtotal</w:t>
            </w:r>
          </w:p>
        </w:tc>
        <w:tc>
          <w:tcPr>
            <w:tcW w:w="2070" w:type="dxa"/>
            <w:vAlign w:val="bottom"/>
          </w:tcPr>
          <w:p>
            <w:pPr>
              <w:autoSpaceDE w:val="0"/>
              <w:autoSpaceDN w:val="0"/>
              <w:adjustRightInd w:val="0"/>
              <w:spacing w:line="276" w:lineRule="auto"/>
              <w:jc w:val="right"/>
              <w:rPr>
                <w:rFonts w:eastAsia="Calibri"/>
                <w:b/>
                <w:i/>
                <w:sz w:val="22"/>
                <w:szCs w:val="22"/>
              </w:rPr>
            </w:pPr>
            <w:r>
              <w:rPr>
                <w:rFonts w:eastAsia="Calibri"/>
                <w:b/>
                <w:i/>
                <w:sz w:val="22"/>
                <w:szCs w:val="22"/>
              </w:rPr>
              <w:t>P10,401,907.41</w:t>
            </w:r>
          </w:p>
        </w:tc>
      </w:tr>
      <w:tr>
        <w:trPr>
          <w:jc w:val="center"/>
        </w:trPr>
        <w:tc>
          <w:tcPr>
            <w:tcW w:w="7088" w:type="dxa"/>
            <w:gridSpan w:val="2"/>
            <w:vAlign w:val="center"/>
          </w:tcPr>
          <w:p>
            <w:pPr>
              <w:autoSpaceDE w:val="0"/>
              <w:autoSpaceDN w:val="0"/>
              <w:adjustRightInd w:val="0"/>
              <w:spacing w:line="276" w:lineRule="auto"/>
              <w:rPr>
                <w:rFonts w:eastAsia="Calibri"/>
                <w:b/>
                <w:sz w:val="22"/>
                <w:szCs w:val="22"/>
              </w:rPr>
            </w:pPr>
            <w:r>
              <w:rPr>
                <w:rFonts w:eastAsia="Calibri"/>
                <w:b/>
                <w:sz w:val="22"/>
                <w:szCs w:val="22"/>
              </w:rPr>
              <w:t>ALL FUNDS</w:t>
            </w:r>
          </w:p>
        </w:tc>
        <w:tc>
          <w:tcPr>
            <w:tcW w:w="2070" w:type="dxa"/>
            <w:vAlign w:val="bottom"/>
          </w:tcPr>
          <w:p>
            <w:pPr>
              <w:autoSpaceDE w:val="0"/>
              <w:autoSpaceDN w:val="0"/>
              <w:adjustRightInd w:val="0"/>
              <w:spacing w:line="276" w:lineRule="auto"/>
              <w:jc w:val="right"/>
              <w:rPr>
                <w:rFonts w:eastAsia="Calibri"/>
                <w:b/>
                <w:sz w:val="22"/>
                <w:szCs w:val="22"/>
              </w:rPr>
            </w:pPr>
            <w:r>
              <w:rPr>
                <w:rFonts w:eastAsia="Calibri"/>
                <w:b/>
                <w:sz w:val="22"/>
                <w:szCs w:val="22"/>
              </w:rPr>
              <w:t>P185,289,123.84</w:t>
            </w:r>
          </w:p>
        </w:tc>
      </w:tr>
    </w:tbl>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 xml:space="preserve">Under IPSAS 17, one of the criteria in de-recognizing PPE is that future economic benefits or service potential associated with the property is no longer expected from its use or disposal. Such criterion is applicable to the PPE Items in </w:t>
      </w:r>
      <w:r>
        <w:rPr>
          <w:rFonts w:eastAsia="Calibri"/>
          <w:bCs/>
          <w:i/>
        </w:rPr>
        <w:t>Annex I</w:t>
      </w:r>
      <w:r>
        <w:rPr>
          <w:rFonts w:eastAsia="Calibri"/>
          <w:bCs/>
        </w:rPr>
        <w:t xml:space="preserve"> since these properties are already being used, controlled, and under the possession by national and other local government agencies such as PNP, BFP, DepEd and various barangays of </w:t>
      </w:r>
      <w:proofErr w:type="spellStart"/>
      <w:r>
        <w:rPr>
          <w:rFonts w:eastAsia="Calibri"/>
          <w:bCs/>
        </w:rPr>
        <w:t>Panabo</w:t>
      </w:r>
      <w:proofErr w:type="spellEnd"/>
      <w:r>
        <w:rPr>
          <w:rFonts w:eastAsia="Calibri"/>
          <w:bCs/>
        </w:rPr>
        <w:t xml:space="preserve"> City. These government agencies are the ones enjoying its economic benefits. Hence, it is proper to transfer these identified PPE Items to the said national government agencies and barangays.</w:t>
      </w:r>
    </w:p>
    <w:p>
      <w:pPr>
        <w:autoSpaceDE w:val="0"/>
        <w:autoSpaceDN w:val="0"/>
        <w:adjustRightInd w:val="0"/>
        <w:spacing w:line="276" w:lineRule="auto"/>
        <w:ind w:firstLine="720"/>
        <w:jc w:val="both"/>
        <w:rPr>
          <w:rFonts w:eastAsia="Calibri"/>
          <w:bCs/>
          <w:highlight w:val="yellow"/>
        </w:rPr>
      </w:pPr>
    </w:p>
    <w:p>
      <w:pPr>
        <w:autoSpaceDE w:val="0"/>
        <w:autoSpaceDN w:val="0"/>
        <w:adjustRightInd w:val="0"/>
        <w:spacing w:line="276" w:lineRule="auto"/>
        <w:jc w:val="both"/>
        <w:rPr>
          <w:rFonts w:eastAsia="Calibri"/>
          <w:bCs/>
        </w:rPr>
      </w:pPr>
      <w:r>
        <w:rPr>
          <w:rFonts w:eastAsia="Calibri"/>
          <w:bCs/>
        </w:rPr>
        <w:t>The Supply and Property Management Manual for Local Government Units provides the requirements for this type of transfer, to wit:</w:t>
      </w:r>
    </w:p>
    <w:p>
      <w:pPr>
        <w:autoSpaceDE w:val="0"/>
        <w:autoSpaceDN w:val="0"/>
        <w:adjustRightInd w:val="0"/>
        <w:spacing w:line="276" w:lineRule="auto"/>
        <w:ind w:firstLine="720"/>
        <w:jc w:val="both"/>
        <w:rPr>
          <w:rFonts w:eastAsia="Calibri"/>
          <w:bCs/>
        </w:rPr>
      </w:pPr>
    </w:p>
    <w:p>
      <w:pPr>
        <w:autoSpaceDE w:val="0"/>
        <w:autoSpaceDN w:val="0"/>
        <w:adjustRightInd w:val="0"/>
        <w:spacing w:line="276" w:lineRule="auto"/>
        <w:ind w:left="709" w:right="702"/>
        <w:jc w:val="both"/>
        <w:rPr>
          <w:rFonts w:eastAsia="Calibri"/>
          <w:bCs/>
        </w:rPr>
      </w:pPr>
      <w:r>
        <w:rPr>
          <w:rFonts w:eastAsia="Calibri"/>
          <w:bCs/>
        </w:rPr>
        <w:t xml:space="preserve">Sec. 186. Who shall Approve the </w:t>
      </w:r>
      <w:proofErr w:type="gramStart"/>
      <w:r>
        <w:rPr>
          <w:rFonts w:eastAsia="Calibri"/>
          <w:bCs/>
        </w:rPr>
        <w:t>Transfer.—</w:t>
      </w:r>
      <w:proofErr w:type="gramEnd"/>
      <w:r>
        <w:rPr>
          <w:rFonts w:eastAsia="Calibri"/>
          <w:bCs/>
        </w:rPr>
        <w:t>Transfer without cost of supplies or property from local government unit to any other government agency shall be approved as follows:</w:t>
      </w:r>
    </w:p>
    <w:p>
      <w:pPr>
        <w:autoSpaceDE w:val="0"/>
        <w:autoSpaceDN w:val="0"/>
        <w:adjustRightInd w:val="0"/>
        <w:spacing w:line="276" w:lineRule="auto"/>
        <w:ind w:left="709" w:right="288"/>
        <w:jc w:val="both"/>
        <w:rPr>
          <w:rFonts w:eastAsia="Calibri"/>
          <w:bCs/>
        </w:rPr>
      </w:pPr>
    </w:p>
    <w:p>
      <w:pPr>
        <w:numPr>
          <w:ilvl w:val="0"/>
          <w:numId w:val="12"/>
        </w:numPr>
        <w:tabs>
          <w:tab w:val="left" w:pos="1701"/>
        </w:tabs>
        <w:autoSpaceDE w:val="0"/>
        <w:autoSpaceDN w:val="0"/>
        <w:adjustRightInd w:val="0"/>
        <w:spacing w:line="276" w:lineRule="auto"/>
        <w:ind w:left="1276" w:right="702" w:firstLine="0"/>
        <w:contextualSpacing/>
        <w:jc w:val="both"/>
        <w:rPr>
          <w:rFonts w:eastAsia="Calibri"/>
          <w:bCs/>
        </w:rPr>
      </w:pPr>
      <w:r>
        <w:rPr>
          <w:rFonts w:eastAsia="Calibri"/>
          <w:bCs/>
        </w:rPr>
        <w:t xml:space="preserve">Transfer between local government – the </w:t>
      </w:r>
      <w:proofErr w:type="spellStart"/>
      <w:r>
        <w:rPr>
          <w:rFonts w:eastAsia="Calibri"/>
          <w:bCs/>
        </w:rPr>
        <w:t>sanggunian</w:t>
      </w:r>
      <w:proofErr w:type="spellEnd"/>
      <w:r>
        <w:rPr>
          <w:rFonts w:eastAsia="Calibri"/>
          <w:bCs/>
        </w:rPr>
        <w:t xml:space="preserve"> representing the transferor and the local chief executive representing the transferor and the local chief executive representing the transferee shall approve the transfer; and,</w:t>
      </w:r>
    </w:p>
    <w:p>
      <w:pPr>
        <w:tabs>
          <w:tab w:val="left" w:pos="1701"/>
        </w:tabs>
        <w:autoSpaceDE w:val="0"/>
        <w:autoSpaceDN w:val="0"/>
        <w:adjustRightInd w:val="0"/>
        <w:spacing w:line="276" w:lineRule="auto"/>
        <w:ind w:left="1276" w:right="288"/>
        <w:contextualSpacing/>
        <w:jc w:val="both"/>
        <w:rPr>
          <w:rFonts w:eastAsia="Calibri"/>
          <w:bCs/>
        </w:rPr>
      </w:pPr>
    </w:p>
    <w:p>
      <w:pPr>
        <w:numPr>
          <w:ilvl w:val="0"/>
          <w:numId w:val="12"/>
        </w:numPr>
        <w:tabs>
          <w:tab w:val="left" w:pos="1701"/>
        </w:tabs>
        <w:autoSpaceDE w:val="0"/>
        <w:autoSpaceDN w:val="0"/>
        <w:adjustRightInd w:val="0"/>
        <w:spacing w:line="276" w:lineRule="auto"/>
        <w:ind w:left="1276" w:right="702" w:firstLine="0"/>
        <w:contextualSpacing/>
        <w:jc w:val="both"/>
        <w:rPr>
          <w:rFonts w:eastAsia="Calibri"/>
          <w:bCs/>
        </w:rPr>
      </w:pPr>
      <w:r>
        <w:rPr>
          <w:rFonts w:eastAsia="Calibri"/>
          <w:bCs/>
        </w:rPr>
        <w:t xml:space="preserve">Transfer between local government unit and national government – the </w:t>
      </w:r>
      <w:proofErr w:type="spellStart"/>
      <w:r>
        <w:rPr>
          <w:rFonts w:eastAsia="Calibri"/>
          <w:bCs/>
        </w:rPr>
        <w:t>sanggunian</w:t>
      </w:r>
      <w:proofErr w:type="spellEnd"/>
      <w:r>
        <w:rPr>
          <w:rFonts w:eastAsia="Calibri"/>
          <w:bCs/>
        </w:rPr>
        <w:t xml:space="preserve"> shall approve for the local government and the head of the department or office of the national government shall approve for the department or office of the national government concerned.</w:t>
      </w:r>
    </w:p>
    <w:p>
      <w:pPr>
        <w:autoSpaceDE w:val="0"/>
        <w:autoSpaceDN w:val="0"/>
        <w:adjustRightInd w:val="0"/>
        <w:spacing w:line="276" w:lineRule="auto"/>
        <w:jc w:val="both"/>
        <w:rPr>
          <w:rFonts w:eastAsia="Calibri"/>
          <w:bCs/>
          <w:highlight w:val="yellow"/>
        </w:rPr>
      </w:pPr>
    </w:p>
    <w:p>
      <w:pPr>
        <w:autoSpaceDE w:val="0"/>
        <w:autoSpaceDN w:val="0"/>
        <w:adjustRightInd w:val="0"/>
        <w:spacing w:line="276" w:lineRule="auto"/>
        <w:jc w:val="both"/>
        <w:rPr>
          <w:rFonts w:eastAsia="Calibri"/>
          <w:bCs/>
        </w:rPr>
      </w:pPr>
      <w:r>
        <w:rPr>
          <w:rFonts w:eastAsia="Calibri"/>
          <w:bCs/>
        </w:rPr>
        <w:t xml:space="preserve">Result of the inquiry made with the CAO revealed that the City Government regularly conducts de-recognition of PPE after transferring the same to the concerned government agencies and barangays. Its latest action on said transfer is through the letter of the City </w:t>
      </w:r>
      <w:r>
        <w:rPr>
          <w:rFonts w:eastAsia="Calibri"/>
          <w:bCs/>
        </w:rPr>
        <w:lastRenderedPageBreak/>
        <w:t xml:space="preserve">Mayor addressed to the Sangguniang </w:t>
      </w:r>
      <w:proofErr w:type="spellStart"/>
      <w:r>
        <w:rPr>
          <w:rFonts w:eastAsia="Calibri"/>
          <w:bCs/>
        </w:rPr>
        <w:t>Panlungsod</w:t>
      </w:r>
      <w:proofErr w:type="spellEnd"/>
      <w:r>
        <w:rPr>
          <w:rFonts w:eastAsia="Calibri"/>
          <w:bCs/>
        </w:rPr>
        <w:t xml:space="preserve"> (SP) dated November 14, 2022 requesting for an authority to transfer numerous PPE Items to several barangays and other government agencies. However, as of January 19, 2023, the SP is still to act on the approval of the said request.</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 xml:space="preserve">Moreover, review of the said letter showed that from the PPE identified in Table 3.1, only P88,100,303.68 or 48% were included in the request and the remaining balance of P97,188,820.16 or 52% is still to be subjected for the subsequent request for authority by the City Mayor. </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 xml:space="preserve">As a result, the CAO could not de-recognized the P185,289,123.84 worth of PPE Items due to slow facilitation of the transfer of the properties. As at year-end, ending net balance of PPE accounts presented in the financial statement includes properties of which </w:t>
      </w:r>
      <w:r>
        <w:rPr>
          <w:rFonts w:eastAsia="Calibri"/>
          <w:bCs/>
          <w:i/>
        </w:rPr>
        <w:t xml:space="preserve">future economic benefits or service potential </w:t>
      </w:r>
      <w:r>
        <w:rPr>
          <w:rFonts w:eastAsia="Calibri"/>
          <w:bCs/>
        </w:rPr>
        <w:t>is no longer expected. The continued existence of the said PPE in the books of accounts will increase the burden on the part of the City Government in monitoring and reporting of the said properties.</w:t>
      </w:r>
    </w:p>
    <w:p>
      <w:pPr>
        <w:autoSpaceDE w:val="0"/>
        <w:autoSpaceDN w:val="0"/>
        <w:adjustRightInd w:val="0"/>
        <w:spacing w:line="276" w:lineRule="auto"/>
        <w:jc w:val="both"/>
        <w:rPr>
          <w:lang w:val="en-PH"/>
        </w:rPr>
      </w:pPr>
    </w:p>
    <w:p>
      <w:pPr>
        <w:spacing w:line="276" w:lineRule="auto"/>
        <w:jc w:val="both"/>
        <w:rPr>
          <w:b/>
        </w:rPr>
      </w:pPr>
      <w:r>
        <w:rPr>
          <w:b/>
        </w:rPr>
        <w:t>Recommendations:</w:t>
      </w:r>
    </w:p>
    <w:p>
      <w:pPr>
        <w:spacing w:line="276" w:lineRule="auto"/>
        <w:jc w:val="both"/>
      </w:pPr>
    </w:p>
    <w:p>
      <w:pPr>
        <w:autoSpaceDE w:val="0"/>
        <w:autoSpaceDN w:val="0"/>
        <w:adjustRightInd w:val="0"/>
        <w:spacing w:line="276" w:lineRule="auto"/>
        <w:jc w:val="both"/>
        <w:rPr>
          <w:rFonts w:eastAsia="Calibri"/>
          <w:bCs/>
        </w:rPr>
      </w:pPr>
      <w:r>
        <w:rPr>
          <w:rFonts w:eastAsia="Calibri"/>
          <w:bCs/>
        </w:rPr>
        <w:t>We recommended the City Mayor the following course of action:</w:t>
      </w:r>
    </w:p>
    <w:p>
      <w:pPr>
        <w:autoSpaceDE w:val="0"/>
        <w:autoSpaceDN w:val="0"/>
        <w:adjustRightInd w:val="0"/>
        <w:spacing w:line="276" w:lineRule="auto"/>
        <w:ind w:firstLine="720"/>
        <w:jc w:val="both"/>
        <w:rPr>
          <w:rFonts w:eastAsia="Calibri"/>
          <w:bCs/>
        </w:rPr>
      </w:pPr>
    </w:p>
    <w:p>
      <w:pPr>
        <w:numPr>
          <w:ilvl w:val="0"/>
          <w:numId w:val="14"/>
        </w:numPr>
        <w:autoSpaceDE w:val="0"/>
        <w:autoSpaceDN w:val="0"/>
        <w:adjustRightInd w:val="0"/>
        <w:spacing w:line="276" w:lineRule="auto"/>
        <w:ind w:left="360"/>
        <w:contextualSpacing/>
        <w:jc w:val="both"/>
        <w:rPr>
          <w:rFonts w:eastAsia="Calibri"/>
          <w:bCs/>
        </w:rPr>
      </w:pPr>
      <w:r>
        <w:rPr>
          <w:rFonts w:eastAsia="Calibri"/>
          <w:bCs/>
        </w:rPr>
        <w:t xml:space="preserve">Request the Sangguniang </w:t>
      </w:r>
      <w:proofErr w:type="spellStart"/>
      <w:r>
        <w:rPr>
          <w:rFonts w:eastAsia="Calibri"/>
          <w:bCs/>
        </w:rPr>
        <w:t>Panlungsod</w:t>
      </w:r>
      <w:proofErr w:type="spellEnd"/>
      <w:r>
        <w:rPr>
          <w:rFonts w:eastAsia="Calibri"/>
          <w:bCs/>
        </w:rPr>
        <w:t xml:space="preserve"> to prioritize the granting of the approval to transfer the P88,100,303.68 PPE Items covered by City Mayor’s Letter dated November 14, 2022 and further request for the approval to transfer the remaining P97,188,820.16 PPE Items which were not covered by the previous request;</w:t>
      </w:r>
    </w:p>
    <w:p>
      <w:pPr>
        <w:autoSpaceDE w:val="0"/>
        <w:autoSpaceDN w:val="0"/>
        <w:adjustRightInd w:val="0"/>
        <w:spacing w:line="276" w:lineRule="auto"/>
        <w:ind w:left="360"/>
        <w:contextualSpacing/>
        <w:jc w:val="both"/>
        <w:rPr>
          <w:rFonts w:eastAsia="Calibri"/>
          <w:bCs/>
        </w:rPr>
      </w:pPr>
    </w:p>
    <w:p>
      <w:pPr>
        <w:numPr>
          <w:ilvl w:val="0"/>
          <w:numId w:val="14"/>
        </w:numPr>
        <w:autoSpaceDE w:val="0"/>
        <w:autoSpaceDN w:val="0"/>
        <w:adjustRightInd w:val="0"/>
        <w:spacing w:line="276" w:lineRule="auto"/>
        <w:ind w:left="360"/>
        <w:contextualSpacing/>
        <w:jc w:val="both"/>
        <w:rPr>
          <w:rFonts w:eastAsia="Calibri"/>
          <w:bCs/>
        </w:rPr>
      </w:pPr>
      <w:r>
        <w:rPr>
          <w:rFonts w:eastAsia="Calibri"/>
          <w:bCs/>
        </w:rPr>
        <w:t>Secure approval of the transfer of the properties from the head of the department or office and the Punong Barangay of recipient national government agencies and barangays;</w:t>
      </w:r>
    </w:p>
    <w:p>
      <w:pPr>
        <w:autoSpaceDE w:val="0"/>
        <w:autoSpaceDN w:val="0"/>
        <w:adjustRightInd w:val="0"/>
        <w:spacing w:line="276" w:lineRule="auto"/>
        <w:ind w:left="360"/>
        <w:contextualSpacing/>
        <w:jc w:val="both"/>
        <w:rPr>
          <w:rFonts w:eastAsia="Calibri"/>
          <w:bCs/>
        </w:rPr>
      </w:pPr>
    </w:p>
    <w:p>
      <w:pPr>
        <w:numPr>
          <w:ilvl w:val="0"/>
          <w:numId w:val="14"/>
        </w:numPr>
        <w:autoSpaceDE w:val="0"/>
        <w:autoSpaceDN w:val="0"/>
        <w:adjustRightInd w:val="0"/>
        <w:spacing w:line="276" w:lineRule="auto"/>
        <w:ind w:left="360"/>
        <w:contextualSpacing/>
        <w:jc w:val="both"/>
        <w:rPr>
          <w:rFonts w:eastAsia="Calibri"/>
          <w:bCs/>
        </w:rPr>
      </w:pPr>
      <w:r>
        <w:rPr>
          <w:rFonts w:eastAsia="Calibri"/>
          <w:bCs/>
        </w:rPr>
        <w:t>Direct the General Services Office to facilitate the transfer of the identified PPE Items and ensure compliance to documentary requirements and other procedures provided under applicable rules and regulations;</w:t>
      </w:r>
    </w:p>
    <w:p>
      <w:pPr>
        <w:spacing w:line="276" w:lineRule="auto"/>
        <w:ind w:left="360"/>
        <w:contextualSpacing/>
        <w:rPr>
          <w:rFonts w:eastAsia="Calibri"/>
          <w:bCs/>
        </w:rPr>
      </w:pPr>
    </w:p>
    <w:p>
      <w:pPr>
        <w:numPr>
          <w:ilvl w:val="0"/>
          <w:numId w:val="14"/>
        </w:numPr>
        <w:autoSpaceDE w:val="0"/>
        <w:autoSpaceDN w:val="0"/>
        <w:adjustRightInd w:val="0"/>
        <w:spacing w:line="276" w:lineRule="auto"/>
        <w:ind w:left="360"/>
        <w:contextualSpacing/>
        <w:jc w:val="both"/>
        <w:rPr>
          <w:rFonts w:eastAsia="Calibri"/>
          <w:bCs/>
        </w:rPr>
      </w:pPr>
      <w:r>
        <w:rPr>
          <w:rFonts w:eastAsia="Calibri"/>
          <w:bCs/>
        </w:rPr>
        <w:t>After completion of the transfer of the properties, direct the City Accountant to de-recognize the specified assets from the City’s books of accounts and furnish the respective recipient national and local government agencies a copy of the Journal Entry Voucher together with the supporting documents to facilitate the recording in the latter’s respective books of account; and,</w:t>
      </w:r>
    </w:p>
    <w:p>
      <w:pPr>
        <w:spacing w:line="276" w:lineRule="auto"/>
        <w:ind w:left="360"/>
        <w:contextualSpacing/>
        <w:rPr>
          <w:rFonts w:eastAsia="Calibri"/>
          <w:bCs/>
        </w:rPr>
      </w:pPr>
    </w:p>
    <w:p>
      <w:pPr>
        <w:numPr>
          <w:ilvl w:val="0"/>
          <w:numId w:val="14"/>
        </w:numPr>
        <w:autoSpaceDE w:val="0"/>
        <w:autoSpaceDN w:val="0"/>
        <w:adjustRightInd w:val="0"/>
        <w:spacing w:line="276" w:lineRule="auto"/>
        <w:ind w:left="360"/>
        <w:contextualSpacing/>
        <w:jc w:val="both"/>
        <w:rPr>
          <w:rFonts w:eastAsia="Calibri"/>
          <w:bCs/>
        </w:rPr>
      </w:pPr>
      <w:r>
        <w:rPr>
          <w:rFonts w:eastAsia="Calibri"/>
          <w:bCs/>
        </w:rPr>
        <w:lastRenderedPageBreak/>
        <w:t>Ensure that other properties not mentioned in this audit observation but have similar conditions be transferred and de-recognized in the books of accounts of the City.</w:t>
      </w:r>
    </w:p>
    <w:p>
      <w:pPr>
        <w:spacing w:line="276" w:lineRule="auto"/>
        <w:jc w:val="both"/>
      </w:pPr>
    </w:p>
    <w:p>
      <w:pPr>
        <w:spacing w:line="276" w:lineRule="auto"/>
        <w:ind w:right="162"/>
        <w:jc w:val="both"/>
        <w:rPr>
          <w:b/>
          <w:bCs/>
        </w:rPr>
      </w:pPr>
      <w:r>
        <w:rPr>
          <w:b/>
          <w:bCs/>
        </w:rPr>
        <w:t>Management’s Comment:</w:t>
      </w:r>
    </w:p>
    <w:p>
      <w:pPr>
        <w:spacing w:line="276" w:lineRule="auto"/>
        <w:ind w:right="162"/>
        <w:jc w:val="both"/>
      </w:pPr>
    </w:p>
    <w:p>
      <w:pPr>
        <w:spacing w:line="276" w:lineRule="auto"/>
        <w:jc w:val="both"/>
      </w:pPr>
      <w:r>
        <w:t>The management was amenable to the audit observations and recommendations.</w:t>
      </w:r>
      <w:r>
        <w:rPr>
          <w:b/>
        </w:rPr>
        <w:t xml:space="preserve"> </w:t>
      </w:r>
      <w:r>
        <w:t xml:space="preserve">They stated that the City Mayor had already sought for an authority from the Sangguniang </w:t>
      </w:r>
      <w:proofErr w:type="spellStart"/>
      <w:r>
        <w:t>Panlungsod</w:t>
      </w:r>
      <w:proofErr w:type="spellEnd"/>
      <w:r>
        <w:t xml:space="preserve"> for the transfer without cost of PPE items amounting to P88,100,303.68 to its end users. Presently, the third committee hearing under the Committee on Good Government, Public Ethics and Accountability was conducted last January 30, 2023 which was attended by the Committee Members and concerned executive heads of the recipient barangays, national government agencies and cooperatives. After thorough deliberation, the committee members were in favor of the said transfer. The management is waiting for the approved resolution to </w:t>
      </w:r>
      <w:proofErr w:type="gramStart"/>
      <w:r>
        <w:t>effect</w:t>
      </w:r>
      <w:proofErr w:type="gramEnd"/>
      <w:r>
        <w:t xml:space="preserve"> the transfer of the PPE items.</w:t>
      </w:r>
    </w:p>
    <w:p>
      <w:pPr>
        <w:spacing w:line="276" w:lineRule="auto"/>
        <w:jc w:val="both"/>
        <w:rPr>
          <w:b/>
        </w:rPr>
      </w:pPr>
    </w:p>
    <w:p>
      <w:pPr>
        <w:spacing w:line="276" w:lineRule="auto"/>
        <w:jc w:val="both"/>
        <w:rPr>
          <w:b/>
        </w:rPr>
      </w:pPr>
      <w:r>
        <w:t>They added that upon the completion of the procedures of the transfer, CGSO will submit the required supporting documents to CAO for the proper recording of the derecognition of the afore-cited PPE items. The Journal Entry Voucher (JEVs) will be furnished within reasonable time to recipient government agencies as reference of recording in their respective books. As the derecognition of PPE through transfer is a regular process adhered to by the City, the City Accountant assured that the CAO and CGSO will continue to work together for the proper disposal of PPE in coordination with other concerned offices.</w:t>
      </w:r>
    </w:p>
    <w:p>
      <w:pPr>
        <w:spacing w:line="276" w:lineRule="auto"/>
        <w:jc w:val="both"/>
      </w:pPr>
    </w:p>
    <w:p>
      <w:pPr>
        <w:spacing w:line="276" w:lineRule="auto"/>
        <w:jc w:val="both"/>
      </w:pPr>
      <w:r>
        <w:t>Moreover, according to the CGSO, the remaining PPE items amounting to P97,188,820.16 will be schedule for transfer without cost after thorough reconciliation between the records maintained by the CGSO and CAO. The CGSO stated that they will be conducting verification on the existence and valuation of PPE balances and will ensure that all PPE transactions that occurred during the year will be duly recorded.</w:t>
      </w:r>
    </w:p>
    <w:p>
      <w:pPr>
        <w:spacing w:line="276" w:lineRule="auto"/>
        <w:jc w:val="both"/>
      </w:pPr>
    </w:p>
    <w:p>
      <w:pPr>
        <w:spacing w:line="276" w:lineRule="auto"/>
        <w:jc w:val="both"/>
      </w:pPr>
      <w:r>
        <w:t>The Management further assured to the adherence of all audit recommendations issued by the Audit Team.</w:t>
      </w:r>
    </w:p>
    <w:p>
      <w:pPr>
        <w:spacing w:line="276" w:lineRule="auto"/>
        <w:jc w:val="both"/>
        <w:rPr>
          <w:color w:val="FF0000"/>
        </w:rPr>
      </w:pPr>
    </w:p>
    <w:p>
      <w:pPr>
        <w:spacing w:line="276" w:lineRule="auto"/>
        <w:jc w:val="both"/>
        <w:rPr>
          <w:i/>
        </w:rPr>
      </w:pPr>
    </w:p>
    <w:p>
      <w:pPr>
        <w:spacing w:line="276" w:lineRule="auto"/>
        <w:jc w:val="both"/>
        <w:rPr>
          <w:b/>
          <w:bCs/>
          <w:i/>
        </w:rPr>
      </w:pPr>
      <w:r>
        <w:rPr>
          <w:b/>
          <w:bCs/>
          <w:i/>
        </w:rPr>
        <w:t xml:space="preserve">PPE - Non-provision of depreciation expenses for completed projects </w:t>
      </w:r>
    </w:p>
    <w:p>
      <w:pPr>
        <w:pStyle w:val="ListParagraph"/>
        <w:spacing w:after="0"/>
        <w:ind w:left="0"/>
        <w:jc w:val="both"/>
        <w:rPr>
          <w:rFonts w:ascii="Times New Roman" w:hAnsi="Times New Roman"/>
          <w:sz w:val="24"/>
          <w:szCs w:val="24"/>
        </w:rPr>
      </w:pPr>
    </w:p>
    <w:p>
      <w:pPr>
        <w:pStyle w:val="ListParagraph"/>
        <w:numPr>
          <w:ilvl w:val="0"/>
          <w:numId w:val="2"/>
        </w:numPr>
        <w:spacing w:after="0"/>
        <w:ind w:left="0" w:firstLine="0"/>
        <w:jc w:val="both"/>
        <w:rPr>
          <w:rFonts w:ascii="Times New Roman" w:hAnsi="Times New Roman"/>
          <w:b/>
          <w:sz w:val="24"/>
          <w:szCs w:val="24"/>
        </w:rPr>
      </w:pPr>
      <w:r>
        <w:rPr>
          <w:rFonts w:ascii="Times New Roman" w:hAnsi="Times New Roman"/>
          <w:b/>
          <w:sz w:val="24"/>
          <w:szCs w:val="24"/>
        </w:rPr>
        <w:t xml:space="preserve">Completed projects totaling P107,591,959.41 for all funds were not provided with depreciation due to non-reclassification of the accounts from Construction-in-Progress (CIP) to its appropriate asset accounts, contrary to the provision of Section 50, Volume I of NGAS Manual for Local Government Units and COA Circular No. </w:t>
      </w:r>
      <w:r>
        <w:rPr>
          <w:rFonts w:ascii="Times New Roman" w:hAnsi="Times New Roman"/>
          <w:b/>
          <w:sz w:val="24"/>
          <w:szCs w:val="24"/>
        </w:rPr>
        <w:lastRenderedPageBreak/>
        <w:t>2015-009, thus overstating the Property, Plant and Equipment and Equity Accounts of the agency by at least P5,244,355.64 as at December 31, 2022.</w:t>
      </w:r>
    </w:p>
    <w:p>
      <w:pPr>
        <w:pStyle w:val="ListParagraph"/>
        <w:spacing w:after="0"/>
        <w:ind w:left="0"/>
        <w:jc w:val="both"/>
        <w:rPr>
          <w:rFonts w:ascii="Times New Roman" w:hAnsi="Times New Roman"/>
          <w:b/>
          <w:sz w:val="24"/>
          <w:szCs w:val="24"/>
        </w:rPr>
      </w:pPr>
    </w:p>
    <w:p>
      <w:pPr>
        <w:spacing w:line="276" w:lineRule="auto"/>
        <w:jc w:val="both"/>
      </w:pPr>
      <w:r>
        <w:t xml:space="preserve">Section 50 of the New Government Accounting System (NGAS) Manual, Volume I </w:t>
      </w:r>
      <w:proofErr w:type="gramStart"/>
      <w:r>
        <w:t>provides</w:t>
      </w:r>
      <w:proofErr w:type="gramEnd"/>
      <w:r>
        <w:t>:</w:t>
      </w:r>
    </w:p>
    <w:p>
      <w:pPr>
        <w:spacing w:line="276" w:lineRule="auto"/>
        <w:ind w:firstLine="567"/>
        <w:jc w:val="both"/>
      </w:pPr>
    </w:p>
    <w:p>
      <w:pPr>
        <w:spacing w:line="276" w:lineRule="auto"/>
        <w:ind w:left="709" w:right="702"/>
        <w:jc w:val="both"/>
        <w:rPr>
          <w:iCs/>
          <w:color w:val="000000"/>
        </w:rPr>
      </w:pPr>
      <w:r>
        <w:rPr>
          <w:iCs/>
          <w:color w:val="000000"/>
        </w:rPr>
        <w:t xml:space="preserve">…xxx…During the construction period, agency assets and public infrastructures shall be taken up in the books as ‘Construction in Progress’ with the appropriate asset classification. </w:t>
      </w:r>
      <w:r>
        <w:rPr>
          <w:b/>
          <w:iCs/>
          <w:color w:val="000000"/>
        </w:rPr>
        <w:t>As soon as the project is completed, the Construction in Progress for agency asset is closed to the appropriate asset account</w:t>
      </w:r>
      <w:r>
        <w:rPr>
          <w:bCs/>
          <w:iCs/>
          <w:color w:val="000000"/>
        </w:rPr>
        <w:t>.</w:t>
      </w:r>
      <w:r>
        <w:rPr>
          <w:iCs/>
          <w:color w:val="000000"/>
        </w:rPr>
        <w:t xml:space="preserve"> (Emphasis supplied)</w:t>
      </w:r>
    </w:p>
    <w:p>
      <w:pPr>
        <w:autoSpaceDE w:val="0"/>
        <w:autoSpaceDN w:val="0"/>
        <w:adjustRightInd w:val="0"/>
        <w:spacing w:line="276" w:lineRule="auto"/>
        <w:jc w:val="both"/>
        <w:rPr>
          <w:lang w:eastAsia="ar-SA"/>
        </w:rPr>
      </w:pPr>
    </w:p>
    <w:p>
      <w:pPr>
        <w:autoSpaceDE w:val="0"/>
        <w:autoSpaceDN w:val="0"/>
        <w:adjustRightInd w:val="0"/>
        <w:spacing w:line="276" w:lineRule="auto"/>
        <w:jc w:val="both"/>
        <w:rPr>
          <w:i/>
          <w:iCs/>
          <w:lang w:val="en-PH"/>
        </w:rPr>
      </w:pPr>
      <w:r>
        <w:rPr>
          <w:lang w:val="en-PH"/>
        </w:rPr>
        <w:t xml:space="preserve">Also, Commission on Audit (COA) Circular No. 2015-009 dated December 1, 2015, which prescribes the updated chart of accounts and its description in relation to the adoption of the International Public Sector Accounting Standards (IPSAS), </w:t>
      </w:r>
      <w:r>
        <w:rPr>
          <w:i/>
          <w:iCs/>
          <w:lang w:val="en-PH"/>
        </w:rPr>
        <w:t xml:space="preserve">describes Construction in Progress (CIP) as cost or other appropriate value of government assets that are </w:t>
      </w:r>
      <w:r>
        <w:rPr>
          <w:b/>
          <w:bCs/>
          <w:i/>
          <w:iCs/>
          <w:lang w:val="en-PH"/>
        </w:rPr>
        <w:t>still in the process</w:t>
      </w:r>
      <w:r>
        <w:rPr>
          <w:i/>
          <w:iCs/>
          <w:lang w:val="en-PH"/>
        </w:rPr>
        <w:t xml:space="preserve"> of construction or development. Said account shall be reclassified to the appropriate asset account upon completion.</w:t>
      </w:r>
    </w:p>
    <w:p>
      <w:pPr>
        <w:autoSpaceDE w:val="0"/>
        <w:autoSpaceDN w:val="0"/>
        <w:adjustRightInd w:val="0"/>
        <w:spacing w:line="276" w:lineRule="auto"/>
        <w:jc w:val="both"/>
        <w:rPr>
          <w:lang w:val="en-PH"/>
        </w:rPr>
      </w:pPr>
    </w:p>
    <w:p>
      <w:pPr>
        <w:autoSpaceDE w:val="0"/>
        <w:autoSpaceDN w:val="0"/>
        <w:adjustRightInd w:val="0"/>
        <w:spacing w:line="276" w:lineRule="auto"/>
        <w:jc w:val="both"/>
        <w:rPr>
          <w:lang w:val="en-PH"/>
        </w:rPr>
      </w:pPr>
      <w:r>
        <w:rPr>
          <w:lang w:val="en-PH"/>
        </w:rPr>
        <w:t xml:space="preserve">The CIP accounts (all funds) of the City Government of </w:t>
      </w:r>
      <w:proofErr w:type="spellStart"/>
      <w:r>
        <w:rPr>
          <w:lang w:val="en-PH"/>
        </w:rPr>
        <w:t>Panabo</w:t>
      </w:r>
      <w:proofErr w:type="spellEnd"/>
      <w:r>
        <w:rPr>
          <w:lang w:val="en-PH"/>
        </w:rPr>
        <w:t xml:space="preserve"> showed a combined balance of </w:t>
      </w:r>
      <w:r>
        <w:rPr>
          <w:color w:val="000000"/>
          <w:lang w:val="en-PH"/>
        </w:rPr>
        <w:t>P517,406,827.77</w:t>
      </w:r>
      <w:r>
        <w:rPr>
          <w:b/>
          <w:color w:val="000000"/>
        </w:rPr>
        <w:t xml:space="preserve"> </w:t>
      </w:r>
      <w:r>
        <w:rPr>
          <w:lang w:val="en-PH"/>
        </w:rPr>
        <w:t xml:space="preserve">as at December 31, 2022. Details are shown in Table 4.1, as follows: </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i/>
          <w:lang w:val="en-PH"/>
        </w:rPr>
      </w:pPr>
      <w:r>
        <w:rPr>
          <w:i/>
          <w:lang w:val="en-PH"/>
        </w:rPr>
        <w:t>Table 4.1. Construction in Progress Accounts-12/31/2022</w:t>
      </w:r>
    </w:p>
    <w:tbl>
      <w:tblPr>
        <w:tblW w:w="8725" w:type="dxa"/>
        <w:jc w:val="center"/>
        <w:tblLayout w:type="fixed"/>
        <w:tblLook w:val="04A0" w:firstRow="1" w:lastRow="0" w:firstColumn="1" w:lastColumn="0" w:noHBand="0" w:noVBand="1"/>
      </w:tblPr>
      <w:tblGrid>
        <w:gridCol w:w="337"/>
        <w:gridCol w:w="1908"/>
        <w:gridCol w:w="1620"/>
        <w:gridCol w:w="1530"/>
        <w:gridCol w:w="1710"/>
        <w:gridCol w:w="1620"/>
      </w:tblGrid>
      <w:tr>
        <w:trPr>
          <w:trHeight w:val="239"/>
          <w:tblHeader/>
          <w:jc w:val="center"/>
        </w:trPr>
        <w:tc>
          <w:tcPr>
            <w:tcW w:w="224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center"/>
              <w:rPr>
                <w:b/>
                <w:bCs/>
                <w:color w:val="000000"/>
                <w:sz w:val="20"/>
                <w:szCs w:val="20"/>
              </w:rPr>
            </w:pPr>
            <w:r>
              <w:rPr>
                <w:b/>
                <w:bCs/>
                <w:color w:val="000000"/>
                <w:sz w:val="20"/>
                <w:szCs w:val="20"/>
                <w:lang w:val="en-PH"/>
              </w:rPr>
              <w:t>Account Title</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pPr>
              <w:spacing w:line="276" w:lineRule="auto"/>
              <w:jc w:val="center"/>
              <w:rPr>
                <w:b/>
                <w:bCs/>
                <w:color w:val="000000"/>
                <w:sz w:val="20"/>
                <w:szCs w:val="20"/>
              </w:rPr>
            </w:pPr>
            <w:r>
              <w:rPr>
                <w:b/>
                <w:bCs/>
                <w:color w:val="000000"/>
                <w:sz w:val="20"/>
                <w:szCs w:val="20"/>
                <w:lang w:val="en-PH"/>
              </w:rPr>
              <w:t xml:space="preserve">  General Fund  </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pPr>
              <w:spacing w:line="276" w:lineRule="auto"/>
              <w:jc w:val="center"/>
              <w:rPr>
                <w:b/>
                <w:bCs/>
                <w:color w:val="000000"/>
                <w:sz w:val="20"/>
                <w:szCs w:val="20"/>
              </w:rPr>
            </w:pPr>
            <w:r>
              <w:rPr>
                <w:b/>
                <w:bCs/>
                <w:color w:val="000000"/>
                <w:sz w:val="20"/>
                <w:szCs w:val="20"/>
                <w:lang w:val="en-PH"/>
              </w:rPr>
              <w:t xml:space="preserve">  SEF  </w:t>
            </w:r>
          </w:p>
        </w:tc>
        <w:tc>
          <w:tcPr>
            <w:tcW w:w="1710" w:type="dxa"/>
            <w:tcBorders>
              <w:top w:val="single" w:sz="4" w:space="0" w:color="auto"/>
              <w:left w:val="nil"/>
              <w:bottom w:val="single" w:sz="4" w:space="0" w:color="auto"/>
              <w:right w:val="single" w:sz="4" w:space="0" w:color="auto"/>
            </w:tcBorders>
            <w:shd w:val="clear" w:color="auto" w:fill="auto"/>
            <w:vAlign w:val="center"/>
            <w:hideMark/>
          </w:tcPr>
          <w:p>
            <w:pPr>
              <w:spacing w:line="276" w:lineRule="auto"/>
              <w:jc w:val="center"/>
              <w:rPr>
                <w:b/>
                <w:bCs/>
                <w:color w:val="000000"/>
                <w:sz w:val="20"/>
                <w:szCs w:val="20"/>
              </w:rPr>
            </w:pPr>
            <w:r>
              <w:rPr>
                <w:b/>
                <w:bCs/>
                <w:color w:val="000000"/>
                <w:sz w:val="20"/>
                <w:szCs w:val="20"/>
                <w:lang w:val="en-PH"/>
              </w:rPr>
              <w:t xml:space="preserve">  Trust Fund  </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pPr>
              <w:spacing w:line="276" w:lineRule="auto"/>
              <w:jc w:val="center"/>
              <w:rPr>
                <w:b/>
                <w:bCs/>
                <w:color w:val="000000"/>
                <w:sz w:val="20"/>
                <w:szCs w:val="20"/>
              </w:rPr>
            </w:pPr>
            <w:r>
              <w:rPr>
                <w:b/>
                <w:bCs/>
                <w:color w:val="000000"/>
                <w:sz w:val="20"/>
                <w:szCs w:val="20"/>
                <w:lang w:val="en-PH"/>
              </w:rPr>
              <w:t xml:space="preserve">  Total  </w:t>
            </w:r>
          </w:p>
        </w:tc>
      </w:tr>
      <w:tr>
        <w:trPr>
          <w:trHeight w:val="717"/>
          <w:jc w:val="center"/>
        </w:trPr>
        <w:tc>
          <w:tcPr>
            <w:tcW w:w="337" w:type="dxa"/>
            <w:tcBorders>
              <w:top w:val="nil"/>
              <w:left w:val="single" w:sz="4" w:space="0" w:color="auto"/>
              <w:bottom w:val="single" w:sz="4" w:space="0" w:color="auto"/>
              <w:right w:val="single" w:sz="4" w:space="0" w:color="auto"/>
            </w:tcBorders>
            <w:shd w:val="clear" w:color="auto" w:fill="auto"/>
            <w:vAlign w:val="center"/>
          </w:tcPr>
          <w:p>
            <w:pPr>
              <w:spacing w:line="276" w:lineRule="auto"/>
              <w:jc w:val="both"/>
              <w:rPr>
                <w:color w:val="000000"/>
                <w:sz w:val="20"/>
                <w:szCs w:val="20"/>
                <w:lang w:val="en-PH"/>
              </w:rPr>
            </w:pPr>
            <w:r>
              <w:rPr>
                <w:color w:val="000000"/>
                <w:sz w:val="20"/>
                <w:szCs w:val="20"/>
                <w:lang w:val="en-PH"/>
              </w:rPr>
              <w:t>1</w:t>
            </w:r>
          </w:p>
        </w:tc>
        <w:tc>
          <w:tcPr>
            <w:tcW w:w="1908" w:type="dxa"/>
            <w:tcBorders>
              <w:top w:val="nil"/>
              <w:left w:val="nil"/>
              <w:bottom w:val="single" w:sz="4" w:space="0" w:color="auto"/>
              <w:right w:val="single" w:sz="4" w:space="0" w:color="auto"/>
            </w:tcBorders>
            <w:shd w:val="clear" w:color="auto" w:fill="auto"/>
            <w:vAlign w:val="center"/>
          </w:tcPr>
          <w:p>
            <w:pPr>
              <w:spacing w:line="276" w:lineRule="auto"/>
              <w:rPr>
                <w:color w:val="000000"/>
                <w:sz w:val="20"/>
                <w:szCs w:val="20"/>
              </w:rPr>
            </w:pPr>
            <w:r>
              <w:rPr>
                <w:color w:val="000000"/>
                <w:sz w:val="20"/>
                <w:szCs w:val="20"/>
              </w:rPr>
              <w:t>Construction in Progress – Land Improvements</w:t>
            </w:r>
          </w:p>
        </w:tc>
        <w:tc>
          <w:tcPr>
            <w:tcW w:w="162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P4,179,295.05</w:t>
            </w:r>
          </w:p>
        </w:tc>
        <w:tc>
          <w:tcPr>
            <w:tcW w:w="153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P2,032,747.77</w:t>
            </w:r>
          </w:p>
        </w:tc>
        <w:tc>
          <w:tcPr>
            <w:tcW w:w="171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P1,409,337.41</w:t>
            </w:r>
          </w:p>
        </w:tc>
        <w:tc>
          <w:tcPr>
            <w:tcW w:w="162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lang w:val="en-PH"/>
              </w:rPr>
            </w:pPr>
            <w:r>
              <w:rPr>
                <w:color w:val="000000"/>
                <w:sz w:val="20"/>
                <w:szCs w:val="20"/>
                <w:lang w:val="en-PH"/>
              </w:rPr>
              <w:t>P7,621,380.23</w:t>
            </w:r>
          </w:p>
        </w:tc>
      </w:tr>
      <w:tr>
        <w:trPr>
          <w:trHeight w:val="717"/>
          <w:jc w:val="center"/>
        </w:trPr>
        <w:tc>
          <w:tcPr>
            <w:tcW w:w="337" w:type="dxa"/>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both"/>
              <w:rPr>
                <w:color w:val="000000"/>
                <w:sz w:val="20"/>
                <w:szCs w:val="20"/>
              </w:rPr>
            </w:pPr>
            <w:r>
              <w:rPr>
                <w:color w:val="000000"/>
                <w:sz w:val="20"/>
                <w:szCs w:val="20"/>
                <w:lang w:val="en-PH"/>
              </w:rPr>
              <w:t>2</w:t>
            </w:r>
          </w:p>
        </w:tc>
        <w:tc>
          <w:tcPr>
            <w:tcW w:w="1908" w:type="dxa"/>
            <w:tcBorders>
              <w:top w:val="nil"/>
              <w:left w:val="nil"/>
              <w:bottom w:val="single" w:sz="4" w:space="0" w:color="auto"/>
              <w:right w:val="single" w:sz="4" w:space="0" w:color="auto"/>
            </w:tcBorders>
            <w:shd w:val="clear" w:color="auto" w:fill="auto"/>
            <w:vAlign w:val="center"/>
            <w:hideMark/>
          </w:tcPr>
          <w:p>
            <w:pPr>
              <w:spacing w:line="276" w:lineRule="auto"/>
              <w:rPr>
                <w:color w:val="000000"/>
                <w:sz w:val="20"/>
                <w:szCs w:val="20"/>
              </w:rPr>
            </w:pPr>
            <w:r>
              <w:rPr>
                <w:color w:val="000000"/>
                <w:sz w:val="20"/>
                <w:szCs w:val="20"/>
              </w:rPr>
              <w:t>Construction in Progress – Infrastructure Assets</w:t>
            </w:r>
          </w:p>
        </w:tc>
        <w:tc>
          <w:tcPr>
            <w:tcW w:w="162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81,540,657.61</w:t>
            </w:r>
          </w:p>
        </w:tc>
        <w:tc>
          <w:tcPr>
            <w:tcW w:w="153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1,929,509.43</w:t>
            </w:r>
          </w:p>
        </w:tc>
        <w:tc>
          <w:tcPr>
            <w:tcW w:w="171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176,793,270.98</w:t>
            </w:r>
          </w:p>
        </w:tc>
        <w:tc>
          <w:tcPr>
            <w:tcW w:w="162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260,263,438.02</w:t>
            </w:r>
          </w:p>
        </w:tc>
      </w:tr>
      <w:tr>
        <w:trPr>
          <w:trHeight w:val="717"/>
          <w:jc w:val="center"/>
        </w:trPr>
        <w:tc>
          <w:tcPr>
            <w:tcW w:w="337" w:type="dxa"/>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both"/>
              <w:rPr>
                <w:color w:val="000000"/>
                <w:sz w:val="20"/>
                <w:szCs w:val="20"/>
              </w:rPr>
            </w:pPr>
            <w:r>
              <w:rPr>
                <w:color w:val="000000"/>
                <w:sz w:val="20"/>
                <w:szCs w:val="20"/>
                <w:lang w:val="en-PH"/>
              </w:rPr>
              <w:t>3</w:t>
            </w:r>
          </w:p>
        </w:tc>
        <w:tc>
          <w:tcPr>
            <w:tcW w:w="1908" w:type="dxa"/>
            <w:tcBorders>
              <w:top w:val="nil"/>
              <w:left w:val="nil"/>
              <w:bottom w:val="single" w:sz="4" w:space="0" w:color="auto"/>
              <w:right w:val="single" w:sz="4" w:space="0" w:color="auto"/>
            </w:tcBorders>
            <w:shd w:val="clear" w:color="auto" w:fill="auto"/>
            <w:vAlign w:val="center"/>
            <w:hideMark/>
          </w:tcPr>
          <w:p>
            <w:pPr>
              <w:spacing w:line="276" w:lineRule="auto"/>
              <w:rPr>
                <w:color w:val="000000"/>
                <w:sz w:val="20"/>
                <w:szCs w:val="20"/>
              </w:rPr>
            </w:pPr>
            <w:r>
              <w:rPr>
                <w:color w:val="000000"/>
                <w:sz w:val="20"/>
                <w:szCs w:val="20"/>
              </w:rPr>
              <w:t>Construction in Progress – Buildings and Other Structures</w:t>
            </w:r>
          </w:p>
        </w:tc>
        <w:tc>
          <w:tcPr>
            <w:tcW w:w="162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231,481,720.18</w:t>
            </w:r>
          </w:p>
        </w:tc>
        <w:tc>
          <w:tcPr>
            <w:tcW w:w="153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17,897,823.68</w:t>
            </w:r>
          </w:p>
        </w:tc>
        <w:tc>
          <w:tcPr>
            <w:tcW w:w="171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142,465.66</w:t>
            </w:r>
          </w:p>
        </w:tc>
        <w:tc>
          <w:tcPr>
            <w:tcW w:w="1620"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0"/>
                <w:szCs w:val="20"/>
                <w:highlight w:val="yellow"/>
              </w:rPr>
            </w:pPr>
            <w:r>
              <w:rPr>
                <w:color w:val="000000"/>
                <w:sz w:val="20"/>
                <w:szCs w:val="20"/>
              </w:rPr>
              <w:t>249,522,009.52</w:t>
            </w:r>
          </w:p>
        </w:tc>
      </w:tr>
      <w:tr>
        <w:trPr>
          <w:trHeight w:val="239"/>
          <w:jc w:val="center"/>
        </w:trPr>
        <w:tc>
          <w:tcPr>
            <w:tcW w:w="2245" w:type="dxa"/>
            <w:gridSpan w:val="2"/>
            <w:tcBorders>
              <w:top w:val="single" w:sz="4" w:space="0" w:color="auto"/>
              <w:left w:val="single" w:sz="4" w:space="0" w:color="auto"/>
              <w:bottom w:val="single" w:sz="4" w:space="0" w:color="auto"/>
              <w:right w:val="single" w:sz="4" w:space="0" w:color="auto"/>
            </w:tcBorders>
            <w:shd w:val="clear" w:color="auto" w:fill="auto"/>
            <w:hideMark/>
          </w:tcPr>
          <w:p>
            <w:pPr>
              <w:spacing w:line="276" w:lineRule="auto"/>
              <w:jc w:val="center"/>
              <w:rPr>
                <w:b/>
                <w:bCs/>
                <w:color w:val="000000"/>
                <w:sz w:val="20"/>
                <w:szCs w:val="20"/>
              </w:rPr>
            </w:pPr>
            <w:r>
              <w:rPr>
                <w:b/>
                <w:bCs/>
                <w:color w:val="000000"/>
                <w:sz w:val="20"/>
                <w:szCs w:val="20"/>
              </w:rPr>
              <w:t>TOTAL</w:t>
            </w:r>
          </w:p>
        </w:tc>
        <w:tc>
          <w:tcPr>
            <w:tcW w:w="1620" w:type="dxa"/>
            <w:tcBorders>
              <w:top w:val="nil"/>
              <w:left w:val="nil"/>
              <w:bottom w:val="single" w:sz="4" w:space="0" w:color="auto"/>
              <w:right w:val="single" w:sz="4" w:space="0" w:color="auto"/>
            </w:tcBorders>
            <w:shd w:val="clear" w:color="auto" w:fill="auto"/>
          </w:tcPr>
          <w:p>
            <w:pPr>
              <w:spacing w:line="276" w:lineRule="auto"/>
              <w:jc w:val="right"/>
              <w:rPr>
                <w:b/>
                <w:bCs/>
                <w:color w:val="000000"/>
                <w:sz w:val="20"/>
                <w:szCs w:val="20"/>
                <w:highlight w:val="yellow"/>
              </w:rPr>
            </w:pPr>
            <w:r>
              <w:rPr>
                <w:b/>
                <w:bCs/>
                <w:color w:val="000000"/>
                <w:sz w:val="20"/>
                <w:szCs w:val="20"/>
              </w:rPr>
              <w:t>P317,201,672.84</w:t>
            </w:r>
          </w:p>
        </w:tc>
        <w:tc>
          <w:tcPr>
            <w:tcW w:w="1530" w:type="dxa"/>
            <w:tcBorders>
              <w:top w:val="nil"/>
              <w:left w:val="nil"/>
              <w:bottom w:val="single" w:sz="4" w:space="0" w:color="auto"/>
              <w:right w:val="single" w:sz="4" w:space="0" w:color="auto"/>
            </w:tcBorders>
            <w:shd w:val="clear" w:color="auto" w:fill="auto"/>
          </w:tcPr>
          <w:p>
            <w:pPr>
              <w:spacing w:line="276" w:lineRule="auto"/>
              <w:jc w:val="right"/>
              <w:rPr>
                <w:b/>
                <w:bCs/>
                <w:color w:val="000000"/>
                <w:sz w:val="20"/>
                <w:szCs w:val="20"/>
                <w:highlight w:val="yellow"/>
              </w:rPr>
            </w:pPr>
            <w:r>
              <w:rPr>
                <w:b/>
                <w:bCs/>
                <w:color w:val="000000"/>
                <w:sz w:val="20"/>
                <w:szCs w:val="20"/>
              </w:rPr>
              <w:t>P21,860,080.88</w:t>
            </w:r>
          </w:p>
        </w:tc>
        <w:tc>
          <w:tcPr>
            <w:tcW w:w="1710" w:type="dxa"/>
            <w:tcBorders>
              <w:top w:val="nil"/>
              <w:left w:val="nil"/>
              <w:bottom w:val="single" w:sz="4" w:space="0" w:color="auto"/>
              <w:right w:val="single" w:sz="4" w:space="0" w:color="auto"/>
            </w:tcBorders>
            <w:shd w:val="clear" w:color="auto" w:fill="auto"/>
          </w:tcPr>
          <w:p>
            <w:pPr>
              <w:spacing w:line="276" w:lineRule="auto"/>
              <w:jc w:val="right"/>
              <w:rPr>
                <w:b/>
                <w:bCs/>
                <w:color w:val="000000"/>
                <w:sz w:val="20"/>
                <w:szCs w:val="20"/>
                <w:highlight w:val="yellow"/>
              </w:rPr>
            </w:pPr>
            <w:r>
              <w:rPr>
                <w:b/>
                <w:bCs/>
                <w:color w:val="000000"/>
                <w:sz w:val="20"/>
                <w:szCs w:val="20"/>
              </w:rPr>
              <w:t>P178,345,074.05</w:t>
            </w:r>
          </w:p>
        </w:tc>
        <w:tc>
          <w:tcPr>
            <w:tcW w:w="1620" w:type="dxa"/>
            <w:tcBorders>
              <w:top w:val="nil"/>
              <w:left w:val="nil"/>
              <w:bottom w:val="single" w:sz="4" w:space="0" w:color="auto"/>
              <w:right w:val="single" w:sz="4" w:space="0" w:color="auto"/>
            </w:tcBorders>
            <w:shd w:val="clear" w:color="auto" w:fill="auto"/>
          </w:tcPr>
          <w:p>
            <w:pPr>
              <w:spacing w:line="276" w:lineRule="auto"/>
              <w:jc w:val="right"/>
              <w:rPr>
                <w:b/>
                <w:bCs/>
                <w:color w:val="000000"/>
                <w:sz w:val="20"/>
                <w:szCs w:val="20"/>
                <w:highlight w:val="yellow"/>
              </w:rPr>
            </w:pPr>
            <w:r>
              <w:rPr>
                <w:b/>
                <w:bCs/>
                <w:color w:val="000000"/>
                <w:sz w:val="20"/>
                <w:szCs w:val="20"/>
              </w:rPr>
              <w:t>P517,406,827.77</w:t>
            </w:r>
          </w:p>
        </w:tc>
      </w:tr>
    </w:tbl>
    <w:p>
      <w:pPr>
        <w:autoSpaceDE w:val="0"/>
        <w:autoSpaceDN w:val="0"/>
        <w:adjustRightInd w:val="0"/>
        <w:spacing w:line="276" w:lineRule="auto"/>
        <w:ind w:firstLine="720"/>
        <w:jc w:val="both"/>
        <w:rPr>
          <w:rFonts w:eastAsia="Calibri"/>
          <w:bCs/>
          <w:color w:val="000000"/>
        </w:rPr>
      </w:pPr>
    </w:p>
    <w:p>
      <w:pPr>
        <w:spacing w:line="276" w:lineRule="auto"/>
        <w:jc w:val="both"/>
        <w:rPr>
          <w:lang w:val="en-PH"/>
        </w:rPr>
      </w:pPr>
      <w:r>
        <w:t xml:space="preserve">To determine the status of the above accounts as at December 31, 2022, the Audit Team reviewed and examined the </w:t>
      </w:r>
      <w:r>
        <w:rPr>
          <w:lang w:val="en-PH"/>
        </w:rPr>
        <w:t xml:space="preserve">Construction in Progress subsidiary ledgers and confirmed with the City Engineer’s Office (CEO) its actual status. It was then revealed that there are already completed projects based on the monitoring of the CEO which were not yet classified by the City Accounting Office (CAO) to their appropriate asset accounts </w:t>
      </w:r>
      <w:r>
        <w:rPr>
          <w:lang w:val="en-PH"/>
        </w:rPr>
        <w:lastRenderedPageBreak/>
        <w:t xml:space="preserve">totaling P107,591,959.41. The summary of the said projects is presented in Table 4.2 below (details in </w:t>
      </w:r>
      <w:r>
        <w:rPr>
          <w:i/>
          <w:lang w:val="en-PH"/>
        </w:rPr>
        <w:t>Annex J</w:t>
      </w:r>
      <w:r>
        <w:rPr>
          <w:lang w:val="en-PH"/>
        </w:rPr>
        <w:t>):</w:t>
      </w:r>
    </w:p>
    <w:p>
      <w:pPr>
        <w:spacing w:line="276" w:lineRule="auto"/>
        <w:ind w:firstLine="720"/>
        <w:jc w:val="both"/>
        <w:rPr>
          <w:lang w:val="en-PH"/>
        </w:rPr>
      </w:pPr>
    </w:p>
    <w:p>
      <w:pPr>
        <w:autoSpaceDE w:val="0"/>
        <w:autoSpaceDN w:val="0"/>
        <w:adjustRightInd w:val="0"/>
        <w:spacing w:line="276" w:lineRule="auto"/>
        <w:ind w:left="1080"/>
        <w:jc w:val="both"/>
        <w:rPr>
          <w:i/>
          <w:lang w:val="en-PH"/>
        </w:rPr>
      </w:pPr>
      <w:r>
        <w:rPr>
          <w:i/>
          <w:lang w:val="en-PH"/>
        </w:rPr>
        <w:t xml:space="preserve">    Table 4.2. Completed Projects under CIP Accounts– Per CEO</w:t>
      </w:r>
    </w:p>
    <w:tbl>
      <w:tblPr>
        <w:tblW w:w="5988" w:type="dxa"/>
        <w:jc w:val="center"/>
        <w:tblLook w:val="04A0" w:firstRow="1" w:lastRow="0" w:firstColumn="1" w:lastColumn="0" w:noHBand="0" w:noVBand="1"/>
      </w:tblPr>
      <w:tblGrid>
        <w:gridCol w:w="3912"/>
        <w:gridCol w:w="2076"/>
      </w:tblGrid>
      <w:tr>
        <w:trPr>
          <w:trHeight w:val="227"/>
          <w:tblHeader/>
          <w:jc w:val="center"/>
        </w:trPr>
        <w:tc>
          <w:tcPr>
            <w:tcW w:w="3912" w:type="dxa"/>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Account Title</w:t>
            </w:r>
          </w:p>
        </w:tc>
        <w:tc>
          <w:tcPr>
            <w:tcW w:w="2076" w:type="dxa"/>
            <w:tcBorders>
              <w:top w:val="single" w:sz="4" w:space="0" w:color="auto"/>
              <w:left w:val="nil"/>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 xml:space="preserve"> Amount </w:t>
            </w:r>
          </w:p>
        </w:tc>
      </w:tr>
      <w:tr>
        <w:trPr>
          <w:trHeight w:val="227"/>
          <w:jc w:val="center"/>
        </w:trPr>
        <w:tc>
          <w:tcPr>
            <w:tcW w:w="5988" w:type="dxa"/>
            <w:gridSpan w:val="2"/>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val="en-PH" w:eastAsia="en-PH"/>
              </w:rPr>
              <w:t>General Fund</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eastAsia="en-PH"/>
              </w:rPr>
            </w:pPr>
            <w:r>
              <w:rPr>
                <w:color w:val="000000"/>
                <w:sz w:val="22"/>
                <w:szCs w:val="22"/>
                <w:lang w:eastAsia="en-PH"/>
              </w:rPr>
              <w:t>Other Land Improvements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P2,739,248.71</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eastAsia="en-PH"/>
              </w:rPr>
            </w:pPr>
            <w:r>
              <w:rPr>
                <w:color w:val="000000"/>
                <w:sz w:val="22"/>
                <w:szCs w:val="22"/>
                <w:lang w:eastAsia="en-PH"/>
              </w:rPr>
              <w:t>Road Networks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53,535,046.79</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eastAsia="en-PH"/>
              </w:rPr>
            </w:pPr>
            <w:r>
              <w:rPr>
                <w:color w:val="000000"/>
                <w:sz w:val="22"/>
                <w:szCs w:val="22"/>
                <w:lang w:eastAsia="en-PH"/>
              </w:rPr>
              <w:t>Water Supply Systems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2,975,779.28</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eastAsia="en-PH"/>
              </w:rPr>
            </w:pPr>
            <w:r>
              <w:rPr>
                <w:color w:val="000000"/>
                <w:sz w:val="22"/>
                <w:szCs w:val="22"/>
                <w:lang w:eastAsia="en-PH"/>
              </w:rPr>
              <w:t>Buildings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991,359.06</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Markets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857,051.80</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Other Structures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3,027,972.40</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bCs/>
                <w:i/>
                <w:iCs/>
                <w:color w:val="000000"/>
                <w:sz w:val="22"/>
                <w:szCs w:val="22"/>
                <w:lang w:val="en-PH" w:eastAsia="en-PH"/>
              </w:rPr>
            </w:pPr>
            <w:r>
              <w:rPr>
                <w:b/>
                <w:bCs/>
                <w:i/>
                <w:iCs/>
                <w:color w:val="000000"/>
                <w:sz w:val="22"/>
                <w:szCs w:val="22"/>
                <w:lang w:val="en-PH" w:eastAsia="en-PH"/>
              </w:rPr>
              <w:t>Sub-total</w:t>
            </w:r>
          </w:p>
        </w:tc>
        <w:tc>
          <w:tcPr>
            <w:tcW w:w="2076" w:type="dxa"/>
            <w:tcBorders>
              <w:top w:val="nil"/>
              <w:left w:val="nil"/>
              <w:bottom w:val="single" w:sz="4" w:space="0" w:color="auto"/>
              <w:right w:val="single" w:sz="4" w:space="0" w:color="auto"/>
            </w:tcBorders>
            <w:shd w:val="clear" w:color="auto" w:fill="auto"/>
            <w:noWrap/>
            <w:vAlign w:val="bottom"/>
          </w:tcPr>
          <w:p>
            <w:pPr>
              <w:spacing w:line="276" w:lineRule="auto"/>
              <w:jc w:val="right"/>
              <w:rPr>
                <w:b/>
                <w:bCs/>
                <w:i/>
                <w:iCs/>
                <w:color w:val="000000"/>
                <w:sz w:val="22"/>
                <w:szCs w:val="22"/>
                <w:lang w:val="en-PH" w:eastAsia="en-PH"/>
              </w:rPr>
            </w:pPr>
            <w:r>
              <w:rPr>
                <w:b/>
                <w:bCs/>
                <w:i/>
                <w:iCs/>
                <w:color w:val="000000"/>
                <w:sz w:val="22"/>
                <w:szCs w:val="22"/>
                <w:lang w:val="en-PH" w:eastAsia="en-PH"/>
              </w:rPr>
              <w:t>64,126,458.04</w:t>
            </w:r>
          </w:p>
        </w:tc>
      </w:tr>
      <w:tr>
        <w:trPr>
          <w:trHeight w:val="227"/>
          <w:jc w:val="center"/>
        </w:trPr>
        <w:tc>
          <w:tcPr>
            <w:tcW w:w="5988" w:type="dxa"/>
            <w:gridSpan w:val="2"/>
            <w:tcBorders>
              <w:top w:val="nil"/>
              <w:left w:val="single" w:sz="4" w:space="0" w:color="auto"/>
              <w:bottom w:val="single" w:sz="4" w:space="0" w:color="auto"/>
              <w:right w:val="single" w:sz="4" w:space="0" w:color="auto"/>
            </w:tcBorders>
            <w:shd w:val="clear" w:color="auto" w:fill="auto"/>
            <w:vAlign w:val="center"/>
          </w:tcPr>
          <w:p>
            <w:pPr>
              <w:spacing w:line="276" w:lineRule="auto"/>
              <w:jc w:val="center"/>
              <w:rPr>
                <w:b/>
                <w:bCs/>
                <w:color w:val="000000"/>
                <w:sz w:val="22"/>
                <w:szCs w:val="22"/>
                <w:lang w:val="en-PH" w:eastAsia="en-PH"/>
              </w:rPr>
            </w:pPr>
            <w:r>
              <w:rPr>
                <w:b/>
                <w:bCs/>
                <w:color w:val="000000"/>
                <w:sz w:val="22"/>
                <w:szCs w:val="22"/>
                <w:lang w:val="en-PH" w:eastAsia="en-PH"/>
              </w:rPr>
              <w:t>Special Education Fund</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vAlign w:val="center"/>
          </w:tcPr>
          <w:p>
            <w:pPr>
              <w:spacing w:line="276" w:lineRule="auto"/>
              <w:rPr>
                <w:color w:val="000000"/>
                <w:sz w:val="22"/>
                <w:szCs w:val="22"/>
                <w:lang w:val="en-PH" w:eastAsia="en-PH"/>
              </w:rPr>
            </w:pPr>
            <w:r>
              <w:rPr>
                <w:color w:val="000000"/>
                <w:sz w:val="22"/>
                <w:szCs w:val="22"/>
                <w:lang w:val="en-PH" w:eastAsia="en-PH"/>
              </w:rPr>
              <w:t>Other Land Improvements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2,791,650.96</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vAlign w:val="center"/>
          </w:tcPr>
          <w:p>
            <w:pPr>
              <w:spacing w:line="276" w:lineRule="auto"/>
              <w:rPr>
                <w:color w:val="000000"/>
                <w:sz w:val="22"/>
                <w:szCs w:val="22"/>
                <w:lang w:val="en-PH" w:eastAsia="en-PH"/>
              </w:rPr>
            </w:pPr>
            <w:r>
              <w:rPr>
                <w:color w:val="000000"/>
                <w:sz w:val="22"/>
                <w:szCs w:val="22"/>
                <w:lang w:val="en-PH" w:eastAsia="en-PH"/>
              </w:rPr>
              <w:t>Water Supply Systems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660,688.27</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vAlign w:val="center"/>
          </w:tcPr>
          <w:p>
            <w:pPr>
              <w:spacing w:line="276" w:lineRule="auto"/>
              <w:rPr>
                <w:color w:val="000000"/>
                <w:sz w:val="22"/>
                <w:szCs w:val="22"/>
                <w:lang w:val="en-PH" w:eastAsia="en-PH"/>
              </w:rPr>
            </w:pPr>
            <w:r>
              <w:rPr>
                <w:color w:val="000000"/>
                <w:sz w:val="22"/>
                <w:szCs w:val="22"/>
                <w:lang w:val="en-PH" w:eastAsia="en-PH"/>
              </w:rPr>
              <w:t>School Buildings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5,135,600.52</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vAlign w:val="center"/>
          </w:tcPr>
          <w:p>
            <w:pPr>
              <w:spacing w:line="276" w:lineRule="auto"/>
              <w:rPr>
                <w:color w:val="000000"/>
                <w:sz w:val="22"/>
                <w:szCs w:val="22"/>
                <w:lang w:val="en-PH" w:eastAsia="en-PH"/>
              </w:rPr>
            </w:pPr>
            <w:r>
              <w:rPr>
                <w:color w:val="000000"/>
                <w:sz w:val="22"/>
                <w:szCs w:val="22"/>
                <w:lang w:val="en-PH" w:eastAsia="en-PH"/>
              </w:rPr>
              <w:t>Other Structures</w:t>
            </w:r>
          </w:p>
        </w:tc>
        <w:tc>
          <w:tcPr>
            <w:tcW w:w="2076"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4,226,140.23</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vAlign w:val="bottom"/>
          </w:tcPr>
          <w:p>
            <w:pPr>
              <w:spacing w:line="276" w:lineRule="auto"/>
              <w:rPr>
                <w:b/>
                <w:bCs/>
                <w:color w:val="000000"/>
                <w:sz w:val="22"/>
                <w:szCs w:val="22"/>
                <w:lang w:val="en-PH" w:eastAsia="en-PH"/>
              </w:rPr>
            </w:pPr>
            <w:r>
              <w:rPr>
                <w:b/>
                <w:bCs/>
                <w:i/>
                <w:iCs/>
                <w:color w:val="000000"/>
                <w:sz w:val="22"/>
                <w:szCs w:val="22"/>
                <w:lang w:val="en-PH" w:eastAsia="en-PH"/>
              </w:rPr>
              <w:t>Sub-total</w:t>
            </w:r>
          </w:p>
        </w:tc>
        <w:tc>
          <w:tcPr>
            <w:tcW w:w="2076" w:type="dxa"/>
            <w:tcBorders>
              <w:top w:val="nil"/>
              <w:left w:val="nil"/>
              <w:bottom w:val="single" w:sz="4" w:space="0" w:color="auto"/>
              <w:right w:val="single" w:sz="4" w:space="0" w:color="auto"/>
            </w:tcBorders>
            <w:shd w:val="clear" w:color="auto" w:fill="auto"/>
            <w:vAlign w:val="bottom"/>
          </w:tcPr>
          <w:p>
            <w:pPr>
              <w:spacing w:line="276" w:lineRule="auto"/>
              <w:jc w:val="right"/>
              <w:rPr>
                <w:b/>
                <w:bCs/>
                <w:color w:val="000000"/>
                <w:sz w:val="22"/>
                <w:szCs w:val="22"/>
                <w:lang w:val="en-PH" w:eastAsia="en-PH"/>
              </w:rPr>
            </w:pPr>
            <w:r>
              <w:rPr>
                <w:b/>
                <w:bCs/>
                <w:color w:val="000000"/>
                <w:sz w:val="22"/>
                <w:szCs w:val="22"/>
                <w:lang w:val="en-PH" w:eastAsia="en-PH"/>
              </w:rPr>
              <w:t>12,814,079.98</w:t>
            </w:r>
          </w:p>
        </w:tc>
      </w:tr>
      <w:tr>
        <w:trPr>
          <w:trHeight w:val="227"/>
          <w:jc w:val="center"/>
        </w:trPr>
        <w:tc>
          <w:tcPr>
            <w:tcW w:w="5988" w:type="dxa"/>
            <w:gridSpan w:val="2"/>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val="en-PH" w:eastAsia="en-PH"/>
              </w:rPr>
              <w:t>Trust Fund</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Other Land Improvements</w:t>
            </w:r>
          </w:p>
        </w:tc>
        <w:tc>
          <w:tcPr>
            <w:tcW w:w="2076"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1,409,337.41</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Road Networks</w:t>
            </w:r>
          </w:p>
        </w:tc>
        <w:tc>
          <w:tcPr>
            <w:tcW w:w="2076"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28,935,949.11</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Sewer Systems</w:t>
            </w:r>
          </w:p>
        </w:tc>
        <w:tc>
          <w:tcPr>
            <w:tcW w:w="2076"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35,597.39</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Hospitals and Health Centers</w:t>
            </w:r>
          </w:p>
        </w:tc>
        <w:tc>
          <w:tcPr>
            <w:tcW w:w="2076"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45,001.00</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Other Structures</w:t>
            </w:r>
          </w:p>
        </w:tc>
        <w:tc>
          <w:tcPr>
            <w:tcW w:w="2076"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225,536.48</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bCs/>
                <w:i/>
                <w:iCs/>
                <w:color w:val="000000"/>
                <w:sz w:val="22"/>
                <w:szCs w:val="22"/>
                <w:lang w:val="en-PH" w:eastAsia="en-PH"/>
              </w:rPr>
            </w:pPr>
            <w:r>
              <w:rPr>
                <w:b/>
                <w:bCs/>
                <w:i/>
                <w:iCs/>
                <w:color w:val="000000"/>
                <w:sz w:val="22"/>
                <w:szCs w:val="22"/>
                <w:lang w:val="en-PH" w:eastAsia="en-PH"/>
              </w:rPr>
              <w:t>Sub-total</w:t>
            </w:r>
          </w:p>
        </w:tc>
        <w:tc>
          <w:tcPr>
            <w:tcW w:w="2076" w:type="dxa"/>
            <w:tcBorders>
              <w:top w:val="nil"/>
              <w:left w:val="nil"/>
              <w:bottom w:val="single" w:sz="4" w:space="0" w:color="auto"/>
              <w:right w:val="single" w:sz="4" w:space="0" w:color="auto"/>
            </w:tcBorders>
            <w:shd w:val="clear" w:color="auto" w:fill="auto"/>
            <w:noWrap/>
            <w:vAlign w:val="bottom"/>
          </w:tcPr>
          <w:p>
            <w:pPr>
              <w:spacing w:line="276" w:lineRule="auto"/>
              <w:jc w:val="right"/>
              <w:rPr>
                <w:b/>
                <w:bCs/>
                <w:i/>
                <w:iCs/>
                <w:color w:val="000000"/>
                <w:sz w:val="22"/>
                <w:szCs w:val="22"/>
                <w:lang w:val="en-PH" w:eastAsia="en-PH"/>
              </w:rPr>
            </w:pPr>
            <w:r>
              <w:rPr>
                <w:b/>
                <w:bCs/>
                <w:i/>
                <w:iCs/>
                <w:color w:val="000000"/>
                <w:sz w:val="22"/>
                <w:szCs w:val="22"/>
                <w:lang w:val="en-PH" w:eastAsia="en-PH"/>
              </w:rPr>
              <w:t>30,651,421.39</w:t>
            </w:r>
          </w:p>
        </w:tc>
      </w:tr>
      <w:tr>
        <w:trPr>
          <w:trHeight w:val="227"/>
          <w:jc w:val="center"/>
        </w:trPr>
        <w:tc>
          <w:tcPr>
            <w:tcW w:w="3912"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bCs/>
                <w:color w:val="000000"/>
                <w:sz w:val="22"/>
                <w:szCs w:val="22"/>
                <w:lang w:val="en-PH" w:eastAsia="en-PH"/>
              </w:rPr>
            </w:pPr>
            <w:r>
              <w:rPr>
                <w:b/>
                <w:bCs/>
                <w:color w:val="000000"/>
                <w:sz w:val="22"/>
                <w:szCs w:val="22"/>
                <w:lang w:val="en-PH" w:eastAsia="en-PH"/>
              </w:rPr>
              <w:t>Grand total</w:t>
            </w:r>
          </w:p>
        </w:tc>
        <w:tc>
          <w:tcPr>
            <w:tcW w:w="2076" w:type="dxa"/>
            <w:tcBorders>
              <w:top w:val="nil"/>
              <w:left w:val="nil"/>
              <w:bottom w:val="single" w:sz="4" w:space="0" w:color="auto"/>
              <w:right w:val="single" w:sz="4" w:space="0" w:color="auto"/>
            </w:tcBorders>
            <w:shd w:val="clear" w:color="auto" w:fill="auto"/>
            <w:noWrap/>
            <w:vAlign w:val="bottom"/>
          </w:tcPr>
          <w:p>
            <w:pPr>
              <w:spacing w:line="276" w:lineRule="auto"/>
              <w:jc w:val="right"/>
              <w:rPr>
                <w:b/>
                <w:bCs/>
                <w:color w:val="000000"/>
                <w:sz w:val="22"/>
                <w:szCs w:val="22"/>
                <w:lang w:val="en-PH" w:eastAsia="en-PH"/>
              </w:rPr>
            </w:pPr>
            <w:r>
              <w:rPr>
                <w:b/>
                <w:bCs/>
                <w:color w:val="000000"/>
                <w:sz w:val="22"/>
                <w:szCs w:val="22"/>
                <w:lang w:val="en-PH" w:eastAsia="en-PH"/>
              </w:rPr>
              <w:t>P107,591,959.41</w:t>
            </w:r>
          </w:p>
        </w:tc>
      </w:tr>
    </w:tbl>
    <w:p>
      <w:pPr>
        <w:spacing w:line="276" w:lineRule="auto"/>
        <w:jc w:val="both"/>
      </w:pPr>
    </w:p>
    <w:p>
      <w:pPr>
        <w:autoSpaceDE w:val="0"/>
        <w:autoSpaceDN w:val="0"/>
        <w:adjustRightInd w:val="0"/>
        <w:spacing w:line="276" w:lineRule="auto"/>
        <w:jc w:val="both"/>
        <w:rPr>
          <w:lang w:val="en-PH"/>
        </w:rPr>
      </w:pPr>
      <w:r>
        <w:rPr>
          <w:lang w:val="en-PH"/>
        </w:rPr>
        <w:t xml:space="preserve">Evaluation of the projects recorded in various CIP accounts showed that completed projects from as early as Calendar Years 2014, 2016 and 2017 still remained recorded under CIP accounts. Inquiry with the CAO personnel revealed that projects recorded under several CIP accounts remained in such classification due to failure and/or delay of the CEO to submit the certificates of project completion and other supporting documents to warrant the transfer of the same to its appropriate PPE accounts. </w:t>
      </w:r>
    </w:p>
    <w:p>
      <w:pPr>
        <w:autoSpaceDE w:val="0"/>
        <w:autoSpaceDN w:val="0"/>
        <w:adjustRightInd w:val="0"/>
        <w:spacing w:line="276" w:lineRule="auto"/>
        <w:ind w:firstLine="720"/>
        <w:jc w:val="both"/>
        <w:rPr>
          <w:lang w:val="en-PH"/>
        </w:rPr>
      </w:pPr>
    </w:p>
    <w:p>
      <w:pPr>
        <w:autoSpaceDE w:val="0"/>
        <w:autoSpaceDN w:val="0"/>
        <w:adjustRightInd w:val="0"/>
        <w:spacing w:line="276" w:lineRule="auto"/>
        <w:jc w:val="both"/>
        <w:rPr>
          <w:lang w:val="en-PH"/>
        </w:rPr>
      </w:pPr>
      <w:r>
        <w:rPr>
          <w:lang w:val="en-PH"/>
        </w:rPr>
        <w:t xml:space="preserve">Further review of the items under the CIP accounts showed that there are completed projects which already has a final billing as at year-end but still remained recorded as a CIP. The CAO personnel explained that such projects were transferred to its appropriate PPE accounts in January of the following year. </w:t>
      </w:r>
    </w:p>
    <w:p>
      <w:pPr>
        <w:autoSpaceDE w:val="0"/>
        <w:autoSpaceDN w:val="0"/>
        <w:adjustRightInd w:val="0"/>
        <w:spacing w:line="276" w:lineRule="auto"/>
        <w:jc w:val="both"/>
        <w:rPr>
          <w:lang w:val="en-PH"/>
        </w:rPr>
      </w:pPr>
    </w:p>
    <w:p>
      <w:pPr>
        <w:autoSpaceDE w:val="0"/>
        <w:autoSpaceDN w:val="0"/>
        <w:adjustRightInd w:val="0"/>
        <w:spacing w:line="276" w:lineRule="auto"/>
        <w:jc w:val="both"/>
        <w:rPr>
          <w:lang w:val="en-PH"/>
        </w:rPr>
      </w:pPr>
      <w:r>
        <w:rPr>
          <w:lang w:val="en-PH"/>
        </w:rPr>
        <w:t xml:space="preserve">Due to above-noted deficiencies, no depreciation expenses were provided by the CAO. The should-be depreciation expense of the above-completed projects amounted to at least </w:t>
      </w:r>
      <w:r>
        <w:rPr>
          <w:lang w:val="en-PH"/>
        </w:rPr>
        <w:lastRenderedPageBreak/>
        <w:t xml:space="preserve">P5,244,355.64 </w:t>
      </w:r>
      <w:r>
        <w:rPr>
          <w:b/>
          <w:lang w:val="en-PH"/>
        </w:rPr>
        <w:t xml:space="preserve">(See </w:t>
      </w:r>
      <w:r>
        <w:rPr>
          <w:b/>
          <w:i/>
          <w:lang w:val="en-PH"/>
        </w:rPr>
        <w:t>Annex K</w:t>
      </w:r>
      <w:r>
        <w:rPr>
          <w:b/>
          <w:lang w:val="en-PH"/>
        </w:rPr>
        <w:t xml:space="preserve"> for details</w:t>
      </w:r>
      <w:r>
        <w:rPr>
          <w:lang w:val="en-PH"/>
        </w:rPr>
        <w:t xml:space="preserve">). The computed depreciation excludes those completed projects totaling P6,162,543.11 (enumerated in </w:t>
      </w:r>
      <w:r>
        <w:rPr>
          <w:i/>
          <w:lang w:val="en-PH"/>
        </w:rPr>
        <w:t>Annex L</w:t>
      </w:r>
      <w:r>
        <w:rPr>
          <w:lang w:val="en-PH"/>
        </w:rPr>
        <w:t>) wherein the date of completion was not identified by the CEO due to lack of available documents. The summary of the said amount is shown in Table 4.3.</w:t>
      </w:r>
    </w:p>
    <w:p>
      <w:pPr>
        <w:spacing w:line="276" w:lineRule="auto"/>
        <w:jc w:val="both"/>
      </w:pPr>
    </w:p>
    <w:p>
      <w:pPr>
        <w:autoSpaceDE w:val="0"/>
        <w:autoSpaceDN w:val="0"/>
        <w:adjustRightInd w:val="0"/>
        <w:spacing w:line="276" w:lineRule="auto"/>
        <w:ind w:left="1440"/>
        <w:jc w:val="both"/>
        <w:rPr>
          <w:i/>
          <w:lang w:val="en-PH"/>
        </w:rPr>
      </w:pPr>
      <w:r>
        <w:rPr>
          <w:i/>
          <w:lang w:val="en-PH"/>
        </w:rPr>
        <w:t>Table 4.3. Summary of computed depreciation - 12/31/2022</w:t>
      </w:r>
    </w:p>
    <w:tbl>
      <w:tblPr>
        <w:tblW w:w="5852" w:type="dxa"/>
        <w:jc w:val="center"/>
        <w:tblLook w:val="04A0" w:firstRow="1" w:lastRow="0" w:firstColumn="1" w:lastColumn="0" w:noHBand="0" w:noVBand="1"/>
      </w:tblPr>
      <w:tblGrid>
        <w:gridCol w:w="3919"/>
        <w:gridCol w:w="1933"/>
      </w:tblGrid>
      <w:tr>
        <w:trPr>
          <w:trHeight w:val="227"/>
          <w:tblHeader/>
          <w:jc w:val="center"/>
        </w:trPr>
        <w:tc>
          <w:tcPr>
            <w:tcW w:w="3919" w:type="dxa"/>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Account Title</w:t>
            </w:r>
          </w:p>
        </w:tc>
        <w:tc>
          <w:tcPr>
            <w:tcW w:w="1933" w:type="dxa"/>
            <w:tcBorders>
              <w:top w:val="single" w:sz="4" w:space="0" w:color="auto"/>
              <w:left w:val="nil"/>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 xml:space="preserve"> Amount </w:t>
            </w:r>
          </w:p>
        </w:tc>
      </w:tr>
      <w:tr>
        <w:trPr>
          <w:trHeight w:val="227"/>
          <w:jc w:val="center"/>
        </w:trPr>
        <w:tc>
          <w:tcPr>
            <w:tcW w:w="5852" w:type="dxa"/>
            <w:gridSpan w:val="2"/>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val="en-PH" w:eastAsia="en-PH"/>
              </w:rPr>
              <w:t>General Fund</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eastAsia="en-PH"/>
              </w:rPr>
            </w:pPr>
            <w:r>
              <w:rPr>
                <w:color w:val="000000"/>
                <w:sz w:val="22"/>
                <w:szCs w:val="22"/>
                <w:lang w:eastAsia="en-PH"/>
              </w:rPr>
              <w:t>Other Land Improvements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rPr>
            </w:pPr>
            <w:r>
              <w:rPr>
                <w:color w:val="000000"/>
                <w:sz w:val="22"/>
                <w:szCs w:val="22"/>
                <w:lang w:val="en-PH"/>
              </w:rPr>
              <w:t>P171,504.29</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eastAsia="en-PH"/>
              </w:rPr>
            </w:pPr>
            <w:r>
              <w:rPr>
                <w:color w:val="000000"/>
                <w:sz w:val="22"/>
                <w:szCs w:val="22"/>
                <w:lang w:eastAsia="en-PH"/>
              </w:rPr>
              <w:t>Road Networks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rPr>
            </w:pPr>
            <w:r>
              <w:rPr>
                <w:color w:val="000000"/>
                <w:sz w:val="22"/>
                <w:szCs w:val="22"/>
                <w:lang w:val="en-PH"/>
              </w:rPr>
              <w:t>2,387,852.04</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eastAsia="en-PH"/>
              </w:rPr>
              <w:t>Water Supply Systems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rPr>
            </w:pPr>
            <w:r>
              <w:rPr>
                <w:color w:val="000000"/>
                <w:sz w:val="22"/>
                <w:szCs w:val="22"/>
                <w:lang w:val="en-PH"/>
              </w:rPr>
              <w:t>189,097.82</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eastAsia="en-PH"/>
              </w:rPr>
              <w:t>Buildings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rPr>
            </w:pPr>
            <w:r>
              <w:rPr>
                <w:color w:val="000000"/>
                <w:sz w:val="22"/>
                <w:szCs w:val="22"/>
                <w:lang w:val="en-PH"/>
              </w:rPr>
              <w:t>61,662.20</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Markets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rPr>
            </w:pPr>
            <w:r>
              <w:rPr>
                <w:color w:val="000000"/>
                <w:sz w:val="22"/>
                <w:szCs w:val="22"/>
                <w:lang w:val="en-PH"/>
              </w:rPr>
              <w:t>140,223.20</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Other Structures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rPr>
            </w:pPr>
            <w:r>
              <w:rPr>
                <w:color w:val="000000"/>
                <w:sz w:val="22"/>
                <w:szCs w:val="22"/>
                <w:lang w:val="en-PH"/>
              </w:rPr>
              <w:t>226,609.45</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bCs/>
                <w:i/>
                <w:iCs/>
                <w:color w:val="000000"/>
                <w:sz w:val="22"/>
                <w:szCs w:val="22"/>
                <w:lang w:val="en-PH" w:eastAsia="en-PH"/>
              </w:rPr>
            </w:pPr>
            <w:r>
              <w:rPr>
                <w:b/>
                <w:bCs/>
                <w:i/>
                <w:iCs/>
                <w:color w:val="000000"/>
                <w:sz w:val="22"/>
                <w:szCs w:val="22"/>
                <w:lang w:val="en-PH" w:eastAsia="en-PH"/>
              </w:rPr>
              <w:t>Sub-total</w:t>
            </w:r>
          </w:p>
        </w:tc>
        <w:tc>
          <w:tcPr>
            <w:tcW w:w="1933" w:type="dxa"/>
            <w:tcBorders>
              <w:top w:val="nil"/>
              <w:left w:val="nil"/>
              <w:bottom w:val="single" w:sz="4" w:space="0" w:color="auto"/>
              <w:right w:val="single" w:sz="4" w:space="0" w:color="auto"/>
            </w:tcBorders>
            <w:shd w:val="clear" w:color="auto" w:fill="auto"/>
            <w:noWrap/>
            <w:vAlign w:val="bottom"/>
          </w:tcPr>
          <w:p>
            <w:pPr>
              <w:spacing w:line="276" w:lineRule="auto"/>
              <w:jc w:val="right"/>
              <w:rPr>
                <w:b/>
                <w:bCs/>
                <w:i/>
                <w:color w:val="000000"/>
                <w:sz w:val="22"/>
                <w:szCs w:val="22"/>
                <w:lang w:val="en-PH" w:eastAsia="en-PH"/>
              </w:rPr>
            </w:pPr>
            <w:r>
              <w:rPr>
                <w:b/>
                <w:bCs/>
                <w:i/>
                <w:color w:val="000000"/>
                <w:sz w:val="22"/>
                <w:szCs w:val="22"/>
                <w:lang w:val="en-PH" w:eastAsia="en-PH"/>
              </w:rPr>
              <w:t>3,176,948.99</w:t>
            </w:r>
          </w:p>
        </w:tc>
      </w:tr>
      <w:tr>
        <w:trPr>
          <w:trHeight w:val="227"/>
          <w:jc w:val="center"/>
        </w:trPr>
        <w:tc>
          <w:tcPr>
            <w:tcW w:w="5852" w:type="dxa"/>
            <w:gridSpan w:val="2"/>
            <w:tcBorders>
              <w:top w:val="nil"/>
              <w:left w:val="single" w:sz="4" w:space="0" w:color="auto"/>
              <w:bottom w:val="single" w:sz="4" w:space="0" w:color="auto"/>
              <w:right w:val="single" w:sz="4" w:space="0" w:color="auto"/>
            </w:tcBorders>
            <w:shd w:val="clear" w:color="auto" w:fill="auto"/>
            <w:vAlign w:val="center"/>
          </w:tcPr>
          <w:p>
            <w:pPr>
              <w:spacing w:line="276" w:lineRule="auto"/>
              <w:jc w:val="center"/>
              <w:rPr>
                <w:b/>
                <w:bCs/>
                <w:color w:val="000000"/>
                <w:sz w:val="22"/>
                <w:szCs w:val="22"/>
                <w:lang w:val="en-PH" w:eastAsia="en-PH"/>
              </w:rPr>
            </w:pPr>
            <w:r>
              <w:rPr>
                <w:b/>
                <w:bCs/>
                <w:color w:val="000000"/>
                <w:sz w:val="22"/>
                <w:szCs w:val="22"/>
                <w:lang w:val="en-PH" w:eastAsia="en-PH"/>
              </w:rPr>
              <w:t>Special Education Fund</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vAlign w:val="center"/>
          </w:tcPr>
          <w:p>
            <w:pPr>
              <w:spacing w:line="276" w:lineRule="auto"/>
              <w:rPr>
                <w:b/>
                <w:bCs/>
                <w:color w:val="000000"/>
                <w:sz w:val="22"/>
                <w:szCs w:val="22"/>
                <w:lang w:val="en-PH" w:eastAsia="en-PH"/>
              </w:rPr>
            </w:pPr>
            <w:r>
              <w:rPr>
                <w:color w:val="000000"/>
                <w:sz w:val="22"/>
                <w:szCs w:val="22"/>
                <w:lang w:val="en-PH" w:eastAsia="en-PH"/>
              </w:rPr>
              <w:t>Other Land Improvements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891,131.83</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vAlign w:val="center"/>
          </w:tcPr>
          <w:p>
            <w:pPr>
              <w:spacing w:line="276" w:lineRule="auto"/>
              <w:rPr>
                <w:b/>
                <w:bCs/>
                <w:color w:val="000000"/>
                <w:sz w:val="22"/>
                <w:szCs w:val="22"/>
                <w:lang w:val="en-PH" w:eastAsia="en-PH"/>
              </w:rPr>
            </w:pPr>
            <w:r>
              <w:rPr>
                <w:color w:val="000000"/>
                <w:sz w:val="22"/>
                <w:szCs w:val="22"/>
                <w:lang w:val="en-PH" w:eastAsia="en-PH"/>
              </w:rPr>
              <w:t>Water Supply Systems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161,608.12</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vAlign w:val="center"/>
          </w:tcPr>
          <w:p>
            <w:pPr>
              <w:spacing w:line="276" w:lineRule="auto"/>
              <w:rPr>
                <w:b/>
                <w:bCs/>
                <w:color w:val="000000"/>
                <w:sz w:val="22"/>
                <w:szCs w:val="22"/>
                <w:lang w:val="en-PH" w:eastAsia="en-PH"/>
              </w:rPr>
            </w:pPr>
            <w:r>
              <w:rPr>
                <w:color w:val="000000"/>
                <w:sz w:val="22"/>
                <w:szCs w:val="22"/>
                <w:lang w:val="en-PH" w:eastAsia="en-PH"/>
              </w:rPr>
              <w:t>School Buildings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302,177.72</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vAlign w:val="center"/>
          </w:tcPr>
          <w:p>
            <w:pPr>
              <w:spacing w:line="276" w:lineRule="auto"/>
              <w:rPr>
                <w:b/>
                <w:bCs/>
                <w:color w:val="000000"/>
                <w:sz w:val="22"/>
                <w:szCs w:val="22"/>
                <w:lang w:val="en-PH" w:eastAsia="en-PH"/>
              </w:rPr>
            </w:pPr>
            <w:r>
              <w:rPr>
                <w:color w:val="000000"/>
                <w:sz w:val="22"/>
                <w:szCs w:val="22"/>
                <w:lang w:val="en-PH" w:eastAsia="en-PH"/>
              </w:rPr>
              <w:t>Other Structures</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color w:val="000000"/>
                <w:sz w:val="22"/>
                <w:szCs w:val="22"/>
                <w:lang w:val="en-PH" w:eastAsia="en-PH"/>
              </w:rPr>
            </w:pPr>
            <w:r>
              <w:rPr>
                <w:color w:val="000000"/>
                <w:sz w:val="22"/>
                <w:szCs w:val="22"/>
                <w:lang w:val="en-PH" w:eastAsia="en-PH"/>
              </w:rPr>
              <w:t>16,887.39</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vAlign w:val="bottom"/>
          </w:tcPr>
          <w:p>
            <w:pPr>
              <w:spacing w:line="276" w:lineRule="auto"/>
              <w:rPr>
                <w:b/>
                <w:bCs/>
                <w:i/>
                <w:color w:val="000000"/>
                <w:sz w:val="22"/>
                <w:szCs w:val="22"/>
                <w:lang w:val="en-PH" w:eastAsia="en-PH"/>
              </w:rPr>
            </w:pPr>
            <w:r>
              <w:rPr>
                <w:b/>
                <w:bCs/>
                <w:i/>
                <w:iCs/>
                <w:color w:val="000000"/>
                <w:sz w:val="22"/>
                <w:szCs w:val="22"/>
                <w:lang w:val="en-PH" w:eastAsia="en-PH"/>
              </w:rPr>
              <w:t>Sub-total</w:t>
            </w:r>
          </w:p>
        </w:tc>
        <w:tc>
          <w:tcPr>
            <w:tcW w:w="1933" w:type="dxa"/>
            <w:tcBorders>
              <w:top w:val="nil"/>
              <w:left w:val="nil"/>
              <w:bottom w:val="single" w:sz="4" w:space="0" w:color="auto"/>
              <w:right w:val="single" w:sz="4" w:space="0" w:color="auto"/>
            </w:tcBorders>
            <w:shd w:val="clear" w:color="auto" w:fill="auto"/>
            <w:vAlign w:val="center"/>
          </w:tcPr>
          <w:p>
            <w:pPr>
              <w:spacing w:line="276" w:lineRule="auto"/>
              <w:jc w:val="right"/>
              <w:rPr>
                <w:b/>
                <w:bCs/>
                <w:i/>
                <w:color w:val="000000"/>
                <w:sz w:val="22"/>
                <w:szCs w:val="22"/>
                <w:lang w:val="en-PH" w:eastAsia="en-PH"/>
              </w:rPr>
            </w:pPr>
            <w:r>
              <w:rPr>
                <w:b/>
                <w:bCs/>
                <w:i/>
                <w:color w:val="000000"/>
                <w:sz w:val="22"/>
                <w:szCs w:val="22"/>
                <w:lang w:val="en-PH" w:eastAsia="en-PH"/>
              </w:rPr>
              <w:t>1,371,805.06</w:t>
            </w:r>
          </w:p>
        </w:tc>
      </w:tr>
      <w:tr>
        <w:trPr>
          <w:trHeight w:val="227"/>
          <w:jc w:val="center"/>
        </w:trPr>
        <w:tc>
          <w:tcPr>
            <w:tcW w:w="5852" w:type="dxa"/>
            <w:gridSpan w:val="2"/>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center"/>
              <w:rPr>
                <w:color w:val="000000"/>
                <w:sz w:val="22"/>
                <w:szCs w:val="22"/>
                <w:lang w:val="en-PH" w:eastAsia="en-PH"/>
              </w:rPr>
            </w:pPr>
            <w:r>
              <w:rPr>
                <w:b/>
                <w:bCs/>
                <w:color w:val="000000"/>
                <w:sz w:val="22"/>
                <w:szCs w:val="22"/>
                <w:lang w:val="en-PH" w:eastAsia="en-PH"/>
              </w:rPr>
              <w:t>Trust Fund</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Other Land Improvements</w:t>
            </w:r>
          </w:p>
        </w:tc>
        <w:tc>
          <w:tcPr>
            <w:tcW w:w="1933"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312,403.13</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Road Networks</w:t>
            </w:r>
          </w:p>
        </w:tc>
        <w:tc>
          <w:tcPr>
            <w:tcW w:w="1933"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371,313.45</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Sewer Systems</w:t>
            </w:r>
          </w:p>
        </w:tc>
        <w:tc>
          <w:tcPr>
            <w:tcW w:w="1933"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0.00</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Hospitals and Health Centers</w:t>
            </w:r>
          </w:p>
        </w:tc>
        <w:tc>
          <w:tcPr>
            <w:tcW w:w="1933"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6,412.64</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tcPr>
          <w:p>
            <w:pPr>
              <w:spacing w:line="276" w:lineRule="auto"/>
              <w:rPr>
                <w:color w:val="000000"/>
                <w:sz w:val="22"/>
                <w:szCs w:val="22"/>
                <w:lang w:val="en-PH" w:eastAsia="en-PH"/>
              </w:rPr>
            </w:pPr>
            <w:r>
              <w:rPr>
                <w:color w:val="000000"/>
                <w:sz w:val="22"/>
                <w:szCs w:val="22"/>
                <w:lang w:val="en-PH" w:eastAsia="en-PH"/>
              </w:rPr>
              <w:t>Other Structures</w:t>
            </w:r>
          </w:p>
        </w:tc>
        <w:tc>
          <w:tcPr>
            <w:tcW w:w="1933" w:type="dxa"/>
            <w:tcBorders>
              <w:top w:val="nil"/>
              <w:left w:val="nil"/>
              <w:bottom w:val="single" w:sz="4" w:space="0" w:color="auto"/>
              <w:right w:val="single" w:sz="4" w:space="0" w:color="auto"/>
            </w:tcBorders>
            <w:shd w:val="clear" w:color="auto" w:fill="auto"/>
            <w:noWrap/>
            <w:vAlign w:val="bottom"/>
          </w:tcPr>
          <w:p>
            <w:pPr>
              <w:spacing w:line="276" w:lineRule="auto"/>
              <w:jc w:val="right"/>
              <w:rPr>
                <w:color w:val="000000"/>
                <w:sz w:val="22"/>
                <w:szCs w:val="22"/>
                <w:lang w:val="en-PH" w:eastAsia="en-PH"/>
              </w:rPr>
            </w:pPr>
            <w:r>
              <w:rPr>
                <w:color w:val="000000"/>
                <w:sz w:val="22"/>
                <w:szCs w:val="22"/>
                <w:lang w:val="en-PH" w:eastAsia="en-PH"/>
              </w:rPr>
              <w:t>5,472.36</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bCs/>
                <w:i/>
                <w:iCs/>
                <w:color w:val="000000"/>
                <w:sz w:val="22"/>
                <w:szCs w:val="22"/>
                <w:lang w:val="en-PH" w:eastAsia="en-PH"/>
              </w:rPr>
            </w:pPr>
            <w:r>
              <w:rPr>
                <w:b/>
                <w:bCs/>
                <w:i/>
                <w:iCs/>
                <w:color w:val="000000"/>
                <w:sz w:val="22"/>
                <w:szCs w:val="22"/>
                <w:lang w:val="en-PH" w:eastAsia="en-PH"/>
              </w:rPr>
              <w:t>Sub-total</w:t>
            </w:r>
          </w:p>
        </w:tc>
        <w:tc>
          <w:tcPr>
            <w:tcW w:w="1933" w:type="dxa"/>
            <w:tcBorders>
              <w:top w:val="nil"/>
              <w:left w:val="nil"/>
              <w:bottom w:val="single" w:sz="4" w:space="0" w:color="auto"/>
              <w:right w:val="single" w:sz="4" w:space="0" w:color="auto"/>
            </w:tcBorders>
            <w:shd w:val="clear" w:color="auto" w:fill="auto"/>
            <w:noWrap/>
            <w:vAlign w:val="bottom"/>
          </w:tcPr>
          <w:p>
            <w:pPr>
              <w:spacing w:line="276" w:lineRule="auto"/>
              <w:jc w:val="right"/>
              <w:rPr>
                <w:b/>
                <w:bCs/>
                <w:i/>
                <w:color w:val="000000"/>
                <w:sz w:val="22"/>
                <w:szCs w:val="22"/>
                <w:lang w:val="en-PH" w:eastAsia="en-PH"/>
              </w:rPr>
            </w:pPr>
            <w:r>
              <w:rPr>
                <w:b/>
                <w:bCs/>
                <w:i/>
                <w:color w:val="000000"/>
                <w:sz w:val="22"/>
                <w:szCs w:val="22"/>
                <w:lang w:val="en-PH" w:eastAsia="en-PH"/>
              </w:rPr>
              <w:t>695,601.59</w:t>
            </w:r>
          </w:p>
        </w:tc>
      </w:tr>
      <w:tr>
        <w:trPr>
          <w:trHeight w:val="227"/>
          <w:jc w:val="center"/>
        </w:trPr>
        <w:tc>
          <w:tcPr>
            <w:tcW w:w="3919"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bCs/>
                <w:color w:val="000000"/>
                <w:sz w:val="22"/>
                <w:szCs w:val="22"/>
                <w:lang w:val="en-PH" w:eastAsia="en-PH"/>
              </w:rPr>
            </w:pPr>
            <w:r>
              <w:rPr>
                <w:b/>
                <w:bCs/>
                <w:color w:val="000000"/>
                <w:sz w:val="22"/>
                <w:szCs w:val="22"/>
                <w:lang w:val="en-PH" w:eastAsia="en-PH"/>
              </w:rPr>
              <w:t>Grand total</w:t>
            </w:r>
          </w:p>
        </w:tc>
        <w:tc>
          <w:tcPr>
            <w:tcW w:w="1933" w:type="dxa"/>
            <w:tcBorders>
              <w:top w:val="nil"/>
              <w:left w:val="nil"/>
              <w:bottom w:val="single" w:sz="4" w:space="0" w:color="auto"/>
              <w:right w:val="single" w:sz="4" w:space="0" w:color="auto"/>
            </w:tcBorders>
            <w:shd w:val="clear" w:color="auto" w:fill="auto"/>
            <w:noWrap/>
            <w:vAlign w:val="bottom"/>
          </w:tcPr>
          <w:p>
            <w:pPr>
              <w:spacing w:line="276" w:lineRule="auto"/>
              <w:jc w:val="right"/>
              <w:rPr>
                <w:b/>
                <w:bCs/>
                <w:color w:val="000000"/>
                <w:sz w:val="22"/>
                <w:szCs w:val="22"/>
                <w:lang w:val="en-PH" w:eastAsia="en-PH"/>
              </w:rPr>
            </w:pPr>
            <w:r>
              <w:rPr>
                <w:b/>
                <w:bCs/>
                <w:color w:val="000000"/>
                <w:sz w:val="22"/>
                <w:szCs w:val="22"/>
                <w:lang w:val="en-PH" w:eastAsia="en-PH"/>
              </w:rPr>
              <w:t>P5,244,355.64</w:t>
            </w:r>
          </w:p>
        </w:tc>
      </w:tr>
    </w:tbl>
    <w:p>
      <w:pPr>
        <w:autoSpaceDE w:val="0"/>
        <w:autoSpaceDN w:val="0"/>
        <w:adjustRightInd w:val="0"/>
        <w:spacing w:line="276" w:lineRule="auto"/>
        <w:jc w:val="both"/>
        <w:rPr>
          <w:lang w:val="en-PH"/>
        </w:rPr>
      </w:pPr>
    </w:p>
    <w:p>
      <w:pPr>
        <w:autoSpaceDE w:val="0"/>
        <w:autoSpaceDN w:val="0"/>
        <w:adjustRightInd w:val="0"/>
        <w:spacing w:line="276" w:lineRule="auto"/>
        <w:jc w:val="both"/>
        <w:rPr>
          <w:lang w:val="en-PH"/>
        </w:rPr>
      </w:pPr>
      <w:r>
        <w:t xml:space="preserve">The foregoing conditions is contrary to the provision of Section 50, Volume I, of NGAS Manual which provides that as soon as the project is completed it should be closed to an appropriate asset account. Moreover, the </w:t>
      </w:r>
      <w:r>
        <w:rPr>
          <w:lang w:val="en-PH"/>
        </w:rPr>
        <w:t xml:space="preserve">Property, Plant and Equipment and Equity Accounts of the agency is overstated by at least P5,244,355.64, thus </w:t>
      </w:r>
      <w:r>
        <w:t xml:space="preserve">affecting the fair presentation of financial statements as at December 31, 2022. </w:t>
      </w:r>
      <w:r>
        <w:rPr>
          <w:lang w:val="en-PH"/>
        </w:rPr>
        <w:t xml:space="preserve">This observation has already been noted in CY 2021 yet a similar deficiency is still observed in the current year, hence, this reiteration. </w:t>
      </w:r>
    </w:p>
    <w:p>
      <w:pPr>
        <w:pStyle w:val="ListParagraph"/>
        <w:spacing w:after="0"/>
        <w:ind w:left="0"/>
        <w:jc w:val="both"/>
        <w:rPr>
          <w:rFonts w:ascii="Times New Roman" w:hAnsi="Times New Roman"/>
          <w:sz w:val="24"/>
          <w:szCs w:val="24"/>
        </w:rPr>
      </w:pPr>
    </w:p>
    <w:p>
      <w:pPr>
        <w:spacing w:line="276" w:lineRule="auto"/>
        <w:jc w:val="both"/>
        <w:rPr>
          <w:b/>
          <w:lang w:val="en-PH"/>
        </w:rPr>
      </w:pPr>
      <w:r>
        <w:rPr>
          <w:b/>
        </w:rPr>
        <w:t>Recommendations:</w:t>
      </w:r>
    </w:p>
    <w:p>
      <w:pPr>
        <w:spacing w:line="276" w:lineRule="auto"/>
        <w:jc w:val="both"/>
        <w:rPr>
          <w:b/>
        </w:rPr>
      </w:pPr>
    </w:p>
    <w:p>
      <w:pPr>
        <w:autoSpaceDE w:val="0"/>
        <w:autoSpaceDN w:val="0"/>
        <w:adjustRightInd w:val="0"/>
        <w:spacing w:line="276" w:lineRule="auto"/>
        <w:jc w:val="both"/>
        <w:rPr>
          <w:rFonts w:eastAsia="Calibri"/>
          <w:bCs/>
        </w:rPr>
      </w:pPr>
      <w:r>
        <w:rPr>
          <w:rFonts w:eastAsia="Calibri"/>
          <w:bCs/>
        </w:rPr>
        <w:t xml:space="preserve">We recommended the City Mayor to: </w:t>
      </w:r>
    </w:p>
    <w:p>
      <w:pPr>
        <w:autoSpaceDE w:val="0"/>
        <w:autoSpaceDN w:val="0"/>
        <w:adjustRightInd w:val="0"/>
        <w:spacing w:line="276" w:lineRule="auto"/>
        <w:ind w:firstLine="720"/>
        <w:jc w:val="both"/>
        <w:rPr>
          <w:rFonts w:eastAsia="Calibri"/>
          <w:bCs/>
        </w:rPr>
      </w:pPr>
    </w:p>
    <w:p>
      <w:pPr>
        <w:numPr>
          <w:ilvl w:val="0"/>
          <w:numId w:val="15"/>
        </w:numPr>
        <w:autoSpaceDE w:val="0"/>
        <w:autoSpaceDN w:val="0"/>
        <w:adjustRightInd w:val="0"/>
        <w:spacing w:line="276" w:lineRule="auto"/>
        <w:ind w:left="360"/>
        <w:contextualSpacing/>
        <w:jc w:val="both"/>
        <w:rPr>
          <w:rFonts w:eastAsia="Calibri"/>
          <w:bCs/>
          <w:color w:val="000000"/>
        </w:rPr>
      </w:pPr>
      <w:r>
        <w:rPr>
          <w:rFonts w:eastAsia="Calibri"/>
          <w:bCs/>
        </w:rPr>
        <w:lastRenderedPageBreak/>
        <w:t>Direct the City Accounting Office and the City Engineer’s Office to coordinate on the retrieval of the necessary supporting documents (i.e. Certificates of Completion, Certificates of Acceptance, etc.) in order to reclassify the items recorded under CIP accounts to the appropriate asset accounts most especially those completed in CY 2021 and below;</w:t>
      </w:r>
    </w:p>
    <w:p>
      <w:pPr>
        <w:autoSpaceDE w:val="0"/>
        <w:autoSpaceDN w:val="0"/>
        <w:adjustRightInd w:val="0"/>
        <w:spacing w:line="276" w:lineRule="auto"/>
        <w:ind w:left="360"/>
        <w:contextualSpacing/>
        <w:jc w:val="both"/>
        <w:rPr>
          <w:rFonts w:eastAsia="Calibri"/>
          <w:bCs/>
          <w:color w:val="000000"/>
        </w:rPr>
      </w:pPr>
    </w:p>
    <w:p>
      <w:pPr>
        <w:numPr>
          <w:ilvl w:val="0"/>
          <w:numId w:val="15"/>
        </w:numPr>
        <w:autoSpaceDE w:val="0"/>
        <w:autoSpaceDN w:val="0"/>
        <w:adjustRightInd w:val="0"/>
        <w:spacing w:line="276" w:lineRule="auto"/>
        <w:ind w:left="360"/>
        <w:contextualSpacing/>
        <w:jc w:val="both"/>
        <w:rPr>
          <w:rFonts w:eastAsia="Calibri"/>
          <w:bCs/>
          <w:color w:val="000000"/>
        </w:rPr>
      </w:pPr>
      <w:r>
        <w:rPr>
          <w:rFonts w:eastAsia="Calibri"/>
          <w:bCs/>
        </w:rPr>
        <w:t xml:space="preserve">Direct the CEO to timely submit the necessary documents such as Certificates of Completion, Certificates of Acceptance and other supporting documents upon completion of the project in order for the immediate reclassification the CIP accounts to its appropriate asset accounts; </w:t>
      </w:r>
    </w:p>
    <w:p>
      <w:pPr>
        <w:spacing w:line="276" w:lineRule="auto"/>
        <w:ind w:left="360"/>
        <w:contextualSpacing/>
        <w:rPr>
          <w:rFonts w:eastAsia="Calibri"/>
          <w:bCs/>
          <w:color w:val="000000"/>
        </w:rPr>
      </w:pPr>
    </w:p>
    <w:p>
      <w:pPr>
        <w:numPr>
          <w:ilvl w:val="0"/>
          <w:numId w:val="15"/>
        </w:numPr>
        <w:autoSpaceDE w:val="0"/>
        <w:autoSpaceDN w:val="0"/>
        <w:adjustRightInd w:val="0"/>
        <w:spacing w:line="276" w:lineRule="auto"/>
        <w:ind w:left="360"/>
        <w:contextualSpacing/>
        <w:jc w:val="both"/>
        <w:rPr>
          <w:rFonts w:eastAsia="Calibri"/>
          <w:bCs/>
          <w:color w:val="000000"/>
        </w:rPr>
      </w:pPr>
      <w:r>
        <w:rPr>
          <w:rFonts w:eastAsia="Calibri"/>
          <w:bCs/>
          <w:color w:val="000000"/>
        </w:rPr>
        <w:t xml:space="preserve">Direct the CEO to exert diligent efforts in locating the documents </w:t>
      </w:r>
      <w:r>
        <w:rPr>
          <w:rFonts w:eastAsia="Calibri"/>
          <w:bCs/>
        </w:rPr>
        <w:t xml:space="preserve">(i.e. Certificates of Completion, Certificates of Acceptance, etc.) </w:t>
      </w:r>
      <w:r>
        <w:rPr>
          <w:rFonts w:eastAsia="Calibri"/>
          <w:bCs/>
          <w:color w:val="000000"/>
        </w:rPr>
        <w:t xml:space="preserve">to ascertain the completion of those projects with no provided exact date of completion and submit the same to CAO for proper reclassification and provision of depreciation; and </w:t>
      </w:r>
    </w:p>
    <w:p>
      <w:pPr>
        <w:autoSpaceDE w:val="0"/>
        <w:autoSpaceDN w:val="0"/>
        <w:adjustRightInd w:val="0"/>
        <w:spacing w:line="276" w:lineRule="auto"/>
        <w:ind w:left="360" w:firstLine="720"/>
        <w:jc w:val="both"/>
        <w:rPr>
          <w:rFonts w:eastAsia="Calibri"/>
          <w:bCs/>
        </w:rPr>
      </w:pPr>
    </w:p>
    <w:p>
      <w:pPr>
        <w:numPr>
          <w:ilvl w:val="0"/>
          <w:numId w:val="15"/>
        </w:numPr>
        <w:autoSpaceDE w:val="0"/>
        <w:autoSpaceDN w:val="0"/>
        <w:adjustRightInd w:val="0"/>
        <w:spacing w:line="276" w:lineRule="auto"/>
        <w:ind w:left="360"/>
        <w:contextualSpacing/>
        <w:jc w:val="both"/>
        <w:rPr>
          <w:rFonts w:eastAsia="Calibri"/>
          <w:bCs/>
        </w:rPr>
      </w:pPr>
      <w:r>
        <w:rPr>
          <w:rFonts w:eastAsia="Calibri"/>
          <w:bCs/>
        </w:rPr>
        <w:t>Direct the City Accountant to prepare the necessary adjusting entries to reclassify the CIP account to its appropriate asset account upon receipt of necessary documents and to record the appropriate depreciation expenses.</w:t>
      </w:r>
    </w:p>
    <w:p>
      <w:pPr>
        <w:spacing w:line="276" w:lineRule="auto"/>
        <w:jc w:val="both"/>
        <w:rPr>
          <w:b/>
        </w:rPr>
      </w:pPr>
    </w:p>
    <w:p>
      <w:pPr>
        <w:spacing w:line="276" w:lineRule="auto"/>
        <w:ind w:right="162"/>
        <w:jc w:val="both"/>
        <w:rPr>
          <w:b/>
          <w:bCs/>
        </w:rPr>
      </w:pPr>
      <w:r>
        <w:rPr>
          <w:b/>
          <w:bCs/>
        </w:rPr>
        <w:t>Management’s Comments:</w:t>
      </w:r>
    </w:p>
    <w:p>
      <w:pPr>
        <w:spacing w:line="276" w:lineRule="auto"/>
        <w:jc w:val="both"/>
        <w:rPr>
          <w:b/>
        </w:rPr>
      </w:pPr>
    </w:p>
    <w:p>
      <w:pPr>
        <w:spacing w:line="276" w:lineRule="auto"/>
        <w:jc w:val="both"/>
      </w:pPr>
      <w:r>
        <w:t>The management was partly amenable to the audit observations and recommendations. Further, they justified that CAO records the completion of infrastructure project based on the final payment rather than the physical completion date. This means that the project needs to be paid in full before it will be reclassified to its proper asset account. Nevertheless, the CAO assured that the depreciation will be based on the completion date and will be computed on a retrospective basis.</w:t>
      </w:r>
    </w:p>
    <w:p>
      <w:pPr>
        <w:spacing w:line="276" w:lineRule="auto"/>
        <w:jc w:val="both"/>
      </w:pPr>
    </w:p>
    <w:p>
      <w:pPr>
        <w:spacing w:line="276" w:lineRule="auto"/>
        <w:jc w:val="both"/>
      </w:pPr>
      <w:r>
        <w:t>CAO added that their office is closely monitoring all the projects that were still recorded in the Construction in Progress account. Furthermore, some of the noted items were already adjusted in the books of accounts during the transaction month of January 2023 as per the data provided in the computed depreciation schedule above. They also committed to ensuring that, through proper coordination with the concerned offices, there will be no old projects be remained in the CIP accounts.</w:t>
      </w:r>
    </w:p>
    <w:p>
      <w:pPr>
        <w:spacing w:line="276" w:lineRule="auto"/>
        <w:jc w:val="both"/>
      </w:pPr>
    </w:p>
    <w:p>
      <w:pPr>
        <w:spacing w:line="276" w:lineRule="auto"/>
        <w:jc w:val="both"/>
      </w:pPr>
      <w:r>
        <w:t>CEO has requested an extension to submit their reply to the Audit Observation Memorandum. However, as of date of the report, the audit team has not yet received a reply.</w:t>
      </w:r>
    </w:p>
    <w:p>
      <w:pPr>
        <w:spacing w:line="276" w:lineRule="auto"/>
        <w:jc w:val="both"/>
        <w:rPr>
          <w:b/>
          <w:bCs/>
        </w:rPr>
      </w:pPr>
    </w:p>
    <w:p>
      <w:pPr>
        <w:spacing w:line="276" w:lineRule="auto"/>
        <w:jc w:val="both"/>
        <w:rPr>
          <w:b/>
          <w:bCs/>
        </w:rPr>
      </w:pPr>
      <w:r>
        <w:rPr>
          <w:b/>
          <w:bCs/>
        </w:rPr>
        <w:lastRenderedPageBreak/>
        <w:t>Auditor’s Rejoinder:</w:t>
      </w:r>
    </w:p>
    <w:p>
      <w:pPr>
        <w:pStyle w:val="ListParagraph"/>
        <w:spacing w:after="0"/>
        <w:ind w:left="0" w:right="162"/>
        <w:jc w:val="both"/>
        <w:rPr>
          <w:rFonts w:ascii="Times New Roman" w:eastAsia="Times New Roman" w:hAnsi="Times New Roman"/>
          <w:b/>
          <w:bCs/>
          <w:sz w:val="24"/>
          <w:szCs w:val="24"/>
          <w:lang w:val="en-US"/>
        </w:rPr>
      </w:pPr>
    </w:p>
    <w:p>
      <w:pPr>
        <w:pStyle w:val="ListParagraph"/>
        <w:spacing w:after="0"/>
        <w:ind w:left="0" w:right="162"/>
        <w:jc w:val="both"/>
        <w:rPr>
          <w:rFonts w:ascii="Times New Roman" w:eastAsia="Times New Roman" w:hAnsi="Times New Roman"/>
          <w:bCs/>
          <w:sz w:val="24"/>
          <w:szCs w:val="24"/>
          <w:lang w:val="en-US"/>
        </w:rPr>
      </w:pPr>
      <w:r>
        <w:rPr>
          <w:rFonts w:ascii="Times New Roman" w:eastAsia="Times New Roman" w:hAnsi="Times New Roman"/>
          <w:bCs/>
          <w:sz w:val="24"/>
          <w:szCs w:val="24"/>
          <w:lang w:val="en-US"/>
        </w:rPr>
        <w:t>The recognition of the completion of infrastructure project should be on the date when the infrastructure assets are ready for use by the intended users. It should be on the date of turn-over by contractor and acceptance by the implementing office, since the latter should not accept the same and certify its completion if it is not yet ready for occupancy or utilization.</w:t>
      </w:r>
    </w:p>
    <w:p>
      <w:pPr>
        <w:pStyle w:val="ListParagraph"/>
        <w:spacing w:after="0"/>
        <w:ind w:left="0" w:right="162"/>
        <w:jc w:val="both"/>
        <w:rPr>
          <w:rFonts w:ascii="Times New Roman" w:eastAsia="Times New Roman" w:hAnsi="Times New Roman"/>
          <w:bCs/>
          <w:sz w:val="24"/>
          <w:szCs w:val="24"/>
          <w:lang w:val="en-US"/>
        </w:rPr>
      </w:pPr>
    </w:p>
    <w:p>
      <w:pPr>
        <w:pStyle w:val="ListParagraph"/>
        <w:spacing w:after="0"/>
        <w:ind w:left="0" w:right="162"/>
        <w:jc w:val="both"/>
        <w:rPr>
          <w:rFonts w:ascii="Times New Roman" w:eastAsia="Times New Roman" w:hAnsi="Times New Roman"/>
          <w:bCs/>
          <w:sz w:val="24"/>
          <w:szCs w:val="24"/>
          <w:lang w:val="en-US"/>
        </w:rPr>
      </w:pPr>
      <w:r>
        <w:rPr>
          <w:rFonts w:ascii="Times New Roman" w:eastAsia="Times New Roman" w:hAnsi="Times New Roman"/>
          <w:bCs/>
          <w:sz w:val="24"/>
          <w:szCs w:val="24"/>
          <w:lang w:val="en-US"/>
        </w:rPr>
        <w:t>The recognition of completion of infrastructure upon final payment can be applied if it is paid within the fiscal year. However, it cannot be applied when final payment is made in the succeeding fiscal year after the end of reporting date of the financial statements since PPE items and attributable depreciation expenses as of year-end is not recognized which contravenes management’s assertion on completeness. Thus, at year-end, the CAO should verify with CEO and other implementing offices if infrastructure projects in the CIP accounts have already been turned-over by contractor and accepted and certified complete by the CEO and concerned implementing office, for the proper recognition of assets and expenses.</w:t>
      </w:r>
    </w:p>
    <w:p>
      <w:pPr>
        <w:pStyle w:val="ListParagraph"/>
        <w:spacing w:after="0"/>
        <w:ind w:left="0" w:right="162"/>
        <w:jc w:val="both"/>
        <w:rPr>
          <w:rFonts w:ascii="Times New Roman" w:hAnsi="Times New Roman"/>
          <w:b/>
          <w:bCs/>
          <w:sz w:val="24"/>
          <w:szCs w:val="24"/>
        </w:rPr>
      </w:pPr>
    </w:p>
    <w:p>
      <w:pPr>
        <w:pStyle w:val="ListParagraph"/>
        <w:spacing w:after="0"/>
        <w:ind w:left="0" w:right="162"/>
        <w:jc w:val="both"/>
        <w:rPr>
          <w:rFonts w:ascii="Times New Roman" w:hAnsi="Times New Roman"/>
          <w:b/>
          <w:bCs/>
          <w:sz w:val="24"/>
          <w:szCs w:val="24"/>
        </w:rPr>
      </w:pPr>
    </w:p>
    <w:p>
      <w:pPr>
        <w:spacing w:line="276" w:lineRule="auto"/>
        <w:ind w:right="162"/>
        <w:jc w:val="both"/>
        <w:rPr>
          <w:b/>
          <w:i/>
        </w:rPr>
      </w:pPr>
      <w:r>
        <w:rPr>
          <w:b/>
          <w:i/>
        </w:rPr>
        <w:t>Financial Liabilities – Unreliable balance of Accounts Payable</w:t>
      </w:r>
    </w:p>
    <w:p>
      <w:pPr>
        <w:spacing w:line="276" w:lineRule="auto"/>
        <w:ind w:right="162"/>
        <w:jc w:val="both"/>
        <w:rPr>
          <w:b/>
          <w:bCs/>
        </w:rPr>
      </w:pPr>
    </w:p>
    <w:p>
      <w:pPr>
        <w:pStyle w:val="ListParagraph"/>
        <w:numPr>
          <w:ilvl w:val="0"/>
          <w:numId w:val="2"/>
        </w:numPr>
        <w:spacing w:after="0"/>
        <w:ind w:left="0" w:firstLine="0"/>
        <w:jc w:val="both"/>
        <w:rPr>
          <w:rFonts w:ascii="Times New Roman" w:hAnsi="Times New Roman"/>
          <w:b/>
          <w:sz w:val="24"/>
          <w:szCs w:val="24"/>
        </w:rPr>
      </w:pPr>
      <w:bookmarkStart w:id="3" w:name="_Hlk64315721"/>
      <w:r>
        <w:rPr>
          <w:rFonts w:ascii="Times New Roman" w:hAnsi="Times New Roman"/>
          <w:b/>
          <w:sz w:val="24"/>
          <w:szCs w:val="24"/>
        </w:rPr>
        <w:t xml:space="preserve">The accuracy and reliability of the reported balance of the Accounts Payable amounting to P127,625,096.61 as at December 31, 2022 is rendered doubtful due to non-reversion of long outstanding accounts, deficiencies in the supporting documents of existing claims from creditors, and accounts with negative and unverified balances, thereby casting doubts on its fair presentation in the financial statements as at year-end. </w:t>
      </w:r>
    </w:p>
    <w:p>
      <w:pPr>
        <w:spacing w:line="276" w:lineRule="auto"/>
        <w:jc w:val="both"/>
        <w:rPr>
          <w:rFonts w:eastAsia="Calibri"/>
          <w:b/>
          <w:bCs/>
          <w:color w:val="FF0000"/>
        </w:rPr>
      </w:pPr>
    </w:p>
    <w:p>
      <w:pPr>
        <w:spacing w:line="276" w:lineRule="auto"/>
        <w:jc w:val="both"/>
        <w:rPr>
          <w:color w:val="000000"/>
        </w:rPr>
      </w:pPr>
      <w:r>
        <w:rPr>
          <w:color w:val="000000"/>
        </w:rPr>
        <w:t>Section 27 of the International Public-Sector Accounting Standards (IPSAS) 1 provides that:</w:t>
      </w:r>
    </w:p>
    <w:p>
      <w:pPr>
        <w:spacing w:line="276" w:lineRule="auto"/>
        <w:ind w:firstLine="720"/>
        <w:jc w:val="both"/>
        <w:rPr>
          <w:i/>
          <w:color w:val="000000"/>
        </w:rPr>
      </w:pPr>
    </w:p>
    <w:p>
      <w:pPr>
        <w:tabs>
          <w:tab w:val="left" w:pos="8640"/>
        </w:tabs>
        <w:spacing w:line="276" w:lineRule="auto"/>
        <w:ind w:left="709" w:right="702" w:firstLine="11"/>
        <w:jc w:val="both"/>
        <w:rPr>
          <w:color w:val="000000"/>
        </w:rPr>
      </w:pPr>
      <w:r>
        <w:rPr>
          <w:color w:val="000000"/>
        </w:rPr>
        <w:t>Financial statements shall present fairly the financial position, financial performance and cash flow of an entity. Fair presentation requires that faithful representation of the effects of transactions, other events and conditions in accordance with definitions and recognition criteria for assets, liabilities, revenue and expenses set out in IPSASs…</w:t>
      </w:r>
      <w:proofErr w:type="gramStart"/>
      <w:r>
        <w:rPr>
          <w:color w:val="000000"/>
        </w:rPr>
        <w:t>xxx..</w:t>
      </w:r>
      <w:proofErr w:type="gramEnd"/>
    </w:p>
    <w:p>
      <w:pPr>
        <w:tabs>
          <w:tab w:val="left" w:pos="8640"/>
        </w:tabs>
        <w:spacing w:line="276" w:lineRule="auto"/>
        <w:ind w:left="709" w:right="720" w:firstLine="10"/>
        <w:jc w:val="both"/>
        <w:rPr>
          <w:i/>
          <w:color w:val="000000"/>
        </w:rPr>
      </w:pPr>
    </w:p>
    <w:p>
      <w:pPr>
        <w:spacing w:line="276" w:lineRule="auto"/>
        <w:jc w:val="both"/>
        <w:rPr>
          <w:color w:val="000000"/>
        </w:rPr>
      </w:pPr>
      <w:r>
        <w:rPr>
          <w:color w:val="000000"/>
        </w:rPr>
        <w:t>As at December 31, 2022, the presented ending balance of Accounts Payable account of the agency amounted to P127,625,096.61 as shown below:</w:t>
      </w:r>
    </w:p>
    <w:p>
      <w:pPr>
        <w:tabs>
          <w:tab w:val="left" w:pos="8640"/>
        </w:tabs>
        <w:spacing w:line="276" w:lineRule="auto"/>
        <w:ind w:right="720"/>
        <w:jc w:val="both"/>
        <w:rPr>
          <w:color w:val="000000"/>
        </w:rPr>
      </w:pPr>
    </w:p>
    <w:p>
      <w:pPr>
        <w:tabs>
          <w:tab w:val="left" w:pos="8640"/>
        </w:tabs>
        <w:spacing w:line="276" w:lineRule="auto"/>
        <w:ind w:right="720"/>
        <w:jc w:val="both"/>
        <w:rPr>
          <w:i/>
          <w:color w:val="000000"/>
        </w:rPr>
      </w:pPr>
      <w:r>
        <w:rPr>
          <w:i/>
          <w:color w:val="000000"/>
        </w:rPr>
        <w:lastRenderedPageBreak/>
        <w:t>Table 5.1. Accounts Payable as at December 31, 2022</w:t>
      </w:r>
    </w:p>
    <w:tbl>
      <w:tblPr>
        <w:tblStyle w:val="TableGrid27"/>
        <w:tblW w:w="8725" w:type="dxa"/>
        <w:jc w:val="center"/>
        <w:tblLayout w:type="fixed"/>
        <w:tblLook w:val="04A0" w:firstRow="1" w:lastRow="0" w:firstColumn="1" w:lastColumn="0" w:noHBand="0" w:noVBand="1"/>
      </w:tblPr>
      <w:tblGrid>
        <w:gridCol w:w="1975"/>
        <w:gridCol w:w="1620"/>
        <w:gridCol w:w="1710"/>
        <w:gridCol w:w="1620"/>
        <w:gridCol w:w="1800"/>
      </w:tblGrid>
      <w:tr>
        <w:trPr>
          <w:tblHeader/>
          <w:jc w:val="center"/>
        </w:trPr>
        <w:tc>
          <w:tcPr>
            <w:tcW w:w="1975" w:type="dxa"/>
            <w:vAlign w:val="center"/>
          </w:tcPr>
          <w:p>
            <w:pPr>
              <w:tabs>
                <w:tab w:val="left" w:pos="8640"/>
              </w:tabs>
              <w:spacing w:line="276" w:lineRule="auto"/>
              <w:jc w:val="center"/>
              <w:rPr>
                <w:b/>
                <w:color w:val="000000"/>
                <w:sz w:val="22"/>
                <w:szCs w:val="22"/>
                <w:lang w:val="en-US"/>
              </w:rPr>
            </w:pPr>
            <w:r>
              <w:rPr>
                <w:b/>
                <w:color w:val="000000"/>
                <w:sz w:val="22"/>
                <w:szCs w:val="22"/>
                <w:lang w:val="en-US"/>
              </w:rPr>
              <w:t>Fund</w:t>
            </w:r>
          </w:p>
        </w:tc>
        <w:tc>
          <w:tcPr>
            <w:tcW w:w="1620" w:type="dxa"/>
            <w:vAlign w:val="center"/>
          </w:tcPr>
          <w:p>
            <w:pPr>
              <w:tabs>
                <w:tab w:val="left" w:pos="8640"/>
              </w:tabs>
              <w:spacing w:line="276" w:lineRule="auto"/>
              <w:jc w:val="center"/>
              <w:rPr>
                <w:b/>
                <w:color w:val="000000"/>
                <w:sz w:val="22"/>
                <w:szCs w:val="22"/>
                <w:lang w:val="en-US"/>
              </w:rPr>
            </w:pPr>
            <w:r>
              <w:rPr>
                <w:b/>
                <w:color w:val="000000"/>
                <w:sz w:val="22"/>
                <w:szCs w:val="22"/>
                <w:lang w:val="en-US"/>
              </w:rPr>
              <w:t>General Fund</w:t>
            </w:r>
          </w:p>
        </w:tc>
        <w:tc>
          <w:tcPr>
            <w:tcW w:w="1710" w:type="dxa"/>
            <w:vAlign w:val="center"/>
          </w:tcPr>
          <w:p>
            <w:pPr>
              <w:tabs>
                <w:tab w:val="left" w:pos="8640"/>
              </w:tabs>
              <w:spacing w:line="276" w:lineRule="auto"/>
              <w:jc w:val="center"/>
              <w:rPr>
                <w:b/>
                <w:color w:val="000000"/>
                <w:sz w:val="22"/>
                <w:szCs w:val="22"/>
                <w:lang w:val="en-US"/>
              </w:rPr>
            </w:pPr>
            <w:r>
              <w:rPr>
                <w:b/>
                <w:color w:val="000000"/>
                <w:sz w:val="22"/>
                <w:szCs w:val="22"/>
                <w:lang w:val="en-US"/>
              </w:rPr>
              <w:t>Special Education Fund</w:t>
            </w:r>
          </w:p>
        </w:tc>
        <w:tc>
          <w:tcPr>
            <w:tcW w:w="1620" w:type="dxa"/>
            <w:vAlign w:val="center"/>
          </w:tcPr>
          <w:p>
            <w:pPr>
              <w:tabs>
                <w:tab w:val="left" w:pos="8640"/>
              </w:tabs>
              <w:spacing w:line="276" w:lineRule="auto"/>
              <w:jc w:val="center"/>
              <w:rPr>
                <w:b/>
                <w:color w:val="000000"/>
                <w:sz w:val="22"/>
                <w:szCs w:val="22"/>
                <w:lang w:val="en-US"/>
              </w:rPr>
            </w:pPr>
            <w:r>
              <w:rPr>
                <w:b/>
                <w:color w:val="000000"/>
                <w:sz w:val="22"/>
                <w:szCs w:val="22"/>
                <w:lang w:val="en-US"/>
              </w:rPr>
              <w:t>Trust Fund</w:t>
            </w:r>
          </w:p>
        </w:tc>
        <w:tc>
          <w:tcPr>
            <w:tcW w:w="1800" w:type="dxa"/>
            <w:vAlign w:val="center"/>
          </w:tcPr>
          <w:p>
            <w:pPr>
              <w:tabs>
                <w:tab w:val="left" w:pos="8640"/>
              </w:tabs>
              <w:spacing w:line="276" w:lineRule="auto"/>
              <w:jc w:val="center"/>
              <w:rPr>
                <w:b/>
                <w:color w:val="000000"/>
                <w:sz w:val="22"/>
                <w:szCs w:val="22"/>
                <w:lang w:val="en-US"/>
              </w:rPr>
            </w:pPr>
            <w:r>
              <w:rPr>
                <w:b/>
                <w:color w:val="000000"/>
                <w:sz w:val="22"/>
                <w:szCs w:val="22"/>
                <w:lang w:val="en-US"/>
              </w:rPr>
              <w:t>Total</w:t>
            </w:r>
          </w:p>
        </w:tc>
      </w:tr>
      <w:tr>
        <w:trPr>
          <w:jc w:val="center"/>
        </w:trPr>
        <w:tc>
          <w:tcPr>
            <w:tcW w:w="8725" w:type="dxa"/>
            <w:gridSpan w:val="5"/>
          </w:tcPr>
          <w:p>
            <w:pPr>
              <w:tabs>
                <w:tab w:val="left" w:pos="8640"/>
              </w:tabs>
              <w:spacing w:line="276" w:lineRule="auto"/>
              <w:rPr>
                <w:b/>
                <w:i/>
                <w:color w:val="000000"/>
                <w:sz w:val="22"/>
                <w:szCs w:val="22"/>
                <w:lang w:val="en-US"/>
              </w:rPr>
            </w:pPr>
            <w:r>
              <w:rPr>
                <w:i/>
                <w:color w:val="000000"/>
                <w:sz w:val="22"/>
                <w:szCs w:val="22"/>
                <w:lang w:val="en-US"/>
              </w:rPr>
              <w:t>Current Accounts</w:t>
            </w:r>
          </w:p>
        </w:tc>
      </w:tr>
      <w:tr>
        <w:trPr>
          <w:jc w:val="center"/>
        </w:trPr>
        <w:tc>
          <w:tcPr>
            <w:tcW w:w="1975" w:type="dxa"/>
          </w:tcPr>
          <w:p>
            <w:pPr>
              <w:tabs>
                <w:tab w:val="left" w:pos="8640"/>
              </w:tabs>
              <w:spacing w:line="276" w:lineRule="auto"/>
              <w:jc w:val="both"/>
              <w:rPr>
                <w:color w:val="000000"/>
                <w:sz w:val="22"/>
                <w:szCs w:val="22"/>
                <w:lang w:val="en-US"/>
              </w:rPr>
            </w:pPr>
            <w:r>
              <w:rPr>
                <w:color w:val="000000"/>
                <w:sz w:val="22"/>
                <w:szCs w:val="22"/>
                <w:lang w:val="en-US"/>
              </w:rPr>
              <w:t>CY 2022</w:t>
            </w:r>
          </w:p>
        </w:tc>
        <w:tc>
          <w:tcPr>
            <w:tcW w:w="1620" w:type="dxa"/>
          </w:tcPr>
          <w:p>
            <w:pPr>
              <w:tabs>
                <w:tab w:val="left" w:pos="8640"/>
              </w:tabs>
              <w:spacing w:line="276" w:lineRule="auto"/>
              <w:jc w:val="right"/>
              <w:rPr>
                <w:color w:val="000000"/>
                <w:sz w:val="22"/>
                <w:szCs w:val="22"/>
                <w:lang w:val="en-US"/>
              </w:rPr>
            </w:pPr>
            <w:r>
              <w:rPr>
                <w:color w:val="000000"/>
                <w:sz w:val="22"/>
                <w:szCs w:val="22"/>
                <w:lang w:val="en-US"/>
              </w:rPr>
              <w:t>P87,434,479.13</w:t>
            </w:r>
          </w:p>
        </w:tc>
        <w:tc>
          <w:tcPr>
            <w:tcW w:w="1710" w:type="dxa"/>
          </w:tcPr>
          <w:p>
            <w:pPr>
              <w:tabs>
                <w:tab w:val="left" w:pos="8640"/>
              </w:tabs>
              <w:spacing w:line="276" w:lineRule="auto"/>
              <w:jc w:val="right"/>
              <w:rPr>
                <w:color w:val="000000"/>
                <w:sz w:val="22"/>
                <w:szCs w:val="22"/>
                <w:lang w:val="en-US"/>
              </w:rPr>
            </w:pPr>
            <w:r>
              <w:rPr>
                <w:color w:val="000000"/>
                <w:sz w:val="22"/>
                <w:szCs w:val="22"/>
                <w:lang w:val="en-US"/>
              </w:rPr>
              <w:t>P1,582,932.99</w:t>
            </w:r>
          </w:p>
        </w:tc>
        <w:tc>
          <w:tcPr>
            <w:tcW w:w="1620" w:type="dxa"/>
          </w:tcPr>
          <w:p>
            <w:pPr>
              <w:tabs>
                <w:tab w:val="left" w:pos="8640"/>
              </w:tabs>
              <w:spacing w:line="276" w:lineRule="auto"/>
              <w:jc w:val="right"/>
              <w:rPr>
                <w:color w:val="000000"/>
                <w:sz w:val="22"/>
                <w:szCs w:val="22"/>
                <w:lang w:val="en-US"/>
              </w:rPr>
            </w:pPr>
            <w:r>
              <w:rPr>
                <w:color w:val="000000"/>
                <w:sz w:val="22"/>
                <w:szCs w:val="22"/>
                <w:lang w:val="en-US"/>
              </w:rPr>
              <w:t>P32,152,966.86</w:t>
            </w:r>
          </w:p>
        </w:tc>
        <w:tc>
          <w:tcPr>
            <w:tcW w:w="1800" w:type="dxa"/>
          </w:tcPr>
          <w:p>
            <w:pPr>
              <w:tabs>
                <w:tab w:val="left" w:pos="8640"/>
              </w:tabs>
              <w:spacing w:line="276" w:lineRule="auto"/>
              <w:jc w:val="right"/>
              <w:rPr>
                <w:b/>
                <w:color w:val="000000"/>
                <w:sz w:val="22"/>
                <w:szCs w:val="22"/>
                <w:lang w:val="en-US"/>
              </w:rPr>
            </w:pPr>
            <w:r>
              <w:rPr>
                <w:b/>
                <w:color w:val="000000"/>
                <w:sz w:val="22"/>
                <w:szCs w:val="22"/>
                <w:lang w:val="en-US"/>
              </w:rPr>
              <w:t>P121,170,378.98</w:t>
            </w:r>
          </w:p>
        </w:tc>
      </w:tr>
      <w:tr>
        <w:trPr>
          <w:jc w:val="center"/>
        </w:trPr>
        <w:tc>
          <w:tcPr>
            <w:tcW w:w="1975" w:type="dxa"/>
          </w:tcPr>
          <w:p>
            <w:pPr>
              <w:tabs>
                <w:tab w:val="left" w:pos="8640"/>
              </w:tabs>
              <w:spacing w:line="276" w:lineRule="auto"/>
              <w:jc w:val="both"/>
              <w:rPr>
                <w:color w:val="000000"/>
                <w:sz w:val="22"/>
                <w:szCs w:val="22"/>
                <w:lang w:val="en-US"/>
              </w:rPr>
            </w:pPr>
            <w:r>
              <w:rPr>
                <w:color w:val="000000"/>
                <w:sz w:val="22"/>
                <w:szCs w:val="22"/>
                <w:lang w:val="en-US"/>
              </w:rPr>
              <w:t>CY 2021</w:t>
            </w:r>
          </w:p>
        </w:tc>
        <w:tc>
          <w:tcPr>
            <w:tcW w:w="1620" w:type="dxa"/>
          </w:tcPr>
          <w:p>
            <w:pPr>
              <w:tabs>
                <w:tab w:val="left" w:pos="8640"/>
              </w:tabs>
              <w:spacing w:line="276" w:lineRule="auto"/>
              <w:jc w:val="right"/>
              <w:rPr>
                <w:color w:val="000000"/>
                <w:sz w:val="22"/>
                <w:szCs w:val="22"/>
                <w:lang w:val="en-US"/>
              </w:rPr>
            </w:pPr>
            <w:r>
              <w:rPr>
                <w:color w:val="000000"/>
                <w:sz w:val="22"/>
                <w:szCs w:val="22"/>
                <w:lang w:val="en-US"/>
              </w:rPr>
              <w:t>3,051,703.68</w:t>
            </w:r>
          </w:p>
        </w:tc>
        <w:tc>
          <w:tcPr>
            <w:tcW w:w="1710" w:type="dxa"/>
          </w:tcPr>
          <w:p>
            <w:pPr>
              <w:tabs>
                <w:tab w:val="left" w:pos="8640"/>
              </w:tabs>
              <w:spacing w:line="276" w:lineRule="auto"/>
              <w:jc w:val="right"/>
              <w:rPr>
                <w:color w:val="000000"/>
                <w:sz w:val="22"/>
                <w:szCs w:val="22"/>
                <w:lang w:val="en-US"/>
              </w:rPr>
            </w:pPr>
            <w:r>
              <w:rPr>
                <w:color w:val="000000"/>
                <w:sz w:val="22"/>
                <w:szCs w:val="22"/>
                <w:lang w:val="en-US"/>
              </w:rPr>
              <w:t>8,000.00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800" w:type="dxa"/>
          </w:tcPr>
          <w:p>
            <w:pPr>
              <w:tabs>
                <w:tab w:val="left" w:pos="8640"/>
              </w:tabs>
              <w:spacing w:line="276" w:lineRule="auto"/>
              <w:jc w:val="right"/>
              <w:rPr>
                <w:b/>
                <w:color w:val="000000"/>
                <w:sz w:val="22"/>
                <w:szCs w:val="22"/>
                <w:lang w:val="en-US"/>
              </w:rPr>
            </w:pPr>
            <w:r>
              <w:rPr>
                <w:b/>
                <w:color w:val="000000"/>
                <w:sz w:val="22"/>
                <w:szCs w:val="22"/>
                <w:lang w:val="en-US"/>
              </w:rPr>
              <w:t>3,059,703.68</w:t>
            </w:r>
          </w:p>
        </w:tc>
      </w:tr>
      <w:tr>
        <w:trPr>
          <w:jc w:val="center"/>
        </w:trPr>
        <w:tc>
          <w:tcPr>
            <w:tcW w:w="8725" w:type="dxa"/>
            <w:gridSpan w:val="5"/>
          </w:tcPr>
          <w:p>
            <w:pPr>
              <w:tabs>
                <w:tab w:val="left" w:pos="8640"/>
              </w:tabs>
              <w:spacing w:line="276" w:lineRule="auto"/>
              <w:rPr>
                <w:b/>
                <w:i/>
                <w:color w:val="000000"/>
                <w:sz w:val="22"/>
                <w:szCs w:val="22"/>
                <w:lang w:val="en-US"/>
              </w:rPr>
            </w:pPr>
            <w:r>
              <w:rPr>
                <w:i/>
                <w:color w:val="000000"/>
                <w:sz w:val="22"/>
                <w:szCs w:val="22"/>
                <w:lang w:val="en-US"/>
              </w:rPr>
              <w:t>Past Due Accounts</w:t>
            </w:r>
          </w:p>
        </w:tc>
      </w:tr>
      <w:tr>
        <w:trPr>
          <w:jc w:val="center"/>
        </w:trPr>
        <w:tc>
          <w:tcPr>
            <w:tcW w:w="1975" w:type="dxa"/>
          </w:tcPr>
          <w:p>
            <w:pPr>
              <w:tabs>
                <w:tab w:val="left" w:pos="8640"/>
              </w:tabs>
              <w:spacing w:line="276" w:lineRule="auto"/>
              <w:jc w:val="both"/>
              <w:rPr>
                <w:color w:val="000000"/>
                <w:sz w:val="22"/>
                <w:szCs w:val="22"/>
                <w:lang w:val="en-US"/>
              </w:rPr>
            </w:pPr>
            <w:r>
              <w:rPr>
                <w:color w:val="000000"/>
                <w:sz w:val="22"/>
                <w:szCs w:val="22"/>
                <w:lang w:val="en-US"/>
              </w:rPr>
              <w:t>CY 2008-2020</w:t>
            </w:r>
          </w:p>
        </w:tc>
        <w:tc>
          <w:tcPr>
            <w:tcW w:w="1620" w:type="dxa"/>
          </w:tcPr>
          <w:p>
            <w:pPr>
              <w:tabs>
                <w:tab w:val="left" w:pos="8640"/>
              </w:tabs>
              <w:spacing w:line="276" w:lineRule="auto"/>
              <w:jc w:val="right"/>
              <w:rPr>
                <w:color w:val="000000"/>
                <w:sz w:val="22"/>
                <w:szCs w:val="22"/>
                <w:lang w:val="en-US"/>
              </w:rPr>
            </w:pPr>
            <w:r>
              <w:rPr>
                <w:color w:val="000000"/>
                <w:sz w:val="22"/>
                <w:szCs w:val="22"/>
                <w:lang w:val="en-US"/>
              </w:rPr>
              <w:t>3,225,153.51</w:t>
            </w:r>
          </w:p>
        </w:tc>
        <w:tc>
          <w:tcPr>
            <w:tcW w:w="1710" w:type="dxa"/>
          </w:tcPr>
          <w:p>
            <w:pPr>
              <w:tabs>
                <w:tab w:val="left" w:pos="8640"/>
              </w:tabs>
              <w:spacing w:line="276" w:lineRule="auto"/>
              <w:jc w:val="right"/>
              <w:rPr>
                <w:color w:val="000000"/>
                <w:sz w:val="22"/>
                <w:szCs w:val="22"/>
                <w:lang w:val="en-US"/>
              </w:rPr>
            </w:pPr>
            <w:r>
              <w:rPr>
                <w:color w:val="000000"/>
                <w:sz w:val="22"/>
                <w:szCs w:val="22"/>
                <w:lang w:val="en-US"/>
              </w:rPr>
              <w:t>36,000.00</w:t>
            </w:r>
          </w:p>
        </w:tc>
        <w:tc>
          <w:tcPr>
            <w:tcW w:w="1620" w:type="dxa"/>
          </w:tcPr>
          <w:p>
            <w:pPr>
              <w:tabs>
                <w:tab w:val="left" w:pos="8640"/>
              </w:tabs>
              <w:spacing w:line="276" w:lineRule="auto"/>
              <w:jc w:val="right"/>
              <w:rPr>
                <w:color w:val="000000"/>
                <w:sz w:val="22"/>
                <w:szCs w:val="22"/>
                <w:lang w:val="en-US"/>
              </w:rPr>
            </w:pPr>
            <w:r>
              <w:rPr>
                <w:color w:val="000000"/>
                <w:sz w:val="22"/>
                <w:szCs w:val="22"/>
                <w:lang w:val="en-US"/>
              </w:rPr>
              <w:t>49,700.00</w:t>
            </w:r>
          </w:p>
        </w:tc>
        <w:tc>
          <w:tcPr>
            <w:tcW w:w="1800" w:type="dxa"/>
          </w:tcPr>
          <w:p>
            <w:pPr>
              <w:tabs>
                <w:tab w:val="left" w:pos="8640"/>
              </w:tabs>
              <w:spacing w:line="276" w:lineRule="auto"/>
              <w:jc w:val="right"/>
              <w:rPr>
                <w:b/>
                <w:color w:val="000000"/>
                <w:sz w:val="22"/>
                <w:szCs w:val="22"/>
                <w:lang w:val="en-US"/>
              </w:rPr>
            </w:pPr>
            <w:r>
              <w:rPr>
                <w:b/>
                <w:color w:val="000000"/>
                <w:sz w:val="22"/>
                <w:szCs w:val="22"/>
                <w:lang w:val="en-US"/>
              </w:rPr>
              <w:t>3,310,853.51</w:t>
            </w:r>
          </w:p>
        </w:tc>
      </w:tr>
      <w:tr>
        <w:trPr>
          <w:jc w:val="center"/>
        </w:trPr>
        <w:tc>
          <w:tcPr>
            <w:tcW w:w="1975" w:type="dxa"/>
          </w:tcPr>
          <w:p>
            <w:pPr>
              <w:tabs>
                <w:tab w:val="left" w:pos="8640"/>
              </w:tabs>
              <w:spacing w:line="276" w:lineRule="auto"/>
              <w:jc w:val="both"/>
              <w:rPr>
                <w:color w:val="000000"/>
                <w:sz w:val="22"/>
                <w:szCs w:val="22"/>
                <w:lang w:val="en-US"/>
              </w:rPr>
            </w:pPr>
            <w:r>
              <w:rPr>
                <w:color w:val="000000"/>
                <w:sz w:val="22"/>
                <w:szCs w:val="22"/>
                <w:lang w:val="en-US"/>
              </w:rPr>
              <w:t>Unverified Account</w:t>
            </w:r>
          </w:p>
        </w:tc>
        <w:tc>
          <w:tcPr>
            <w:tcW w:w="1620" w:type="dxa"/>
          </w:tcPr>
          <w:p>
            <w:pPr>
              <w:tabs>
                <w:tab w:val="left" w:pos="8640"/>
              </w:tabs>
              <w:spacing w:line="276" w:lineRule="auto"/>
              <w:jc w:val="right"/>
              <w:rPr>
                <w:color w:val="000000"/>
                <w:sz w:val="22"/>
                <w:szCs w:val="22"/>
                <w:lang w:val="en-US"/>
              </w:rPr>
            </w:pPr>
            <w:r>
              <w:rPr>
                <w:color w:val="000000"/>
                <w:sz w:val="22"/>
                <w:szCs w:val="22"/>
                <w:lang w:val="en-US"/>
              </w:rPr>
              <w:t>202,617.47</w:t>
            </w:r>
          </w:p>
        </w:tc>
        <w:tc>
          <w:tcPr>
            <w:tcW w:w="171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800" w:type="dxa"/>
          </w:tcPr>
          <w:p>
            <w:pPr>
              <w:tabs>
                <w:tab w:val="left" w:pos="8640"/>
              </w:tabs>
              <w:spacing w:line="276" w:lineRule="auto"/>
              <w:jc w:val="right"/>
              <w:rPr>
                <w:b/>
                <w:color w:val="000000"/>
                <w:sz w:val="22"/>
                <w:szCs w:val="22"/>
                <w:lang w:val="en-US"/>
              </w:rPr>
            </w:pPr>
            <w:r>
              <w:rPr>
                <w:b/>
                <w:color w:val="000000"/>
                <w:sz w:val="22"/>
                <w:szCs w:val="22"/>
                <w:lang w:val="en-US"/>
              </w:rPr>
              <w:t>202,617.47</w:t>
            </w:r>
          </w:p>
        </w:tc>
      </w:tr>
      <w:tr>
        <w:trPr>
          <w:jc w:val="center"/>
        </w:trPr>
        <w:tc>
          <w:tcPr>
            <w:tcW w:w="1975" w:type="dxa"/>
          </w:tcPr>
          <w:p>
            <w:pPr>
              <w:tabs>
                <w:tab w:val="left" w:pos="8640"/>
              </w:tabs>
              <w:spacing w:line="276" w:lineRule="auto"/>
              <w:jc w:val="both"/>
              <w:rPr>
                <w:color w:val="000000"/>
                <w:sz w:val="22"/>
                <w:szCs w:val="22"/>
                <w:lang w:val="en-US"/>
              </w:rPr>
            </w:pPr>
            <w:r>
              <w:rPr>
                <w:color w:val="000000"/>
                <w:sz w:val="22"/>
                <w:szCs w:val="22"/>
                <w:lang w:val="en-US"/>
              </w:rPr>
              <w:t>Negative Balances</w:t>
            </w:r>
          </w:p>
        </w:tc>
        <w:tc>
          <w:tcPr>
            <w:tcW w:w="1620" w:type="dxa"/>
          </w:tcPr>
          <w:p>
            <w:pPr>
              <w:tabs>
                <w:tab w:val="left" w:pos="8640"/>
              </w:tabs>
              <w:spacing w:line="276" w:lineRule="auto"/>
              <w:jc w:val="right"/>
              <w:rPr>
                <w:color w:val="000000"/>
                <w:sz w:val="22"/>
                <w:szCs w:val="22"/>
                <w:lang w:val="en-US"/>
              </w:rPr>
            </w:pPr>
            <w:r>
              <w:rPr>
                <w:color w:val="000000"/>
                <w:sz w:val="22"/>
                <w:szCs w:val="22"/>
                <w:lang w:val="en-US"/>
              </w:rPr>
              <w:t>(118,457.03)</w:t>
            </w:r>
          </w:p>
        </w:tc>
        <w:tc>
          <w:tcPr>
            <w:tcW w:w="171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800" w:type="dxa"/>
          </w:tcPr>
          <w:p>
            <w:pPr>
              <w:tabs>
                <w:tab w:val="left" w:pos="8640"/>
              </w:tabs>
              <w:spacing w:line="276" w:lineRule="auto"/>
              <w:jc w:val="right"/>
              <w:rPr>
                <w:b/>
                <w:color w:val="000000"/>
                <w:sz w:val="22"/>
                <w:szCs w:val="22"/>
                <w:lang w:val="en-US"/>
              </w:rPr>
            </w:pPr>
            <w:r>
              <w:rPr>
                <w:b/>
                <w:color w:val="000000"/>
                <w:sz w:val="22"/>
                <w:szCs w:val="22"/>
                <w:lang w:val="en-US"/>
              </w:rPr>
              <w:t>(118,457.03)</w:t>
            </w:r>
          </w:p>
        </w:tc>
      </w:tr>
      <w:tr>
        <w:trPr>
          <w:jc w:val="center"/>
        </w:trPr>
        <w:tc>
          <w:tcPr>
            <w:tcW w:w="1975" w:type="dxa"/>
          </w:tcPr>
          <w:p>
            <w:pPr>
              <w:tabs>
                <w:tab w:val="left" w:pos="8640"/>
              </w:tabs>
              <w:spacing w:line="276" w:lineRule="auto"/>
              <w:jc w:val="both"/>
              <w:rPr>
                <w:b/>
                <w:color w:val="000000"/>
                <w:sz w:val="22"/>
                <w:szCs w:val="22"/>
                <w:lang w:val="en-US"/>
              </w:rPr>
            </w:pPr>
            <w:r>
              <w:rPr>
                <w:b/>
                <w:color w:val="000000"/>
                <w:sz w:val="22"/>
                <w:szCs w:val="22"/>
                <w:lang w:val="en-US"/>
              </w:rPr>
              <w:t>TOTAL</w:t>
            </w:r>
          </w:p>
        </w:tc>
        <w:tc>
          <w:tcPr>
            <w:tcW w:w="1620" w:type="dxa"/>
          </w:tcPr>
          <w:p>
            <w:pPr>
              <w:tabs>
                <w:tab w:val="left" w:pos="8640"/>
              </w:tabs>
              <w:spacing w:line="276" w:lineRule="auto"/>
              <w:jc w:val="right"/>
              <w:rPr>
                <w:b/>
                <w:color w:val="000000"/>
                <w:sz w:val="22"/>
                <w:szCs w:val="22"/>
                <w:lang w:val="en-US"/>
              </w:rPr>
            </w:pPr>
            <w:r>
              <w:rPr>
                <w:b/>
                <w:color w:val="000000"/>
                <w:sz w:val="22"/>
                <w:szCs w:val="22"/>
                <w:lang w:val="en-US"/>
              </w:rPr>
              <w:t>P93,795,496.76</w:t>
            </w:r>
          </w:p>
        </w:tc>
        <w:tc>
          <w:tcPr>
            <w:tcW w:w="1710" w:type="dxa"/>
          </w:tcPr>
          <w:p>
            <w:pPr>
              <w:tabs>
                <w:tab w:val="left" w:pos="8640"/>
              </w:tabs>
              <w:spacing w:line="276" w:lineRule="auto"/>
              <w:jc w:val="right"/>
              <w:rPr>
                <w:b/>
                <w:color w:val="000000"/>
                <w:sz w:val="22"/>
                <w:szCs w:val="22"/>
                <w:lang w:val="en-US"/>
              </w:rPr>
            </w:pPr>
            <w:r>
              <w:rPr>
                <w:b/>
                <w:color w:val="000000"/>
                <w:sz w:val="22"/>
                <w:szCs w:val="22"/>
                <w:lang w:val="en-US"/>
              </w:rPr>
              <w:t>P1,626,932.99</w:t>
            </w:r>
          </w:p>
        </w:tc>
        <w:tc>
          <w:tcPr>
            <w:tcW w:w="1620" w:type="dxa"/>
          </w:tcPr>
          <w:p>
            <w:pPr>
              <w:tabs>
                <w:tab w:val="left" w:pos="8640"/>
              </w:tabs>
              <w:spacing w:line="276" w:lineRule="auto"/>
              <w:jc w:val="right"/>
              <w:rPr>
                <w:b/>
                <w:color w:val="000000"/>
                <w:sz w:val="22"/>
                <w:szCs w:val="22"/>
                <w:lang w:val="en-US"/>
              </w:rPr>
            </w:pPr>
            <w:r>
              <w:rPr>
                <w:b/>
                <w:color w:val="000000"/>
                <w:sz w:val="22"/>
                <w:szCs w:val="22"/>
                <w:lang w:val="en-US"/>
              </w:rPr>
              <w:t>P32,202,666.86</w:t>
            </w:r>
          </w:p>
        </w:tc>
        <w:tc>
          <w:tcPr>
            <w:tcW w:w="1800" w:type="dxa"/>
          </w:tcPr>
          <w:p>
            <w:pPr>
              <w:tabs>
                <w:tab w:val="left" w:pos="8640"/>
              </w:tabs>
              <w:spacing w:line="276" w:lineRule="auto"/>
              <w:jc w:val="right"/>
              <w:rPr>
                <w:b/>
                <w:color w:val="000000"/>
                <w:sz w:val="22"/>
                <w:szCs w:val="22"/>
                <w:lang w:val="en-US"/>
              </w:rPr>
            </w:pPr>
            <w:r>
              <w:rPr>
                <w:b/>
                <w:color w:val="000000"/>
                <w:sz w:val="22"/>
                <w:szCs w:val="22"/>
                <w:lang w:val="en-US"/>
              </w:rPr>
              <w:t>P127,625,096.61</w:t>
            </w:r>
          </w:p>
        </w:tc>
      </w:tr>
    </w:tbl>
    <w:p>
      <w:pPr>
        <w:spacing w:line="276" w:lineRule="auto"/>
        <w:jc w:val="both"/>
        <w:rPr>
          <w:rFonts w:eastAsia="Calibri"/>
          <w:bCs/>
        </w:rPr>
      </w:pPr>
      <w:r>
        <w:rPr>
          <w:rFonts w:eastAsia="Calibri"/>
          <w:bCs/>
        </w:rPr>
        <w:tab/>
      </w:r>
    </w:p>
    <w:p>
      <w:pPr>
        <w:spacing w:line="276" w:lineRule="auto"/>
        <w:jc w:val="both"/>
        <w:rPr>
          <w:rFonts w:eastAsia="Calibri"/>
          <w:bCs/>
        </w:rPr>
      </w:pPr>
      <w:r>
        <w:rPr>
          <w:rFonts w:eastAsia="Calibri"/>
          <w:bCs/>
        </w:rPr>
        <w:t>Examination of the Accounts Payable disclosed the following deficiencies, to wit:</w:t>
      </w:r>
    </w:p>
    <w:p>
      <w:pPr>
        <w:spacing w:line="276" w:lineRule="auto"/>
        <w:jc w:val="both"/>
        <w:rPr>
          <w:rFonts w:eastAsia="Calibri"/>
          <w:b/>
          <w:bCs/>
          <w:i/>
        </w:rPr>
      </w:pPr>
    </w:p>
    <w:p>
      <w:pPr>
        <w:numPr>
          <w:ilvl w:val="0"/>
          <w:numId w:val="16"/>
        </w:numPr>
        <w:spacing w:line="276" w:lineRule="auto"/>
        <w:ind w:left="360"/>
        <w:contextualSpacing/>
        <w:jc w:val="both"/>
        <w:rPr>
          <w:rFonts w:eastAsia="Calibri"/>
          <w:b/>
          <w:bCs/>
          <w:i/>
        </w:rPr>
      </w:pPr>
      <w:r>
        <w:rPr>
          <w:rFonts w:eastAsia="Calibri"/>
          <w:b/>
          <w:bCs/>
          <w:i/>
        </w:rPr>
        <w:t>Non-reversion of accounts payable outstanding for more than two (2) years – P3,310,853.51</w:t>
      </w:r>
    </w:p>
    <w:p>
      <w:pPr>
        <w:spacing w:line="276" w:lineRule="auto"/>
        <w:jc w:val="both"/>
        <w:rPr>
          <w:rFonts w:eastAsia="Calibri"/>
          <w:bCs/>
        </w:rPr>
      </w:pPr>
    </w:p>
    <w:p>
      <w:pPr>
        <w:spacing w:line="276" w:lineRule="auto"/>
        <w:jc w:val="both"/>
        <w:rPr>
          <w:rFonts w:eastAsia="Calibri"/>
          <w:bCs/>
        </w:rPr>
      </w:pPr>
      <w:r>
        <w:rPr>
          <w:rFonts w:eastAsia="Calibri"/>
          <w:bCs/>
        </w:rPr>
        <w:t>Section 98 of Presidential Decree No. 1445 on reversion of unliquidated balances of accounts payable provides:</w:t>
      </w:r>
    </w:p>
    <w:p>
      <w:pPr>
        <w:spacing w:line="276" w:lineRule="auto"/>
        <w:ind w:firstLine="360"/>
        <w:jc w:val="both"/>
        <w:rPr>
          <w:rFonts w:eastAsia="Calibri"/>
          <w:bCs/>
        </w:rPr>
      </w:pPr>
    </w:p>
    <w:p>
      <w:pPr>
        <w:spacing w:line="276" w:lineRule="auto"/>
        <w:ind w:left="806" w:right="702" w:hanging="86"/>
        <w:jc w:val="both"/>
        <w:rPr>
          <w:rFonts w:eastAsia="Calibri"/>
          <w:bCs/>
        </w:rPr>
      </w:pPr>
      <w:r>
        <w:rPr>
          <w:rFonts w:eastAsia="Calibri"/>
          <w:b/>
          <w:bCs/>
        </w:rPr>
        <w:t xml:space="preserve"> Section 98.</w:t>
      </w:r>
      <w:r>
        <w:rPr>
          <w:rFonts w:eastAsia="Calibri"/>
          <w:bCs/>
        </w:rPr>
        <w:t xml:space="preserve"> Reversion of unliquidated balances of accounts payable. The Commission upon notice to the head of agency concerned may revert to the unappropriated surplus of the general fund of the national government, any unliquidated balance of accounts payable in the books of the national government, which has been outstanding for two years or more and against which no actual claim, administrative or judicial, has been filed of which is not covered by perfected contracts on record. This section shall not apply to unliquidated balances of accounts payable in trust funds as long as the purposes for which the funds were created have not been accomplished.</w:t>
      </w:r>
    </w:p>
    <w:p>
      <w:pPr>
        <w:spacing w:line="276" w:lineRule="auto"/>
        <w:ind w:right="360"/>
        <w:jc w:val="both"/>
        <w:rPr>
          <w:rFonts w:eastAsia="Calibri"/>
          <w:bCs/>
          <w:i/>
        </w:rPr>
      </w:pPr>
    </w:p>
    <w:p>
      <w:pPr>
        <w:spacing w:line="276" w:lineRule="auto"/>
        <w:jc w:val="both"/>
        <w:rPr>
          <w:rFonts w:eastAsia="Calibri"/>
          <w:bCs/>
        </w:rPr>
      </w:pPr>
      <w:r>
        <w:rPr>
          <w:rFonts w:eastAsia="Calibri"/>
          <w:bCs/>
        </w:rPr>
        <w:t>Review of the subsidiary ledgers disclosed that the accounts payable under the General Fund, Special Education Fund, and Trust Fund included claims amounting to P3,225,153.51, P36,000.00 and P49,700.00, respectively, which have been outstanding for more than two (2) years but were still carried in the books of the Agency as at December 31, 2022. The outstanding payables are summarized in Table 5.2.</w:t>
      </w:r>
    </w:p>
    <w:p>
      <w:pPr>
        <w:spacing w:line="276" w:lineRule="auto"/>
        <w:ind w:right="360"/>
        <w:jc w:val="both"/>
        <w:rPr>
          <w:rFonts w:eastAsia="Calibri"/>
          <w:bCs/>
        </w:rPr>
      </w:pPr>
    </w:p>
    <w:p>
      <w:pPr>
        <w:spacing w:line="276" w:lineRule="auto"/>
        <w:ind w:right="360"/>
        <w:jc w:val="both"/>
        <w:rPr>
          <w:rFonts w:eastAsia="Calibri"/>
          <w:bCs/>
        </w:rPr>
      </w:pPr>
    </w:p>
    <w:p>
      <w:pPr>
        <w:spacing w:line="276" w:lineRule="auto"/>
        <w:ind w:right="360"/>
        <w:jc w:val="both"/>
        <w:rPr>
          <w:rFonts w:eastAsia="Calibri"/>
          <w:bCs/>
        </w:rPr>
      </w:pPr>
    </w:p>
    <w:p>
      <w:pPr>
        <w:spacing w:line="276" w:lineRule="auto"/>
        <w:ind w:right="360"/>
        <w:jc w:val="both"/>
        <w:rPr>
          <w:rFonts w:eastAsia="Calibri"/>
          <w:bCs/>
        </w:rPr>
      </w:pPr>
    </w:p>
    <w:p>
      <w:pPr>
        <w:spacing w:line="276" w:lineRule="auto"/>
        <w:ind w:right="360"/>
        <w:jc w:val="both"/>
        <w:rPr>
          <w:rFonts w:eastAsia="Calibri"/>
          <w:bCs/>
          <w:i/>
        </w:rPr>
      </w:pPr>
      <w:r>
        <w:rPr>
          <w:rFonts w:eastAsia="Calibri"/>
          <w:bCs/>
        </w:rPr>
        <w:lastRenderedPageBreak/>
        <w:tab/>
      </w:r>
      <w:r>
        <w:rPr>
          <w:rFonts w:eastAsia="Calibri"/>
          <w:bCs/>
          <w:i/>
        </w:rPr>
        <w:t>Table 5.2. Long Outstanding Accounts Payable</w:t>
      </w:r>
    </w:p>
    <w:tbl>
      <w:tblPr>
        <w:tblStyle w:val="TableGrid27"/>
        <w:tblW w:w="0" w:type="auto"/>
        <w:jc w:val="center"/>
        <w:tblLook w:val="04A0" w:firstRow="1" w:lastRow="0" w:firstColumn="1" w:lastColumn="0" w:noHBand="0" w:noVBand="1"/>
      </w:tblPr>
      <w:tblGrid>
        <w:gridCol w:w="1165"/>
        <w:gridCol w:w="1710"/>
        <w:gridCol w:w="1890"/>
        <w:gridCol w:w="1620"/>
        <w:gridCol w:w="1710"/>
      </w:tblGrid>
      <w:tr>
        <w:trPr>
          <w:tblHeader/>
          <w:jc w:val="center"/>
        </w:trPr>
        <w:tc>
          <w:tcPr>
            <w:tcW w:w="1165" w:type="dxa"/>
            <w:vAlign w:val="center"/>
          </w:tcPr>
          <w:p>
            <w:pPr>
              <w:spacing w:line="276" w:lineRule="auto"/>
              <w:jc w:val="center"/>
              <w:rPr>
                <w:rFonts w:eastAsia="Calibri"/>
                <w:b/>
                <w:bCs/>
                <w:sz w:val="22"/>
                <w:szCs w:val="22"/>
                <w:lang w:val="en-US"/>
              </w:rPr>
            </w:pPr>
            <w:r>
              <w:rPr>
                <w:rFonts w:eastAsia="Calibri"/>
                <w:b/>
                <w:bCs/>
                <w:sz w:val="22"/>
                <w:szCs w:val="22"/>
                <w:lang w:val="en-US"/>
              </w:rPr>
              <w:t>Year Incurred</w:t>
            </w:r>
          </w:p>
        </w:tc>
        <w:tc>
          <w:tcPr>
            <w:tcW w:w="1710" w:type="dxa"/>
            <w:vAlign w:val="center"/>
          </w:tcPr>
          <w:p>
            <w:pPr>
              <w:spacing w:line="276" w:lineRule="auto"/>
              <w:jc w:val="center"/>
              <w:rPr>
                <w:rFonts w:eastAsia="Calibri"/>
                <w:b/>
                <w:bCs/>
                <w:sz w:val="22"/>
                <w:szCs w:val="22"/>
                <w:lang w:val="en-US"/>
              </w:rPr>
            </w:pPr>
            <w:r>
              <w:rPr>
                <w:rFonts w:eastAsia="Calibri"/>
                <w:b/>
                <w:bCs/>
                <w:sz w:val="22"/>
                <w:szCs w:val="22"/>
                <w:lang w:val="en-US"/>
              </w:rPr>
              <w:t>General Fund</w:t>
            </w:r>
          </w:p>
        </w:tc>
        <w:tc>
          <w:tcPr>
            <w:tcW w:w="1890" w:type="dxa"/>
            <w:vAlign w:val="center"/>
          </w:tcPr>
          <w:p>
            <w:pPr>
              <w:spacing w:line="276" w:lineRule="auto"/>
              <w:jc w:val="center"/>
              <w:rPr>
                <w:rFonts w:eastAsia="Calibri"/>
                <w:b/>
                <w:bCs/>
                <w:sz w:val="22"/>
                <w:szCs w:val="22"/>
                <w:lang w:val="en-US"/>
              </w:rPr>
            </w:pPr>
            <w:r>
              <w:rPr>
                <w:rFonts w:eastAsia="Calibri"/>
                <w:b/>
                <w:bCs/>
                <w:sz w:val="22"/>
                <w:szCs w:val="22"/>
                <w:lang w:val="en-US"/>
              </w:rPr>
              <w:t>Special Education Fund</w:t>
            </w:r>
          </w:p>
        </w:tc>
        <w:tc>
          <w:tcPr>
            <w:tcW w:w="1620" w:type="dxa"/>
            <w:vAlign w:val="center"/>
          </w:tcPr>
          <w:p>
            <w:pPr>
              <w:spacing w:line="276" w:lineRule="auto"/>
              <w:jc w:val="center"/>
              <w:rPr>
                <w:rFonts w:eastAsia="Calibri"/>
                <w:b/>
                <w:bCs/>
                <w:sz w:val="22"/>
                <w:szCs w:val="22"/>
                <w:lang w:val="en-US"/>
              </w:rPr>
            </w:pPr>
            <w:r>
              <w:rPr>
                <w:rFonts w:eastAsia="Calibri"/>
                <w:b/>
                <w:bCs/>
                <w:sz w:val="22"/>
                <w:szCs w:val="22"/>
                <w:lang w:val="en-US"/>
              </w:rPr>
              <w:t>Trust Fund</w:t>
            </w:r>
          </w:p>
        </w:tc>
        <w:tc>
          <w:tcPr>
            <w:tcW w:w="1710" w:type="dxa"/>
            <w:vAlign w:val="center"/>
          </w:tcPr>
          <w:p>
            <w:pPr>
              <w:spacing w:line="276" w:lineRule="auto"/>
              <w:jc w:val="center"/>
              <w:rPr>
                <w:rFonts w:eastAsia="Calibri"/>
                <w:b/>
                <w:bCs/>
                <w:sz w:val="22"/>
                <w:szCs w:val="22"/>
                <w:lang w:val="en-US"/>
              </w:rPr>
            </w:pPr>
            <w:r>
              <w:rPr>
                <w:rFonts w:eastAsia="Calibri"/>
                <w:b/>
                <w:bCs/>
                <w:sz w:val="22"/>
                <w:szCs w:val="22"/>
                <w:lang w:val="en-US"/>
              </w:rPr>
              <w:t>Total</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2020</w:t>
            </w:r>
          </w:p>
        </w:tc>
        <w:tc>
          <w:tcPr>
            <w:tcW w:w="1710" w:type="dxa"/>
          </w:tcPr>
          <w:p>
            <w:pPr>
              <w:spacing w:line="276" w:lineRule="auto"/>
              <w:jc w:val="right"/>
              <w:rPr>
                <w:rFonts w:eastAsia="Calibri"/>
                <w:bCs/>
                <w:sz w:val="22"/>
                <w:szCs w:val="22"/>
                <w:lang w:val="en-US"/>
              </w:rPr>
            </w:pPr>
            <w:r>
              <w:rPr>
                <w:rFonts w:eastAsia="Calibri"/>
                <w:bCs/>
                <w:sz w:val="22"/>
                <w:szCs w:val="22"/>
                <w:lang w:val="en-US"/>
              </w:rPr>
              <w:t>P1,203,220.25</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P49,700.00</w:t>
            </w:r>
          </w:p>
        </w:tc>
        <w:tc>
          <w:tcPr>
            <w:tcW w:w="1710" w:type="dxa"/>
          </w:tcPr>
          <w:p>
            <w:pPr>
              <w:spacing w:line="276" w:lineRule="auto"/>
              <w:jc w:val="right"/>
              <w:rPr>
                <w:rFonts w:eastAsia="Calibri"/>
                <w:bCs/>
                <w:sz w:val="22"/>
                <w:szCs w:val="22"/>
                <w:lang w:val="en-US"/>
              </w:rPr>
            </w:pPr>
            <w:r>
              <w:rPr>
                <w:rFonts w:eastAsia="Calibri"/>
                <w:bCs/>
                <w:sz w:val="22"/>
                <w:szCs w:val="22"/>
                <w:lang w:val="en-US"/>
              </w:rPr>
              <w:t>P1,252,920.25</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2019</w:t>
            </w:r>
          </w:p>
        </w:tc>
        <w:tc>
          <w:tcPr>
            <w:tcW w:w="1710" w:type="dxa"/>
          </w:tcPr>
          <w:p>
            <w:pPr>
              <w:spacing w:line="276" w:lineRule="auto"/>
              <w:jc w:val="right"/>
              <w:rPr>
                <w:rFonts w:eastAsia="Calibri"/>
                <w:bCs/>
                <w:sz w:val="22"/>
                <w:szCs w:val="22"/>
                <w:lang w:val="en-US"/>
              </w:rPr>
            </w:pPr>
            <w:r>
              <w:rPr>
                <w:rFonts w:eastAsia="Calibri"/>
                <w:bCs/>
                <w:sz w:val="22"/>
                <w:szCs w:val="22"/>
                <w:lang w:val="en-US"/>
              </w:rPr>
              <w:t>456,481.53</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456,481.53</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2018</w:t>
            </w:r>
          </w:p>
        </w:tc>
        <w:tc>
          <w:tcPr>
            <w:tcW w:w="1710" w:type="dxa"/>
          </w:tcPr>
          <w:p>
            <w:pPr>
              <w:spacing w:line="276" w:lineRule="auto"/>
              <w:jc w:val="right"/>
              <w:rPr>
                <w:rFonts w:eastAsia="Calibri"/>
                <w:bCs/>
                <w:sz w:val="22"/>
                <w:szCs w:val="22"/>
                <w:lang w:val="en-US"/>
              </w:rPr>
            </w:pPr>
            <w:r>
              <w:rPr>
                <w:rFonts w:eastAsia="Calibri"/>
                <w:bCs/>
                <w:sz w:val="22"/>
                <w:szCs w:val="22"/>
                <w:lang w:val="en-US"/>
              </w:rPr>
              <w:t>274,835.79</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274,835.79</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2017</w:t>
            </w:r>
          </w:p>
        </w:tc>
        <w:tc>
          <w:tcPr>
            <w:tcW w:w="1710" w:type="dxa"/>
          </w:tcPr>
          <w:p>
            <w:pPr>
              <w:spacing w:line="276" w:lineRule="auto"/>
              <w:jc w:val="right"/>
              <w:rPr>
                <w:rFonts w:eastAsia="Calibri"/>
                <w:bCs/>
                <w:sz w:val="22"/>
                <w:szCs w:val="22"/>
                <w:lang w:val="en-US"/>
              </w:rPr>
            </w:pPr>
            <w:r>
              <w:rPr>
                <w:rFonts w:eastAsia="Calibri"/>
                <w:bCs/>
                <w:sz w:val="22"/>
                <w:szCs w:val="22"/>
                <w:lang w:val="en-US"/>
              </w:rPr>
              <w:t>867,830.91</w:t>
            </w:r>
          </w:p>
        </w:tc>
        <w:tc>
          <w:tcPr>
            <w:tcW w:w="1890" w:type="dxa"/>
          </w:tcPr>
          <w:p>
            <w:pPr>
              <w:spacing w:line="276" w:lineRule="auto"/>
              <w:jc w:val="right"/>
              <w:rPr>
                <w:rFonts w:eastAsia="Calibri"/>
                <w:bCs/>
                <w:sz w:val="22"/>
                <w:szCs w:val="22"/>
                <w:lang w:val="en-US"/>
              </w:rPr>
            </w:pPr>
            <w:r>
              <w:rPr>
                <w:rFonts w:eastAsia="Calibri"/>
                <w:bCs/>
                <w:sz w:val="22"/>
                <w:szCs w:val="22"/>
                <w:lang w:val="en-US"/>
              </w:rPr>
              <w:t>P36,000.00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903,830.91</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2016</w:t>
            </w:r>
          </w:p>
        </w:tc>
        <w:tc>
          <w:tcPr>
            <w:tcW w:w="1710" w:type="dxa"/>
          </w:tcPr>
          <w:p>
            <w:pPr>
              <w:spacing w:line="276" w:lineRule="auto"/>
              <w:jc w:val="right"/>
              <w:rPr>
                <w:rFonts w:eastAsia="Calibri"/>
                <w:bCs/>
                <w:sz w:val="22"/>
                <w:szCs w:val="22"/>
                <w:lang w:val="en-US"/>
              </w:rPr>
            </w:pPr>
            <w:r>
              <w:rPr>
                <w:rFonts w:eastAsia="Calibri"/>
                <w:bCs/>
                <w:sz w:val="22"/>
                <w:szCs w:val="22"/>
                <w:lang w:val="en-US"/>
              </w:rPr>
              <w:t>4,677.12</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4,677.12</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2015</w:t>
            </w:r>
          </w:p>
        </w:tc>
        <w:tc>
          <w:tcPr>
            <w:tcW w:w="1710" w:type="dxa"/>
          </w:tcPr>
          <w:p>
            <w:pPr>
              <w:spacing w:line="276" w:lineRule="auto"/>
              <w:jc w:val="right"/>
              <w:rPr>
                <w:rFonts w:eastAsia="Calibri"/>
                <w:bCs/>
                <w:sz w:val="22"/>
                <w:szCs w:val="22"/>
                <w:lang w:val="en-US"/>
              </w:rPr>
            </w:pPr>
            <w:r>
              <w:rPr>
                <w:rFonts w:eastAsia="Calibri"/>
                <w:bCs/>
                <w:sz w:val="22"/>
                <w:szCs w:val="22"/>
                <w:lang w:val="en-US"/>
              </w:rPr>
              <w:t>14,180.00</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14,180.00</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2014</w:t>
            </w:r>
          </w:p>
        </w:tc>
        <w:tc>
          <w:tcPr>
            <w:tcW w:w="1710" w:type="dxa"/>
          </w:tcPr>
          <w:p>
            <w:pPr>
              <w:spacing w:line="276" w:lineRule="auto"/>
              <w:jc w:val="right"/>
              <w:rPr>
                <w:rFonts w:eastAsia="Calibri"/>
                <w:bCs/>
                <w:sz w:val="22"/>
                <w:szCs w:val="22"/>
                <w:lang w:val="en-US"/>
              </w:rPr>
            </w:pPr>
            <w:r>
              <w:rPr>
                <w:rFonts w:eastAsia="Calibri"/>
                <w:bCs/>
                <w:sz w:val="22"/>
                <w:szCs w:val="22"/>
                <w:lang w:val="en-US"/>
              </w:rPr>
              <w:t>27,279.00</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27,279.00</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2013</w:t>
            </w:r>
          </w:p>
        </w:tc>
        <w:tc>
          <w:tcPr>
            <w:tcW w:w="1710" w:type="dxa"/>
          </w:tcPr>
          <w:p>
            <w:pPr>
              <w:spacing w:line="276" w:lineRule="auto"/>
              <w:jc w:val="right"/>
              <w:rPr>
                <w:rFonts w:eastAsia="Calibri"/>
                <w:bCs/>
                <w:sz w:val="22"/>
                <w:szCs w:val="22"/>
                <w:lang w:val="en-US"/>
              </w:rPr>
            </w:pPr>
            <w:r>
              <w:rPr>
                <w:rFonts w:eastAsia="Calibri"/>
                <w:bCs/>
                <w:sz w:val="22"/>
                <w:szCs w:val="22"/>
                <w:lang w:val="en-US"/>
              </w:rPr>
              <w:t>368,442.91</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368,442.91</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2012</w:t>
            </w:r>
          </w:p>
        </w:tc>
        <w:tc>
          <w:tcPr>
            <w:tcW w:w="1710" w:type="dxa"/>
          </w:tcPr>
          <w:p>
            <w:pPr>
              <w:spacing w:line="276" w:lineRule="auto"/>
              <w:jc w:val="right"/>
              <w:rPr>
                <w:rFonts w:eastAsia="Calibri"/>
                <w:bCs/>
                <w:sz w:val="22"/>
                <w:szCs w:val="22"/>
                <w:lang w:val="en-US"/>
              </w:rPr>
            </w:pPr>
            <w:r>
              <w:rPr>
                <w:rFonts w:eastAsia="Calibri"/>
                <w:bCs/>
                <w:sz w:val="22"/>
                <w:szCs w:val="22"/>
                <w:lang w:val="en-US"/>
              </w:rPr>
              <w:t>5,096.00</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5,096.00</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2011</w:t>
            </w:r>
          </w:p>
        </w:tc>
        <w:tc>
          <w:tcPr>
            <w:tcW w:w="1710" w:type="dxa"/>
          </w:tcPr>
          <w:p>
            <w:pPr>
              <w:spacing w:line="276" w:lineRule="auto"/>
              <w:jc w:val="right"/>
              <w:rPr>
                <w:rFonts w:eastAsia="Calibri"/>
                <w:bCs/>
                <w:sz w:val="22"/>
                <w:szCs w:val="22"/>
                <w:lang w:val="en-US"/>
              </w:rPr>
            </w:pPr>
            <w:r>
              <w:rPr>
                <w:rFonts w:eastAsia="Calibri"/>
                <w:bCs/>
                <w:sz w:val="22"/>
                <w:szCs w:val="22"/>
                <w:lang w:val="en-US"/>
              </w:rPr>
              <w:t>1,110.00</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1,110.00</w:t>
            </w:r>
          </w:p>
        </w:tc>
      </w:tr>
      <w:tr>
        <w:trPr>
          <w:jc w:val="center"/>
        </w:trPr>
        <w:tc>
          <w:tcPr>
            <w:tcW w:w="1165" w:type="dxa"/>
          </w:tcPr>
          <w:p>
            <w:pPr>
              <w:spacing w:line="276" w:lineRule="auto"/>
              <w:jc w:val="center"/>
              <w:rPr>
                <w:rFonts w:eastAsia="Calibri"/>
                <w:bCs/>
                <w:sz w:val="22"/>
                <w:szCs w:val="22"/>
                <w:lang w:val="en-US"/>
              </w:rPr>
            </w:pPr>
            <w:r>
              <w:rPr>
                <w:rFonts w:eastAsia="Calibri"/>
                <w:bCs/>
                <w:sz w:val="22"/>
                <w:szCs w:val="22"/>
                <w:lang w:val="en-US"/>
              </w:rPr>
              <w:t>2008</w:t>
            </w:r>
          </w:p>
        </w:tc>
        <w:tc>
          <w:tcPr>
            <w:tcW w:w="1710" w:type="dxa"/>
          </w:tcPr>
          <w:p>
            <w:pPr>
              <w:spacing w:line="276" w:lineRule="auto"/>
              <w:jc w:val="right"/>
              <w:rPr>
                <w:rFonts w:eastAsia="Calibri"/>
                <w:bCs/>
                <w:sz w:val="22"/>
                <w:szCs w:val="22"/>
                <w:lang w:val="en-US"/>
              </w:rPr>
            </w:pPr>
            <w:r>
              <w:rPr>
                <w:rFonts w:eastAsia="Calibri"/>
                <w:bCs/>
                <w:sz w:val="22"/>
                <w:szCs w:val="22"/>
                <w:lang w:val="en-US"/>
              </w:rPr>
              <w:t>2,000.00</w:t>
            </w:r>
          </w:p>
        </w:tc>
        <w:tc>
          <w:tcPr>
            <w:tcW w:w="1890" w:type="dxa"/>
          </w:tcPr>
          <w:p>
            <w:pPr>
              <w:spacing w:line="276" w:lineRule="auto"/>
              <w:jc w:val="right"/>
              <w:rPr>
                <w:rFonts w:eastAsia="Calibri"/>
                <w:bCs/>
                <w:sz w:val="22"/>
                <w:szCs w:val="22"/>
                <w:lang w:val="en-US"/>
              </w:rPr>
            </w:pPr>
            <w:r>
              <w:rPr>
                <w:rFonts w:eastAsia="Calibri"/>
                <w:bCs/>
                <w:sz w:val="22"/>
                <w:szCs w:val="22"/>
                <w:lang w:val="en-US"/>
              </w:rPr>
              <w:t>-0.00-</w:t>
            </w:r>
          </w:p>
        </w:tc>
        <w:tc>
          <w:tcPr>
            <w:tcW w:w="1620" w:type="dxa"/>
          </w:tcPr>
          <w:p>
            <w:pPr>
              <w:spacing w:line="276" w:lineRule="auto"/>
              <w:jc w:val="right"/>
              <w:rPr>
                <w:rFonts w:eastAsia="Calibri"/>
                <w:bCs/>
                <w:sz w:val="22"/>
                <w:szCs w:val="22"/>
                <w:lang w:val="en-US"/>
              </w:rPr>
            </w:pPr>
            <w:r>
              <w:rPr>
                <w:rFonts w:eastAsia="Calibri"/>
                <w:bCs/>
                <w:sz w:val="22"/>
                <w:szCs w:val="22"/>
                <w:lang w:val="en-US"/>
              </w:rPr>
              <w:t>-0.00-</w:t>
            </w:r>
          </w:p>
        </w:tc>
        <w:tc>
          <w:tcPr>
            <w:tcW w:w="1710" w:type="dxa"/>
          </w:tcPr>
          <w:p>
            <w:pPr>
              <w:spacing w:line="276" w:lineRule="auto"/>
              <w:jc w:val="right"/>
              <w:rPr>
                <w:rFonts w:eastAsia="Calibri"/>
                <w:bCs/>
                <w:sz w:val="22"/>
                <w:szCs w:val="22"/>
                <w:lang w:val="en-US"/>
              </w:rPr>
            </w:pPr>
            <w:r>
              <w:rPr>
                <w:rFonts w:eastAsia="Calibri"/>
                <w:bCs/>
                <w:sz w:val="22"/>
                <w:szCs w:val="22"/>
                <w:lang w:val="en-US"/>
              </w:rPr>
              <w:t>2,000.00</w:t>
            </w:r>
          </w:p>
        </w:tc>
      </w:tr>
      <w:tr>
        <w:trPr>
          <w:jc w:val="center"/>
        </w:trPr>
        <w:tc>
          <w:tcPr>
            <w:tcW w:w="1165" w:type="dxa"/>
          </w:tcPr>
          <w:p>
            <w:pPr>
              <w:spacing w:line="276" w:lineRule="auto"/>
              <w:jc w:val="center"/>
              <w:rPr>
                <w:rFonts w:eastAsia="Calibri"/>
                <w:b/>
                <w:bCs/>
                <w:sz w:val="22"/>
                <w:szCs w:val="22"/>
                <w:lang w:val="en-US"/>
              </w:rPr>
            </w:pPr>
            <w:r>
              <w:rPr>
                <w:rFonts w:eastAsia="Calibri"/>
                <w:b/>
                <w:bCs/>
                <w:sz w:val="22"/>
                <w:szCs w:val="22"/>
                <w:lang w:val="en-US"/>
              </w:rPr>
              <w:t>Total</w:t>
            </w:r>
          </w:p>
        </w:tc>
        <w:tc>
          <w:tcPr>
            <w:tcW w:w="1710" w:type="dxa"/>
          </w:tcPr>
          <w:p>
            <w:pPr>
              <w:spacing w:line="276" w:lineRule="auto"/>
              <w:jc w:val="right"/>
              <w:rPr>
                <w:rFonts w:eastAsia="Calibri"/>
                <w:b/>
                <w:bCs/>
                <w:sz w:val="22"/>
                <w:szCs w:val="22"/>
                <w:lang w:val="en-US"/>
              </w:rPr>
            </w:pPr>
            <w:r>
              <w:rPr>
                <w:rFonts w:eastAsia="Calibri"/>
                <w:b/>
                <w:bCs/>
                <w:sz w:val="22"/>
                <w:szCs w:val="22"/>
                <w:lang w:val="en-US"/>
              </w:rPr>
              <w:t>P3,225,153.51</w:t>
            </w:r>
          </w:p>
        </w:tc>
        <w:tc>
          <w:tcPr>
            <w:tcW w:w="1890" w:type="dxa"/>
          </w:tcPr>
          <w:p>
            <w:pPr>
              <w:spacing w:line="276" w:lineRule="auto"/>
              <w:jc w:val="right"/>
              <w:rPr>
                <w:rFonts w:eastAsia="Calibri"/>
                <w:b/>
                <w:bCs/>
                <w:sz w:val="22"/>
                <w:szCs w:val="22"/>
                <w:lang w:val="en-US"/>
              </w:rPr>
            </w:pPr>
            <w:r>
              <w:rPr>
                <w:rFonts w:eastAsia="Calibri"/>
                <w:b/>
                <w:bCs/>
                <w:sz w:val="22"/>
                <w:szCs w:val="22"/>
                <w:lang w:val="en-US"/>
              </w:rPr>
              <w:t>P36,000.00</w:t>
            </w:r>
          </w:p>
        </w:tc>
        <w:tc>
          <w:tcPr>
            <w:tcW w:w="1620" w:type="dxa"/>
          </w:tcPr>
          <w:p>
            <w:pPr>
              <w:spacing w:line="276" w:lineRule="auto"/>
              <w:jc w:val="right"/>
              <w:rPr>
                <w:rFonts w:eastAsia="Calibri"/>
                <w:b/>
                <w:bCs/>
                <w:sz w:val="22"/>
                <w:szCs w:val="22"/>
                <w:lang w:val="en-US"/>
              </w:rPr>
            </w:pPr>
            <w:r>
              <w:rPr>
                <w:rFonts w:eastAsia="Calibri"/>
                <w:b/>
                <w:bCs/>
                <w:sz w:val="22"/>
                <w:szCs w:val="22"/>
                <w:lang w:val="en-US"/>
              </w:rPr>
              <w:t>P49,700.00</w:t>
            </w:r>
          </w:p>
        </w:tc>
        <w:tc>
          <w:tcPr>
            <w:tcW w:w="1710" w:type="dxa"/>
          </w:tcPr>
          <w:p>
            <w:pPr>
              <w:spacing w:line="276" w:lineRule="auto"/>
              <w:jc w:val="right"/>
              <w:rPr>
                <w:rFonts w:eastAsia="Calibri"/>
                <w:b/>
                <w:bCs/>
                <w:sz w:val="22"/>
                <w:szCs w:val="22"/>
                <w:lang w:val="en-US"/>
              </w:rPr>
            </w:pPr>
            <w:r>
              <w:rPr>
                <w:rFonts w:eastAsia="Calibri"/>
                <w:b/>
                <w:bCs/>
                <w:sz w:val="22"/>
                <w:szCs w:val="22"/>
                <w:lang w:val="en-US"/>
              </w:rPr>
              <w:t>P3,310,853.51</w:t>
            </w:r>
          </w:p>
        </w:tc>
      </w:tr>
    </w:tbl>
    <w:p>
      <w:pPr>
        <w:spacing w:line="276" w:lineRule="auto"/>
        <w:ind w:right="360"/>
        <w:jc w:val="both"/>
        <w:rPr>
          <w:rFonts w:eastAsia="Calibri"/>
          <w:bCs/>
        </w:rPr>
      </w:pPr>
    </w:p>
    <w:p>
      <w:pPr>
        <w:spacing w:line="276" w:lineRule="auto"/>
        <w:jc w:val="both"/>
        <w:rPr>
          <w:rFonts w:eastAsia="Calibri"/>
          <w:bCs/>
        </w:rPr>
      </w:pPr>
      <w:r>
        <w:rPr>
          <w:rFonts w:eastAsia="Calibri"/>
          <w:bCs/>
        </w:rPr>
        <w:t>As shown in the table above, majority of the long outstanding accounts payable are under the General Fund and have been outstanding since CY 2008 (</w:t>
      </w:r>
      <w:r>
        <w:rPr>
          <w:rFonts w:eastAsia="Calibri"/>
          <w:bCs/>
          <w:i/>
        </w:rPr>
        <w:t>details are presented in Annex M</w:t>
      </w:r>
      <w:r>
        <w:rPr>
          <w:rFonts w:eastAsia="Calibri"/>
          <w:bCs/>
        </w:rPr>
        <w:t xml:space="preserve">). Under the SEF, the claim pertains to unpaid construction materials purchased from </w:t>
      </w:r>
      <w:proofErr w:type="spellStart"/>
      <w:r>
        <w:rPr>
          <w:rFonts w:eastAsia="Calibri"/>
          <w:bCs/>
        </w:rPr>
        <w:t>Allbrycar</w:t>
      </w:r>
      <w:proofErr w:type="spellEnd"/>
      <w:r>
        <w:rPr>
          <w:rFonts w:eastAsia="Calibri"/>
          <w:bCs/>
        </w:rPr>
        <w:t xml:space="preserve"> Constructions and Engineering Services recorded under JEV No. 2017-12-001287 dated December 29, 2017. Under the Trust Fund, the claim pertains to unpaid polo-shirt for NTP Program purchased from </w:t>
      </w:r>
      <w:proofErr w:type="spellStart"/>
      <w:r>
        <w:rPr>
          <w:rFonts w:eastAsia="Calibri"/>
          <w:bCs/>
        </w:rPr>
        <w:t>Mircopy</w:t>
      </w:r>
      <w:proofErr w:type="spellEnd"/>
      <w:r>
        <w:rPr>
          <w:rFonts w:eastAsia="Calibri"/>
          <w:bCs/>
        </w:rPr>
        <w:t xml:space="preserve"> General Merchandise recorded under JEV No. 2020-12-000557 dated December 29, 2020. Inquiry with the accounting personnel revealed that the presence of long outstanding accounts is due to the following:</w:t>
      </w:r>
    </w:p>
    <w:p>
      <w:pPr>
        <w:spacing w:line="276" w:lineRule="auto"/>
        <w:ind w:firstLine="720"/>
        <w:jc w:val="both"/>
        <w:rPr>
          <w:rFonts w:eastAsia="Calibri"/>
          <w:bCs/>
        </w:rPr>
      </w:pPr>
    </w:p>
    <w:p>
      <w:pPr>
        <w:numPr>
          <w:ilvl w:val="0"/>
          <w:numId w:val="17"/>
        </w:numPr>
        <w:spacing w:line="276" w:lineRule="auto"/>
        <w:ind w:left="720"/>
        <w:contextualSpacing/>
        <w:jc w:val="both"/>
        <w:rPr>
          <w:rFonts w:eastAsia="Calibri"/>
          <w:bCs/>
        </w:rPr>
      </w:pPr>
      <w:r>
        <w:rPr>
          <w:rFonts w:eastAsia="Calibri"/>
          <w:bCs/>
        </w:rPr>
        <w:t>Overbooking of accounts payable wherein the recorded claims are in excess of the actual amount paid to the supplier;</w:t>
      </w:r>
    </w:p>
    <w:p>
      <w:pPr>
        <w:numPr>
          <w:ilvl w:val="0"/>
          <w:numId w:val="17"/>
        </w:numPr>
        <w:spacing w:line="276" w:lineRule="auto"/>
        <w:ind w:left="720"/>
        <w:contextualSpacing/>
        <w:jc w:val="both"/>
        <w:rPr>
          <w:rFonts w:eastAsia="Calibri"/>
          <w:bCs/>
        </w:rPr>
      </w:pPr>
      <w:r>
        <w:rPr>
          <w:rFonts w:eastAsia="Calibri"/>
          <w:bCs/>
        </w:rPr>
        <w:t>Non-processing by the concerned office for the payment of the outstanding payables including those liabilities recognized for the reversion of stale checks; and,</w:t>
      </w:r>
    </w:p>
    <w:p>
      <w:pPr>
        <w:numPr>
          <w:ilvl w:val="0"/>
          <w:numId w:val="17"/>
        </w:numPr>
        <w:spacing w:line="276" w:lineRule="auto"/>
        <w:ind w:left="720"/>
        <w:contextualSpacing/>
        <w:jc w:val="both"/>
        <w:rPr>
          <w:rFonts w:eastAsia="Calibri"/>
          <w:bCs/>
        </w:rPr>
      </w:pPr>
      <w:r>
        <w:rPr>
          <w:rFonts w:eastAsia="Calibri"/>
          <w:bCs/>
        </w:rPr>
        <w:t xml:space="preserve">Non-adjustment/non-reconciliation of accounts with </w:t>
      </w:r>
      <w:proofErr w:type="spellStart"/>
      <w:r>
        <w:rPr>
          <w:rFonts w:eastAsia="Calibri"/>
          <w:bCs/>
        </w:rPr>
        <w:t>misposted</w:t>
      </w:r>
      <w:proofErr w:type="spellEnd"/>
      <w:r>
        <w:rPr>
          <w:rFonts w:eastAsia="Calibri"/>
          <w:bCs/>
        </w:rPr>
        <w:t xml:space="preserve"> payments.</w:t>
      </w:r>
    </w:p>
    <w:p>
      <w:pPr>
        <w:spacing w:line="276" w:lineRule="auto"/>
        <w:ind w:left="720"/>
        <w:jc w:val="both"/>
        <w:rPr>
          <w:rFonts w:eastAsia="Calibri"/>
          <w:bCs/>
        </w:rPr>
      </w:pPr>
    </w:p>
    <w:p>
      <w:pPr>
        <w:spacing w:line="276" w:lineRule="auto"/>
        <w:jc w:val="both"/>
        <w:rPr>
          <w:rFonts w:eastAsia="Calibri"/>
          <w:bCs/>
        </w:rPr>
      </w:pPr>
      <w:r>
        <w:rPr>
          <w:rFonts w:eastAsia="Calibri"/>
          <w:bCs/>
        </w:rPr>
        <w:t xml:space="preserve">Further investigation also revealed that the City Accounting Office (CAO) does not conduct follow-ups with the processing of payments since it is the respective concerned offices’ responsibility. The reversion of long outstanding accounts was also not yet done by the CAO since reconciliations and monitoring of the accounts are yet to be done due to the committed errors in recording. In addition, the migration and setting up of beginning balances from Version 1 to Version 2 of the </w:t>
      </w:r>
      <w:proofErr w:type="spellStart"/>
      <w:r>
        <w:rPr>
          <w:rFonts w:eastAsia="Calibri"/>
          <w:bCs/>
        </w:rPr>
        <w:t>eNGAS</w:t>
      </w:r>
      <w:proofErr w:type="spellEnd"/>
      <w:r>
        <w:rPr>
          <w:rFonts w:eastAsia="Calibri"/>
          <w:bCs/>
        </w:rPr>
        <w:t xml:space="preserve"> as well as the preparation of financial reports for CY 2022 was prioritized by the accounting personnel. </w:t>
      </w:r>
    </w:p>
    <w:p>
      <w:pPr>
        <w:spacing w:line="276" w:lineRule="auto"/>
        <w:jc w:val="both"/>
        <w:rPr>
          <w:rFonts w:eastAsia="Calibri"/>
          <w:bCs/>
        </w:rPr>
      </w:pPr>
    </w:p>
    <w:p>
      <w:pPr>
        <w:spacing w:line="276" w:lineRule="auto"/>
        <w:jc w:val="both"/>
        <w:rPr>
          <w:rFonts w:eastAsia="Calibri"/>
          <w:bCs/>
        </w:rPr>
      </w:pPr>
      <w:r>
        <w:rPr>
          <w:rFonts w:eastAsia="Calibri"/>
          <w:bCs/>
        </w:rPr>
        <w:lastRenderedPageBreak/>
        <w:t>Due to the passage of time, the validity of these accounts remained doubtful. Likewise, the City Accountant had failed to monitor these long overdue accounts. Furthermore, in the submitted Ageing Report for the Accounts Payable as at December 31, 2022, the long outstanding accounts were identified as “Not Yet Due and Demandable” together with claims incurred in the current year, thus, delivering misleading information to users of the financial statements.</w:t>
      </w:r>
    </w:p>
    <w:p>
      <w:pPr>
        <w:spacing w:line="276" w:lineRule="auto"/>
        <w:jc w:val="both"/>
        <w:rPr>
          <w:rFonts w:eastAsia="Calibri"/>
          <w:bCs/>
        </w:rPr>
      </w:pPr>
    </w:p>
    <w:p>
      <w:pPr>
        <w:spacing w:line="276" w:lineRule="auto"/>
        <w:jc w:val="both"/>
        <w:rPr>
          <w:rFonts w:eastAsia="Calibri"/>
          <w:bCs/>
        </w:rPr>
      </w:pPr>
      <w:r>
        <w:rPr>
          <w:rFonts w:eastAsia="Calibri"/>
          <w:bCs/>
        </w:rPr>
        <w:t>These overdue payables were not yet reverted to the unappropriated surplus of the General Fund contrary to the aforesaid provision, which funds could have been used to finance the operating expenses and other programs, projects and activities of the agency. Further, these payables may not represent valid claims, thus, the validity and accuracy of the accounts payable cannot be relied upon.</w:t>
      </w:r>
    </w:p>
    <w:p>
      <w:pPr>
        <w:spacing w:line="276" w:lineRule="auto"/>
        <w:ind w:right="162"/>
        <w:jc w:val="both"/>
      </w:pPr>
    </w:p>
    <w:p>
      <w:pPr>
        <w:pStyle w:val="ListParagraph"/>
        <w:numPr>
          <w:ilvl w:val="0"/>
          <w:numId w:val="16"/>
        </w:numPr>
        <w:spacing w:after="0"/>
        <w:ind w:left="426"/>
        <w:jc w:val="both"/>
        <w:rPr>
          <w:rFonts w:ascii="Times New Roman" w:eastAsiaTheme="minorHAnsi" w:hAnsi="Times New Roman"/>
          <w:b/>
          <w:bCs/>
          <w:i/>
          <w:sz w:val="24"/>
          <w:szCs w:val="24"/>
        </w:rPr>
      </w:pPr>
      <w:r>
        <w:rPr>
          <w:rFonts w:ascii="Times New Roman" w:eastAsiaTheme="minorHAnsi" w:hAnsi="Times New Roman"/>
          <w:b/>
          <w:bCs/>
          <w:i/>
          <w:sz w:val="24"/>
          <w:szCs w:val="24"/>
        </w:rPr>
        <w:t>Various deficiencies in the supporting documents of existing claims from creditors – P10,618,644.70</w:t>
      </w:r>
    </w:p>
    <w:p>
      <w:pPr>
        <w:spacing w:line="276" w:lineRule="auto"/>
        <w:jc w:val="both"/>
        <w:rPr>
          <w:rFonts w:eastAsiaTheme="minorHAnsi"/>
          <w:b/>
          <w:bCs/>
          <w:i/>
        </w:rPr>
      </w:pPr>
    </w:p>
    <w:p>
      <w:pPr>
        <w:spacing w:line="276" w:lineRule="auto"/>
        <w:jc w:val="both"/>
        <w:rPr>
          <w:rFonts w:eastAsiaTheme="minorHAnsi"/>
          <w:bCs/>
          <w:i/>
        </w:rPr>
      </w:pPr>
      <w:r>
        <w:rPr>
          <w:rFonts w:eastAsiaTheme="minorHAnsi"/>
          <w:bCs/>
        </w:rPr>
        <w:t>Under the accrual basis of accounting, as defined in Section 7 of IPSAS 1, “</w:t>
      </w:r>
      <w:r>
        <w:rPr>
          <w:rFonts w:eastAsiaTheme="minorHAnsi"/>
          <w:bCs/>
          <w:i/>
        </w:rPr>
        <w:t>transactions and other events are recognized when they occur and not only when cash or its equivalent is received or paid. Therefore, the transactions and events are recorded in the accounting records and recognized in the financial statements of the periods to which they relate.”</w:t>
      </w:r>
    </w:p>
    <w:p>
      <w:pPr>
        <w:spacing w:line="276" w:lineRule="auto"/>
        <w:jc w:val="both"/>
        <w:rPr>
          <w:rFonts w:eastAsiaTheme="minorHAnsi"/>
          <w:bCs/>
          <w:i/>
        </w:rPr>
      </w:pPr>
    </w:p>
    <w:p>
      <w:pPr>
        <w:spacing w:line="276" w:lineRule="auto"/>
        <w:jc w:val="both"/>
        <w:rPr>
          <w:rFonts w:eastAsiaTheme="minorHAnsi"/>
          <w:bCs/>
        </w:rPr>
      </w:pPr>
      <w:r>
        <w:rPr>
          <w:rFonts w:eastAsiaTheme="minorHAnsi"/>
          <w:bCs/>
        </w:rPr>
        <w:t>Under this principle, the City Government recognizes financial liabilities and records it under the Accounts Payable for the unpaid goods received and services accepted as at year-end. The concerned offices will forward relevant supporting documents to the CAO as basis for the recognition. It has been the practice of the CAO that after recognition of the obligations incurred, the said documents will be returned to the respective concerned offices for completion of the requirements for the processing of payments. Thus, the said documents were not submitted to the Office of the Auditor for verification on the validity of claims.</w:t>
      </w:r>
    </w:p>
    <w:p>
      <w:pPr>
        <w:spacing w:line="276" w:lineRule="auto"/>
        <w:jc w:val="both"/>
        <w:rPr>
          <w:rFonts w:eastAsiaTheme="minorHAnsi"/>
          <w:bCs/>
        </w:rPr>
      </w:pPr>
    </w:p>
    <w:p>
      <w:pPr>
        <w:spacing w:line="276" w:lineRule="auto"/>
        <w:jc w:val="both"/>
        <w:rPr>
          <w:rFonts w:eastAsiaTheme="minorHAnsi"/>
          <w:bCs/>
        </w:rPr>
      </w:pPr>
      <w:r>
        <w:rPr>
          <w:rFonts w:eastAsiaTheme="minorHAnsi"/>
          <w:bCs/>
        </w:rPr>
        <w:t>Item 1, Section 39 of PD 1445 states that:</w:t>
      </w:r>
    </w:p>
    <w:p>
      <w:pPr>
        <w:spacing w:line="276" w:lineRule="auto"/>
        <w:ind w:firstLine="720"/>
        <w:jc w:val="both"/>
        <w:rPr>
          <w:rFonts w:eastAsiaTheme="minorHAnsi"/>
          <w:bCs/>
        </w:rPr>
      </w:pPr>
    </w:p>
    <w:p>
      <w:pPr>
        <w:spacing w:line="276" w:lineRule="auto"/>
        <w:ind w:left="720" w:right="702"/>
        <w:jc w:val="both"/>
        <w:rPr>
          <w:rFonts w:eastAsiaTheme="minorHAnsi"/>
          <w:bCs/>
          <w:i/>
        </w:rPr>
      </w:pPr>
      <w:r>
        <w:rPr>
          <w:rFonts w:eastAsiaTheme="minorHAnsi"/>
          <w:bCs/>
        </w:rPr>
        <w:t>The Commission shall have the power, for purposes of inspection, to require the submission of the original of any order, deed, contract, or other document under which any collection of, or payment from, government funds may be made, together with any certificate, receipt, or other evidence in connection therewith. If an authenticated copy is needed for record purposes, the copy shall upon demand be furnished.</w:t>
      </w:r>
    </w:p>
    <w:p>
      <w:pPr>
        <w:spacing w:line="276" w:lineRule="auto"/>
        <w:ind w:right="360"/>
        <w:jc w:val="both"/>
        <w:rPr>
          <w:rFonts w:eastAsiaTheme="minorHAnsi"/>
          <w:bCs/>
          <w:i/>
        </w:rPr>
      </w:pPr>
    </w:p>
    <w:p>
      <w:pPr>
        <w:spacing w:line="276" w:lineRule="auto"/>
        <w:jc w:val="both"/>
        <w:rPr>
          <w:rFonts w:eastAsiaTheme="minorHAnsi"/>
          <w:bCs/>
        </w:rPr>
      </w:pPr>
      <w:r>
        <w:rPr>
          <w:rFonts w:eastAsiaTheme="minorHAnsi"/>
          <w:bCs/>
        </w:rPr>
        <w:lastRenderedPageBreak/>
        <w:t>In order to establish the validity of claims, the Audit Team requested the submission of the Journal Entry Vouchers together with the relevant supporting documents as basis for the recognized liabilities for the month of December 2022. During the examination of documents submitted, deficiencies were noted in the submitted supporting documents for claims under the General Fund amounting to P10,618,644.70, rendering the accounts doubtful:</w:t>
      </w:r>
    </w:p>
    <w:p>
      <w:pPr>
        <w:spacing w:line="276" w:lineRule="auto"/>
        <w:jc w:val="both"/>
        <w:rPr>
          <w:rFonts w:eastAsiaTheme="minorHAnsi"/>
          <w:bCs/>
        </w:rPr>
      </w:pPr>
    </w:p>
    <w:p>
      <w:pPr>
        <w:spacing w:line="276" w:lineRule="auto"/>
        <w:jc w:val="both"/>
        <w:rPr>
          <w:rFonts w:eastAsiaTheme="minorHAnsi"/>
          <w:bCs/>
          <w:i/>
        </w:rPr>
      </w:pPr>
      <w:r>
        <w:rPr>
          <w:rFonts w:eastAsiaTheme="minorHAnsi"/>
          <w:bCs/>
          <w:i/>
        </w:rPr>
        <w:t>Table 5.3. Claims under General Fund with deficient supporting documents.</w:t>
      </w:r>
    </w:p>
    <w:tbl>
      <w:tblPr>
        <w:tblW w:w="8725" w:type="dxa"/>
        <w:jc w:val="center"/>
        <w:tblLook w:val="04A0" w:firstRow="1" w:lastRow="0" w:firstColumn="1" w:lastColumn="0" w:noHBand="0" w:noVBand="1"/>
      </w:tblPr>
      <w:tblGrid>
        <w:gridCol w:w="1440"/>
        <w:gridCol w:w="2435"/>
        <w:gridCol w:w="1191"/>
        <w:gridCol w:w="1623"/>
        <w:gridCol w:w="2036"/>
      </w:tblGrid>
      <w:tr>
        <w:trPr>
          <w:trHeight w:val="116"/>
          <w:tblHeader/>
          <w:jc w:val="center"/>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pPr>
              <w:pStyle w:val="Heading1"/>
              <w:spacing w:before="0"/>
              <w:jc w:val="center"/>
              <w:rPr>
                <w:rFonts w:ascii="Times New Roman" w:eastAsia="Times New Roman" w:hAnsi="Times New Roman" w:cs="Times New Roman"/>
                <w:b/>
                <w:color w:val="000000"/>
                <w:sz w:val="22"/>
                <w:szCs w:val="22"/>
                <w:lang w:val="en-PH" w:eastAsia="en-PH"/>
              </w:rPr>
            </w:pPr>
            <w:r>
              <w:rPr>
                <w:rFonts w:ascii="Times New Roman" w:eastAsia="Times New Roman" w:hAnsi="Times New Roman" w:cs="Times New Roman"/>
                <w:b/>
                <w:color w:val="000000"/>
                <w:sz w:val="22"/>
                <w:szCs w:val="22"/>
                <w:lang w:val="en-PH" w:eastAsia="en-PH"/>
              </w:rPr>
              <w:t>Date of JEV</w:t>
            </w:r>
          </w:p>
        </w:tc>
        <w:tc>
          <w:tcPr>
            <w:tcW w:w="2435" w:type="dxa"/>
            <w:tcBorders>
              <w:top w:val="single" w:sz="4" w:space="0" w:color="auto"/>
              <w:left w:val="nil"/>
              <w:bottom w:val="single" w:sz="4" w:space="0" w:color="auto"/>
              <w:right w:val="single" w:sz="4" w:space="0" w:color="auto"/>
            </w:tcBorders>
            <w:shd w:val="clear" w:color="auto" w:fill="auto"/>
            <w:vAlign w:val="center"/>
          </w:tcPr>
          <w:p>
            <w:pPr>
              <w:pStyle w:val="Heading1"/>
              <w:spacing w:before="0"/>
              <w:jc w:val="center"/>
              <w:rPr>
                <w:rFonts w:ascii="Times New Roman" w:eastAsia="Times New Roman" w:hAnsi="Times New Roman" w:cs="Times New Roman"/>
                <w:b/>
                <w:color w:val="000000"/>
                <w:sz w:val="22"/>
                <w:szCs w:val="22"/>
                <w:lang w:val="en-PH" w:eastAsia="en-PH"/>
              </w:rPr>
            </w:pPr>
            <w:r>
              <w:rPr>
                <w:rFonts w:ascii="Times New Roman" w:eastAsia="Times New Roman" w:hAnsi="Times New Roman" w:cs="Times New Roman"/>
                <w:b/>
                <w:color w:val="000000"/>
                <w:sz w:val="22"/>
                <w:szCs w:val="22"/>
                <w:lang w:val="en-PH" w:eastAsia="en-PH"/>
              </w:rPr>
              <w:t>Payee</w:t>
            </w:r>
          </w:p>
        </w:tc>
        <w:tc>
          <w:tcPr>
            <w:tcW w:w="1191" w:type="dxa"/>
            <w:tcBorders>
              <w:top w:val="single" w:sz="4" w:space="0" w:color="auto"/>
              <w:left w:val="nil"/>
              <w:bottom w:val="single" w:sz="4" w:space="0" w:color="auto"/>
              <w:right w:val="single" w:sz="4" w:space="0" w:color="auto"/>
            </w:tcBorders>
            <w:shd w:val="clear" w:color="auto" w:fill="auto"/>
            <w:vAlign w:val="center"/>
          </w:tcPr>
          <w:p>
            <w:pPr>
              <w:pStyle w:val="Heading1"/>
              <w:spacing w:before="0"/>
              <w:jc w:val="center"/>
              <w:rPr>
                <w:rFonts w:ascii="Times New Roman" w:eastAsia="Times New Roman" w:hAnsi="Times New Roman" w:cs="Times New Roman"/>
                <w:b/>
                <w:color w:val="000000"/>
                <w:sz w:val="22"/>
                <w:szCs w:val="22"/>
                <w:lang w:val="en-PH" w:eastAsia="en-PH"/>
              </w:rPr>
            </w:pPr>
            <w:r>
              <w:rPr>
                <w:rFonts w:ascii="Times New Roman" w:eastAsia="Times New Roman" w:hAnsi="Times New Roman" w:cs="Times New Roman"/>
                <w:b/>
                <w:color w:val="000000"/>
                <w:sz w:val="22"/>
                <w:szCs w:val="22"/>
                <w:lang w:val="en-PH" w:eastAsia="en-PH"/>
              </w:rPr>
              <w:t>Reference</w:t>
            </w:r>
          </w:p>
        </w:tc>
        <w:tc>
          <w:tcPr>
            <w:tcW w:w="1623" w:type="dxa"/>
            <w:tcBorders>
              <w:top w:val="single" w:sz="4" w:space="0" w:color="auto"/>
              <w:left w:val="nil"/>
              <w:bottom w:val="single" w:sz="4" w:space="0" w:color="auto"/>
              <w:right w:val="single" w:sz="4" w:space="0" w:color="auto"/>
            </w:tcBorders>
            <w:shd w:val="clear" w:color="auto" w:fill="auto"/>
            <w:noWrap/>
            <w:vAlign w:val="center"/>
          </w:tcPr>
          <w:p>
            <w:pPr>
              <w:pStyle w:val="Heading1"/>
              <w:spacing w:before="0"/>
              <w:jc w:val="center"/>
              <w:rPr>
                <w:rFonts w:ascii="Times New Roman" w:eastAsia="Times New Roman" w:hAnsi="Times New Roman" w:cs="Times New Roman"/>
                <w:b/>
                <w:color w:val="000000"/>
                <w:sz w:val="22"/>
                <w:szCs w:val="22"/>
                <w:lang w:val="en-PH" w:eastAsia="en-PH"/>
              </w:rPr>
            </w:pPr>
            <w:r>
              <w:rPr>
                <w:rFonts w:ascii="Times New Roman" w:eastAsia="Times New Roman" w:hAnsi="Times New Roman" w:cs="Times New Roman"/>
                <w:b/>
                <w:color w:val="000000"/>
                <w:sz w:val="22"/>
                <w:szCs w:val="22"/>
                <w:lang w:val="en-PH" w:eastAsia="en-PH"/>
              </w:rPr>
              <w:t>Amount</w:t>
            </w:r>
          </w:p>
        </w:tc>
        <w:tc>
          <w:tcPr>
            <w:tcW w:w="2036" w:type="dxa"/>
            <w:tcBorders>
              <w:top w:val="single" w:sz="4" w:space="0" w:color="auto"/>
              <w:left w:val="nil"/>
              <w:bottom w:val="single" w:sz="4" w:space="0" w:color="auto"/>
              <w:right w:val="single" w:sz="4" w:space="0" w:color="auto"/>
            </w:tcBorders>
            <w:vAlign w:val="center"/>
          </w:tcPr>
          <w:p>
            <w:pPr>
              <w:pStyle w:val="Heading1"/>
              <w:spacing w:before="0"/>
              <w:jc w:val="center"/>
              <w:rPr>
                <w:rFonts w:ascii="Times New Roman" w:eastAsia="Times New Roman" w:hAnsi="Times New Roman" w:cs="Times New Roman"/>
                <w:b/>
                <w:color w:val="000000"/>
                <w:sz w:val="22"/>
                <w:szCs w:val="22"/>
                <w:lang w:val="en-PH" w:eastAsia="en-PH"/>
              </w:rPr>
            </w:pPr>
            <w:r>
              <w:rPr>
                <w:rFonts w:ascii="Times New Roman" w:eastAsia="Times New Roman" w:hAnsi="Times New Roman" w:cs="Times New Roman"/>
                <w:b/>
                <w:color w:val="000000"/>
                <w:sz w:val="22"/>
                <w:szCs w:val="22"/>
                <w:lang w:val="en-PH" w:eastAsia="en-PH"/>
              </w:rPr>
              <w:t>Deficiencies Noted</w:t>
            </w:r>
          </w:p>
        </w:tc>
      </w:tr>
      <w:tr>
        <w:trPr>
          <w:trHeight w:val="440"/>
          <w:jc w:val="center"/>
        </w:trPr>
        <w:tc>
          <w:tcPr>
            <w:tcW w:w="1440" w:type="dxa"/>
            <w:tcBorders>
              <w:top w:val="nil"/>
              <w:left w:val="single" w:sz="4" w:space="0" w:color="auto"/>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color w:val="000000"/>
                <w:sz w:val="22"/>
                <w:szCs w:val="22"/>
                <w:lang w:val="en-PH" w:eastAsia="en-PH"/>
              </w:rPr>
              <w:t>31-Dec-22</w:t>
            </w:r>
          </w:p>
        </w:tc>
        <w:tc>
          <w:tcPr>
            <w:tcW w:w="2435" w:type="dxa"/>
            <w:tcBorders>
              <w:top w:val="nil"/>
              <w:left w:val="nil"/>
              <w:bottom w:val="single" w:sz="4" w:space="0" w:color="auto"/>
              <w:right w:val="single" w:sz="4" w:space="0" w:color="auto"/>
            </w:tcBorders>
            <w:shd w:val="clear" w:color="auto" w:fill="auto"/>
          </w:tcPr>
          <w:p>
            <w:pPr>
              <w:spacing w:line="276" w:lineRule="auto"/>
              <w:rPr>
                <w:color w:val="000000"/>
                <w:sz w:val="22"/>
                <w:szCs w:val="22"/>
                <w:lang w:val="en-PH" w:eastAsia="en-PH"/>
              </w:rPr>
            </w:pPr>
            <w:proofErr w:type="spellStart"/>
            <w:proofErr w:type="gramStart"/>
            <w:r>
              <w:rPr>
                <w:color w:val="000000"/>
                <w:sz w:val="22"/>
                <w:szCs w:val="22"/>
                <w:lang w:val="en-PH" w:eastAsia="en-PH"/>
              </w:rPr>
              <w:t>Ledgtech</w:t>
            </w:r>
            <w:proofErr w:type="spellEnd"/>
            <w:r>
              <w:rPr>
                <w:color w:val="000000"/>
                <w:sz w:val="22"/>
                <w:szCs w:val="22"/>
                <w:lang w:val="en-PH" w:eastAsia="en-PH"/>
              </w:rPr>
              <w:t>(</w:t>
            </w:r>
            <w:proofErr w:type="gramEnd"/>
            <w:r>
              <w:rPr>
                <w:color w:val="000000"/>
                <w:sz w:val="22"/>
                <w:szCs w:val="22"/>
                <w:lang w:val="en-PH" w:eastAsia="en-PH"/>
              </w:rPr>
              <w:t>Philippines), Inc.</w:t>
            </w:r>
          </w:p>
          <w:p>
            <w:pPr>
              <w:spacing w:line="276" w:lineRule="auto"/>
              <w:rPr>
                <w:color w:val="000000"/>
                <w:sz w:val="22"/>
                <w:szCs w:val="22"/>
                <w:lang w:val="en-PH" w:eastAsia="en-PH"/>
              </w:rPr>
            </w:pPr>
          </w:p>
        </w:tc>
        <w:tc>
          <w:tcPr>
            <w:tcW w:w="1191" w:type="dxa"/>
            <w:tcBorders>
              <w:top w:val="nil"/>
              <w:left w:val="nil"/>
              <w:bottom w:val="single" w:sz="4" w:space="0" w:color="auto"/>
              <w:right w:val="single" w:sz="4" w:space="0" w:color="auto"/>
            </w:tcBorders>
            <w:shd w:val="clear" w:color="auto" w:fill="auto"/>
          </w:tcPr>
          <w:p>
            <w:pPr>
              <w:spacing w:line="276" w:lineRule="auto"/>
              <w:jc w:val="center"/>
              <w:rPr>
                <w:color w:val="000000"/>
                <w:sz w:val="22"/>
                <w:szCs w:val="22"/>
                <w:lang w:val="en-PH" w:eastAsia="en-PH"/>
              </w:rPr>
            </w:pPr>
            <w:r>
              <w:rPr>
                <w:color w:val="000000"/>
                <w:sz w:val="22"/>
                <w:szCs w:val="22"/>
                <w:lang w:val="en-PH" w:eastAsia="en-PH"/>
              </w:rPr>
              <w:t>JEV-2022-12-006878</w:t>
            </w:r>
          </w:p>
        </w:tc>
        <w:tc>
          <w:tcPr>
            <w:tcW w:w="1623" w:type="dxa"/>
            <w:tcBorders>
              <w:top w:val="nil"/>
              <w:left w:val="nil"/>
              <w:bottom w:val="single" w:sz="4" w:space="0" w:color="auto"/>
              <w:right w:val="single" w:sz="4" w:space="0" w:color="auto"/>
            </w:tcBorders>
            <w:shd w:val="clear" w:color="auto" w:fill="auto"/>
            <w:noWrap/>
          </w:tcPr>
          <w:p>
            <w:pPr>
              <w:spacing w:line="276" w:lineRule="auto"/>
              <w:jc w:val="right"/>
              <w:rPr>
                <w:color w:val="000000"/>
                <w:sz w:val="22"/>
                <w:szCs w:val="22"/>
                <w:lang w:val="en-PH" w:eastAsia="en-PH"/>
              </w:rPr>
            </w:pPr>
            <w:r>
              <w:rPr>
                <w:color w:val="000000"/>
                <w:sz w:val="22"/>
                <w:szCs w:val="22"/>
                <w:lang w:val="en-PH" w:eastAsia="en-PH"/>
              </w:rPr>
              <w:t>P2,753,058.00</w:t>
            </w:r>
          </w:p>
        </w:tc>
        <w:tc>
          <w:tcPr>
            <w:tcW w:w="2036" w:type="dxa"/>
            <w:tcBorders>
              <w:top w:val="nil"/>
              <w:left w:val="nil"/>
              <w:bottom w:val="single" w:sz="4" w:space="0" w:color="auto"/>
              <w:right w:val="single" w:sz="4" w:space="0" w:color="auto"/>
            </w:tcBorders>
          </w:tcPr>
          <w:p>
            <w:pPr>
              <w:spacing w:line="276" w:lineRule="auto"/>
              <w:jc w:val="center"/>
              <w:rPr>
                <w:color w:val="000000"/>
                <w:sz w:val="22"/>
                <w:szCs w:val="22"/>
                <w:lang w:val="en-PH" w:eastAsia="en-PH"/>
              </w:rPr>
            </w:pPr>
            <w:r>
              <w:rPr>
                <w:color w:val="000000"/>
                <w:sz w:val="22"/>
                <w:szCs w:val="22"/>
                <w:lang w:val="en-PH" w:eastAsia="en-PH"/>
              </w:rPr>
              <w:t>No Acceptance and Inspection Report and Charged Sales Invoice was not signed by the receiving officer</w:t>
            </w:r>
          </w:p>
        </w:tc>
      </w:tr>
      <w:tr>
        <w:trPr>
          <w:trHeight w:val="440"/>
          <w:jc w:val="center"/>
        </w:trPr>
        <w:tc>
          <w:tcPr>
            <w:tcW w:w="144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29-Dec-22</w:t>
            </w:r>
          </w:p>
        </w:tc>
        <w:tc>
          <w:tcPr>
            <w:tcW w:w="2435" w:type="dxa"/>
            <w:tcBorders>
              <w:top w:val="nil"/>
              <w:left w:val="nil"/>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MMJS Pharmacy and Medical Supplies</w:t>
            </w:r>
          </w:p>
          <w:p>
            <w:pPr>
              <w:spacing w:line="276" w:lineRule="auto"/>
              <w:rPr>
                <w:color w:val="000000"/>
                <w:sz w:val="22"/>
                <w:szCs w:val="22"/>
                <w:lang w:val="en-PH" w:eastAsia="en-PH"/>
              </w:rPr>
            </w:pPr>
          </w:p>
        </w:tc>
        <w:tc>
          <w:tcPr>
            <w:tcW w:w="1191"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JEV-2022-12-006494</w:t>
            </w:r>
          </w:p>
        </w:tc>
        <w:tc>
          <w:tcPr>
            <w:tcW w:w="1623" w:type="dxa"/>
            <w:tcBorders>
              <w:top w:val="nil"/>
              <w:left w:val="nil"/>
              <w:bottom w:val="single" w:sz="4" w:space="0" w:color="auto"/>
              <w:right w:val="single" w:sz="4" w:space="0" w:color="auto"/>
            </w:tcBorders>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1,712,237.50 </w:t>
            </w:r>
          </w:p>
        </w:tc>
        <w:tc>
          <w:tcPr>
            <w:tcW w:w="2036" w:type="dxa"/>
            <w:tcBorders>
              <w:top w:val="nil"/>
              <w:left w:val="nil"/>
              <w:bottom w:val="single" w:sz="4" w:space="0" w:color="auto"/>
              <w:right w:val="single" w:sz="4" w:space="0" w:color="auto"/>
            </w:tcBorders>
          </w:tcPr>
          <w:p>
            <w:pPr>
              <w:spacing w:line="276" w:lineRule="auto"/>
              <w:jc w:val="center"/>
              <w:rPr>
                <w:color w:val="000000"/>
                <w:sz w:val="22"/>
                <w:szCs w:val="22"/>
                <w:lang w:val="en-PH" w:eastAsia="en-PH"/>
              </w:rPr>
            </w:pPr>
            <w:r>
              <w:rPr>
                <w:color w:val="000000"/>
                <w:sz w:val="22"/>
                <w:szCs w:val="22"/>
                <w:lang w:val="en-PH" w:eastAsia="en-PH"/>
              </w:rPr>
              <w:t>Charge Invoice &amp; Delivery Receipt undated</w:t>
            </w:r>
          </w:p>
        </w:tc>
      </w:tr>
      <w:tr>
        <w:trPr>
          <w:trHeight w:val="816"/>
          <w:jc w:val="center"/>
        </w:trPr>
        <w:tc>
          <w:tcPr>
            <w:tcW w:w="1440" w:type="dxa"/>
            <w:tcBorders>
              <w:top w:val="single" w:sz="4" w:space="0" w:color="auto"/>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30-Dec-22</w:t>
            </w:r>
          </w:p>
        </w:tc>
        <w:tc>
          <w:tcPr>
            <w:tcW w:w="2435" w:type="dxa"/>
            <w:tcBorders>
              <w:top w:val="single" w:sz="4" w:space="0" w:color="auto"/>
              <w:left w:val="nil"/>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Southern Motors of Davao I</w:t>
            </w:r>
          </w:p>
        </w:tc>
        <w:tc>
          <w:tcPr>
            <w:tcW w:w="1191" w:type="dxa"/>
            <w:tcBorders>
              <w:top w:val="single" w:sz="4" w:space="0" w:color="auto"/>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JEV-2022-12-006599</w:t>
            </w:r>
          </w:p>
        </w:tc>
        <w:tc>
          <w:tcPr>
            <w:tcW w:w="1623" w:type="dxa"/>
            <w:tcBorders>
              <w:top w:val="single" w:sz="4" w:space="0" w:color="auto"/>
              <w:left w:val="nil"/>
              <w:bottom w:val="single" w:sz="4" w:space="0" w:color="auto"/>
              <w:right w:val="single" w:sz="4" w:space="0" w:color="auto"/>
            </w:tcBorders>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1,445,000.00 </w:t>
            </w:r>
          </w:p>
        </w:tc>
        <w:tc>
          <w:tcPr>
            <w:tcW w:w="2036" w:type="dxa"/>
            <w:tcBorders>
              <w:top w:val="single" w:sz="4" w:space="0" w:color="auto"/>
              <w:left w:val="nil"/>
              <w:bottom w:val="single" w:sz="4" w:space="0" w:color="auto"/>
              <w:right w:val="single" w:sz="4" w:space="0" w:color="auto"/>
            </w:tcBorders>
          </w:tcPr>
          <w:p>
            <w:pPr>
              <w:spacing w:line="276" w:lineRule="auto"/>
              <w:jc w:val="center"/>
              <w:rPr>
                <w:color w:val="000000"/>
                <w:sz w:val="22"/>
                <w:szCs w:val="22"/>
                <w:lang w:val="en-PH" w:eastAsia="en-PH"/>
              </w:rPr>
            </w:pPr>
            <w:r>
              <w:rPr>
                <w:color w:val="000000"/>
                <w:sz w:val="22"/>
                <w:szCs w:val="22"/>
                <w:lang w:val="en-PH" w:eastAsia="en-PH"/>
              </w:rPr>
              <w:t>Sales Invoice undated</w:t>
            </w:r>
          </w:p>
        </w:tc>
      </w:tr>
      <w:tr>
        <w:trPr>
          <w:trHeight w:val="408"/>
          <w:jc w:val="center"/>
        </w:trPr>
        <w:tc>
          <w:tcPr>
            <w:tcW w:w="144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31-Dec-22</w:t>
            </w:r>
          </w:p>
        </w:tc>
        <w:tc>
          <w:tcPr>
            <w:tcW w:w="2435" w:type="dxa"/>
            <w:tcBorders>
              <w:top w:val="nil"/>
              <w:left w:val="nil"/>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MMJS Pharmacy and Medical Supplies</w:t>
            </w:r>
          </w:p>
        </w:tc>
        <w:tc>
          <w:tcPr>
            <w:tcW w:w="1191"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JEV-2022-12-006769</w:t>
            </w:r>
          </w:p>
        </w:tc>
        <w:tc>
          <w:tcPr>
            <w:tcW w:w="1623" w:type="dxa"/>
            <w:tcBorders>
              <w:top w:val="nil"/>
              <w:left w:val="nil"/>
              <w:bottom w:val="single" w:sz="4" w:space="0" w:color="auto"/>
              <w:right w:val="single" w:sz="4" w:space="0" w:color="auto"/>
            </w:tcBorders>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1,172,199.50 </w:t>
            </w:r>
          </w:p>
        </w:tc>
        <w:tc>
          <w:tcPr>
            <w:tcW w:w="2036" w:type="dxa"/>
            <w:tcBorders>
              <w:top w:val="nil"/>
              <w:left w:val="nil"/>
              <w:bottom w:val="single" w:sz="4" w:space="0" w:color="auto"/>
              <w:right w:val="single" w:sz="4" w:space="0" w:color="auto"/>
            </w:tcBorders>
          </w:tcPr>
          <w:p>
            <w:pPr>
              <w:spacing w:line="276" w:lineRule="auto"/>
              <w:jc w:val="center"/>
              <w:rPr>
                <w:color w:val="000000"/>
                <w:sz w:val="22"/>
                <w:szCs w:val="22"/>
                <w:lang w:val="en-PH" w:eastAsia="en-PH"/>
              </w:rPr>
            </w:pPr>
            <w:r>
              <w:rPr>
                <w:color w:val="000000"/>
                <w:sz w:val="22"/>
                <w:szCs w:val="22"/>
                <w:lang w:val="en-PH" w:eastAsia="en-PH"/>
              </w:rPr>
              <w:t>Charge Invoice &amp; Delivery Receipt undated</w:t>
            </w:r>
          </w:p>
        </w:tc>
      </w:tr>
      <w:tr>
        <w:trPr>
          <w:trHeight w:val="612"/>
          <w:jc w:val="center"/>
        </w:trPr>
        <w:tc>
          <w:tcPr>
            <w:tcW w:w="144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31-Dec-22</w:t>
            </w:r>
          </w:p>
        </w:tc>
        <w:tc>
          <w:tcPr>
            <w:tcW w:w="2435" w:type="dxa"/>
            <w:tcBorders>
              <w:top w:val="nil"/>
              <w:left w:val="nil"/>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MMJS Pharmacy and Medical Supplies</w:t>
            </w:r>
          </w:p>
        </w:tc>
        <w:tc>
          <w:tcPr>
            <w:tcW w:w="1191"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JEV-2022-12-006736</w:t>
            </w:r>
          </w:p>
        </w:tc>
        <w:tc>
          <w:tcPr>
            <w:tcW w:w="1623" w:type="dxa"/>
            <w:tcBorders>
              <w:top w:val="nil"/>
              <w:left w:val="nil"/>
              <w:bottom w:val="single" w:sz="4" w:space="0" w:color="auto"/>
              <w:right w:val="single" w:sz="4" w:space="0" w:color="auto"/>
            </w:tcBorders>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841,729.50 </w:t>
            </w:r>
          </w:p>
        </w:tc>
        <w:tc>
          <w:tcPr>
            <w:tcW w:w="2036" w:type="dxa"/>
            <w:tcBorders>
              <w:top w:val="nil"/>
              <w:left w:val="nil"/>
              <w:bottom w:val="single" w:sz="4" w:space="0" w:color="auto"/>
              <w:right w:val="single" w:sz="4" w:space="0" w:color="auto"/>
            </w:tcBorders>
          </w:tcPr>
          <w:p>
            <w:pPr>
              <w:spacing w:line="276" w:lineRule="auto"/>
              <w:jc w:val="center"/>
              <w:rPr>
                <w:color w:val="000000"/>
                <w:sz w:val="22"/>
                <w:szCs w:val="22"/>
                <w:lang w:val="en-PH" w:eastAsia="en-PH"/>
              </w:rPr>
            </w:pPr>
            <w:r>
              <w:rPr>
                <w:color w:val="000000"/>
                <w:sz w:val="22"/>
                <w:szCs w:val="22"/>
                <w:lang w:val="en-PH" w:eastAsia="en-PH"/>
              </w:rPr>
              <w:t>Charged Invoice undated</w:t>
            </w:r>
          </w:p>
          <w:p>
            <w:pPr>
              <w:spacing w:line="276" w:lineRule="auto"/>
              <w:jc w:val="center"/>
              <w:rPr>
                <w:color w:val="000000"/>
                <w:sz w:val="22"/>
                <w:szCs w:val="22"/>
                <w:lang w:val="en-PH" w:eastAsia="en-PH"/>
              </w:rPr>
            </w:pPr>
            <w:r>
              <w:rPr>
                <w:color w:val="000000"/>
                <w:sz w:val="22"/>
                <w:szCs w:val="22"/>
                <w:lang w:val="en-PH" w:eastAsia="en-PH"/>
              </w:rPr>
              <w:t>No Delivery Receipt</w:t>
            </w:r>
          </w:p>
        </w:tc>
      </w:tr>
      <w:tr>
        <w:trPr>
          <w:trHeight w:val="408"/>
          <w:jc w:val="center"/>
        </w:trPr>
        <w:tc>
          <w:tcPr>
            <w:tcW w:w="144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31-Dec-22</w:t>
            </w:r>
          </w:p>
        </w:tc>
        <w:tc>
          <w:tcPr>
            <w:tcW w:w="2435" w:type="dxa"/>
            <w:tcBorders>
              <w:top w:val="nil"/>
              <w:left w:val="nil"/>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 xml:space="preserve">Najah Construction Supply </w:t>
            </w:r>
          </w:p>
        </w:tc>
        <w:tc>
          <w:tcPr>
            <w:tcW w:w="1191"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JEV-2022-12-006963</w:t>
            </w:r>
          </w:p>
        </w:tc>
        <w:tc>
          <w:tcPr>
            <w:tcW w:w="1623" w:type="dxa"/>
            <w:tcBorders>
              <w:top w:val="nil"/>
              <w:left w:val="nil"/>
              <w:bottom w:val="single" w:sz="4" w:space="0" w:color="auto"/>
              <w:right w:val="single" w:sz="4" w:space="0" w:color="auto"/>
            </w:tcBorders>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721,100.20 </w:t>
            </w:r>
          </w:p>
        </w:tc>
        <w:tc>
          <w:tcPr>
            <w:tcW w:w="2036" w:type="dxa"/>
            <w:tcBorders>
              <w:top w:val="nil"/>
              <w:left w:val="nil"/>
              <w:bottom w:val="single" w:sz="4" w:space="0" w:color="auto"/>
              <w:right w:val="single" w:sz="4" w:space="0" w:color="auto"/>
            </w:tcBorders>
          </w:tcPr>
          <w:p>
            <w:pPr>
              <w:spacing w:line="276" w:lineRule="auto"/>
              <w:jc w:val="center"/>
              <w:rPr>
                <w:color w:val="000000"/>
                <w:sz w:val="22"/>
                <w:szCs w:val="22"/>
                <w:lang w:val="en-PH" w:eastAsia="en-PH"/>
              </w:rPr>
            </w:pPr>
            <w:r>
              <w:rPr>
                <w:color w:val="000000"/>
                <w:sz w:val="22"/>
                <w:szCs w:val="22"/>
                <w:lang w:val="en-PH" w:eastAsia="en-PH"/>
              </w:rPr>
              <w:t>Charge Invoice &amp; Delivery Receipt undated</w:t>
            </w:r>
          </w:p>
        </w:tc>
      </w:tr>
      <w:tr>
        <w:trPr>
          <w:trHeight w:val="612"/>
          <w:jc w:val="center"/>
        </w:trPr>
        <w:tc>
          <w:tcPr>
            <w:tcW w:w="144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28-Dec-22</w:t>
            </w:r>
          </w:p>
        </w:tc>
        <w:tc>
          <w:tcPr>
            <w:tcW w:w="2435" w:type="dxa"/>
            <w:tcBorders>
              <w:top w:val="nil"/>
              <w:left w:val="nil"/>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Provincial Economic Enterprises Development Office</w:t>
            </w:r>
          </w:p>
        </w:tc>
        <w:tc>
          <w:tcPr>
            <w:tcW w:w="1191"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JEV-2022-12-006311</w:t>
            </w:r>
          </w:p>
        </w:tc>
        <w:tc>
          <w:tcPr>
            <w:tcW w:w="1623" w:type="dxa"/>
            <w:tcBorders>
              <w:top w:val="nil"/>
              <w:left w:val="nil"/>
              <w:bottom w:val="single" w:sz="4" w:space="0" w:color="auto"/>
              <w:right w:val="single" w:sz="4" w:space="0" w:color="auto"/>
            </w:tcBorders>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546,000.00 </w:t>
            </w:r>
          </w:p>
        </w:tc>
        <w:tc>
          <w:tcPr>
            <w:tcW w:w="2036" w:type="dxa"/>
            <w:tcBorders>
              <w:top w:val="nil"/>
              <w:left w:val="nil"/>
              <w:bottom w:val="single" w:sz="4" w:space="0" w:color="auto"/>
              <w:right w:val="single" w:sz="4" w:space="0" w:color="auto"/>
            </w:tcBorders>
          </w:tcPr>
          <w:p>
            <w:pPr>
              <w:spacing w:line="276" w:lineRule="auto"/>
              <w:jc w:val="center"/>
              <w:rPr>
                <w:color w:val="000000"/>
                <w:sz w:val="22"/>
                <w:szCs w:val="22"/>
                <w:lang w:val="en-PH" w:eastAsia="en-PH"/>
              </w:rPr>
            </w:pPr>
            <w:r>
              <w:rPr>
                <w:sz w:val="22"/>
                <w:szCs w:val="22"/>
                <w:lang w:val="en-PH" w:eastAsia="en-PH"/>
              </w:rPr>
              <w:t>No Delivery Receipt</w:t>
            </w:r>
          </w:p>
        </w:tc>
      </w:tr>
      <w:tr>
        <w:trPr>
          <w:trHeight w:val="612"/>
          <w:jc w:val="center"/>
        </w:trPr>
        <w:tc>
          <w:tcPr>
            <w:tcW w:w="144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31-Dec-22</w:t>
            </w:r>
          </w:p>
        </w:tc>
        <w:tc>
          <w:tcPr>
            <w:tcW w:w="2435" w:type="dxa"/>
            <w:tcBorders>
              <w:top w:val="nil"/>
              <w:left w:val="nil"/>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MMJS Pharmacy and Medical Supplies</w:t>
            </w:r>
          </w:p>
        </w:tc>
        <w:tc>
          <w:tcPr>
            <w:tcW w:w="1191"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JEV-2022-12-006789</w:t>
            </w:r>
          </w:p>
        </w:tc>
        <w:tc>
          <w:tcPr>
            <w:tcW w:w="1623" w:type="dxa"/>
            <w:tcBorders>
              <w:top w:val="nil"/>
              <w:left w:val="nil"/>
              <w:bottom w:val="single" w:sz="4" w:space="0" w:color="auto"/>
              <w:right w:val="single" w:sz="4" w:space="0" w:color="auto"/>
            </w:tcBorders>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500,913.00 </w:t>
            </w:r>
          </w:p>
        </w:tc>
        <w:tc>
          <w:tcPr>
            <w:tcW w:w="2036" w:type="dxa"/>
            <w:tcBorders>
              <w:top w:val="nil"/>
              <w:left w:val="nil"/>
              <w:bottom w:val="single" w:sz="4" w:space="0" w:color="auto"/>
              <w:right w:val="single" w:sz="4" w:space="0" w:color="auto"/>
            </w:tcBorders>
          </w:tcPr>
          <w:p>
            <w:pPr>
              <w:spacing w:line="276" w:lineRule="auto"/>
              <w:jc w:val="center"/>
              <w:rPr>
                <w:color w:val="000000"/>
                <w:sz w:val="22"/>
                <w:szCs w:val="22"/>
                <w:lang w:val="en-PH" w:eastAsia="en-PH"/>
              </w:rPr>
            </w:pPr>
            <w:r>
              <w:rPr>
                <w:color w:val="000000"/>
                <w:sz w:val="22"/>
                <w:szCs w:val="22"/>
                <w:lang w:val="en-PH" w:eastAsia="en-PH"/>
              </w:rPr>
              <w:t>Charge Invoice &amp; Delivery Receipt undated</w:t>
            </w:r>
          </w:p>
        </w:tc>
      </w:tr>
      <w:tr>
        <w:trPr>
          <w:trHeight w:val="305"/>
          <w:jc w:val="center"/>
        </w:trPr>
        <w:tc>
          <w:tcPr>
            <w:tcW w:w="144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28-Dec-22</w:t>
            </w:r>
          </w:p>
        </w:tc>
        <w:tc>
          <w:tcPr>
            <w:tcW w:w="2435" w:type="dxa"/>
            <w:tcBorders>
              <w:top w:val="nil"/>
              <w:left w:val="nil"/>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 xml:space="preserve">Columbia Computer Center (Davao) Inc.    </w:t>
            </w:r>
          </w:p>
        </w:tc>
        <w:tc>
          <w:tcPr>
            <w:tcW w:w="1191"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JEV-2022-12-006172</w:t>
            </w:r>
          </w:p>
        </w:tc>
        <w:tc>
          <w:tcPr>
            <w:tcW w:w="1623" w:type="dxa"/>
            <w:tcBorders>
              <w:top w:val="nil"/>
              <w:left w:val="nil"/>
              <w:bottom w:val="single" w:sz="4" w:space="0" w:color="auto"/>
              <w:right w:val="single" w:sz="4" w:space="0" w:color="auto"/>
            </w:tcBorders>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498,282.00 </w:t>
            </w:r>
          </w:p>
        </w:tc>
        <w:tc>
          <w:tcPr>
            <w:tcW w:w="2036" w:type="dxa"/>
            <w:tcBorders>
              <w:top w:val="nil"/>
              <w:left w:val="nil"/>
              <w:bottom w:val="single" w:sz="4" w:space="0" w:color="auto"/>
              <w:right w:val="single" w:sz="4" w:space="0" w:color="auto"/>
            </w:tcBorders>
          </w:tcPr>
          <w:p>
            <w:pPr>
              <w:spacing w:line="276" w:lineRule="auto"/>
              <w:jc w:val="center"/>
              <w:rPr>
                <w:color w:val="000000"/>
                <w:sz w:val="22"/>
                <w:szCs w:val="22"/>
                <w:lang w:val="en-PH" w:eastAsia="en-PH"/>
              </w:rPr>
            </w:pPr>
            <w:r>
              <w:rPr>
                <w:color w:val="000000"/>
                <w:sz w:val="22"/>
                <w:szCs w:val="22"/>
                <w:lang w:val="en-PH" w:eastAsia="en-PH"/>
              </w:rPr>
              <w:t>Charge Invoice undated</w:t>
            </w:r>
          </w:p>
        </w:tc>
      </w:tr>
      <w:tr>
        <w:trPr>
          <w:trHeight w:val="612"/>
          <w:jc w:val="center"/>
        </w:trPr>
        <w:tc>
          <w:tcPr>
            <w:tcW w:w="1440" w:type="dxa"/>
            <w:tcBorders>
              <w:top w:val="single" w:sz="4" w:space="0" w:color="auto"/>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28-Dec-22</w:t>
            </w:r>
          </w:p>
        </w:tc>
        <w:tc>
          <w:tcPr>
            <w:tcW w:w="2435" w:type="dxa"/>
            <w:tcBorders>
              <w:top w:val="single" w:sz="4" w:space="0" w:color="auto"/>
              <w:left w:val="nil"/>
              <w:bottom w:val="single" w:sz="4" w:space="0" w:color="auto"/>
              <w:right w:val="single" w:sz="4" w:space="0" w:color="auto"/>
            </w:tcBorders>
            <w:shd w:val="clear" w:color="auto" w:fill="auto"/>
            <w:hideMark/>
          </w:tcPr>
          <w:p>
            <w:pPr>
              <w:spacing w:line="276" w:lineRule="auto"/>
              <w:rPr>
                <w:color w:val="000000"/>
                <w:sz w:val="22"/>
                <w:szCs w:val="22"/>
                <w:lang w:val="en-PH" w:eastAsia="en-PH"/>
              </w:rPr>
            </w:pPr>
            <w:proofErr w:type="spellStart"/>
            <w:r>
              <w:rPr>
                <w:color w:val="000000"/>
                <w:sz w:val="22"/>
                <w:szCs w:val="22"/>
                <w:lang w:val="en-PH" w:eastAsia="en-PH"/>
              </w:rPr>
              <w:t>Marsman</w:t>
            </w:r>
            <w:proofErr w:type="spellEnd"/>
            <w:r>
              <w:rPr>
                <w:color w:val="000000"/>
                <w:sz w:val="22"/>
                <w:szCs w:val="22"/>
                <w:lang w:val="en-PH" w:eastAsia="en-PH"/>
              </w:rPr>
              <w:t xml:space="preserve"> </w:t>
            </w:r>
            <w:proofErr w:type="spellStart"/>
            <w:r>
              <w:rPr>
                <w:color w:val="000000"/>
                <w:sz w:val="22"/>
                <w:szCs w:val="22"/>
                <w:lang w:val="en-PH" w:eastAsia="en-PH"/>
              </w:rPr>
              <w:t>Drsydale</w:t>
            </w:r>
            <w:proofErr w:type="spellEnd"/>
            <w:r>
              <w:rPr>
                <w:color w:val="000000"/>
                <w:sz w:val="22"/>
                <w:szCs w:val="22"/>
                <w:lang w:val="en-PH" w:eastAsia="en-PH"/>
              </w:rPr>
              <w:t xml:space="preserve"> Medical Products Inc.</w:t>
            </w:r>
          </w:p>
        </w:tc>
        <w:tc>
          <w:tcPr>
            <w:tcW w:w="1191" w:type="dxa"/>
            <w:tcBorders>
              <w:top w:val="single" w:sz="4" w:space="0" w:color="auto"/>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JEV-2022-12-006276</w:t>
            </w:r>
          </w:p>
        </w:tc>
        <w:tc>
          <w:tcPr>
            <w:tcW w:w="1623" w:type="dxa"/>
            <w:tcBorders>
              <w:top w:val="single" w:sz="4" w:space="0" w:color="auto"/>
              <w:left w:val="nil"/>
              <w:bottom w:val="single" w:sz="4" w:space="0" w:color="auto"/>
              <w:right w:val="single" w:sz="4" w:space="0" w:color="auto"/>
            </w:tcBorders>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428,125.00 </w:t>
            </w:r>
          </w:p>
        </w:tc>
        <w:tc>
          <w:tcPr>
            <w:tcW w:w="2036" w:type="dxa"/>
            <w:tcBorders>
              <w:top w:val="single" w:sz="4" w:space="0" w:color="auto"/>
              <w:left w:val="nil"/>
              <w:bottom w:val="single" w:sz="4" w:space="0" w:color="auto"/>
              <w:right w:val="single" w:sz="4" w:space="0" w:color="auto"/>
            </w:tcBorders>
          </w:tcPr>
          <w:p>
            <w:pPr>
              <w:spacing w:line="276" w:lineRule="auto"/>
              <w:jc w:val="center"/>
              <w:rPr>
                <w:color w:val="000000"/>
                <w:sz w:val="22"/>
                <w:szCs w:val="22"/>
                <w:lang w:val="en-PH" w:eastAsia="en-PH"/>
              </w:rPr>
            </w:pPr>
            <w:r>
              <w:rPr>
                <w:color w:val="000000"/>
                <w:sz w:val="22"/>
                <w:szCs w:val="22"/>
                <w:lang w:val="en-PH" w:eastAsia="en-PH"/>
              </w:rPr>
              <w:t xml:space="preserve">Purchase </w:t>
            </w:r>
            <w:proofErr w:type="gramStart"/>
            <w:r>
              <w:rPr>
                <w:color w:val="000000"/>
                <w:sz w:val="22"/>
                <w:szCs w:val="22"/>
                <w:lang w:val="en-PH" w:eastAsia="en-PH"/>
              </w:rPr>
              <w:t>Order  7</w:t>
            </w:r>
            <w:proofErr w:type="gramEnd"/>
            <w:r>
              <w:rPr>
                <w:color w:val="000000"/>
                <w:sz w:val="22"/>
                <w:szCs w:val="22"/>
                <w:lang w:val="en-PH" w:eastAsia="en-PH"/>
              </w:rPr>
              <w:t>/11/22</w:t>
            </w:r>
          </w:p>
          <w:p>
            <w:pPr>
              <w:spacing w:line="276" w:lineRule="auto"/>
              <w:jc w:val="center"/>
              <w:rPr>
                <w:color w:val="000000"/>
                <w:sz w:val="22"/>
                <w:szCs w:val="22"/>
                <w:lang w:val="en-PH" w:eastAsia="en-PH"/>
              </w:rPr>
            </w:pPr>
            <w:r>
              <w:rPr>
                <w:color w:val="000000"/>
                <w:sz w:val="22"/>
                <w:szCs w:val="22"/>
                <w:lang w:val="en-PH" w:eastAsia="en-PH"/>
              </w:rPr>
              <w:t>Delivery Receipt 5/17/22</w:t>
            </w:r>
          </w:p>
          <w:p>
            <w:pPr>
              <w:spacing w:line="276" w:lineRule="auto"/>
              <w:jc w:val="center"/>
              <w:rPr>
                <w:color w:val="000000"/>
                <w:sz w:val="22"/>
                <w:szCs w:val="22"/>
                <w:lang w:val="en-PH" w:eastAsia="en-PH"/>
              </w:rPr>
            </w:pPr>
            <w:r>
              <w:rPr>
                <w:color w:val="000000"/>
                <w:sz w:val="22"/>
                <w:szCs w:val="22"/>
                <w:lang w:val="en-PH" w:eastAsia="en-PH"/>
              </w:rPr>
              <w:lastRenderedPageBreak/>
              <w:t>Items were delivered prior to issuance of PO</w:t>
            </w:r>
          </w:p>
        </w:tc>
      </w:tr>
      <w:tr>
        <w:trPr>
          <w:trHeight w:val="274"/>
          <w:jc w:val="center"/>
        </w:trPr>
        <w:tc>
          <w:tcPr>
            <w:tcW w:w="5066" w:type="dxa"/>
            <w:gridSpan w:val="3"/>
            <w:tcBorders>
              <w:top w:val="single" w:sz="4" w:space="0" w:color="auto"/>
              <w:left w:val="single" w:sz="4" w:space="0" w:color="auto"/>
              <w:bottom w:val="single" w:sz="4" w:space="0" w:color="auto"/>
              <w:right w:val="single" w:sz="4" w:space="0" w:color="auto"/>
            </w:tcBorders>
            <w:shd w:val="clear" w:color="auto" w:fill="auto"/>
            <w:noWrap/>
          </w:tcPr>
          <w:p>
            <w:pPr>
              <w:spacing w:line="276" w:lineRule="auto"/>
              <w:rPr>
                <w:color w:val="000000"/>
                <w:sz w:val="22"/>
                <w:szCs w:val="22"/>
                <w:lang w:val="en-PH" w:eastAsia="en-PH"/>
              </w:rPr>
            </w:pPr>
            <w:r>
              <w:rPr>
                <w:b/>
                <w:color w:val="000000"/>
                <w:sz w:val="22"/>
                <w:szCs w:val="22"/>
                <w:lang w:val="en-PH" w:eastAsia="en-PH"/>
              </w:rPr>
              <w:lastRenderedPageBreak/>
              <w:t>TOTAL</w:t>
            </w:r>
          </w:p>
        </w:tc>
        <w:tc>
          <w:tcPr>
            <w:tcW w:w="1623" w:type="dxa"/>
            <w:tcBorders>
              <w:top w:val="single" w:sz="4" w:space="0" w:color="auto"/>
              <w:left w:val="nil"/>
              <w:bottom w:val="single" w:sz="4" w:space="0" w:color="auto"/>
              <w:right w:val="single" w:sz="4" w:space="0" w:color="auto"/>
            </w:tcBorders>
            <w:shd w:val="clear" w:color="auto" w:fill="auto"/>
            <w:noWrap/>
          </w:tcPr>
          <w:p>
            <w:pPr>
              <w:spacing w:line="276" w:lineRule="auto"/>
              <w:jc w:val="right"/>
              <w:rPr>
                <w:b/>
                <w:color w:val="000000"/>
                <w:sz w:val="22"/>
                <w:szCs w:val="22"/>
                <w:lang w:val="en-PH" w:eastAsia="en-PH"/>
              </w:rPr>
            </w:pPr>
            <w:r>
              <w:rPr>
                <w:b/>
                <w:color w:val="000000"/>
                <w:sz w:val="22"/>
                <w:szCs w:val="22"/>
                <w:lang w:val="en-PH" w:eastAsia="en-PH"/>
              </w:rPr>
              <w:t>P10,618,644.70</w:t>
            </w:r>
          </w:p>
        </w:tc>
        <w:tc>
          <w:tcPr>
            <w:tcW w:w="2036" w:type="dxa"/>
            <w:tcBorders>
              <w:top w:val="single" w:sz="4" w:space="0" w:color="auto"/>
              <w:left w:val="nil"/>
              <w:bottom w:val="single" w:sz="4" w:space="0" w:color="auto"/>
              <w:right w:val="single" w:sz="4" w:space="0" w:color="auto"/>
            </w:tcBorders>
          </w:tcPr>
          <w:p>
            <w:pPr>
              <w:spacing w:line="276" w:lineRule="auto"/>
              <w:jc w:val="center"/>
              <w:rPr>
                <w:color w:val="000000"/>
                <w:sz w:val="22"/>
                <w:szCs w:val="22"/>
                <w:lang w:val="en-PH" w:eastAsia="en-PH"/>
              </w:rPr>
            </w:pPr>
          </w:p>
        </w:tc>
      </w:tr>
    </w:tbl>
    <w:p>
      <w:pPr>
        <w:spacing w:line="276" w:lineRule="auto"/>
        <w:ind w:firstLine="720"/>
        <w:jc w:val="both"/>
        <w:rPr>
          <w:rFonts w:eastAsiaTheme="minorHAnsi"/>
          <w:bCs/>
        </w:rPr>
      </w:pPr>
    </w:p>
    <w:p>
      <w:pPr>
        <w:spacing w:line="276" w:lineRule="auto"/>
        <w:jc w:val="both"/>
        <w:rPr>
          <w:rFonts w:eastAsiaTheme="minorHAnsi"/>
          <w:bCs/>
        </w:rPr>
      </w:pPr>
      <w:r>
        <w:rPr>
          <w:rFonts w:eastAsiaTheme="minorHAnsi"/>
          <w:bCs/>
        </w:rPr>
        <w:t>The deficiency on the documentary requirements to substantiate the validity of claim cast doubt whether the criteria for the recognition of financial liabilities were met.</w:t>
      </w:r>
    </w:p>
    <w:p>
      <w:pPr>
        <w:spacing w:line="276" w:lineRule="auto"/>
        <w:jc w:val="both"/>
        <w:rPr>
          <w:rFonts w:eastAsiaTheme="minorHAnsi"/>
          <w:b/>
          <w:bCs/>
          <w:i/>
        </w:rPr>
      </w:pPr>
    </w:p>
    <w:p>
      <w:pPr>
        <w:pStyle w:val="ListParagraph"/>
        <w:numPr>
          <w:ilvl w:val="0"/>
          <w:numId w:val="16"/>
        </w:numPr>
        <w:spacing w:after="0"/>
        <w:ind w:left="360"/>
        <w:jc w:val="both"/>
        <w:rPr>
          <w:rFonts w:ascii="Times New Roman" w:eastAsiaTheme="minorHAnsi" w:hAnsi="Times New Roman"/>
          <w:bCs/>
          <w:sz w:val="24"/>
          <w:szCs w:val="24"/>
        </w:rPr>
      </w:pPr>
      <w:r>
        <w:rPr>
          <w:rFonts w:ascii="Times New Roman" w:eastAsiaTheme="minorHAnsi" w:hAnsi="Times New Roman"/>
          <w:b/>
          <w:bCs/>
          <w:i/>
          <w:sz w:val="24"/>
          <w:szCs w:val="24"/>
        </w:rPr>
        <w:t>Accounts with negative balances and unverified subsidiary ledger balances – P118,457.03 and P202,617.47, respectively</w:t>
      </w:r>
    </w:p>
    <w:p>
      <w:pPr>
        <w:spacing w:line="276" w:lineRule="auto"/>
        <w:jc w:val="both"/>
        <w:rPr>
          <w:rFonts w:eastAsiaTheme="minorHAnsi"/>
          <w:b/>
          <w:bCs/>
          <w:i/>
        </w:rPr>
      </w:pPr>
    </w:p>
    <w:p>
      <w:pPr>
        <w:spacing w:line="276" w:lineRule="auto"/>
        <w:jc w:val="both"/>
        <w:rPr>
          <w:rFonts w:eastAsiaTheme="minorHAnsi"/>
          <w:bCs/>
        </w:rPr>
      </w:pPr>
      <w:r>
        <w:rPr>
          <w:rFonts w:eastAsiaTheme="minorHAnsi"/>
          <w:bCs/>
        </w:rPr>
        <w:t>Annex B of COA Circular No. 2015-009 dated December 1, 2015, prescribing the revised chart of accounts for Local Government Unit, provides the following description of Accounts Payable, to wit:</w:t>
      </w:r>
    </w:p>
    <w:p>
      <w:pPr>
        <w:spacing w:line="276" w:lineRule="auto"/>
        <w:ind w:firstLine="720"/>
        <w:jc w:val="both"/>
        <w:rPr>
          <w:rFonts w:eastAsiaTheme="minorHAnsi"/>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5764"/>
      </w:tblGrid>
      <w:tr>
        <w:trPr>
          <w:jc w:val="center"/>
        </w:trPr>
        <w:tc>
          <w:tcPr>
            <w:tcW w:w="2160" w:type="dxa"/>
          </w:tcPr>
          <w:p>
            <w:pPr>
              <w:spacing w:line="276" w:lineRule="auto"/>
              <w:jc w:val="both"/>
            </w:pPr>
            <w:r>
              <w:t>Account Title:</w:t>
            </w:r>
          </w:p>
        </w:tc>
        <w:tc>
          <w:tcPr>
            <w:tcW w:w="5764" w:type="dxa"/>
          </w:tcPr>
          <w:p>
            <w:pPr>
              <w:spacing w:line="276" w:lineRule="auto"/>
              <w:ind w:right="-18"/>
            </w:pPr>
            <w:r>
              <w:t>Accounts Payable</w:t>
            </w:r>
          </w:p>
        </w:tc>
      </w:tr>
      <w:tr>
        <w:trPr>
          <w:jc w:val="center"/>
        </w:trPr>
        <w:tc>
          <w:tcPr>
            <w:tcW w:w="2160" w:type="dxa"/>
          </w:tcPr>
          <w:p>
            <w:pPr>
              <w:spacing w:line="276" w:lineRule="auto"/>
              <w:jc w:val="both"/>
            </w:pPr>
            <w:r>
              <w:t>Account Number:</w:t>
            </w:r>
          </w:p>
        </w:tc>
        <w:tc>
          <w:tcPr>
            <w:tcW w:w="5764" w:type="dxa"/>
          </w:tcPr>
          <w:p>
            <w:pPr>
              <w:spacing w:line="276" w:lineRule="auto"/>
              <w:ind w:right="-18"/>
            </w:pPr>
            <w:r>
              <w:t>2-01-01-010</w:t>
            </w:r>
          </w:p>
        </w:tc>
      </w:tr>
      <w:tr>
        <w:trPr>
          <w:jc w:val="center"/>
        </w:trPr>
        <w:tc>
          <w:tcPr>
            <w:tcW w:w="2160" w:type="dxa"/>
          </w:tcPr>
          <w:p>
            <w:pPr>
              <w:spacing w:line="276" w:lineRule="auto"/>
              <w:jc w:val="both"/>
            </w:pPr>
            <w:r>
              <w:t>Normal Balance:</w:t>
            </w:r>
          </w:p>
        </w:tc>
        <w:tc>
          <w:tcPr>
            <w:tcW w:w="5764" w:type="dxa"/>
          </w:tcPr>
          <w:p>
            <w:pPr>
              <w:spacing w:line="276" w:lineRule="auto"/>
              <w:ind w:right="-18"/>
            </w:pPr>
            <w:r>
              <w:t>Credit</w:t>
            </w:r>
          </w:p>
        </w:tc>
      </w:tr>
      <w:tr>
        <w:trPr>
          <w:jc w:val="center"/>
        </w:trPr>
        <w:tc>
          <w:tcPr>
            <w:tcW w:w="2160" w:type="dxa"/>
          </w:tcPr>
          <w:p>
            <w:pPr>
              <w:spacing w:line="276" w:lineRule="auto"/>
              <w:jc w:val="both"/>
            </w:pPr>
            <w:r>
              <w:t>Description:</w:t>
            </w:r>
          </w:p>
        </w:tc>
        <w:tc>
          <w:tcPr>
            <w:tcW w:w="5764" w:type="dxa"/>
          </w:tcPr>
          <w:p>
            <w:pPr>
              <w:spacing w:line="276" w:lineRule="auto"/>
              <w:ind w:right="-18"/>
              <w:jc w:val="both"/>
            </w:pPr>
            <w:r>
              <w:t xml:space="preserve">This account is used </w:t>
            </w:r>
            <w:r>
              <w:rPr>
                <w:rFonts w:eastAsiaTheme="minorHAnsi"/>
                <w:bCs/>
              </w:rPr>
              <w:t>to record receipt of goods or services on account in the normal course of trade and business operation. Debit this account for payment or settlement of liabilities.</w:t>
            </w:r>
          </w:p>
        </w:tc>
      </w:tr>
    </w:tbl>
    <w:p>
      <w:pPr>
        <w:spacing w:line="276" w:lineRule="auto"/>
        <w:jc w:val="both"/>
        <w:rPr>
          <w:rFonts w:eastAsiaTheme="minorHAnsi"/>
          <w:b/>
          <w:bCs/>
        </w:rPr>
      </w:pPr>
      <w:r>
        <w:rPr>
          <w:rFonts w:eastAsiaTheme="minorHAnsi"/>
          <w:b/>
          <w:bCs/>
        </w:rPr>
        <w:tab/>
      </w:r>
    </w:p>
    <w:p>
      <w:pPr>
        <w:spacing w:line="276" w:lineRule="auto"/>
        <w:jc w:val="both"/>
        <w:rPr>
          <w:rFonts w:eastAsiaTheme="minorHAnsi"/>
          <w:bCs/>
        </w:rPr>
      </w:pPr>
      <w:r>
        <w:rPr>
          <w:rFonts w:eastAsiaTheme="minorHAnsi"/>
          <w:bCs/>
        </w:rPr>
        <w:t>As mentioned in the above-quoted provision, the Accounts Payable has a normal credit balance. However, verification of the subsidiary ledgers disclosed that negative balances totaling P118,457.03, formed part of the Accounts Payable account under the General Fund books with details in Table 5.4.</w:t>
      </w:r>
    </w:p>
    <w:p>
      <w:pPr>
        <w:spacing w:line="276" w:lineRule="auto"/>
        <w:jc w:val="both"/>
        <w:rPr>
          <w:rFonts w:eastAsiaTheme="minorHAnsi"/>
          <w:bCs/>
        </w:rPr>
      </w:pPr>
    </w:p>
    <w:p>
      <w:pPr>
        <w:spacing w:line="276" w:lineRule="auto"/>
        <w:jc w:val="both"/>
        <w:rPr>
          <w:rFonts w:eastAsiaTheme="minorHAnsi"/>
          <w:bCs/>
          <w:i/>
        </w:rPr>
      </w:pPr>
      <w:r>
        <w:rPr>
          <w:rFonts w:eastAsiaTheme="minorHAnsi"/>
          <w:bCs/>
          <w:i/>
        </w:rPr>
        <w:t>Table 5.4. Accounts with negative balances</w:t>
      </w:r>
    </w:p>
    <w:tbl>
      <w:tblPr>
        <w:tblStyle w:val="TableGrid"/>
        <w:tblW w:w="0" w:type="auto"/>
        <w:jc w:val="center"/>
        <w:tblLook w:val="04A0" w:firstRow="1" w:lastRow="0" w:firstColumn="1" w:lastColumn="0" w:noHBand="0" w:noVBand="1"/>
      </w:tblPr>
      <w:tblGrid>
        <w:gridCol w:w="351"/>
        <w:gridCol w:w="2478"/>
        <w:gridCol w:w="1693"/>
        <w:gridCol w:w="1600"/>
        <w:gridCol w:w="2734"/>
      </w:tblGrid>
      <w:tr>
        <w:trPr>
          <w:cantSplit/>
          <w:tblHeader/>
          <w:jc w:val="center"/>
        </w:trPr>
        <w:tc>
          <w:tcPr>
            <w:tcW w:w="355" w:type="dxa"/>
          </w:tcPr>
          <w:p>
            <w:pPr>
              <w:spacing w:line="276" w:lineRule="auto"/>
              <w:jc w:val="center"/>
              <w:rPr>
                <w:rFonts w:eastAsiaTheme="minorHAnsi"/>
                <w:bCs/>
                <w:sz w:val="22"/>
                <w:szCs w:val="22"/>
              </w:rPr>
            </w:pPr>
          </w:p>
        </w:tc>
        <w:tc>
          <w:tcPr>
            <w:tcW w:w="2700" w:type="dxa"/>
          </w:tcPr>
          <w:p>
            <w:pPr>
              <w:spacing w:line="276" w:lineRule="auto"/>
              <w:jc w:val="center"/>
              <w:rPr>
                <w:rFonts w:eastAsiaTheme="minorHAnsi"/>
                <w:b/>
                <w:bCs/>
                <w:sz w:val="22"/>
                <w:szCs w:val="22"/>
              </w:rPr>
            </w:pPr>
            <w:r>
              <w:rPr>
                <w:rFonts w:eastAsiaTheme="minorHAnsi"/>
                <w:b/>
                <w:bCs/>
                <w:sz w:val="22"/>
                <w:szCs w:val="22"/>
              </w:rPr>
              <w:t>Creditor</w:t>
            </w:r>
          </w:p>
        </w:tc>
        <w:tc>
          <w:tcPr>
            <w:tcW w:w="1710" w:type="dxa"/>
          </w:tcPr>
          <w:p>
            <w:pPr>
              <w:spacing w:line="276" w:lineRule="auto"/>
              <w:jc w:val="center"/>
              <w:rPr>
                <w:rFonts w:eastAsiaTheme="minorHAnsi"/>
                <w:b/>
                <w:bCs/>
                <w:sz w:val="22"/>
                <w:szCs w:val="22"/>
              </w:rPr>
            </w:pPr>
            <w:r>
              <w:rPr>
                <w:rFonts w:eastAsiaTheme="minorHAnsi"/>
                <w:b/>
                <w:bCs/>
                <w:sz w:val="22"/>
                <w:szCs w:val="22"/>
              </w:rPr>
              <w:t>SL Code</w:t>
            </w:r>
          </w:p>
        </w:tc>
        <w:tc>
          <w:tcPr>
            <w:tcW w:w="1620" w:type="dxa"/>
          </w:tcPr>
          <w:p>
            <w:pPr>
              <w:spacing w:line="276" w:lineRule="auto"/>
              <w:jc w:val="center"/>
              <w:rPr>
                <w:rFonts w:eastAsiaTheme="minorHAnsi"/>
                <w:b/>
                <w:bCs/>
                <w:sz w:val="22"/>
                <w:szCs w:val="22"/>
              </w:rPr>
            </w:pPr>
            <w:r>
              <w:rPr>
                <w:rFonts w:eastAsiaTheme="minorHAnsi"/>
                <w:b/>
                <w:bCs/>
                <w:sz w:val="22"/>
                <w:szCs w:val="22"/>
              </w:rPr>
              <w:t>Amount</w:t>
            </w:r>
          </w:p>
        </w:tc>
        <w:tc>
          <w:tcPr>
            <w:tcW w:w="2965" w:type="dxa"/>
          </w:tcPr>
          <w:p>
            <w:pPr>
              <w:spacing w:line="276" w:lineRule="auto"/>
              <w:jc w:val="center"/>
              <w:rPr>
                <w:rFonts w:eastAsiaTheme="minorHAnsi"/>
                <w:b/>
                <w:bCs/>
                <w:sz w:val="22"/>
                <w:szCs w:val="22"/>
              </w:rPr>
            </w:pPr>
            <w:r>
              <w:rPr>
                <w:b/>
                <w:color w:val="000000"/>
                <w:sz w:val="22"/>
                <w:szCs w:val="22"/>
                <w:lang w:eastAsia="en-PH"/>
              </w:rPr>
              <w:t>Deficiencies Noted</w:t>
            </w:r>
          </w:p>
        </w:tc>
      </w:tr>
      <w:tr>
        <w:trPr>
          <w:cantSplit/>
          <w:jc w:val="center"/>
        </w:trPr>
        <w:tc>
          <w:tcPr>
            <w:tcW w:w="355" w:type="dxa"/>
          </w:tcPr>
          <w:p>
            <w:pPr>
              <w:spacing w:line="276" w:lineRule="auto"/>
              <w:jc w:val="both"/>
              <w:rPr>
                <w:rFonts w:eastAsiaTheme="minorHAnsi"/>
                <w:bCs/>
                <w:sz w:val="22"/>
                <w:szCs w:val="22"/>
              </w:rPr>
            </w:pPr>
            <w:r>
              <w:rPr>
                <w:rFonts w:eastAsiaTheme="minorHAnsi"/>
                <w:bCs/>
                <w:sz w:val="22"/>
                <w:szCs w:val="22"/>
              </w:rPr>
              <w:t>1</w:t>
            </w:r>
          </w:p>
        </w:tc>
        <w:tc>
          <w:tcPr>
            <w:tcW w:w="2700" w:type="dxa"/>
          </w:tcPr>
          <w:p>
            <w:pPr>
              <w:spacing w:line="276" w:lineRule="auto"/>
              <w:rPr>
                <w:rFonts w:eastAsiaTheme="minorHAnsi"/>
                <w:bCs/>
                <w:sz w:val="22"/>
                <w:szCs w:val="22"/>
              </w:rPr>
            </w:pPr>
            <w:r>
              <w:rPr>
                <w:rFonts w:eastAsiaTheme="minorHAnsi"/>
                <w:bCs/>
                <w:sz w:val="22"/>
                <w:szCs w:val="22"/>
              </w:rPr>
              <w:t>Abad, Adonis</w:t>
            </w:r>
          </w:p>
        </w:tc>
        <w:tc>
          <w:tcPr>
            <w:tcW w:w="1710" w:type="dxa"/>
          </w:tcPr>
          <w:p>
            <w:pPr>
              <w:spacing w:line="276" w:lineRule="auto"/>
              <w:jc w:val="center"/>
              <w:rPr>
                <w:rFonts w:eastAsiaTheme="minorHAnsi"/>
                <w:bCs/>
                <w:sz w:val="22"/>
                <w:szCs w:val="22"/>
              </w:rPr>
            </w:pPr>
            <w:r>
              <w:rPr>
                <w:rFonts w:eastAsiaTheme="minorHAnsi"/>
                <w:bCs/>
                <w:sz w:val="22"/>
                <w:szCs w:val="22"/>
              </w:rPr>
              <w:t>20101010-03-AP20DFFR003</w:t>
            </w:r>
          </w:p>
        </w:tc>
        <w:tc>
          <w:tcPr>
            <w:tcW w:w="1620" w:type="dxa"/>
          </w:tcPr>
          <w:p>
            <w:pPr>
              <w:spacing w:line="276" w:lineRule="auto"/>
              <w:jc w:val="right"/>
              <w:rPr>
                <w:rFonts w:eastAsiaTheme="minorHAnsi"/>
                <w:bCs/>
                <w:sz w:val="22"/>
                <w:szCs w:val="22"/>
              </w:rPr>
            </w:pPr>
            <w:r>
              <w:rPr>
                <w:rFonts w:eastAsiaTheme="minorHAnsi"/>
                <w:bCs/>
                <w:sz w:val="22"/>
                <w:szCs w:val="22"/>
              </w:rPr>
              <w:t>(P100.00)</w:t>
            </w:r>
          </w:p>
        </w:tc>
        <w:tc>
          <w:tcPr>
            <w:tcW w:w="2965" w:type="dxa"/>
          </w:tcPr>
          <w:p>
            <w:pPr>
              <w:spacing w:line="276" w:lineRule="auto"/>
              <w:rPr>
                <w:rFonts w:eastAsiaTheme="minorHAnsi"/>
                <w:bCs/>
                <w:sz w:val="22"/>
                <w:szCs w:val="22"/>
              </w:rPr>
            </w:pPr>
            <w:r>
              <w:rPr>
                <w:rFonts w:eastAsiaTheme="minorHAnsi"/>
                <w:bCs/>
                <w:sz w:val="22"/>
                <w:szCs w:val="22"/>
              </w:rPr>
              <w:t>Negative beginning balance in version 2, SL not found under Accounts Payable in version 1</w:t>
            </w:r>
          </w:p>
        </w:tc>
      </w:tr>
      <w:tr>
        <w:trPr>
          <w:cantSplit/>
          <w:jc w:val="center"/>
        </w:trPr>
        <w:tc>
          <w:tcPr>
            <w:tcW w:w="355" w:type="dxa"/>
          </w:tcPr>
          <w:p>
            <w:pPr>
              <w:spacing w:line="276" w:lineRule="auto"/>
              <w:jc w:val="both"/>
              <w:rPr>
                <w:rFonts w:eastAsiaTheme="minorHAnsi"/>
                <w:bCs/>
                <w:sz w:val="22"/>
                <w:szCs w:val="22"/>
              </w:rPr>
            </w:pPr>
            <w:r>
              <w:rPr>
                <w:rFonts w:eastAsiaTheme="minorHAnsi"/>
                <w:bCs/>
                <w:sz w:val="22"/>
                <w:szCs w:val="22"/>
              </w:rPr>
              <w:t>2</w:t>
            </w:r>
          </w:p>
        </w:tc>
        <w:tc>
          <w:tcPr>
            <w:tcW w:w="2700" w:type="dxa"/>
          </w:tcPr>
          <w:p>
            <w:pPr>
              <w:spacing w:line="276" w:lineRule="auto"/>
              <w:rPr>
                <w:rFonts w:eastAsiaTheme="minorHAnsi"/>
                <w:bCs/>
                <w:sz w:val="22"/>
                <w:szCs w:val="22"/>
              </w:rPr>
            </w:pPr>
            <w:proofErr w:type="spellStart"/>
            <w:r>
              <w:rPr>
                <w:rFonts w:eastAsiaTheme="minorHAnsi"/>
                <w:bCs/>
                <w:sz w:val="22"/>
                <w:szCs w:val="22"/>
              </w:rPr>
              <w:t>Philcom</w:t>
            </w:r>
            <w:proofErr w:type="spellEnd"/>
          </w:p>
        </w:tc>
        <w:tc>
          <w:tcPr>
            <w:tcW w:w="1710" w:type="dxa"/>
          </w:tcPr>
          <w:p>
            <w:pPr>
              <w:spacing w:line="276" w:lineRule="auto"/>
              <w:jc w:val="center"/>
              <w:rPr>
                <w:rFonts w:eastAsiaTheme="minorHAnsi"/>
                <w:bCs/>
                <w:sz w:val="22"/>
                <w:szCs w:val="22"/>
              </w:rPr>
            </w:pPr>
            <w:r>
              <w:rPr>
                <w:rFonts w:eastAsiaTheme="minorHAnsi"/>
                <w:bCs/>
                <w:sz w:val="22"/>
                <w:szCs w:val="22"/>
              </w:rPr>
              <w:t>20101010-03-APGFPFR001</w:t>
            </w:r>
          </w:p>
        </w:tc>
        <w:tc>
          <w:tcPr>
            <w:tcW w:w="1620" w:type="dxa"/>
          </w:tcPr>
          <w:p>
            <w:pPr>
              <w:spacing w:line="276" w:lineRule="auto"/>
              <w:jc w:val="right"/>
              <w:rPr>
                <w:rFonts w:eastAsiaTheme="minorHAnsi"/>
                <w:bCs/>
                <w:sz w:val="22"/>
                <w:szCs w:val="22"/>
              </w:rPr>
            </w:pPr>
            <w:r>
              <w:rPr>
                <w:rFonts w:eastAsiaTheme="minorHAnsi"/>
                <w:bCs/>
                <w:sz w:val="22"/>
                <w:szCs w:val="22"/>
              </w:rPr>
              <w:t>(867.99)</w:t>
            </w:r>
          </w:p>
        </w:tc>
        <w:tc>
          <w:tcPr>
            <w:tcW w:w="2965" w:type="dxa"/>
          </w:tcPr>
          <w:p>
            <w:pPr>
              <w:spacing w:line="276" w:lineRule="auto"/>
              <w:rPr>
                <w:rFonts w:eastAsiaTheme="minorHAnsi"/>
                <w:bCs/>
                <w:sz w:val="22"/>
                <w:szCs w:val="22"/>
              </w:rPr>
            </w:pPr>
            <w:r>
              <w:rPr>
                <w:rFonts w:eastAsiaTheme="minorHAnsi"/>
                <w:bCs/>
                <w:sz w:val="22"/>
                <w:szCs w:val="22"/>
              </w:rPr>
              <w:t>Debit of payment for 2017 AP, no prior JEV for the recognition of AP</w:t>
            </w:r>
          </w:p>
        </w:tc>
      </w:tr>
      <w:tr>
        <w:trPr>
          <w:cantSplit/>
          <w:jc w:val="center"/>
        </w:trPr>
        <w:tc>
          <w:tcPr>
            <w:tcW w:w="355" w:type="dxa"/>
          </w:tcPr>
          <w:p>
            <w:pPr>
              <w:spacing w:line="276" w:lineRule="auto"/>
              <w:jc w:val="both"/>
              <w:rPr>
                <w:rFonts w:eastAsiaTheme="minorHAnsi"/>
                <w:bCs/>
                <w:sz w:val="22"/>
                <w:szCs w:val="22"/>
              </w:rPr>
            </w:pPr>
            <w:r>
              <w:rPr>
                <w:rFonts w:eastAsiaTheme="minorHAnsi"/>
                <w:bCs/>
                <w:sz w:val="22"/>
                <w:szCs w:val="22"/>
              </w:rPr>
              <w:t>3</w:t>
            </w:r>
          </w:p>
        </w:tc>
        <w:tc>
          <w:tcPr>
            <w:tcW w:w="2700" w:type="dxa"/>
          </w:tcPr>
          <w:p>
            <w:pPr>
              <w:spacing w:line="276" w:lineRule="auto"/>
              <w:rPr>
                <w:rFonts w:eastAsiaTheme="minorHAnsi"/>
                <w:bCs/>
                <w:sz w:val="22"/>
                <w:szCs w:val="22"/>
              </w:rPr>
            </w:pPr>
            <w:r>
              <w:rPr>
                <w:rFonts w:eastAsiaTheme="minorHAnsi"/>
                <w:bCs/>
                <w:sz w:val="22"/>
                <w:szCs w:val="22"/>
              </w:rPr>
              <w:t>Twina Builders &amp; Supply</w:t>
            </w:r>
          </w:p>
        </w:tc>
        <w:tc>
          <w:tcPr>
            <w:tcW w:w="1710" w:type="dxa"/>
          </w:tcPr>
          <w:p>
            <w:pPr>
              <w:spacing w:line="276" w:lineRule="auto"/>
              <w:jc w:val="center"/>
              <w:rPr>
                <w:rFonts w:eastAsiaTheme="minorHAnsi"/>
                <w:bCs/>
                <w:sz w:val="22"/>
                <w:szCs w:val="22"/>
              </w:rPr>
            </w:pPr>
            <w:r>
              <w:rPr>
                <w:rFonts w:eastAsiaTheme="minorHAnsi"/>
                <w:bCs/>
                <w:sz w:val="22"/>
                <w:szCs w:val="22"/>
              </w:rPr>
              <w:t>20101010-03-AP20DFR001</w:t>
            </w:r>
          </w:p>
        </w:tc>
        <w:tc>
          <w:tcPr>
            <w:tcW w:w="1620" w:type="dxa"/>
          </w:tcPr>
          <w:p>
            <w:pPr>
              <w:spacing w:line="276" w:lineRule="auto"/>
              <w:jc w:val="right"/>
              <w:rPr>
                <w:rFonts w:eastAsiaTheme="minorHAnsi"/>
                <w:bCs/>
                <w:sz w:val="22"/>
                <w:szCs w:val="22"/>
              </w:rPr>
            </w:pPr>
            <w:r>
              <w:rPr>
                <w:rFonts w:eastAsiaTheme="minorHAnsi"/>
                <w:bCs/>
                <w:sz w:val="22"/>
                <w:szCs w:val="22"/>
              </w:rPr>
              <w:t>(920.96)</w:t>
            </w:r>
          </w:p>
        </w:tc>
        <w:tc>
          <w:tcPr>
            <w:tcW w:w="2965" w:type="dxa"/>
          </w:tcPr>
          <w:p>
            <w:pPr>
              <w:spacing w:line="276" w:lineRule="auto"/>
              <w:rPr>
                <w:rFonts w:eastAsiaTheme="minorHAnsi"/>
                <w:bCs/>
                <w:sz w:val="22"/>
                <w:szCs w:val="22"/>
              </w:rPr>
            </w:pPr>
            <w:r>
              <w:rPr>
                <w:rFonts w:eastAsiaTheme="minorHAnsi"/>
                <w:bCs/>
                <w:sz w:val="22"/>
                <w:szCs w:val="22"/>
              </w:rPr>
              <w:t>Overpayment of recognized AP in 2013</w:t>
            </w:r>
          </w:p>
        </w:tc>
      </w:tr>
      <w:tr>
        <w:trPr>
          <w:cantSplit/>
          <w:jc w:val="center"/>
        </w:trPr>
        <w:tc>
          <w:tcPr>
            <w:tcW w:w="355" w:type="dxa"/>
          </w:tcPr>
          <w:p>
            <w:pPr>
              <w:spacing w:line="276" w:lineRule="auto"/>
              <w:jc w:val="both"/>
              <w:rPr>
                <w:rFonts w:eastAsiaTheme="minorHAnsi"/>
                <w:bCs/>
                <w:sz w:val="22"/>
                <w:szCs w:val="22"/>
              </w:rPr>
            </w:pPr>
            <w:r>
              <w:rPr>
                <w:rFonts w:eastAsiaTheme="minorHAnsi"/>
                <w:bCs/>
                <w:sz w:val="22"/>
                <w:szCs w:val="22"/>
              </w:rPr>
              <w:lastRenderedPageBreak/>
              <w:t>4</w:t>
            </w:r>
          </w:p>
        </w:tc>
        <w:tc>
          <w:tcPr>
            <w:tcW w:w="2700" w:type="dxa"/>
          </w:tcPr>
          <w:p>
            <w:pPr>
              <w:spacing w:line="276" w:lineRule="auto"/>
              <w:rPr>
                <w:rFonts w:eastAsiaTheme="minorHAnsi"/>
                <w:bCs/>
                <w:sz w:val="22"/>
                <w:szCs w:val="22"/>
              </w:rPr>
            </w:pPr>
            <w:proofErr w:type="spellStart"/>
            <w:r>
              <w:rPr>
                <w:rFonts w:eastAsiaTheme="minorHAnsi"/>
                <w:bCs/>
                <w:sz w:val="22"/>
                <w:szCs w:val="22"/>
              </w:rPr>
              <w:t>Cajara</w:t>
            </w:r>
            <w:proofErr w:type="spellEnd"/>
            <w:r>
              <w:rPr>
                <w:rFonts w:eastAsiaTheme="minorHAnsi"/>
                <w:bCs/>
                <w:sz w:val="22"/>
                <w:szCs w:val="22"/>
              </w:rPr>
              <w:t xml:space="preserve">, </w:t>
            </w:r>
            <w:proofErr w:type="spellStart"/>
            <w:r>
              <w:rPr>
                <w:rFonts w:eastAsiaTheme="minorHAnsi"/>
                <w:bCs/>
                <w:sz w:val="22"/>
                <w:szCs w:val="22"/>
              </w:rPr>
              <w:t>Eufrocina</w:t>
            </w:r>
            <w:proofErr w:type="spellEnd"/>
            <w:r>
              <w:rPr>
                <w:rFonts w:eastAsiaTheme="minorHAnsi"/>
                <w:bCs/>
                <w:sz w:val="22"/>
                <w:szCs w:val="22"/>
              </w:rPr>
              <w:t xml:space="preserve"> T.</w:t>
            </w:r>
          </w:p>
        </w:tc>
        <w:tc>
          <w:tcPr>
            <w:tcW w:w="1710" w:type="dxa"/>
          </w:tcPr>
          <w:p>
            <w:pPr>
              <w:spacing w:line="276" w:lineRule="auto"/>
              <w:jc w:val="center"/>
              <w:rPr>
                <w:rFonts w:eastAsiaTheme="minorHAnsi"/>
                <w:bCs/>
                <w:sz w:val="22"/>
                <w:szCs w:val="22"/>
              </w:rPr>
            </w:pPr>
            <w:r>
              <w:rPr>
                <w:rFonts w:eastAsiaTheme="minorHAnsi"/>
                <w:bCs/>
                <w:sz w:val="22"/>
                <w:szCs w:val="22"/>
              </w:rPr>
              <w:t>20101010-03-APSHFR001</w:t>
            </w:r>
          </w:p>
        </w:tc>
        <w:tc>
          <w:tcPr>
            <w:tcW w:w="1620" w:type="dxa"/>
          </w:tcPr>
          <w:p>
            <w:pPr>
              <w:spacing w:line="276" w:lineRule="auto"/>
              <w:jc w:val="right"/>
              <w:rPr>
                <w:rFonts w:eastAsiaTheme="minorHAnsi"/>
                <w:bCs/>
                <w:sz w:val="22"/>
                <w:szCs w:val="22"/>
              </w:rPr>
            </w:pPr>
            <w:r>
              <w:rPr>
                <w:rFonts w:eastAsiaTheme="minorHAnsi"/>
                <w:bCs/>
                <w:sz w:val="22"/>
                <w:szCs w:val="22"/>
              </w:rPr>
              <w:t>(2,000.00)</w:t>
            </w:r>
          </w:p>
        </w:tc>
        <w:tc>
          <w:tcPr>
            <w:tcW w:w="2965" w:type="dxa"/>
          </w:tcPr>
          <w:p>
            <w:pPr>
              <w:spacing w:line="276" w:lineRule="auto"/>
              <w:rPr>
                <w:rFonts w:eastAsiaTheme="minorHAnsi"/>
                <w:bCs/>
                <w:sz w:val="22"/>
                <w:szCs w:val="22"/>
              </w:rPr>
            </w:pPr>
            <w:r>
              <w:rPr>
                <w:rFonts w:eastAsiaTheme="minorHAnsi"/>
                <w:bCs/>
                <w:sz w:val="22"/>
                <w:szCs w:val="22"/>
              </w:rPr>
              <w:t>Debit of payment for AP in 2009, No prior credit for the recognition of AP</w:t>
            </w:r>
          </w:p>
        </w:tc>
      </w:tr>
      <w:tr>
        <w:trPr>
          <w:cantSplit/>
          <w:jc w:val="center"/>
        </w:trPr>
        <w:tc>
          <w:tcPr>
            <w:tcW w:w="355" w:type="dxa"/>
          </w:tcPr>
          <w:p>
            <w:pPr>
              <w:spacing w:line="276" w:lineRule="auto"/>
              <w:jc w:val="both"/>
              <w:rPr>
                <w:rFonts w:eastAsiaTheme="minorHAnsi"/>
                <w:bCs/>
                <w:sz w:val="22"/>
                <w:szCs w:val="22"/>
              </w:rPr>
            </w:pPr>
            <w:r>
              <w:rPr>
                <w:rFonts w:eastAsiaTheme="minorHAnsi"/>
                <w:bCs/>
                <w:sz w:val="22"/>
                <w:szCs w:val="22"/>
              </w:rPr>
              <w:t>5</w:t>
            </w:r>
          </w:p>
        </w:tc>
        <w:tc>
          <w:tcPr>
            <w:tcW w:w="2700" w:type="dxa"/>
          </w:tcPr>
          <w:p>
            <w:pPr>
              <w:spacing w:line="276" w:lineRule="auto"/>
              <w:rPr>
                <w:rFonts w:eastAsiaTheme="minorHAnsi"/>
                <w:bCs/>
                <w:sz w:val="22"/>
                <w:szCs w:val="22"/>
              </w:rPr>
            </w:pPr>
            <w:r>
              <w:rPr>
                <w:rFonts w:eastAsiaTheme="minorHAnsi"/>
                <w:bCs/>
                <w:sz w:val="22"/>
                <w:szCs w:val="22"/>
              </w:rPr>
              <w:t>Hannah Enterprises</w:t>
            </w:r>
          </w:p>
        </w:tc>
        <w:tc>
          <w:tcPr>
            <w:tcW w:w="1710" w:type="dxa"/>
          </w:tcPr>
          <w:p>
            <w:pPr>
              <w:spacing w:line="276" w:lineRule="auto"/>
              <w:jc w:val="center"/>
              <w:rPr>
                <w:rFonts w:eastAsiaTheme="minorHAnsi"/>
                <w:bCs/>
                <w:sz w:val="22"/>
                <w:szCs w:val="22"/>
              </w:rPr>
            </w:pPr>
            <w:r>
              <w:rPr>
                <w:rFonts w:eastAsiaTheme="minorHAnsi"/>
                <w:bCs/>
                <w:sz w:val="22"/>
                <w:szCs w:val="22"/>
              </w:rPr>
              <w:t>20101010-03-AP20DFR002</w:t>
            </w:r>
          </w:p>
        </w:tc>
        <w:tc>
          <w:tcPr>
            <w:tcW w:w="1620" w:type="dxa"/>
          </w:tcPr>
          <w:p>
            <w:pPr>
              <w:spacing w:line="276" w:lineRule="auto"/>
              <w:jc w:val="right"/>
              <w:rPr>
                <w:rFonts w:eastAsiaTheme="minorHAnsi"/>
                <w:bCs/>
                <w:sz w:val="22"/>
                <w:szCs w:val="22"/>
              </w:rPr>
            </w:pPr>
            <w:r>
              <w:rPr>
                <w:rFonts w:eastAsiaTheme="minorHAnsi"/>
                <w:bCs/>
                <w:sz w:val="22"/>
                <w:szCs w:val="22"/>
              </w:rPr>
              <w:t>(3,610.00)</w:t>
            </w:r>
          </w:p>
        </w:tc>
        <w:tc>
          <w:tcPr>
            <w:tcW w:w="2965" w:type="dxa"/>
          </w:tcPr>
          <w:p>
            <w:pPr>
              <w:spacing w:line="276" w:lineRule="auto"/>
              <w:rPr>
                <w:rFonts w:eastAsiaTheme="minorHAnsi"/>
                <w:bCs/>
                <w:sz w:val="22"/>
                <w:szCs w:val="22"/>
              </w:rPr>
            </w:pPr>
            <w:r>
              <w:rPr>
                <w:rFonts w:eastAsiaTheme="minorHAnsi"/>
                <w:bCs/>
                <w:sz w:val="22"/>
                <w:szCs w:val="22"/>
              </w:rPr>
              <w:t>Debit of payment for AP in 2014, No prior credit for the recognition of AP</w:t>
            </w:r>
          </w:p>
        </w:tc>
      </w:tr>
      <w:tr>
        <w:trPr>
          <w:cantSplit/>
          <w:jc w:val="center"/>
        </w:trPr>
        <w:tc>
          <w:tcPr>
            <w:tcW w:w="355" w:type="dxa"/>
          </w:tcPr>
          <w:p>
            <w:pPr>
              <w:spacing w:line="276" w:lineRule="auto"/>
              <w:jc w:val="both"/>
              <w:rPr>
                <w:rFonts w:eastAsiaTheme="minorHAnsi"/>
                <w:bCs/>
                <w:sz w:val="22"/>
                <w:szCs w:val="22"/>
              </w:rPr>
            </w:pPr>
            <w:r>
              <w:rPr>
                <w:rFonts w:eastAsiaTheme="minorHAnsi"/>
                <w:bCs/>
                <w:sz w:val="22"/>
                <w:szCs w:val="22"/>
              </w:rPr>
              <w:t>6</w:t>
            </w:r>
          </w:p>
        </w:tc>
        <w:tc>
          <w:tcPr>
            <w:tcW w:w="2700" w:type="dxa"/>
          </w:tcPr>
          <w:p>
            <w:pPr>
              <w:spacing w:line="276" w:lineRule="auto"/>
              <w:rPr>
                <w:rFonts w:eastAsiaTheme="minorHAnsi"/>
                <w:bCs/>
                <w:sz w:val="22"/>
                <w:szCs w:val="22"/>
              </w:rPr>
            </w:pPr>
            <w:proofErr w:type="spellStart"/>
            <w:r>
              <w:rPr>
                <w:rFonts w:eastAsiaTheme="minorHAnsi"/>
                <w:bCs/>
                <w:sz w:val="22"/>
                <w:szCs w:val="22"/>
              </w:rPr>
              <w:t>Gotesco</w:t>
            </w:r>
            <w:proofErr w:type="spellEnd"/>
            <w:r>
              <w:rPr>
                <w:rFonts w:eastAsiaTheme="minorHAnsi"/>
                <w:bCs/>
                <w:sz w:val="22"/>
                <w:szCs w:val="22"/>
              </w:rPr>
              <w:t xml:space="preserve"> Marketing, Inc.</w:t>
            </w:r>
          </w:p>
        </w:tc>
        <w:tc>
          <w:tcPr>
            <w:tcW w:w="1710" w:type="dxa"/>
          </w:tcPr>
          <w:p>
            <w:pPr>
              <w:spacing w:line="276" w:lineRule="auto"/>
              <w:jc w:val="center"/>
              <w:rPr>
                <w:rFonts w:eastAsiaTheme="minorHAnsi"/>
                <w:bCs/>
                <w:sz w:val="22"/>
                <w:szCs w:val="22"/>
              </w:rPr>
            </w:pPr>
            <w:r>
              <w:rPr>
                <w:rFonts w:eastAsiaTheme="minorHAnsi"/>
                <w:bCs/>
                <w:sz w:val="22"/>
                <w:szCs w:val="22"/>
              </w:rPr>
              <w:t>20101010-03-AP20DFR003</w:t>
            </w:r>
          </w:p>
        </w:tc>
        <w:tc>
          <w:tcPr>
            <w:tcW w:w="1620" w:type="dxa"/>
          </w:tcPr>
          <w:p>
            <w:pPr>
              <w:spacing w:line="276" w:lineRule="auto"/>
              <w:jc w:val="right"/>
              <w:rPr>
                <w:rFonts w:eastAsiaTheme="minorHAnsi"/>
                <w:bCs/>
                <w:sz w:val="22"/>
                <w:szCs w:val="22"/>
              </w:rPr>
            </w:pPr>
            <w:r>
              <w:rPr>
                <w:rFonts w:eastAsiaTheme="minorHAnsi"/>
                <w:bCs/>
                <w:sz w:val="22"/>
                <w:szCs w:val="22"/>
              </w:rPr>
              <w:t>(23,997.00)</w:t>
            </w:r>
          </w:p>
        </w:tc>
        <w:tc>
          <w:tcPr>
            <w:tcW w:w="2965" w:type="dxa"/>
          </w:tcPr>
          <w:p>
            <w:pPr>
              <w:spacing w:line="276" w:lineRule="auto"/>
              <w:rPr>
                <w:rFonts w:eastAsiaTheme="minorHAnsi"/>
                <w:bCs/>
                <w:sz w:val="22"/>
                <w:szCs w:val="22"/>
              </w:rPr>
            </w:pPr>
            <w:r>
              <w:rPr>
                <w:rFonts w:eastAsiaTheme="minorHAnsi"/>
                <w:bCs/>
                <w:sz w:val="22"/>
                <w:szCs w:val="22"/>
              </w:rPr>
              <w:t xml:space="preserve">There is another SL for </w:t>
            </w:r>
            <w:proofErr w:type="spellStart"/>
            <w:r>
              <w:rPr>
                <w:rFonts w:eastAsiaTheme="minorHAnsi"/>
                <w:bCs/>
                <w:sz w:val="22"/>
                <w:szCs w:val="22"/>
              </w:rPr>
              <w:t>Gotesco</w:t>
            </w:r>
            <w:proofErr w:type="spellEnd"/>
            <w:r>
              <w:rPr>
                <w:rFonts w:eastAsiaTheme="minorHAnsi"/>
                <w:bCs/>
                <w:sz w:val="22"/>
                <w:szCs w:val="22"/>
              </w:rPr>
              <w:t xml:space="preserve"> Marketing, Inc. (20101010-02-APGFP010) with credit balance of P23,997.00</w:t>
            </w:r>
          </w:p>
        </w:tc>
      </w:tr>
      <w:tr>
        <w:trPr>
          <w:cantSplit/>
          <w:jc w:val="center"/>
        </w:trPr>
        <w:tc>
          <w:tcPr>
            <w:tcW w:w="355" w:type="dxa"/>
          </w:tcPr>
          <w:p>
            <w:pPr>
              <w:spacing w:line="276" w:lineRule="auto"/>
              <w:jc w:val="both"/>
              <w:rPr>
                <w:rFonts w:eastAsiaTheme="minorHAnsi"/>
                <w:bCs/>
                <w:sz w:val="22"/>
                <w:szCs w:val="22"/>
              </w:rPr>
            </w:pPr>
            <w:r>
              <w:rPr>
                <w:rFonts w:eastAsiaTheme="minorHAnsi"/>
                <w:bCs/>
                <w:sz w:val="22"/>
                <w:szCs w:val="22"/>
              </w:rPr>
              <w:t>7</w:t>
            </w:r>
          </w:p>
        </w:tc>
        <w:tc>
          <w:tcPr>
            <w:tcW w:w="2700" w:type="dxa"/>
          </w:tcPr>
          <w:p>
            <w:pPr>
              <w:spacing w:line="276" w:lineRule="auto"/>
              <w:rPr>
                <w:rFonts w:eastAsiaTheme="minorHAnsi"/>
                <w:bCs/>
                <w:sz w:val="22"/>
                <w:szCs w:val="22"/>
              </w:rPr>
            </w:pPr>
            <w:r>
              <w:rPr>
                <w:rFonts w:eastAsiaTheme="minorHAnsi"/>
                <w:bCs/>
                <w:sz w:val="22"/>
                <w:szCs w:val="22"/>
              </w:rPr>
              <w:t>Province of Davao Del Norte</w:t>
            </w:r>
          </w:p>
        </w:tc>
        <w:tc>
          <w:tcPr>
            <w:tcW w:w="1710" w:type="dxa"/>
          </w:tcPr>
          <w:p>
            <w:pPr>
              <w:spacing w:line="276" w:lineRule="auto"/>
              <w:jc w:val="center"/>
              <w:rPr>
                <w:rFonts w:eastAsiaTheme="minorHAnsi"/>
                <w:bCs/>
                <w:sz w:val="22"/>
                <w:szCs w:val="22"/>
              </w:rPr>
            </w:pPr>
            <w:r>
              <w:rPr>
                <w:rFonts w:eastAsiaTheme="minorHAnsi"/>
                <w:bCs/>
                <w:sz w:val="22"/>
                <w:szCs w:val="22"/>
              </w:rPr>
              <w:t>20101010-04-IDS-GOVT002</w:t>
            </w:r>
          </w:p>
        </w:tc>
        <w:tc>
          <w:tcPr>
            <w:tcW w:w="1620" w:type="dxa"/>
          </w:tcPr>
          <w:p>
            <w:pPr>
              <w:spacing w:line="276" w:lineRule="auto"/>
              <w:jc w:val="right"/>
              <w:rPr>
                <w:rFonts w:eastAsiaTheme="minorHAnsi"/>
                <w:bCs/>
                <w:sz w:val="22"/>
                <w:szCs w:val="22"/>
              </w:rPr>
            </w:pPr>
            <w:r>
              <w:rPr>
                <w:rFonts w:eastAsiaTheme="minorHAnsi"/>
                <w:bCs/>
                <w:sz w:val="22"/>
                <w:szCs w:val="22"/>
              </w:rPr>
              <w:t>(26,961.08)</w:t>
            </w:r>
          </w:p>
        </w:tc>
        <w:tc>
          <w:tcPr>
            <w:tcW w:w="2965" w:type="dxa"/>
          </w:tcPr>
          <w:p>
            <w:pPr>
              <w:spacing w:line="276" w:lineRule="auto"/>
              <w:rPr>
                <w:rFonts w:eastAsiaTheme="minorHAnsi"/>
                <w:bCs/>
                <w:sz w:val="22"/>
                <w:szCs w:val="22"/>
              </w:rPr>
            </w:pPr>
            <w:r>
              <w:rPr>
                <w:rFonts w:eastAsiaTheme="minorHAnsi"/>
                <w:bCs/>
                <w:sz w:val="22"/>
                <w:szCs w:val="22"/>
              </w:rPr>
              <w:t xml:space="preserve">JEV for the recognition of AP </w:t>
            </w:r>
            <w:proofErr w:type="spellStart"/>
            <w:r>
              <w:rPr>
                <w:rFonts w:eastAsiaTheme="minorHAnsi"/>
                <w:bCs/>
                <w:sz w:val="22"/>
                <w:szCs w:val="22"/>
              </w:rPr>
              <w:t>misposted</w:t>
            </w:r>
            <w:proofErr w:type="spellEnd"/>
            <w:r>
              <w:rPr>
                <w:rFonts w:eastAsiaTheme="minorHAnsi"/>
                <w:bCs/>
                <w:sz w:val="22"/>
                <w:szCs w:val="22"/>
              </w:rPr>
              <w:t xml:space="preserve"> in Other Payables account</w:t>
            </w:r>
          </w:p>
        </w:tc>
      </w:tr>
      <w:tr>
        <w:trPr>
          <w:cantSplit/>
          <w:jc w:val="center"/>
        </w:trPr>
        <w:tc>
          <w:tcPr>
            <w:tcW w:w="355" w:type="dxa"/>
          </w:tcPr>
          <w:p>
            <w:pPr>
              <w:spacing w:line="276" w:lineRule="auto"/>
              <w:jc w:val="both"/>
              <w:rPr>
                <w:rFonts w:eastAsiaTheme="minorHAnsi"/>
                <w:bCs/>
                <w:sz w:val="22"/>
                <w:szCs w:val="22"/>
              </w:rPr>
            </w:pPr>
            <w:r>
              <w:rPr>
                <w:rFonts w:eastAsiaTheme="minorHAnsi"/>
                <w:bCs/>
                <w:sz w:val="22"/>
                <w:szCs w:val="22"/>
              </w:rPr>
              <w:t>8</w:t>
            </w:r>
          </w:p>
        </w:tc>
        <w:tc>
          <w:tcPr>
            <w:tcW w:w="2700" w:type="dxa"/>
          </w:tcPr>
          <w:p>
            <w:pPr>
              <w:spacing w:line="276" w:lineRule="auto"/>
              <w:rPr>
                <w:rFonts w:eastAsiaTheme="minorHAnsi"/>
                <w:bCs/>
                <w:sz w:val="22"/>
                <w:szCs w:val="22"/>
              </w:rPr>
            </w:pPr>
            <w:r>
              <w:rPr>
                <w:rFonts w:eastAsiaTheme="minorHAnsi"/>
                <w:bCs/>
                <w:sz w:val="22"/>
                <w:szCs w:val="22"/>
              </w:rPr>
              <w:t>Limited Financial Assistance</w:t>
            </w:r>
          </w:p>
        </w:tc>
        <w:tc>
          <w:tcPr>
            <w:tcW w:w="1710" w:type="dxa"/>
          </w:tcPr>
          <w:p>
            <w:pPr>
              <w:spacing w:line="276" w:lineRule="auto"/>
              <w:jc w:val="center"/>
              <w:rPr>
                <w:rFonts w:eastAsiaTheme="minorHAnsi"/>
                <w:bCs/>
                <w:sz w:val="22"/>
                <w:szCs w:val="22"/>
              </w:rPr>
            </w:pPr>
            <w:r>
              <w:rPr>
                <w:rFonts w:eastAsiaTheme="minorHAnsi"/>
                <w:bCs/>
                <w:sz w:val="22"/>
                <w:szCs w:val="22"/>
              </w:rPr>
              <w:t>20101010-06-001</w:t>
            </w:r>
          </w:p>
        </w:tc>
        <w:tc>
          <w:tcPr>
            <w:tcW w:w="1620" w:type="dxa"/>
          </w:tcPr>
          <w:p>
            <w:pPr>
              <w:spacing w:line="276" w:lineRule="auto"/>
              <w:jc w:val="right"/>
              <w:rPr>
                <w:rFonts w:eastAsiaTheme="minorHAnsi"/>
                <w:bCs/>
                <w:sz w:val="22"/>
                <w:szCs w:val="22"/>
              </w:rPr>
            </w:pPr>
            <w:r>
              <w:rPr>
                <w:rFonts w:eastAsiaTheme="minorHAnsi"/>
                <w:bCs/>
                <w:sz w:val="22"/>
                <w:szCs w:val="22"/>
              </w:rPr>
              <w:t>(30,000.00)</w:t>
            </w:r>
          </w:p>
        </w:tc>
        <w:tc>
          <w:tcPr>
            <w:tcW w:w="2965" w:type="dxa"/>
          </w:tcPr>
          <w:p>
            <w:pPr>
              <w:tabs>
                <w:tab w:val="left" w:pos="276"/>
              </w:tabs>
              <w:spacing w:line="276" w:lineRule="auto"/>
              <w:rPr>
                <w:rFonts w:eastAsiaTheme="minorHAnsi"/>
                <w:bCs/>
                <w:sz w:val="22"/>
                <w:szCs w:val="22"/>
              </w:rPr>
            </w:pPr>
            <w:r>
              <w:rPr>
                <w:rFonts w:eastAsiaTheme="minorHAnsi"/>
                <w:bCs/>
                <w:sz w:val="22"/>
                <w:szCs w:val="22"/>
              </w:rPr>
              <w:t>Another SL for Limited Financial Assistance (20101010-03-APGFP001) with credit balance of P238,876.62</w:t>
            </w:r>
          </w:p>
        </w:tc>
      </w:tr>
      <w:tr>
        <w:trPr>
          <w:cantSplit/>
          <w:jc w:val="center"/>
        </w:trPr>
        <w:tc>
          <w:tcPr>
            <w:tcW w:w="355" w:type="dxa"/>
          </w:tcPr>
          <w:p>
            <w:pPr>
              <w:spacing w:line="276" w:lineRule="auto"/>
              <w:jc w:val="both"/>
              <w:rPr>
                <w:rFonts w:eastAsiaTheme="minorHAnsi"/>
                <w:bCs/>
                <w:sz w:val="22"/>
                <w:szCs w:val="22"/>
              </w:rPr>
            </w:pPr>
            <w:r>
              <w:rPr>
                <w:rFonts w:eastAsiaTheme="minorHAnsi"/>
                <w:bCs/>
                <w:sz w:val="22"/>
                <w:szCs w:val="22"/>
              </w:rPr>
              <w:t>9</w:t>
            </w:r>
          </w:p>
        </w:tc>
        <w:tc>
          <w:tcPr>
            <w:tcW w:w="2700" w:type="dxa"/>
          </w:tcPr>
          <w:p>
            <w:pPr>
              <w:spacing w:line="276" w:lineRule="auto"/>
              <w:rPr>
                <w:rFonts w:eastAsiaTheme="minorHAnsi"/>
                <w:bCs/>
                <w:sz w:val="22"/>
                <w:szCs w:val="22"/>
              </w:rPr>
            </w:pPr>
            <w:r>
              <w:rPr>
                <w:rFonts w:eastAsiaTheme="minorHAnsi"/>
                <w:bCs/>
                <w:sz w:val="22"/>
                <w:szCs w:val="22"/>
              </w:rPr>
              <w:t>1016 Computer Services</w:t>
            </w:r>
          </w:p>
        </w:tc>
        <w:tc>
          <w:tcPr>
            <w:tcW w:w="1710" w:type="dxa"/>
          </w:tcPr>
          <w:p>
            <w:pPr>
              <w:spacing w:line="276" w:lineRule="auto"/>
              <w:jc w:val="center"/>
              <w:rPr>
                <w:rFonts w:eastAsiaTheme="minorHAnsi"/>
                <w:bCs/>
                <w:sz w:val="22"/>
                <w:szCs w:val="22"/>
              </w:rPr>
            </w:pPr>
            <w:r>
              <w:rPr>
                <w:rFonts w:eastAsiaTheme="minorHAnsi"/>
                <w:bCs/>
                <w:sz w:val="22"/>
                <w:szCs w:val="22"/>
              </w:rPr>
              <w:t>20101010-03-APGFP005</w:t>
            </w:r>
          </w:p>
        </w:tc>
        <w:tc>
          <w:tcPr>
            <w:tcW w:w="1620" w:type="dxa"/>
          </w:tcPr>
          <w:p>
            <w:pPr>
              <w:spacing w:line="276" w:lineRule="auto"/>
              <w:jc w:val="right"/>
              <w:rPr>
                <w:rFonts w:eastAsiaTheme="minorHAnsi"/>
                <w:bCs/>
                <w:sz w:val="22"/>
                <w:szCs w:val="22"/>
              </w:rPr>
            </w:pPr>
            <w:r>
              <w:rPr>
                <w:rFonts w:eastAsiaTheme="minorHAnsi"/>
                <w:bCs/>
                <w:sz w:val="22"/>
                <w:szCs w:val="22"/>
              </w:rPr>
              <w:t>(30,000.00)</w:t>
            </w:r>
          </w:p>
        </w:tc>
        <w:tc>
          <w:tcPr>
            <w:tcW w:w="2965" w:type="dxa"/>
          </w:tcPr>
          <w:p>
            <w:pPr>
              <w:spacing w:line="276" w:lineRule="auto"/>
              <w:rPr>
                <w:rFonts w:eastAsiaTheme="minorHAnsi"/>
                <w:bCs/>
                <w:sz w:val="22"/>
                <w:szCs w:val="22"/>
              </w:rPr>
            </w:pPr>
            <w:proofErr w:type="spellStart"/>
            <w:r>
              <w:rPr>
                <w:rFonts w:eastAsiaTheme="minorHAnsi"/>
                <w:bCs/>
                <w:sz w:val="22"/>
                <w:szCs w:val="22"/>
              </w:rPr>
              <w:t>Misposting</w:t>
            </w:r>
            <w:proofErr w:type="spellEnd"/>
            <w:r>
              <w:rPr>
                <w:rFonts w:eastAsiaTheme="minorHAnsi"/>
                <w:bCs/>
                <w:sz w:val="22"/>
                <w:szCs w:val="22"/>
              </w:rPr>
              <w:t xml:space="preserve"> of debit for the payment of Limited Financial Assistance (JEV-2021-12-02127)</w:t>
            </w:r>
          </w:p>
        </w:tc>
      </w:tr>
      <w:tr>
        <w:trPr>
          <w:cantSplit/>
          <w:jc w:val="center"/>
        </w:trPr>
        <w:tc>
          <w:tcPr>
            <w:tcW w:w="4765" w:type="dxa"/>
            <w:gridSpan w:val="3"/>
          </w:tcPr>
          <w:p>
            <w:pPr>
              <w:spacing w:line="276" w:lineRule="auto"/>
              <w:rPr>
                <w:rFonts w:eastAsiaTheme="minorHAnsi"/>
                <w:b/>
                <w:bCs/>
                <w:sz w:val="22"/>
                <w:szCs w:val="22"/>
              </w:rPr>
            </w:pPr>
            <w:r>
              <w:rPr>
                <w:rFonts w:eastAsiaTheme="minorHAnsi"/>
                <w:b/>
                <w:bCs/>
                <w:sz w:val="22"/>
                <w:szCs w:val="22"/>
              </w:rPr>
              <w:t>TOTAL</w:t>
            </w:r>
          </w:p>
        </w:tc>
        <w:tc>
          <w:tcPr>
            <w:tcW w:w="1620" w:type="dxa"/>
          </w:tcPr>
          <w:p>
            <w:pPr>
              <w:spacing w:line="276" w:lineRule="auto"/>
              <w:jc w:val="right"/>
              <w:rPr>
                <w:rFonts w:eastAsiaTheme="minorHAnsi"/>
                <w:b/>
                <w:bCs/>
                <w:sz w:val="22"/>
                <w:szCs w:val="22"/>
              </w:rPr>
            </w:pPr>
            <w:r>
              <w:rPr>
                <w:rFonts w:eastAsiaTheme="minorHAnsi"/>
                <w:b/>
                <w:bCs/>
                <w:sz w:val="22"/>
                <w:szCs w:val="22"/>
              </w:rPr>
              <w:t>(P118,457.03)</w:t>
            </w:r>
          </w:p>
        </w:tc>
        <w:tc>
          <w:tcPr>
            <w:tcW w:w="2965" w:type="dxa"/>
          </w:tcPr>
          <w:p>
            <w:pPr>
              <w:spacing w:line="276" w:lineRule="auto"/>
              <w:jc w:val="both"/>
              <w:rPr>
                <w:rFonts w:eastAsiaTheme="minorHAnsi"/>
                <w:bCs/>
                <w:sz w:val="22"/>
                <w:szCs w:val="22"/>
              </w:rPr>
            </w:pPr>
          </w:p>
        </w:tc>
      </w:tr>
    </w:tbl>
    <w:p>
      <w:pPr>
        <w:spacing w:line="276" w:lineRule="auto"/>
        <w:jc w:val="both"/>
        <w:rPr>
          <w:rFonts w:eastAsiaTheme="minorHAnsi"/>
          <w:bCs/>
        </w:rPr>
      </w:pPr>
    </w:p>
    <w:p>
      <w:pPr>
        <w:spacing w:line="276" w:lineRule="auto"/>
        <w:jc w:val="both"/>
        <w:rPr>
          <w:rFonts w:eastAsiaTheme="minorHAnsi"/>
          <w:bCs/>
        </w:rPr>
      </w:pPr>
      <w:r>
        <w:rPr>
          <w:rFonts w:eastAsiaTheme="minorHAnsi"/>
          <w:bCs/>
        </w:rPr>
        <w:t xml:space="preserve">As observed in Table 5.4, the negative balances resulted from an overpayment of recognized liability, recognition of entries for the payment even if there was no prior journal entry for the setting-up of liability, and the </w:t>
      </w:r>
      <w:proofErr w:type="spellStart"/>
      <w:r>
        <w:rPr>
          <w:rFonts w:eastAsiaTheme="minorHAnsi"/>
          <w:bCs/>
        </w:rPr>
        <w:t>misposting</w:t>
      </w:r>
      <w:proofErr w:type="spellEnd"/>
      <w:r>
        <w:rPr>
          <w:rFonts w:eastAsiaTheme="minorHAnsi"/>
          <w:bCs/>
        </w:rPr>
        <w:t xml:space="preserve"> of journal entries in other subsidiary ledgers and/or in Other Payables account. Furthermore, two of the accounts have multiple subsidiary ledgers which also led to </w:t>
      </w:r>
      <w:proofErr w:type="spellStart"/>
      <w:r>
        <w:rPr>
          <w:rFonts w:eastAsiaTheme="minorHAnsi"/>
          <w:bCs/>
        </w:rPr>
        <w:t>misposting</w:t>
      </w:r>
      <w:proofErr w:type="spellEnd"/>
      <w:r>
        <w:rPr>
          <w:rFonts w:eastAsiaTheme="minorHAnsi"/>
          <w:bCs/>
        </w:rPr>
        <w:t xml:space="preserve"> of journal entries. In the migration and setting up of beginning balances from Version 1 to Version 2 of </w:t>
      </w:r>
      <w:proofErr w:type="spellStart"/>
      <w:r>
        <w:rPr>
          <w:rFonts w:eastAsiaTheme="minorHAnsi"/>
          <w:bCs/>
        </w:rPr>
        <w:t>eNGAS</w:t>
      </w:r>
      <w:proofErr w:type="spellEnd"/>
      <w:r>
        <w:rPr>
          <w:rFonts w:eastAsiaTheme="minorHAnsi"/>
          <w:bCs/>
        </w:rPr>
        <w:t>, one subsidiary ledger was not found under the Accounts Payable account in Version 1.</w:t>
      </w:r>
    </w:p>
    <w:p>
      <w:pPr>
        <w:spacing w:line="276" w:lineRule="auto"/>
        <w:jc w:val="both"/>
        <w:rPr>
          <w:rFonts w:eastAsiaTheme="minorHAnsi"/>
          <w:bCs/>
        </w:rPr>
      </w:pPr>
    </w:p>
    <w:p>
      <w:pPr>
        <w:spacing w:line="276" w:lineRule="auto"/>
        <w:jc w:val="both"/>
        <w:rPr>
          <w:rFonts w:eastAsiaTheme="minorHAnsi"/>
          <w:bCs/>
        </w:rPr>
      </w:pPr>
      <w:r>
        <w:rPr>
          <w:rFonts w:eastAsiaTheme="minorHAnsi"/>
          <w:bCs/>
        </w:rPr>
        <w:t xml:space="preserve">As per inquiry, the CAO is aware of the presence of negative balances in the SL. However, reconciliation is yet to be done by the assigned personnel due to voluminous transactions catered in a daily basis. As per information, the erroneous recording was inadvertently committed by some of the newly hired personnel in the prior years who still lacked training in the usage of the </w:t>
      </w:r>
      <w:proofErr w:type="spellStart"/>
      <w:r>
        <w:rPr>
          <w:rFonts w:eastAsiaTheme="minorHAnsi"/>
          <w:bCs/>
        </w:rPr>
        <w:t>eNGAS</w:t>
      </w:r>
      <w:proofErr w:type="spellEnd"/>
      <w:r>
        <w:rPr>
          <w:rFonts w:eastAsiaTheme="minorHAnsi"/>
          <w:bCs/>
        </w:rPr>
        <w:t xml:space="preserve"> at the time. As the CAO is experiencing immense workload and lack of manpower, the monitoring of accounts was not prioritized, hence, the said errors were not corrected immediately. However, the City </w:t>
      </w:r>
      <w:r>
        <w:rPr>
          <w:rFonts w:eastAsiaTheme="minorHAnsi"/>
          <w:bCs/>
        </w:rPr>
        <w:lastRenderedPageBreak/>
        <w:t>Accountant assured that they are exerting their best efforts to reconcile and correct the balance of the subsidiary ledgers under the Accounts Payable.</w:t>
      </w:r>
    </w:p>
    <w:p>
      <w:pPr>
        <w:spacing w:line="276" w:lineRule="auto"/>
        <w:jc w:val="both"/>
        <w:rPr>
          <w:rFonts w:eastAsiaTheme="minorHAnsi"/>
          <w:bCs/>
        </w:rPr>
      </w:pPr>
    </w:p>
    <w:p>
      <w:pPr>
        <w:spacing w:line="276" w:lineRule="auto"/>
        <w:jc w:val="both"/>
        <w:rPr>
          <w:rFonts w:eastAsiaTheme="minorHAnsi"/>
          <w:bCs/>
        </w:rPr>
      </w:pPr>
      <w:r>
        <w:rPr>
          <w:rFonts w:eastAsiaTheme="minorHAnsi"/>
          <w:bCs/>
        </w:rPr>
        <w:t>On the other hand, further examination of the subsidiary ledger revealed that four accounts of subsidiary ledgers with beginning balances cannot be verified. Table 5.5 presents these subsidiary ledgers.</w:t>
      </w:r>
    </w:p>
    <w:p>
      <w:pPr>
        <w:spacing w:line="276" w:lineRule="auto"/>
        <w:jc w:val="both"/>
        <w:rPr>
          <w:rFonts w:eastAsiaTheme="minorHAnsi"/>
          <w:bCs/>
        </w:rPr>
      </w:pPr>
    </w:p>
    <w:p>
      <w:pPr>
        <w:spacing w:line="276" w:lineRule="auto"/>
        <w:jc w:val="both"/>
        <w:rPr>
          <w:rFonts w:eastAsiaTheme="minorHAnsi"/>
          <w:bCs/>
          <w:i/>
        </w:rPr>
      </w:pPr>
      <w:r>
        <w:rPr>
          <w:rFonts w:eastAsiaTheme="minorHAnsi"/>
          <w:bCs/>
          <w:i/>
        </w:rPr>
        <w:t>Table 5.5. Accounts with unverified subsidiary ledger balances</w:t>
      </w:r>
    </w:p>
    <w:tbl>
      <w:tblPr>
        <w:tblStyle w:val="TableGrid"/>
        <w:tblW w:w="0" w:type="auto"/>
        <w:tblLook w:val="04A0" w:firstRow="1" w:lastRow="0" w:firstColumn="1" w:lastColumn="0" w:noHBand="0" w:noVBand="1"/>
      </w:tblPr>
      <w:tblGrid>
        <w:gridCol w:w="2044"/>
        <w:gridCol w:w="2066"/>
        <w:gridCol w:w="1668"/>
        <w:gridCol w:w="3078"/>
      </w:tblGrid>
      <w:tr>
        <w:trPr>
          <w:cantSplit/>
        </w:trPr>
        <w:tc>
          <w:tcPr>
            <w:tcW w:w="2155" w:type="dxa"/>
          </w:tcPr>
          <w:p>
            <w:pPr>
              <w:spacing w:line="276" w:lineRule="auto"/>
              <w:jc w:val="center"/>
              <w:rPr>
                <w:rFonts w:eastAsiaTheme="minorHAnsi"/>
                <w:b/>
                <w:bCs/>
                <w:sz w:val="22"/>
                <w:szCs w:val="22"/>
              </w:rPr>
            </w:pPr>
            <w:r>
              <w:rPr>
                <w:rFonts w:eastAsiaTheme="minorHAnsi"/>
                <w:b/>
                <w:bCs/>
                <w:sz w:val="22"/>
                <w:szCs w:val="22"/>
              </w:rPr>
              <w:t>Name of Creditor</w:t>
            </w:r>
          </w:p>
        </w:tc>
        <w:tc>
          <w:tcPr>
            <w:tcW w:w="2160" w:type="dxa"/>
          </w:tcPr>
          <w:p>
            <w:pPr>
              <w:spacing w:line="276" w:lineRule="auto"/>
              <w:jc w:val="center"/>
              <w:rPr>
                <w:rFonts w:eastAsiaTheme="minorHAnsi"/>
                <w:b/>
                <w:bCs/>
                <w:sz w:val="22"/>
                <w:szCs w:val="22"/>
              </w:rPr>
            </w:pPr>
            <w:r>
              <w:rPr>
                <w:rFonts w:eastAsiaTheme="minorHAnsi"/>
                <w:b/>
                <w:bCs/>
                <w:sz w:val="22"/>
                <w:szCs w:val="22"/>
              </w:rPr>
              <w:t>SL Code</w:t>
            </w:r>
          </w:p>
        </w:tc>
        <w:tc>
          <w:tcPr>
            <w:tcW w:w="1710" w:type="dxa"/>
          </w:tcPr>
          <w:p>
            <w:pPr>
              <w:spacing w:line="276" w:lineRule="auto"/>
              <w:jc w:val="center"/>
              <w:rPr>
                <w:rFonts w:eastAsiaTheme="minorHAnsi"/>
                <w:b/>
                <w:bCs/>
                <w:sz w:val="22"/>
                <w:szCs w:val="22"/>
              </w:rPr>
            </w:pPr>
            <w:r>
              <w:rPr>
                <w:rFonts w:eastAsiaTheme="minorHAnsi"/>
                <w:b/>
                <w:bCs/>
                <w:sz w:val="22"/>
                <w:szCs w:val="22"/>
              </w:rPr>
              <w:t>Amount</w:t>
            </w:r>
          </w:p>
        </w:tc>
        <w:tc>
          <w:tcPr>
            <w:tcW w:w="3325" w:type="dxa"/>
          </w:tcPr>
          <w:p>
            <w:pPr>
              <w:spacing w:line="276" w:lineRule="auto"/>
              <w:jc w:val="center"/>
              <w:rPr>
                <w:rFonts w:eastAsiaTheme="minorHAnsi"/>
                <w:b/>
                <w:bCs/>
                <w:sz w:val="22"/>
                <w:szCs w:val="22"/>
              </w:rPr>
            </w:pPr>
            <w:r>
              <w:rPr>
                <w:rFonts w:eastAsiaTheme="minorHAnsi"/>
                <w:b/>
                <w:bCs/>
                <w:sz w:val="22"/>
                <w:szCs w:val="22"/>
              </w:rPr>
              <w:t>Remarks</w:t>
            </w:r>
          </w:p>
        </w:tc>
      </w:tr>
      <w:tr>
        <w:trPr>
          <w:cantSplit/>
        </w:trPr>
        <w:tc>
          <w:tcPr>
            <w:tcW w:w="2155" w:type="dxa"/>
          </w:tcPr>
          <w:p>
            <w:pPr>
              <w:spacing w:line="276" w:lineRule="auto"/>
              <w:rPr>
                <w:rFonts w:eastAsiaTheme="minorHAnsi"/>
                <w:bCs/>
                <w:sz w:val="22"/>
                <w:szCs w:val="22"/>
              </w:rPr>
            </w:pPr>
            <w:r>
              <w:rPr>
                <w:rFonts w:eastAsiaTheme="minorHAnsi"/>
                <w:bCs/>
                <w:sz w:val="22"/>
                <w:szCs w:val="22"/>
              </w:rPr>
              <w:t>SPMC</w:t>
            </w:r>
          </w:p>
        </w:tc>
        <w:tc>
          <w:tcPr>
            <w:tcW w:w="2160" w:type="dxa"/>
          </w:tcPr>
          <w:p>
            <w:pPr>
              <w:spacing w:line="276" w:lineRule="auto"/>
              <w:jc w:val="center"/>
              <w:rPr>
                <w:rFonts w:eastAsiaTheme="minorHAnsi"/>
                <w:bCs/>
                <w:sz w:val="22"/>
                <w:szCs w:val="22"/>
              </w:rPr>
            </w:pPr>
            <w:r>
              <w:rPr>
                <w:rFonts w:eastAsiaTheme="minorHAnsi"/>
                <w:bCs/>
                <w:sz w:val="22"/>
                <w:szCs w:val="22"/>
              </w:rPr>
              <w:t>20101010-04-002</w:t>
            </w:r>
          </w:p>
        </w:tc>
        <w:tc>
          <w:tcPr>
            <w:tcW w:w="1710" w:type="dxa"/>
          </w:tcPr>
          <w:p>
            <w:pPr>
              <w:spacing w:line="276" w:lineRule="auto"/>
              <w:jc w:val="right"/>
              <w:rPr>
                <w:rFonts w:eastAsiaTheme="minorHAnsi"/>
                <w:bCs/>
                <w:sz w:val="22"/>
                <w:szCs w:val="22"/>
              </w:rPr>
            </w:pPr>
            <w:r>
              <w:rPr>
                <w:rFonts w:eastAsiaTheme="minorHAnsi"/>
                <w:bCs/>
                <w:sz w:val="22"/>
                <w:szCs w:val="22"/>
              </w:rPr>
              <w:t>P197,500.00</w:t>
            </w:r>
          </w:p>
        </w:tc>
        <w:tc>
          <w:tcPr>
            <w:tcW w:w="3325" w:type="dxa"/>
          </w:tcPr>
          <w:p>
            <w:pPr>
              <w:spacing w:line="276" w:lineRule="auto"/>
              <w:jc w:val="both"/>
              <w:rPr>
                <w:rFonts w:eastAsiaTheme="minorHAnsi"/>
                <w:bCs/>
                <w:sz w:val="22"/>
                <w:szCs w:val="22"/>
              </w:rPr>
            </w:pPr>
            <w:r>
              <w:rPr>
                <w:rFonts w:eastAsiaTheme="minorHAnsi"/>
                <w:bCs/>
                <w:sz w:val="22"/>
                <w:szCs w:val="22"/>
              </w:rPr>
              <w:t>Beginning Balance in e-NGAS Version 2; SL not found under Accounts Payable in e-NGAS Version 1</w:t>
            </w:r>
          </w:p>
        </w:tc>
      </w:tr>
      <w:tr>
        <w:trPr>
          <w:cantSplit/>
        </w:trPr>
        <w:tc>
          <w:tcPr>
            <w:tcW w:w="2155" w:type="dxa"/>
          </w:tcPr>
          <w:p>
            <w:pPr>
              <w:spacing w:line="276" w:lineRule="auto"/>
              <w:rPr>
                <w:rFonts w:eastAsiaTheme="minorHAnsi"/>
                <w:bCs/>
                <w:sz w:val="22"/>
                <w:szCs w:val="22"/>
              </w:rPr>
            </w:pPr>
            <w:r>
              <w:rPr>
                <w:rFonts w:eastAsiaTheme="minorHAnsi"/>
                <w:bCs/>
                <w:sz w:val="22"/>
                <w:szCs w:val="22"/>
              </w:rPr>
              <w:t>Senior Citizen Burial Assistance</w:t>
            </w:r>
          </w:p>
        </w:tc>
        <w:tc>
          <w:tcPr>
            <w:tcW w:w="2160" w:type="dxa"/>
          </w:tcPr>
          <w:p>
            <w:pPr>
              <w:spacing w:line="276" w:lineRule="auto"/>
              <w:jc w:val="center"/>
              <w:rPr>
                <w:rFonts w:eastAsiaTheme="minorHAnsi"/>
                <w:bCs/>
                <w:sz w:val="22"/>
                <w:szCs w:val="22"/>
              </w:rPr>
            </w:pPr>
            <w:r>
              <w:rPr>
                <w:rFonts w:eastAsiaTheme="minorHAnsi"/>
                <w:bCs/>
                <w:sz w:val="22"/>
                <w:szCs w:val="22"/>
              </w:rPr>
              <w:t>20101010-03-APGFP004</w:t>
            </w:r>
          </w:p>
        </w:tc>
        <w:tc>
          <w:tcPr>
            <w:tcW w:w="1710" w:type="dxa"/>
          </w:tcPr>
          <w:p>
            <w:pPr>
              <w:spacing w:line="276" w:lineRule="auto"/>
              <w:jc w:val="right"/>
              <w:rPr>
                <w:rFonts w:eastAsiaTheme="minorHAnsi"/>
                <w:bCs/>
                <w:sz w:val="22"/>
                <w:szCs w:val="22"/>
              </w:rPr>
            </w:pPr>
            <w:r>
              <w:rPr>
                <w:rFonts w:eastAsiaTheme="minorHAnsi"/>
                <w:bCs/>
                <w:sz w:val="22"/>
                <w:szCs w:val="22"/>
              </w:rPr>
              <w:t>5,000.00</w:t>
            </w:r>
          </w:p>
        </w:tc>
        <w:tc>
          <w:tcPr>
            <w:tcW w:w="3325" w:type="dxa"/>
          </w:tcPr>
          <w:p>
            <w:pPr>
              <w:spacing w:line="276" w:lineRule="auto"/>
              <w:jc w:val="both"/>
              <w:rPr>
                <w:rFonts w:eastAsiaTheme="minorHAnsi"/>
                <w:bCs/>
                <w:sz w:val="22"/>
                <w:szCs w:val="22"/>
              </w:rPr>
            </w:pPr>
            <w:proofErr w:type="gramStart"/>
            <w:r>
              <w:rPr>
                <w:rFonts w:eastAsiaTheme="minorHAnsi"/>
                <w:bCs/>
                <w:sz w:val="22"/>
                <w:szCs w:val="22"/>
              </w:rPr>
              <w:t>P(</w:t>
            </w:r>
            <w:proofErr w:type="gramEnd"/>
            <w:r>
              <w:rPr>
                <w:rFonts w:eastAsiaTheme="minorHAnsi"/>
                <w:bCs/>
                <w:sz w:val="22"/>
                <w:szCs w:val="22"/>
              </w:rPr>
              <w:t>10,000) ending balance per Ver.1</w:t>
            </w:r>
          </w:p>
          <w:p>
            <w:pPr>
              <w:spacing w:line="276" w:lineRule="auto"/>
              <w:jc w:val="both"/>
              <w:rPr>
                <w:rFonts w:eastAsiaTheme="minorHAnsi"/>
                <w:bCs/>
                <w:sz w:val="22"/>
                <w:szCs w:val="22"/>
              </w:rPr>
            </w:pPr>
            <w:r>
              <w:rPr>
                <w:rFonts w:eastAsiaTheme="minorHAnsi"/>
                <w:bCs/>
                <w:sz w:val="22"/>
                <w:szCs w:val="22"/>
              </w:rPr>
              <w:t>P5,000 beg. balance per Ver.2</w:t>
            </w:r>
          </w:p>
        </w:tc>
      </w:tr>
      <w:tr>
        <w:trPr>
          <w:cantSplit/>
        </w:trPr>
        <w:tc>
          <w:tcPr>
            <w:tcW w:w="2155" w:type="dxa"/>
          </w:tcPr>
          <w:p>
            <w:pPr>
              <w:spacing w:line="276" w:lineRule="auto"/>
              <w:rPr>
                <w:rFonts w:eastAsiaTheme="minorHAnsi"/>
                <w:bCs/>
                <w:sz w:val="22"/>
                <w:szCs w:val="22"/>
              </w:rPr>
            </w:pPr>
            <w:proofErr w:type="spellStart"/>
            <w:r>
              <w:rPr>
                <w:rFonts w:eastAsiaTheme="minorHAnsi"/>
                <w:bCs/>
                <w:sz w:val="22"/>
                <w:szCs w:val="22"/>
              </w:rPr>
              <w:t>Nocellas</w:t>
            </w:r>
            <w:proofErr w:type="spellEnd"/>
            <w:r>
              <w:rPr>
                <w:rFonts w:eastAsiaTheme="minorHAnsi"/>
                <w:bCs/>
                <w:sz w:val="22"/>
                <w:szCs w:val="22"/>
              </w:rPr>
              <w:t xml:space="preserve">, Melchor </w:t>
            </w:r>
            <w:proofErr w:type="spellStart"/>
            <w:r>
              <w:rPr>
                <w:rFonts w:eastAsiaTheme="minorHAnsi"/>
                <w:bCs/>
                <w:sz w:val="22"/>
                <w:szCs w:val="22"/>
              </w:rPr>
              <w:t>Pecheco</w:t>
            </w:r>
            <w:proofErr w:type="spellEnd"/>
          </w:p>
        </w:tc>
        <w:tc>
          <w:tcPr>
            <w:tcW w:w="2160" w:type="dxa"/>
          </w:tcPr>
          <w:p>
            <w:pPr>
              <w:spacing w:line="276" w:lineRule="auto"/>
              <w:jc w:val="center"/>
              <w:rPr>
                <w:rFonts w:eastAsiaTheme="minorHAnsi"/>
                <w:bCs/>
                <w:sz w:val="22"/>
                <w:szCs w:val="22"/>
              </w:rPr>
            </w:pPr>
            <w:r>
              <w:rPr>
                <w:rFonts w:eastAsiaTheme="minorHAnsi"/>
                <w:bCs/>
                <w:sz w:val="22"/>
                <w:szCs w:val="22"/>
              </w:rPr>
              <w:t>20101010-02-AP20DF008</w:t>
            </w:r>
          </w:p>
        </w:tc>
        <w:tc>
          <w:tcPr>
            <w:tcW w:w="1710" w:type="dxa"/>
          </w:tcPr>
          <w:p>
            <w:pPr>
              <w:spacing w:line="276" w:lineRule="auto"/>
              <w:jc w:val="right"/>
              <w:rPr>
                <w:rFonts w:eastAsiaTheme="minorHAnsi"/>
                <w:bCs/>
                <w:sz w:val="22"/>
                <w:szCs w:val="22"/>
              </w:rPr>
            </w:pPr>
            <w:r>
              <w:rPr>
                <w:rFonts w:eastAsiaTheme="minorHAnsi"/>
                <w:bCs/>
                <w:sz w:val="22"/>
                <w:szCs w:val="22"/>
              </w:rPr>
              <w:t>100.00</w:t>
            </w:r>
          </w:p>
        </w:tc>
        <w:tc>
          <w:tcPr>
            <w:tcW w:w="3325" w:type="dxa"/>
          </w:tcPr>
          <w:p>
            <w:pPr>
              <w:spacing w:line="276" w:lineRule="auto"/>
              <w:jc w:val="both"/>
              <w:rPr>
                <w:rFonts w:eastAsiaTheme="minorHAnsi"/>
                <w:bCs/>
                <w:sz w:val="22"/>
                <w:szCs w:val="22"/>
              </w:rPr>
            </w:pPr>
            <w:r>
              <w:rPr>
                <w:rFonts w:eastAsiaTheme="minorHAnsi"/>
                <w:bCs/>
                <w:sz w:val="22"/>
                <w:szCs w:val="22"/>
              </w:rPr>
              <w:t>Beg. Balance per SL in e-NGAS Version 2; SL not found under Accounts Payable in e-NGAS Version 1</w:t>
            </w:r>
          </w:p>
        </w:tc>
      </w:tr>
      <w:tr>
        <w:trPr>
          <w:cantSplit/>
        </w:trPr>
        <w:tc>
          <w:tcPr>
            <w:tcW w:w="2155" w:type="dxa"/>
          </w:tcPr>
          <w:p>
            <w:pPr>
              <w:spacing w:line="276" w:lineRule="auto"/>
              <w:rPr>
                <w:rFonts w:eastAsiaTheme="minorHAnsi"/>
                <w:bCs/>
                <w:sz w:val="22"/>
                <w:szCs w:val="22"/>
              </w:rPr>
            </w:pPr>
            <w:proofErr w:type="spellStart"/>
            <w:r>
              <w:rPr>
                <w:rFonts w:eastAsiaTheme="minorHAnsi"/>
                <w:bCs/>
                <w:sz w:val="22"/>
                <w:szCs w:val="22"/>
              </w:rPr>
              <w:t>Gocotano</w:t>
            </w:r>
            <w:proofErr w:type="spellEnd"/>
            <w:r>
              <w:rPr>
                <w:rFonts w:eastAsiaTheme="minorHAnsi"/>
                <w:bCs/>
                <w:sz w:val="22"/>
                <w:szCs w:val="22"/>
              </w:rPr>
              <w:t xml:space="preserve">, Noel </w:t>
            </w:r>
            <w:proofErr w:type="spellStart"/>
            <w:r>
              <w:rPr>
                <w:rFonts w:eastAsiaTheme="minorHAnsi"/>
                <w:bCs/>
                <w:sz w:val="22"/>
                <w:szCs w:val="22"/>
              </w:rPr>
              <w:t>Escoto</w:t>
            </w:r>
            <w:proofErr w:type="spellEnd"/>
          </w:p>
        </w:tc>
        <w:tc>
          <w:tcPr>
            <w:tcW w:w="2160" w:type="dxa"/>
          </w:tcPr>
          <w:p>
            <w:pPr>
              <w:spacing w:line="276" w:lineRule="auto"/>
              <w:jc w:val="center"/>
              <w:rPr>
                <w:rFonts w:eastAsiaTheme="minorHAnsi"/>
                <w:bCs/>
                <w:sz w:val="22"/>
                <w:szCs w:val="22"/>
              </w:rPr>
            </w:pPr>
            <w:r>
              <w:rPr>
                <w:rFonts w:eastAsiaTheme="minorHAnsi"/>
                <w:bCs/>
                <w:sz w:val="22"/>
                <w:szCs w:val="22"/>
              </w:rPr>
              <w:t>20101010-02-AP20DF009</w:t>
            </w:r>
          </w:p>
        </w:tc>
        <w:tc>
          <w:tcPr>
            <w:tcW w:w="1710" w:type="dxa"/>
          </w:tcPr>
          <w:p>
            <w:pPr>
              <w:spacing w:line="276" w:lineRule="auto"/>
              <w:jc w:val="right"/>
              <w:rPr>
                <w:rFonts w:eastAsiaTheme="minorHAnsi"/>
                <w:bCs/>
                <w:sz w:val="22"/>
                <w:szCs w:val="22"/>
              </w:rPr>
            </w:pPr>
            <w:r>
              <w:rPr>
                <w:rFonts w:eastAsiaTheme="minorHAnsi"/>
                <w:bCs/>
                <w:sz w:val="22"/>
                <w:szCs w:val="22"/>
              </w:rPr>
              <w:t>17.47</w:t>
            </w:r>
          </w:p>
        </w:tc>
        <w:tc>
          <w:tcPr>
            <w:tcW w:w="3325" w:type="dxa"/>
          </w:tcPr>
          <w:p>
            <w:pPr>
              <w:spacing w:line="276" w:lineRule="auto"/>
              <w:jc w:val="both"/>
              <w:rPr>
                <w:rFonts w:eastAsiaTheme="minorHAnsi"/>
                <w:bCs/>
                <w:sz w:val="22"/>
                <w:szCs w:val="22"/>
              </w:rPr>
            </w:pPr>
            <w:r>
              <w:rPr>
                <w:rFonts w:eastAsiaTheme="minorHAnsi"/>
                <w:bCs/>
                <w:sz w:val="22"/>
                <w:szCs w:val="22"/>
              </w:rPr>
              <w:t>Beg. Balance per SL in e-NGAS Version 2; SL not found under Accounts Payable in e-NGAS Version 1</w:t>
            </w:r>
          </w:p>
        </w:tc>
      </w:tr>
      <w:tr>
        <w:trPr>
          <w:cantSplit/>
        </w:trPr>
        <w:tc>
          <w:tcPr>
            <w:tcW w:w="4315" w:type="dxa"/>
            <w:gridSpan w:val="2"/>
          </w:tcPr>
          <w:p>
            <w:pPr>
              <w:spacing w:line="276" w:lineRule="auto"/>
              <w:jc w:val="both"/>
              <w:rPr>
                <w:rFonts w:eastAsiaTheme="minorHAnsi"/>
                <w:b/>
                <w:bCs/>
                <w:sz w:val="22"/>
                <w:szCs w:val="22"/>
              </w:rPr>
            </w:pPr>
            <w:r>
              <w:rPr>
                <w:rFonts w:eastAsiaTheme="minorHAnsi"/>
                <w:b/>
                <w:bCs/>
                <w:sz w:val="22"/>
                <w:szCs w:val="22"/>
              </w:rPr>
              <w:t>TOTAL</w:t>
            </w:r>
          </w:p>
        </w:tc>
        <w:tc>
          <w:tcPr>
            <w:tcW w:w="1710" w:type="dxa"/>
          </w:tcPr>
          <w:p>
            <w:pPr>
              <w:spacing w:line="276" w:lineRule="auto"/>
              <w:jc w:val="right"/>
              <w:rPr>
                <w:rFonts w:eastAsiaTheme="minorHAnsi"/>
                <w:b/>
                <w:bCs/>
                <w:sz w:val="22"/>
                <w:szCs w:val="22"/>
              </w:rPr>
            </w:pPr>
            <w:r>
              <w:rPr>
                <w:rFonts w:eastAsiaTheme="minorHAnsi"/>
                <w:b/>
                <w:bCs/>
                <w:sz w:val="22"/>
                <w:szCs w:val="22"/>
              </w:rPr>
              <w:t>P202,617.47</w:t>
            </w:r>
          </w:p>
        </w:tc>
        <w:tc>
          <w:tcPr>
            <w:tcW w:w="3325" w:type="dxa"/>
          </w:tcPr>
          <w:p>
            <w:pPr>
              <w:spacing w:line="276" w:lineRule="auto"/>
              <w:jc w:val="both"/>
              <w:rPr>
                <w:rFonts w:eastAsiaTheme="minorHAnsi"/>
                <w:bCs/>
                <w:sz w:val="22"/>
                <w:szCs w:val="22"/>
              </w:rPr>
            </w:pPr>
          </w:p>
        </w:tc>
      </w:tr>
    </w:tbl>
    <w:p>
      <w:pPr>
        <w:spacing w:line="276" w:lineRule="auto"/>
        <w:jc w:val="both"/>
        <w:rPr>
          <w:rFonts w:eastAsiaTheme="minorHAnsi"/>
          <w:bCs/>
        </w:rPr>
      </w:pPr>
    </w:p>
    <w:p>
      <w:pPr>
        <w:spacing w:line="276" w:lineRule="auto"/>
        <w:jc w:val="both"/>
        <w:rPr>
          <w:rFonts w:eastAsiaTheme="minorHAnsi"/>
          <w:bCs/>
        </w:rPr>
      </w:pPr>
      <w:r>
        <w:rPr>
          <w:rFonts w:eastAsiaTheme="minorHAnsi"/>
          <w:bCs/>
        </w:rPr>
        <w:t xml:space="preserve">Effective July 31, 2022, the City Accounting Offices upgraded the accounting software e-NGAS from Version 1 to Version 2. The setting up of balances from the old to the new version of the software was done manually by the CAO. The City Accountant was amenable that errors may have been incurred in the setting-up of beginning balances in e-NGAS Version 2. The City Accountant further assured that reconciliation is ongoing to correct the balance of the said accounts. </w:t>
      </w:r>
    </w:p>
    <w:p>
      <w:pPr>
        <w:spacing w:line="276" w:lineRule="auto"/>
        <w:ind w:firstLine="720"/>
        <w:jc w:val="both"/>
        <w:rPr>
          <w:rFonts w:eastAsiaTheme="minorHAnsi"/>
          <w:bCs/>
        </w:rPr>
      </w:pPr>
    </w:p>
    <w:p>
      <w:pPr>
        <w:spacing w:line="276" w:lineRule="auto"/>
        <w:jc w:val="both"/>
        <w:rPr>
          <w:rFonts w:eastAsiaTheme="minorHAnsi"/>
          <w:bCs/>
        </w:rPr>
      </w:pPr>
      <w:r>
        <w:rPr>
          <w:rFonts w:eastAsiaTheme="minorHAnsi"/>
          <w:bCs/>
        </w:rPr>
        <w:t xml:space="preserve">In view of the deficiencies noted, accounts with negative balance amounting to P118,457.03 and accounts with unverified balances amounting to P202,617.47 cast doubt on the accuracy and reliability of the reported balance of the Account Payable as at December 31, 2022, thereby affecting its fair presentation in the Financial Statements. </w:t>
      </w:r>
    </w:p>
    <w:p>
      <w:pPr>
        <w:pStyle w:val="ListParagraph"/>
        <w:spacing w:after="0"/>
        <w:ind w:left="0"/>
        <w:jc w:val="both"/>
        <w:rPr>
          <w:rFonts w:ascii="Times New Roman" w:hAnsi="Times New Roman"/>
          <w:b/>
          <w:sz w:val="24"/>
          <w:szCs w:val="24"/>
        </w:rPr>
      </w:pPr>
    </w:p>
    <w:p>
      <w:pPr>
        <w:spacing w:line="276" w:lineRule="auto"/>
        <w:jc w:val="both"/>
        <w:rPr>
          <w:b/>
        </w:rPr>
      </w:pPr>
      <w:r>
        <w:rPr>
          <w:b/>
        </w:rPr>
        <w:t>Recommendations:</w:t>
      </w:r>
    </w:p>
    <w:p>
      <w:pPr>
        <w:spacing w:line="276" w:lineRule="auto"/>
        <w:jc w:val="both"/>
        <w:rPr>
          <w:b/>
        </w:rPr>
      </w:pPr>
    </w:p>
    <w:p>
      <w:pPr>
        <w:spacing w:line="276" w:lineRule="auto"/>
        <w:jc w:val="both"/>
        <w:rPr>
          <w:rFonts w:eastAsiaTheme="minorHAnsi"/>
          <w:bCs/>
        </w:rPr>
      </w:pPr>
      <w:r>
        <w:rPr>
          <w:rFonts w:eastAsiaTheme="minorHAnsi"/>
          <w:bCs/>
        </w:rPr>
        <w:t>We recommended that the City Mayor direct the City Accounting Office to:</w:t>
      </w:r>
    </w:p>
    <w:p>
      <w:pPr>
        <w:spacing w:line="276" w:lineRule="auto"/>
        <w:jc w:val="both"/>
        <w:rPr>
          <w:rFonts w:eastAsiaTheme="minorHAnsi"/>
          <w:bCs/>
        </w:rPr>
      </w:pPr>
    </w:p>
    <w:p>
      <w:pPr>
        <w:pStyle w:val="ListParagraph"/>
        <w:numPr>
          <w:ilvl w:val="0"/>
          <w:numId w:val="18"/>
        </w:numPr>
        <w:spacing w:after="0"/>
        <w:jc w:val="both"/>
        <w:rPr>
          <w:rFonts w:ascii="Times New Roman" w:eastAsiaTheme="minorHAnsi" w:hAnsi="Times New Roman"/>
          <w:bCs/>
          <w:sz w:val="24"/>
          <w:szCs w:val="24"/>
        </w:rPr>
      </w:pPr>
      <w:r>
        <w:rPr>
          <w:rFonts w:ascii="Times New Roman" w:eastAsiaTheme="minorHAnsi" w:hAnsi="Times New Roman"/>
          <w:bCs/>
          <w:sz w:val="24"/>
          <w:szCs w:val="24"/>
        </w:rPr>
        <w:lastRenderedPageBreak/>
        <w:t>Determine whether or not the City Government has obligation to pay the creditors of long outstanding accounts recorded under the Accounts Payable;</w:t>
      </w:r>
    </w:p>
    <w:p>
      <w:pPr>
        <w:pStyle w:val="ListParagraph"/>
        <w:spacing w:after="0"/>
        <w:jc w:val="both"/>
        <w:rPr>
          <w:rFonts w:ascii="Times New Roman" w:eastAsiaTheme="minorHAnsi" w:hAnsi="Times New Roman"/>
          <w:bCs/>
          <w:sz w:val="24"/>
          <w:szCs w:val="24"/>
        </w:rPr>
      </w:pPr>
    </w:p>
    <w:p>
      <w:pPr>
        <w:pStyle w:val="ListParagraph"/>
        <w:numPr>
          <w:ilvl w:val="0"/>
          <w:numId w:val="18"/>
        </w:numPr>
        <w:spacing w:after="0"/>
        <w:jc w:val="both"/>
        <w:rPr>
          <w:rFonts w:ascii="Times New Roman" w:eastAsiaTheme="minorHAnsi" w:hAnsi="Times New Roman"/>
          <w:bCs/>
          <w:sz w:val="24"/>
          <w:szCs w:val="24"/>
        </w:rPr>
      </w:pPr>
      <w:r>
        <w:rPr>
          <w:rFonts w:ascii="Times New Roman" w:eastAsiaTheme="minorHAnsi" w:hAnsi="Times New Roman"/>
          <w:bCs/>
          <w:sz w:val="24"/>
          <w:szCs w:val="24"/>
        </w:rPr>
        <w:t>For accounts which established obligation to pay, communicate the matter with the concerned offices and set a deadline to process its settlement;</w:t>
      </w:r>
    </w:p>
    <w:p>
      <w:pPr>
        <w:pStyle w:val="ListParagraph"/>
        <w:spacing w:after="0"/>
        <w:jc w:val="both"/>
        <w:rPr>
          <w:rFonts w:ascii="Times New Roman" w:eastAsiaTheme="minorHAnsi" w:hAnsi="Times New Roman"/>
          <w:bCs/>
          <w:sz w:val="24"/>
          <w:szCs w:val="24"/>
        </w:rPr>
      </w:pPr>
    </w:p>
    <w:p>
      <w:pPr>
        <w:pStyle w:val="ListParagraph"/>
        <w:numPr>
          <w:ilvl w:val="0"/>
          <w:numId w:val="18"/>
        </w:numPr>
        <w:spacing w:after="0"/>
        <w:jc w:val="both"/>
        <w:rPr>
          <w:rFonts w:ascii="Times New Roman" w:eastAsiaTheme="minorHAnsi" w:hAnsi="Times New Roman"/>
          <w:bCs/>
          <w:sz w:val="24"/>
          <w:szCs w:val="24"/>
        </w:rPr>
      </w:pPr>
      <w:r>
        <w:rPr>
          <w:rFonts w:ascii="Times New Roman" w:eastAsiaTheme="minorHAnsi" w:hAnsi="Times New Roman"/>
          <w:bCs/>
          <w:sz w:val="24"/>
          <w:szCs w:val="24"/>
        </w:rPr>
        <w:t>Revert the balances of accounts payable with no established obligation to pay including those unsettled after the earlier fixed deadline to the unappropriated general fund pursuant to the provisions of PD 1445; and,</w:t>
      </w:r>
    </w:p>
    <w:p>
      <w:pPr>
        <w:pStyle w:val="ListParagraph"/>
        <w:spacing w:after="0"/>
        <w:rPr>
          <w:rFonts w:ascii="Times New Roman" w:eastAsiaTheme="minorHAnsi" w:hAnsi="Times New Roman"/>
          <w:bCs/>
          <w:sz w:val="24"/>
          <w:szCs w:val="24"/>
        </w:rPr>
      </w:pPr>
    </w:p>
    <w:p>
      <w:pPr>
        <w:pStyle w:val="ListParagraph"/>
        <w:numPr>
          <w:ilvl w:val="0"/>
          <w:numId w:val="18"/>
        </w:numPr>
        <w:spacing w:after="0"/>
        <w:jc w:val="both"/>
        <w:rPr>
          <w:rFonts w:ascii="Times New Roman" w:eastAsiaTheme="minorHAnsi" w:hAnsi="Times New Roman"/>
          <w:bCs/>
          <w:sz w:val="24"/>
          <w:szCs w:val="24"/>
        </w:rPr>
      </w:pPr>
      <w:r>
        <w:rPr>
          <w:rFonts w:ascii="Times New Roman" w:eastAsiaTheme="minorHAnsi" w:hAnsi="Times New Roman"/>
          <w:bCs/>
          <w:sz w:val="24"/>
          <w:szCs w:val="24"/>
        </w:rPr>
        <w:t>Draw adjusting entries to correct errors in the recording and the reversion of long outstanding accounts payable.</w:t>
      </w:r>
    </w:p>
    <w:p>
      <w:pPr>
        <w:pStyle w:val="ListParagraph"/>
        <w:numPr>
          <w:ilvl w:val="0"/>
          <w:numId w:val="18"/>
        </w:numPr>
        <w:spacing w:after="0"/>
        <w:jc w:val="both"/>
        <w:rPr>
          <w:rFonts w:ascii="Times New Roman" w:eastAsiaTheme="minorHAnsi" w:hAnsi="Times New Roman"/>
          <w:bCs/>
          <w:sz w:val="24"/>
          <w:szCs w:val="24"/>
        </w:rPr>
      </w:pPr>
      <w:r>
        <w:rPr>
          <w:rFonts w:ascii="Times New Roman" w:eastAsiaTheme="minorHAnsi" w:hAnsi="Times New Roman"/>
          <w:bCs/>
          <w:sz w:val="24"/>
          <w:szCs w:val="24"/>
        </w:rPr>
        <w:t>Submit written justification on the noted deficiencies on supporting documents in the recognition of accounts payable to complete the evaluation and to enable us to make a decision in audit.</w:t>
      </w:r>
    </w:p>
    <w:p>
      <w:pPr>
        <w:pStyle w:val="ListParagraph"/>
        <w:spacing w:after="0"/>
        <w:rPr>
          <w:rFonts w:ascii="Times New Roman" w:eastAsiaTheme="minorHAnsi" w:hAnsi="Times New Roman"/>
          <w:bCs/>
          <w:sz w:val="24"/>
          <w:szCs w:val="24"/>
        </w:rPr>
      </w:pPr>
    </w:p>
    <w:p>
      <w:pPr>
        <w:pStyle w:val="ListParagraph"/>
        <w:numPr>
          <w:ilvl w:val="0"/>
          <w:numId w:val="18"/>
        </w:numPr>
        <w:spacing w:after="0"/>
        <w:jc w:val="both"/>
        <w:rPr>
          <w:rFonts w:ascii="Times New Roman" w:eastAsiaTheme="minorHAnsi" w:hAnsi="Times New Roman"/>
          <w:bCs/>
          <w:sz w:val="24"/>
          <w:szCs w:val="24"/>
        </w:rPr>
      </w:pPr>
      <w:r>
        <w:rPr>
          <w:rFonts w:ascii="Times New Roman" w:eastAsiaTheme="minorHAnsi" w:hAnsi="Times New Roman"/>
          <w:bCs/>
          <w:sz w:val="24"/>
          <w:szCs w:val="24"/>
        </w:rPr>
        <w:t>Reconcile the accounts with negative and unverified balances amounting to P118,457.03 and P202,617.47, respectively, and draw adjusting entries to correct the balance of the Accounts Payable.</w:t>
      </w:r>
    </w:p>
    <w:p>
      <w:pPr>
        <w:spacing w:line="276" w:lineRule="auto"/>
        <w:ind w:right="162"/>
        <w:jc w:val="both"/>
      </w:pPr>
    </w:p>
    <w:p>
      <w:pPr>
        <w:spacing w:line="276" w:lineRule="auto"/>
        <w:ind w:right="162"/>
        <w:jc w:val="both"/>
        <w:rPr>
          <w:b/>
          <w:bCs/>
        </w:rPr>
      </w:pPr>
      <w:r>
        <w:rPr>
          <w:b/>
          <w:bCs/>
        </w:rPr>
        <w:t>Management’s Comment:</w:t>
      </w:r>
    </w:p>
    <w:p>
      <w:pPr>
        <w:spacing w:line="276" w:lineRule="auto"/>
        <w:ind w:right="162"/>
        <w:jc w:val="both"/>
      </w:pPr>
    </w:p>
    <w:p>
      <w:pPr>
        <w:spacing w:line="276" w:lineRule="auto"/>
        <w:ind w:right="162"/>
        <w:jc w:val="both"/>
      </w:pPr>
      <w:r>
        <w:t>The management partly agreed with the audit observations and committed to implement the audit recommendations. The City Accountant contended that the P1,252,920.25 recorded in CY 2020 will be reverted in CY 2023 since the payable was recognized in the end of December 2020, thus counting in years from the time the accounts payable were recorded, the lapse of 2 years is approximately by the end of CY 2022. Moreover, some of the accounts are also from the existing suppliers of the City to which they made regular claims of their transactions. Reversion of the balances of these liability accounts to unappropriated surplus will tantamount of declaring as surplus the funds intended to pay these obligations of which at any time will be billed and demanded by the suppliers.</w:t>
      </w:r>
    </w:p>
    <w:p>
      <w:pPr>
        <w:spacing w:line="276" w:lineRule="auto"/>
        <w:ind w:right="162"/>
        <w:jc w:val="both"/>
      </w:pPr>
    </w:p>
    <w:p>
      <w:pPr>
        <w:spacing w:line="276" w:lineRule="auto"/>
        <w:ind w:right="162"/>
        <w:jc w:val="both"/>
      </w:pPr>
      <w:r>
        <w:t>The CAO also stated that several adjustments and reversions of long-overdue accounts were already made in prior years and the latest was in CY 2021. The CAO was also amenable that they were not able to fully reconcile the accounts payable for reasons already mentioned in previous replies. The CAO also expressed gratitude to the audit observation and to the Audit Team for the help in the identification of accounts that needs to be reverted.</w:t>
      </w:r>
    </w:p>
    <w:p>
      <w:pPr>
        <w:spacing w:line="276" w:lineRule="auto"/>
        <w:ind w:right="162"/>
        <w:jc w:val="both"/>
      </w:pPr>
    </w:p>
    <w:p>
      <w:pPr>
        <w:spacing w:line="276" w:lineRule="auto"/>
        <w:ind w:right="162"/>
        <w:jc w:val="both"/>
      </w:pPr>
      <w:r>
        <w:lastRenderedPageBreak/>
        <w:t>As an appropriate course of action, prior to its reversion, the CAO will first notify the concerned offices with regards to these accounts for them to process for payment the supporting documents of these payables.</w:t>
      </w:r>
    </w:p>
    <w:p>
      <w:pPr>
        <w:spacing w:line="276" w:lineRule="auto"/>
        <w:ind w:right="162"/>
        <w:jc w:val="both"/>
      </w:pPr>
    </w:p>
    <w:p>
      <w:pPr>
        <w:spacing w:line="276" w:lineRule="auto"/>
        <w:ind w:right="162"/>
        <w:jc w:val="both"/>
      </w:pPr>
      <w:r>
        <w:t>The CAO added that those claims with deficient supporting documents such as undated invoice/DR may have been due to failure of filling-out only. Furthermore, these accounts were also not yet pre-audited by CAO and thorough verification of the supporting documents will be conducted before payment is approved.</w:t>
      </w:r>
    </w:p>
    <w:p>
      <w:pPr>
        <w:spacing w:line="276" w:lineRule="auto"/>
        <w:ind w:right="162"/>
        <w:jc w:val="both"/>
      </w:pPr>
    </w:p>
    <w:p>
      <w:pPr>
        <w:spacing w:line="276" w:lineRule="auto"/>
        <w:ind w:right="162"/>
        <w:jc w:val="both"/>
      </w:pPr>
      <w:r>
        <w:t>In adherence to the audit recommendation, the CAO assured to incorporate at every year-end financial activity the requirement to submit photocopies of supporting documents from requisitioning offices before any payables shall be accepted for recording.</w:t>
      </w:r>
    </w:p>
    <w:p>
      <w:pPr>
        <w:spacing w:line="276" w:lineRule="auto"/>
        <w:ind w:right="162"/>
        <w:jc w:val="both"/>
      </w:pPr>
    </w:p>
    <w:p>
      <w:pPr>
        <w:spacing w:line="276" w:lineRule="auto"/>
        <w:ind w:right="162"/>
        <w:jc w:val="both"/>
      </w:pPr>
      <w:r>
        <w:t>For the accounts with negative and/or unverified subsidiary ledger balances, the CAO committed to conduct further review to reconcile and establish the proper balances of these accounts. The correcting entries will be submitted once the reconciling items for adjustments are identified.</w:t>
      </w:r>
    </w:p>
    <w:p>
      <w:pPr>
        <w:spacing w:line="276" w:lineRule="auto"/>
        <w:ind w:right="162"/>
        <w:jc w:val="both"/>
      </w:pPr>
    </w:p>
    <w:p>
      <w:pPr>
        <w:spacing w:line="276" w:lineRule="auto"/>
        <w:ind w:right="162"/>
        <w:jc w:val="both"/>
      </w:pPr>
      <w:r>
        <w:t>The CAO requested for ample time to conduct the reconciliation process in order to fully comply and implement the audit recommendations.</w:t>
      </w:r>
    </w:p>
    <w:p>
      <w:pPr>
        <w:spacing w:line="276" w:lineRule="auto"/>
        <w:ind w:right="162"/>
        <w:jc w:val="both"/>
        <w:rPr>
          <w:b/>
        </w:rPr>
      </w:pPr>
    </w:p>
    <w:p>
      <w:pPr>
        <w:spacing w:line="276" w:lineRule="auto"/>
        <w:ind w:right="162"/>
        <w:jc w:val="both"/>
        <w:rPr>
          <w:b/>
        </w:rPr>
      </w:pPr>
      <w:r>
        <w:rPr>
          <w:b/>
        </w:rPr>
        <w:t>Auditor’s Rejoinder:</w:t>
      </w:r>
    </w:p>
    <w:p>
      <w:pPr>
        <w:spacing w:line="276" w:lineRule="auto"/>
        <w:ind w:right="162"/>
        <w:jc w:val="both"/>
      </w:pPr>
    </w:p>
    <w:p>
      <w:pPr>
        <w:spacing w:line="276" w:lineRule="auto"/>
        <w:ind w:right="162"/>
        <w:jc w:val="both"/>
      </w:pPr>
      <w:r>
        <w:t>The rationale of the requirement of reversion of accounts payable outstanding for more than two years is to ensure economic and efficient utilization of government funds. Further, the two-year period given to the suppliers to process their claims is already reasonable. The government funds should not be rendered idle due to the failure of the suppliers to process their claims. Finally, the reversion of the accounts payable does not diminish the government’s obligation to pay the valid claims of affected creditors. They can still file claims against the government through applicable procedures allowed by laws, rules and regulations.</w:t>
      </w:r>
    </w:p>
    <w:p>
      <w:pPr>
        <w:spacing w:line="276" w:lineRule="auto"/>
        <w:ind w:right="162"/>
        <w:jc w:val="both"/>
      </w:pPr>
    </w:p>
    <w:p>
      <w:pPr>
        <w:spacing w:line="276" w:lineRule="auto"/>
        <w:ind w:right="162"/>
        <w:jc w:val="both"/>
      </w:pPr>
    </w:p>
    <w:p>
      <w:pPr>
        <w:spacing w:line="276" w:lineRule="auto"/>
        <w:ind w:right="162"/>
        <w:jc w:val="both"/>
        <w:rPr>
          <w:b/>
          <w:i/>
        </w:rPr>
      </w:pPr>
      <w:r>
        <w:rPr>
          <w:b/>
          <w:i/>
        </w:rPr>
        <w:t xml:space="preserve">Non-reconciliation of balances with the records of the financial institutions </w:t>
      </w:r>
    </w:p>
    <w:p>
      <w:pPr>
        <w:spacing w:line="276" w:lineRule="auto"/>
        <w:ind w:right="162"/>
        <w:jc w:val="both"/>
        <w:rPr>
          <w:bCs/>
          <w:i/>
          <w:color w:val="FF0000"/>
        </w:rPr>
      </w:pPr>
    </w:p>
    <w:p>
      <w:pPr>
        <w:pStyle w:val="ListParagraph"/>
        <w:numPr>
          <w:ilvl w:val="0"/>
          <w:numId w:val="67"/>
        </w:numPr>
        <w:spacing w:after="0"/>
        <w:ind w:left="0" w:firstLine="0"/>
        <w:jc w:val="both"/>
        <w:rPr>
          <w:rFonts w:ascii="Times New Roman" w:eastAsia="Times New Roman" w:hAnsi="Times New Roman"/>
          <w:b/>
          <w:sz w:val="24"/>
          <w:szCs w:val="24"/>
          <w:lang w:val="en-US"/>
        </w:rPr>
      </w:pPr>
      <w:r>
        <w:rPr>
          <w:rFonts w:ascii="Times New Roman" w:hAnsi="Times New Roman"/>
          <w:b/>
          <w:sz w:val="24"/>
          <w:szCs w:val="24"/>
        </w:rPr>
        <w:t>The Loans Payable – Domestic account balance of P</w:t>
      </w:r>
      <w:proofErr w:type="gramStart"/>
      <w:r>
        <w:rPr>
          <w:rFonts w:ascii="Times New Roman" w:hAnsi="Times New Roman"/>
          <w:b/>
          <w:sz w:val="24"/>
          <w:szCs w:val="24"/>
        </w:rPr>
        <w:t>61,124,448.73  as</w:t>
      </w:r>
      <w:proofErr w:type="gramEnd"/>
      <w:r>
        <w:rPr>
          <w:rFonts w:ascii="Times New Roman" w:hAnsi="Times New Roman"/>
          <w:b/>
          <w:sz w:val="24"/>
          <w:szCs w:val="24"/>
        </w:rPr>
        <w:t xml:space="preserve"> at December 31, 2022 is misstated by P</w:t>
      </w:r>
      <w:r>
        <w:rPr>
          <w:rFonts w:ascii="Times New Roman" w:hAnsi="Times New Roman"/>
          <w:b/>
          <w:color w:val="000000"/>
          <w:sz w:val="24"/>
          <w:szCs w:val="24"/>
        </w:rPr>
        <w:t xml:space="preserve">2,050,211.00 </w:t>
      </w:r>
      <w:r>
        <w:rPr>
          <w:rFonts w:ascii="Times New Roman" w:hAnsi="Times New Roman"/>
          <w:b/>
          <w:sz w:val="24"/>
          <w:szCs w:val="24"/>
        </w:rPr>
        <w:t>due to unrecorded variance of the ledger balances with the records of the financial institutions contrary to International Public-Sector Accounting Standards 1 and 28.</w:t>
      </w:r>
    </w:p>
    <w:p>
      <w:pPr>
        <w:spacing w:line="276" w:lineRule="auto"/>
        <w:jc w:val="both"/>
        <w:rPr>
          <w:color w:val="000000"/>
        </w:rPr>
      </w:pPr>
      <w:r>
        <w:rPr>
          <w:color w:val="000000"/>
        </w:rPr>
        <w:lastRenderedPageBreak/>
        <w:t>Section 27 of the International Public-Sector Accounting Standards (IPSAS) 1 also provides:</w:t>
      </w:r>
    </w:p>
    <w:p>
      <w:pPr>
        <w:spacing w:line="276" w:lineRule="auto"/>
        <w:ind w:firstLine="720"/>
        <w:jc w:val="both"/>
        <w:rPr>
          <w:i/>
          <w:color w:val="000000"/>
        </w:rPr>
      </w:pPr>
    </w:p>
    <w:p>
      <w:pPr>
        <w:spacing w:line="276" w:lineRule="auto"/>
        <w:ind w:left="806" w:right="702" w:hanging="86"/>
        <w:jc w:val="both"/>
        <w:rPr>
          <w:color w:val="000000"/>
        </w:rPr>
      </w:pPr>
      <w:r>
        <w:rPr>
          <w:i/>
          <w:color w:val="000000"/>
        </w:rPr>
        <w:t xml:space="preserve"> </w:t>
      </w:r>
      <w:r>
        <w:rPr>
          <w:color w:val="000000"/>
        </w:rPr>
        <w:t>Financial statements shall present fairly the financial position, financial performance and cash flow of an entity. Fair presentation requires that faithful representation of the effects of transactions, other events and conditions in accordance with definitions and recognition criteria for assets, liabilities, revenue and expenses set out in IPSASs…</w:t>
      </w:r>
      <w:proofErr w:type="gramStart"/>
      <w:r>
        <w:rPr>
          <w:color w:val="000000"/>
        </w:rPr>
        <w:t>xxx..</w:t>
      </w:r>
      <w:proofErr w:type="gramEnd"/>
    </w:p>
    <w:p>
      <w:pPr>
        <w:spacing w:line="276" w:lineRule="auto"/>
        <w:ind w:firstLine="720"/>
        <w:jc w:val="both"/>
        <w:rPr>
          <w:color w:val="000000"/>
        </w:rPr>
      </w:pPr>
      <w:r>
        <w:rPr>
          <w:color w:val="000000"/>
        </w:rPr>
        <w:t xml:space="preserve"> </w:t>
      </w:r>
    </w:p>
    <w:p>
      <w:pPr>
        <w:spacing w:line="276" w:lineRule="auto"/>
        <w:jc w:val="both"/>
        <w:rPr>
          <w:color w:val="000000"/>
        </w:rPr>
      </w:pPr>
      <w:r>
        <w:rPr>
          <w:color w:val="000000"/>
        </w:rPr>
        <w:t>Furthermore, IPSAS 28 establishes principles for presenting financial instruments as liabilities or net assets/equity and for offsetting financial assets and financial liabilities.  It applies to the classification of financial instruments, from the perspective of the issuer, into financial assets, financial liabilities and equity instruments; the classification of related interest, dividends or similar distribution, losses and gains; and circumstances in which financial assets and financial liabilities should be offset.</w:t>
      </w:r>
    </w:p>
    <w:p>
      <w:pPr>
        <w:spacing w:line="276" w:lineRule="auto"/>
        <w:jc w:val="both"/>
        <w:rPr>
          <w:color w:val="000000"/>
        </w:rPr>
      </w:pPr>
    </w:p>
    <w:p>
      <w:pPr>
        <w:spacing w:line="276" w:lineRule="auto"/>
        <w:jc w:val="both"/>
        <w:rPr>
          <w:color w:val="000000"/>
        </w:rPr>
      </w:pPr>
      <w:r>
        <w:t xml:space="preserve">The Loans Payable-Domestic account </w:t>
      </w:r>
      <w:r>
        <w:rPr>
          <w:color w:val="000000"/>
        </w:rPr>
        <w:t xml:space="preserve">showed a balance of </w:t>
      </w:r>
      <w:r>
        <w:rPr>
          <w:bCs/>
          <w:color w:val="000000"/>
        </w:rPr>
        <w:t>P</w:t>
      </w:r>
      <w:proofErr w:type="gramStart"/>
      <w:r>
        <w:rPr>
          <w:bCs/>
          <w:color w:val="000000"/>
        </w:rPr>
        <w:t xml:space="preserve">61,124,448.73  </w:t>
      </w:r>
      <w:r>
        <w:rPr>
          <w:color w:val="000000"/>
        </w:rPr>
        <w:t>as</w:t>
      </w:r>
      <w:proofErr w:type="gramEnd"/>
      <w:r>
        <w:rPr>
          <w:color w:val="000000"/>
        </w:rPr>
        <w:t xml:space="preserve"> at December 31, 2022. Confirmation and comparison of the loan balance of the City per supporting schedules of the financial statements/subsidiary ledger against the financial institution’s records disclosed a total misstatement of P2,050,211.00 (see Table 6.1) due to non-reconciliation of the accounting records with that of the financial institutions.</w:t>
      </w:r>
    </w:p>
    <w:p>
      <w:pPr>
        <w:spacing w:line="276" w:lineRule="auto"/>
        <w:jc w:val="both"/>
        <w:rPr>
          <w:color w:val="000000"/>
        </w:rPr>
      </w:pPr>
    </w:p>
    <w:p>
      <w:pPr>
        <w:spacing w:line="276" w:lineRule="auto"/>
        <w:jc w:val="both"/>
        <w:rPr>
          <w:i/>
          <w:color w:val="000000"/>
        </w:rPr>
      </w:pPr>
      <w:r>
        <w:rPr>
          <w:i/>
          <w:color w:val="000000"/>
        </w:rPr>
        <w:t>Table 6.1. Variance between accounting and banks records for Loans Payable – Domestic account</w:t>
      </w:r>
    </w:p>
    <w:tbl>
      <w:tblPr>
        <w:tblStyle w:val="TableGrid34"/>
        <w:tblW w:w="9528" w:type="dxa"/>
        <w:jc w:val="center"/>
        <w:tblLayout w:type="fixed"/>
        <w:tblCellMar>
          <w:left w:w="72" w:type="dxa"/>
          <w:right w:w="72" w:type="dxa"/>
        </w:tblCellMar>
        <w:tblLook w:val="04A0" w:firstRow="1" w:lastRow="0" w:firstColumn="1" w:lastColumn="0" w:noHBand="0" w:noVBand="1"/>
      </w:tblPr>
      <w:tblGrid>
        <w:gridCol w:w="2065"/>
        <w:gridCol w:w="1350"/>
        <w:gridCol w:w="1545"/>
        <w:gridCol w:w="1577"/>
        <w:gridCol w:w="1551"/>
        <w:gridCol w:w="1440"/>
      </w:tblGrid>
      <w:tr>
        <w:trPr>
          <w:tblHeader/>
          <w:jc w:val="center"/>
        </w:trPr>
        <w:tc>
          <w:tcPr>
            <w:tcW w:w="2065" w:type="dxa"/>
            <w:vAlign w:val="center"/>
          </w:tcPr>
          <w:p>
            <w:pPr>
              <w:spacing w:line="276" w:lineRule="auto"/>
              <w:jc w:val="center"/>
              <w:rPr>
                <w:b/>
                <w:sz w:val="22"/>
                <w:szCs w:val="22"/>
              </w:rPr>
            </w:pPr>
            <w:r>
              <w:rPr>
                <w:b/>
                <w:sz w:val="22"/>
                <w:szCs w:val="22"/>
              </w:rPr>
              <w:t>Particulars</w:t>
            </w:r>
          </w:p>
        </w:tc>
        <w:tc>
          <w:tcPr>
            <w:tcW w:w="1350" w:type="dxa"/>
            <w:vAlign w:val="center"/>
          </w:tcPr>
          <w:p>
            <w:pPr>
              <w:spacing w:line="276" w:lineRule="auto"/>
              <w:jc w:val="center"/>
              <w:rPr>
                <w:b/>
                <w:sz w:val="22"/>
                <w:szCs w:val="22"/>
              </w:rPr>
            </w:pPr>
            <w:r>
              <w:rPr>
                <w:b/>
                <w:sz w:val="22"/>
                <w:szCs w:val="22"/>
              </w:rPr>
              <w:t>Date Granted-</w:t>
            </w:r>
          </w:p>
          <w:p>
            <w:pPr>
              <w:spacing w:line="276" w:lineRule="auto"/>
              <w:jc w:val="center"/>
              <w:rPr>
                <w:b/>
                <w:sz w:val="22"/>
                <w:szCs w:val="22"/>
              </w:rPr>
            </w:pPr>
            <w:r>
              <w:rPr>
                <w:b/>
                <w:sz w:val="22"/>
                <w:szCs w:val="22"/>
              </w:rPr>
              <w:t>Maturity Date</w:t>
            </w:r>
          </w:p>
        </w:tc>
        <w:tc>
          <w:tcPr>
            <w:tcW w:w="1545" w:type="dxa"/>
            <w:vAlign w:val="center"/>
          </w:tcPr>
          <w:p>
            <w:pPr>
              <w:spacing w:line="276" w:lineRule="auto"/>
              <w:jc w:val="center"/>
              <w:rPr>
                <w:b/>
                <w:sz w:val="22"/>
                <w:szCs w:val="22"/>
              </w:rPr>
            </w:pPr>
            <w:r>
              <w:rPr>
                <w:b/>
                <w:sz w:val="22"/>
                <w:szCs w:val="22"/>
              </w:rPr>
              <w:t>Balance per SL as of 12/31/2022</w:t>
            </w:r>
          </w:p>
        </w:tc>
        <w:tc>
          <w:tcPr>
            <w:tcW w:w="1577" w:type="dxa"/>
            <w:vAlign w:val="center"/>
          </w:tcPr>
          <w:p>
            <w:pPr>
              <w:spacing w:line="276" w:lineRule="auto"/>
              <w:jc w:val="center"/>
              <w:rPr>
                <w:b/>
                <w:sz w:val="22"/>
                <w:szCs w:val="22"/>
              </w:rPr>
            </w:pPr>
            <w:r>
              <w:rPr>
                <w:b/>
                <w:sz w:val="22"/>
                <w:szCs w:val="22"/>
              </w:rPr>
              <w:t>Balance as per Bank Confirmation 12/31/2022</w:t>
            </w:r>
          </w:p>
        </w:tc>
        <w:tc>
          <w:tcPr>
            <w:tcW w:w="1551" w:type="dxa"/>
            <w:vAlign w:val="center"/>
          </w:tcPr>
          <w:p>
            <w:pPr>
              <w:spacing w:line="276" w:lineRule="auto"/>
              <w:jc w:val="center"/>
              <w:rPr>
                <w:b/>
                <w:sz w:val="22"/>
                <w:szCs w:val="22"/>
              </w:rPr>
            </w:pPr>
            <w:r>
              <w:rPr>
                <w:b/>
                <w:sz w:val="22"/>
                <w:szCs w:val="22"/>
              </w:rPr>
              <w:t>Variance</w:t>
            </w:r>
          </w:p>
        </w:tc>
        <w:tc>
          <w:tcPr>
            <w:tcW w:w="1440" w:type="dxa"/>
            <w:vAlign w:val="center"/>
          </w:tcPr>
          <w:p>
            <w:pPr>
              <w:spacing w:line="276" w:lineRule="auto"/>
              <w:jc w:val="center"/>
              <w:rPr>
                <w:b/>
                <w:sz w:val="22"/>
                <w:szCs w:val="22"/>
              </w:rPr>
            </w:pPr>
            <w:r>
              <w:rPr>
                <w:b/>
                <w:sz w:val="22"/>
                <w:szCs w:val="22"/>
              </w:rPr>
              <w:t>Remarks</w:t>
            </w:r>
          </w:p>
        </w:tc>
      </w:tr>
      <w:tr>
        <w:trPr>
          <w:jc w:val="center"/>
        </w:trPr>
        <w:tc>
          <w:tcPr>
            <w:tcW w:w="9528" w:type="dxa"/>
            <w:gridSpan w:val="6"/>
          </w:tcPr>
          <w:p>
            <w:pPr>
              <w:spacing w:line="276" w:lineRule="auto"/>
              <w:rPr>
                <w:b/>
                <w:sz w:val="22"/>
                <w:szCs w:val="22"/>
              </w:rPr>
            </w:pPr>
            <w:r>
              <w:rPr>
                <w:b/>
                <w:sz w:val="22"/>
                <w:szCs w:val="22"/>
              </w:rPr>
              <w:t>Land Bank of the Philippines (LBP)</w:t>
            </w:r>
          </w:p>
        </w:tc>
      </w:tr>
      <w:tr>
        <w:trPr>
          <w:jc w:val="center"/>
        </w:trPr>
        <w:tc>
          <w:tcPr>
            <w:tcW w:w="2065" w:type="dxa"/>
            <w:vAlign w:val="center"/>
          </w:tcPr>
          <w:p>
            <w:pPr>
              <w:spacing w:line="276" w:lineRule="auto"/>
              <w:rPr>
                <w:sz w:val="22"/>
                <w:szCs w:val="22"/>
              </w:rPr>
            </w:pPr>
            <w:r>
              <w:rPr>
                <w:sz w:val="22"/>
                <w:szCs w:val="22"/>
              </w:rPr>
              <w:t>Heavy Equipment III (CY 2014)</w:t>
            </w:r>
          </w:p>
        </w:tc>
        <w:tc>
          <w:tcPr>
            <w:tcW w:w="1350" w:type="dxa"/>
            <w:vAlign w:val="center"/>
          </w:tcPr>
          <w:p>
            <w:pPr>
              <w:spacing w:line="276" w:lineRule="auto"/>
              <w:jc w:val="center"/>
              <w:rPr>
                <w:sz w:val="22"/>
                <w:szCs w:val="22"/>
              </w:rPr>
            </w:pPr>
            <w:r>
              <w:rPr>
                <w:sz w:val="22"/>
                <w:szCs w:val="22"/>
              </w:rPr>
              <w:t>2004-2014</w:t>
            </w:r>
          </w:p>
        </w:tc>
        <w:tc>
          <w:tcPr>
            <w:tcW w:w="1545" w:type="dxa"/>
            <w:vAlign w:val="center"/>
          </w:tcPr>
          <w:p>
            <w:pPr>
              <w:spacing w:line="276" w:lineRule="auto"/>
              <w:jc w:val="right"/>
              <w:rPr>
                <w:sz w:val="22"/>
                <w:szCs w:val="22"/>
              </w:rPr>
            </w:pPr>
            <w:r>
              <w:rPr>
                <w:sz w:val="22"/>
                <w:szCs w:val="22"/>
              </w:rPr>
              <w:t>P684,526.81</w:t>
            </w:r>
          </w:p>
        </w:tc>
        <w:tc>
          <w:tcPr>
            <w:tcW w:w="1577" w:type="dxa"/>
            <w:vAlign w:val="center"/>
          </w:tcPr>
          <w:p>
            <w:pPr>
              <w:spacing w:line="276" w:lineRule="auto"/>
              <w:jc w:val="right"/>
              <w:rPr>
                <w:sz w:val="22"/>
                <w:szCs w:val="22"/>
              </w:rPr>
            </w:pPr>
            <w:r>
              <w:rPr>
                <w:sz w:val="22"/>
                <w:szCs w:val="22"/>
              </w:rPr>
              <w:t>-0.00-</w:t>
            </w:r>
          </w:p>
        </w:tc>
        <w:tc>
          <w:tcPr>
            <w:tcW w:w="1551" w:type="dxa"/>
            <w:shd w:val="clear" w:color="auto" w:fill="auto"/>
            <w:vAlign w:val="center"/>
          </w:tcPr>
          <w:p>
            <w:pPr>
              <w:spacing w:line="276" w:lineRule="auto"/>
              <w:jc w:val="right"/>
              <w:rPr>
                <w:sz w:val="22"/>
                <w:szCs w:val="22"/>
              </w:rPr>
            </w:pPr>
            <w:r>
              <w:rPr>
                <w:sz w:val="22"/>
                <w:szCs w:val="22"/>
              </w:rPr>
              <w:t>P684,526.81</w:t>
            </w:r>
          </w:p>
        </w:tc>
        <w:tc>
          <w:tcPr>
            <w:tcW w:w="1440" w:type="dxa"/>
            <w:shd w:val="clear" w:color="auto" w:fill="auto"/>
            <w:vAlign w:val="center"/>
          </w:tcPr>
          <w:p>
            <w:pPr>
              <w:spacing w:line="276" w:lineRule="auto"/>
              <w:jc w:val="center"/>
              <w:rPr>
                <w:sz w:val="22"/>
                <w:szCs w:val="22"/>
              </w:rPr>
            </w:pPr>
            <w:r>
              <w:rPr>
                <w:sz w:val="22"/>
                <w:szCs w:val="22"/>
              </w:rPr>
              <w:t>For reconciliation</w:t>
            </w:r>
          </w:p>
        </w:tc>
      </w:tr>
      <w:tr>
        <w:trPr>
          <w:jc w:val="center"/>
        </w:trPr>
        <w:tc>
          <w:tcPr>
            <w:tcW w:w="2065" w:type="dxa"/>
            <w:vAlign w:val="center"/>
          </w:tcPr>
          <w:p>
            <w:pPr>
              <w:spacing w:line="276" w:lineRule="auto"/>
              <w:rPr>
                <w:sz w:val="22"/>
                <w:szCs w:val="22"/>
              </w:rPr>
            </w:pPr>
            <w:r>
              <w:rPr>
                <w:sz w:val="22"/>
                <w:szCs w:val="22"/>
              </w:rPr>
              <w:t>SMEs OSP-PSF</w:t>
            </w:r>
          </w:p>
        </w:tc>
        <w:tc>
          <w:tcPr>
            <w:tcW w:w="1350" w:type="dxa"/>
            <w:vAlign w:val="center"/>
          </w:tcPr>
          <w:p>
            <w:pPr>
              <w:spacing w:line="276" w:lineRule="auto"/>
              <w:jc w:val="center"/>
              <w:rPr>
                <w:sz w:val="22"/>
                <w:szCs w:val="22"/>
              </w:rPr>
            </w:pPr>
            <w:r>
              <w:rPr>
                <w:sz w:val="22"/>
                <w:szCs w:val="22"/>
              </w:rPr>
              <w:t>No data available</w:t>
            </w:r>
          </w:p>
        </w:tc>
        <w:tc>
          <w:tcPr>
            <w:tcW w:w="1545" w:type="dxa"/>
            <w:shd w:val="clear" w:color="auto" w:fill="auto"/>
            <w:vAlign w:val="center"/>
          </w:tcPr>
          <w:p>
            <w:pPr>
              <w:spacing w:line="276" w:lineRule="auto"/>
              <w:jc w:val="right"/>
              <w:rPr>
                <w:sz w:val="22"/>
                <w:szCs w:val="22"/>
              </w:rPr>
            </w:pPr>
            <w:r>
              <w:rPr>
                <w:sz w:val="22"/>
                <w:szCs w:val="22"/>
              </w:rPr>
              <w:t>62,500.00</w:t>
            </w:r>
          </w:p>
        </w:tc>
        <w:tc>
          <w:tcPr>
            <w:tcW w:w="1577" w:type="dxa"/>
            <w:vAlign w:val="center"/>
          </w:tcPr>
          <w:p>
            <w:pPr>
              <w:spacing w:line="276" w:lineRule="auto"/>
              <w:jc w:val="right"/>
              <w:rPr>
                <w:sz w:val="22"/>
                <w:szCs w:val="22"/>
              </w:rPr>
            </w:pPr>
            <w:r>
              <w:rPr>
                <w:sz w:val="22"/>
                <w:szCs w:val="22"/>
              </w:rPr>
              <w:t>-0.00-</w:t>
            </w:r>
          </w:p>
        </w:tc>
        <w:tc>
          <w:tcPr>
            <w:tcW w:w="1551" w:type="dxa"/>
            <w:shd w:val="clear" w:color="auto" w:fill="auto"/>
            <w:vAlign w:val="center"/>
          </w:tcPr>
          <w:p>
            <w:pPr>
              <w:spacing w:line="276" w:lineRule="auto"/>
              <w:jc w:val="right"/>
              <w:rPr>
                <w:sz w:val="22"/>
                <w:szCs w:val="22"/>
              </w:rPr>
            </w:pPr>
            <w:r>
              <w:rPr>
                <w:sz w:val="22"/>
                <w:szCs w:val="22"/>
              </w:rPr>
              <w:t>62,500.00</w:t>
            </w:r>
          </w:p>
        </w:tc>
        <w:tc>
          <w:tcPr>
            <w:tcW w:w="1440" w:type="dxa"/>
            <w:shd w:val="clear" w:color="auto" w:fill="auto"/>
            <w:vAlign w:val="center"/>
          </w:tcPr>
          <w:p>
            <w:pPr>
              <w:spacing w:line="276" w:lineRule="auto"/>
              <w:jc w:val="center"/>
              <w:rPr>
                <w:sz w:val="22"/>
                <w:szCs w:val="22"/>
              </w:rPr>
            </w:pPr>
            <w:r>
              <w:rPr>
                <w:sz w:val="22"/>
                <w:szCs w:val="22"/>
              </w:rPr>
              <w:t>For reconciliation</w:t>
            </w:r>
          </w:p>
        </w:tc>
      </w:tr>
      <w:tr>
        <w:trPr>
          <w:jc w:val="center"/>
        </w:trPr>
        <w:tc>
          <w:tcPr>
            <w:tcW w:w="2065" w:type="dxa"/>
          </w:tcPr>
          <w:p>
            <w:pPr>
              <w:spacing w:line="276" w:lineRule="auto"/>
              <w:rPr>
                <w:sz w:val="22"/>
                <w:szCs w:val="22"/>
              </w:rPr>
            </w:pPr>
            <w:r>
              <w:rPr>
                <w:sz w:val="22"/>
                <w:szCs w:val="22"/>
              </w:rPr>
              <w:t xml:space="preserve">Construction of </w:t>
            </w:r>
            <w:proofErr w:type="spellStart"/>
            <w:r>
              <w:rPr>
                <w:sz w:val="22"/>
                <w:szCs w:val="22"/>
              </w:rPr>
              <w:t>Panabo</w:t>
            </w:r>
            <w:proofErr w:type="spellEnd"/>
            <w:r>
              <w:rPr>
                <w:sz w:val="22"/>
                <w:szCs w:val="22"/>
              </w:rPr>
              <w:t xml:space="preserve"> Food Centrum</w:t>
            </w:r>
          </w:p>
        </w:tc>
        <w:tc>
          <w:tcPr>
            <w:tcW w:w="1350" w:type="dxa"/>
            <w:vAlign w:val="center"/>
          </w:tcPr>
          <w:p>
            <w:pPr>
              <w:spacing w:line="276" w:lineRule="auto"/>
              <w:jc w:val="center"/>
              <w:rPr>
                <w:sz w:val="22"/>
                <w:szCs w:val="22"/>
              </w:rPr>
            </w:pPr>
            <w:r>
              <w:rPr>
                <w:sz w:val="22"/>
                <w:szCs w:val="22"/>
              </w:rPr>
              <w:t>02/29/2012-02/28/2022</w:t>
            </w:r>
          </w:p>
        </w:tc>
        <w:tc>
          <w:tcPr>
            <w:tcW w:w="1545" w:type="dxa"/>
            <w:vAlign w:val="center"/>
          </w:tcPr>
          <w:p>
            <w:pPr>
              <w:spacing w:line="276" w:lineRule="auto"/>
              <w:jc w:val="right"/>
              <w:rPr>
                <w:sz w:val="22"/>
                <w:szCs w:val="22"/>
              </w:rPr>
            </w:pPr>
            <w:r>
              <w:rPr>
                <w:sz w:val="22"/>
                <w:szCs w:val="22"/>
              </w:rPr>
              <w:t xml:space="preserve">-0.01 </w:t>
            </w:r>
          </w:p>
        </w:tc>
        <w:tc>
          <w:tcPr>
            <w:tcW w:w="1577" w:type="dxa"/>
            <w:vAlign w:val="center"/>
          </w:tcPr>
          <w:p>
            <w:pPr>
              <w:spacing w:line="276" w:lineRule="auto"/>
              <w:jc w:val="right"/>
              <w:rPr>
                <w:sz w:val="22"/>
                <w:szCs w:val="22"/>
              </w:rPr>
            </w:pPr>
            <w:r>
              <w:rPr>
                <w:sz w:val="22"/>
                <w:szCs w:val="22"/>
              </w:rPr>
              <w:t>-0.00-</w:t>
            </w:r>
          </w:p>
        </w:tc>
        <w:tc>
          <w:tcPr>
            <w:tcW w:w="1551" w:type="dxa"/>
            <w:shd w:val="clear" w:color="auto" w:fill="auto"/>
            <w:vAlign w:val="center"/>
          </w:tcPr>
          <w:p>
            <w:pPr>
              <w:spacing w:line="276" w:lineRule="auto"/>
              <w:jc w:val="right"/>
              <w:rPr>
                <w:sz w:val="22"/>
                <w:szCs w:val="22"/>
              </w:rPr>
            </w:pPr>
            <w:r>
              <w:rPr>
                <w:sz w:val="22"/>
                <w:szCs w:val="22"/>
              </w:rPr>
              <w:t xml:space="preserve">0.01 </w:t>
            </w:r>
          </w:p>
        </w:tc>
        <w:tc>
          <w:tcPr>
            <w:tcW w:w="1440" w:type="dxa"/>
            <w:shd w:val="clear" w:color="auto" w:fill="auto"/>
            <w:vAlign w:val="center"/>
          </w:tcPr>
          <w:p>
            <w:pPr>
              <w:spacing w:line="276" w:lineRule="auto"/>
              <w:jc w:val="center"/>
              <w:rPr>
                <w:sz w:val="22"/>
                <w:szCs w:val="22"/>
              </w:rPr>
            </w:pPr>
            <w:r>
              <w:rPr>
                <w:sz w:val="22"/>
                <w:szCs w:val="22"/>
              </w:rPr>
              <w:t>For reconciliation</w:t>
            </w:r>
          </w:p>
        </w:tc>
      </w:tr>
      <w:tr>
        <w:trPr>
          <w:jc w:val="center"/>
        </w:trPr>
        <w:tc>
          <w:tcPr>
            <w:tcW w:w="2065" w:type="dxa"/>
            <w:shd w:val="clear" w:color="auto" w:fill="auto"/>
          </w:tcPr>
          <w:p>
            <w:pPr>
              <w:spacing w:line="276" w:lineRule="auto"/>
              <w:rPr>
                <w:sz w:val="22"/>
                <w:szCs w:val="22"/>
              </w:rPr>
            </w:pPr>
            <w:r>
              <w:rPr>
                <w:sz w:val="22"/>
                <w:szCs w:val="22"/>
              </w:rPr>
              <w:t>Construction of Memorial Park (</w:t>
            </w:r>
            <w:proofErr w:type="spellStart"/>
            <w:r>
              <w:rPr>
                <w:sz w:val="22"/>
                <w:szCs w:val="22"/>
              </w:rPr>
              <w:t>Panabo</w:t>
            </w:r>
            <w:proofErr w:type="spellEnd"/>
            <w:r>
              <w:rPr>
                <w:sz w:val="22"/>
                <w:szCs w:val="22"/>
              </w:rPr>
              <w:t xml:space="preserve"> City Eternal Garden</w:t>
            </w:r>
          </w:p>
        </w:tc>
        <w:tc>
          <w:tcPr>
            <w:tcW w:w="1350" w:type="dxa"/>
            <w:shd w:val="clear" w:color="auto" w:fill="auto"/>
            <w:vAlign w:val="center"/>
          </w:tcPr>
          <w:p>
            <w:pPr>
              <w:spacing w:line="276" w:lineRule="auto"/>
              <w:jc w:val="center"/>
              <w:rPr>
                <w:sz w:val="22"/>
                <w:szCs w:val="22"/>
              </w:rPr>
            </w:pPr>
            <w:r>
              <w:rPr>
                <w:sz w:val="22"/>
                <w:szCs w:val="22"/>
              </w:rPr>
              <w:t>05/22/2013-05/22/2028</w:t>
            </w:r>
          </w:p>
        </w:tc>
        <w:tc>
          <w:tcPr>
            <w:tcW w:w="1545" w:type="dxa"/>
            <w:shd w:val="clear" w:color="auto" w:fill="auto"/>
            <w:vAlign w:val="center"/>
          </w:tcPr>
          <w:p>
            <w:pPr>
              <w:spacing w:line="276" w:lineRule="auto"/>
              <w:jc w:val="right"/>
              <w:rPr>
                <w:sz w:val="22"/>
                <w:szCs w:val="22"/>
              </w:rPr>
            </w:pPr>
            <w:r>
              <w:rPr>
                <w:sz w:val="22"/>
                <w:szCs w:val="22"/>
              </w:rPr>
              <w:t xml:space="preserve">21,105,330.64 </w:t>
            </w:r>
          </w:p>
        </w:tc>
        <w:tc>
          <w:tcPr>
            <w:tcW w:w="1577" w:type="dxa"/>
            <w:shd w:val="clear" w:color="auto" w:fill="auto"/>
            <w:vAlign w:val="center"/>
          </w:tcPr>
          <w:p>
            <w:pPr>
              <w:spacing w:line="276" w:lineRule="auto"/>
              <w:jc w:val="right"/>
              <w:rPr>
                <w:sz w:val="22"/>
                <w:szCs w:val="22"/>
              </w:rPr>
            </w:pPr>
            <w:r>
              <w:rPr>
                <w:sz w:val="22"/>
                <w:szCs w:val="22"/>
              </w:rPr>
              <w:t xml:space="preserve">21,105,330.64 </w:t>
            </w:r>
          </w:p>
        </w:tc>
        <w:tc>
          <w:tcPr>
            <w:tcW w:w="1551" w:type="dxa"/>
            <w:shd w:val="clear" w:color="auto" w:fill="auto"/>
            <w:vAlign w:val="center"/>
          </w:tcPr>
          <w:p>
            <w:pPr>
              <w:spacing w:line="276" w:lineRule="auto"/>
              <w:jc w:val="right"/>
              <w:rPr>
                <w:sz w:val="22"/>
                <w:szCs w:val="22"/>
              </w:rPr>
            </w:pPr>
            <w:r>
              <w:rPr>
                <w:sz w:val="22"/>
                <w:szCs w:val="22"/>
              </w:rPr>
              <w:t>-0.00-</w:t>
            </w:r>
          </w:p>
        </w:tc>
        <w:tc>
          <w:tcPr>
            <w:tcW w:w="1440" w:type="dxa"/>
            <w:shd w:val="clear" w:color="auto" w:fill="auto"/>
            <w:vAlign w:val="center"/>
          </w:tcPr>
          <w:p>
            <w:pPr>
              <w:spacing w:line="276" w:lineRule="auto"/>
              <w:jc w:val="right"/>
              <w:rPr>
                <w:sz w:val="22"/>
                <w:szCs w:val="22"/>
              </w:rPr>
            </w:pPr>
          </w:p>
        </w:tc>
      </w:tr>
      <w:tr>
        <w:trPr>
          <w:jc w:val="center"/>
        </w:trPr>
        <w:tc>
          <w:tcPr>
            <w:tcW w:w="2065" w:type="dxa"/>
            <w:shd w:val="clear" w:color="auto" w:fill="auto"/>
            <w:vAlign w:val="center"/>
          </w:tcPr>
          <w:p>
            <w:pPr>
              <w:spacing w:line="276" w:lineRule="auto"/>
              <w:rPr>
                <w:sz w:val="22"/>
                <w:szCs w:val="22"/>
              </w:rPr>
            </w:pPr>
            <w:r>
              <w:rPr>
                <w:sz w:val="22"/>
                <w:szCs w:val="22"/>
              </w:rPr>
              <w:t>Acquisition of Heavy Equipment IV</w:t>
            </w:r>
          </w:p>
        </w:tc>
        <w:tc>
          <w:tcPr>
            <w:tcW w:w="1350" w:type="dxa"/>
            <w:shd w:val="clear" w:color="auto" w:fill="auto"/>
            <w:vAlign w:val="center"/>
          </w:tcPr>
          <w:p>
            <w:pPr>
              <w:spacing w:line="276" w:lineRule="auto"/>
              <w:jc w:val="center"/>
              <w:rPr>
                <w:sz w:val="22"/>
                <w:szCs w:val="22"/>
              </w:rPr>
            </w:pPr>
            <w:r>
              <w:rPr>
                <w:sz w:val="22"/>
                <w:szCs w:val="22"/>
              </w:rPr>
              <w:t>07/11/2018-07/11/2025</w:t>
            </w:r>
          </w:p>
        </w:tc>
        <w:tc>
          <w:tcPr>
            <w:tcW w:w="1545" w:type="dxa"/>
            <w:shd w:val="clear" w:color="auto" w:fill="auto"/>
            <w:vAlign w:val="center"/>
          </w:tcPr>
          <w:p>
            <w:pPr>
              <w:spacing w:line="276" w:lineRule="auto"/>
              <w:jc w:val="right"/>
              <w:rPr>
                <w:sz w:val="22"/>
                <w:szCs w:val="22"/>
              </w:rPr>
            </w:pPr>
            <w:r>
              <w:rPr>
                <w:sz w:val="22"/>
                <w:szCs w:val="22"/>
              </w:rPr>
              <w:t xml:space="preserve">15,645,491.64 </w:t>
            </w:r>
          </w:p>
        </w:tc>
        <w:tc>
          <w:tcPr>
            <w:tcW w:w="1577" w:type="dxa"/>
            <w:shd w:val="clear" w:color="auto" w:fill="auto"/>
            <w:vAlign w:val="center"/>
          </w:tcPr>
          <w:p>
            <w:pPr>
              <w:spacing w:line="276" w:lineRule="auto"/>
              <w:jc w:val="right"/>
              <w:rPr>
                <w:sz w:val="22"/>
                <w:szCs w:val="22"/>
              </w:rPr>
            </w:pPr>
            <w:r>
              <w:rPr>
                <w:sz w:val="22"/>
                <w:szCs w:val="22"/>
              </w:rPr>
              <w:t xml:space="preserve">14,342,307.74 </w:t>
            </w:r>
          </w:p>
        </w:tc>
        <w:tc>
          <w:tcPr>
            <w:tcW w:w="1551" w:type="dxa"/>
            <w:shd w:val="clear" w:color="auto" w:fill="auto"/>
            <w:vAlign w:val="center"/>
          </w:tcPr>
          <w:p>
            <w:pPr>
              <w:spacing w:line="276" w:lineRule="auto"/>
              <w:jc w:val="right"/>
              <w:rPr>
                <w:sz w:val="22"/>
                <w:szCs w:val="22"/>
              </w:rPr>
            </w:pPr>
            <w:r>
              <w:rPr>
                <w:sz w:val="22"/>
                <w:szCs w:val="22"/>
              </w:rPr>
              <w:t xml:space="preserve">1,303,183.90 </w:t>
            </w:r>
          </w:p>
        </w:tc>
        <w:tc>
          <w:tcPr>
            <w:tcW w:w="1440" w:type="dxa"/>
            <w:shd w:val="clear" w:color="auto" w:fill="auto"/>
            <w:vAlign w:val="center"/>
          </w:tcPr>
          <w:p>
            <w:pPr>
              <w:spacing w:line="276" w:lineRule="auto"/>
              <w:jc w:val="center"/>
              <w:rPr>
                <w:sz w:val="22"/>
                <w:szCs w:val="22"/>
              </w:rPr>
            </w:pPr>
            <w:r>
              <w:rPr>
                <w:sz w:val="22"/>
                <w:szCs w:val="22"/>
              </w:rPr>
              <w:t xml:space="preserve">Unrecorded Amortization </w:t>
            </w:r>
            <w:r>
              <w:rPr>
                <w:sz w:val="22"/>
                <w:szCs w:val="22"/>
              </w:rPr>
              <w:lastRenderedPageBreak/>
              <w:t>payment for the 4</w:t>
            </w:r>
            <w:r>
              <w:rPr>
                <w:sz w:val="22"/>
                <w:szCs w:val="22"/>
                <w:vertAlign w:val="superscript"/>
              </w:rPr>
              <w:t>th</w:t>
            </w:r>
            <w:r>
              <w:rPr>
                <w:sz w:val="22"/>
                <w:szCs w:val="22"/>
              </w:rPr>
              <w:t xml:space="preserve"> Quarter of 2022</w:t>
            </w:r>
          </w:p>
        </w:tc>
      </w:tr>
      <w:tr>
        <w:trPr>
          <w:jc w:val="center"/>
        </w:trPr>
        <w:tc>
          <w:tcPr>
            <w:tcW w:w="2065" w:type="dxa"/>
            <w:shd w:val="clear" w:color="auto" w:fill="auto"/>
          </w:tcPr>
          <w:p>
            <w:pPr>
              <w:spacing w:line="276" w:lineRule="auto"/>
              <w:rPr>
                <w:sz w:val="22"/>
                <w:szCs w:val="22"/>
              </w:rPr>
            </w:pPr>
            <w:r>
              <w:rPr>
                <w:sz w:val="22"/>
                <w:szCs w:val="22"/>
              </w:rPr>
              <w:lastRenderedPageBreak/>
              <w:t>Construction of Legislative Building</w:t>
            </w:r>
          </w:p>
        </w:tc>
        <w:tc>
          <w:tcPr>
            <w:tcW w:w="1350" w:type="dxa"/>
            <w:shd w:val="clear" w:color="auto" w:fill="auto"/>
            <w:vAlign w:val="center"/>
          </w:tcPr>
          <w:p>
            <w:pPr>
              <w:spacing w:line="276" w:lineRule="auto"/>
              <w:jc w:val="center"/>
              <w:rPr>
                <w:sz w:val="22"/>
                <w:szCs w:val="22"/>
              </w:rPr>
            </w:pPr>
            <w:r>
              <w:rPr>
                <w:sz w:val="22"/>
                <w:szCs w:val="22"/>
              </w:rPr>
              <w:t>03/12/2018-</w:t>
            </w:r>
          </w:p>
          <w:p>
            <w:pPr>
              <w:spacing w:line="276" w:lineRule="auto"/>
              <w:jc w:val="center"/>
              <w:rPr>
                <w:sz w:val="22"/>
                <w:szCs w:val="22"/>
              </w:rPr>
            </w:pPr>
            <w:r>
              <w:rPr>
                <w:sz w:val="22"/>
                <w:szCs w:val="22"/>
              </w:rPr>
              <w:t>03/11/2033</w:t>
            </w:r>
          </w:p>
        </w:tc>
        <w:tc>
          <w:tcPr>
            <w:tcW w:w="1545" w:type="dxa"/>
            <w:shd w:val="clear" w:color="auto" w:fill="auto"/>
            <w:vAlign w:val="center"/>
          </w:tcPr>
          <w:p>
            <w:pPr>
              <w:spacing w:line="276" w:lineRule="auto"/>
              <w:jc w:val="right"/>
              <w:rPr>
                <w:sz w:val="22"/>
                <w:szCs w:val="22"/>
              </w:rPr>
            </w:pPr>
            <w:r>
              <w:rPr>
                <w:sz w:val="22"/>
                <w:szCs w:val="22"/>
              </w:rPr>
              <w:t xml:space="preserve">49,941,019.37 </w:t>
            </w:r>
          </w:p>
        </w:tc>
        <w:tc>
          <w:tcPr>
            <w:tcW w:w="1577" w:type="dxa"/>
            <w:shd w:val="clear" w:color="auto" w:fill="auto"/>
            <w:vAlign w:val="center"/>
          </w:tcPr>
          <w:p>
            <w:pPr>
              <w:spacing w:line="276" w:lineRule="auto"/>
              <w:jc w:val="right"/>
              <w:rPr>
                <w:sz w:val="22"/>
                <w:szCs w:val="22"/>
              </w:rPr>
            </w:pPr>
            <w:r>
              <w:rPr>
                <w:sz w:val="22"/>
                <w:szCs w:val="22"/>
              </w:rPr>
              <w:t xml:space="preserve">49,941,019.37 </w:t>
            </w:r>
          </w:p>
        </w:tc>
        <w:tc>
          <w:tcPr>
            <w:tcW w:w="1551" w:type="dxa"/>
            <w:shd w:val="clear" w:color="auto" w:fill="auto"/>
            <w:vAlign w:val="center"/>
          </w:tcPr>
          <w:p>
            <w:pPr>
              <w:spacing w:line="276" w:lineRule="auto"/>
              <w:jc w:val="right"/>
              <w:rPr>
                <w:sz w:val="22"/>
                <w:szCs w:val="22"/>
              </w:rPr>
            </w:pPr>
            <w:r>
              <w:rPr>
                <w:sz w:val="22"/>
                <w:szCs w:val="22"/>
              </w:rPr>
              <w:t>-0.00-</w:t>
            </w:r>
          </w:p>
        </w:tc>
        <w:tc>
          <w:tcPr>
            <w:tcW w:w="1440" w:type="dxa"/>
            <w:shd w:val="clear" w:color="auto" w:fill="auto"/>
            <w:vAlign w:val="center"/>
          </w:tcPr>
          <w:p>
            <w:pPr>
              <w:spacing w:line="276" w:lineRule="auto"/>
              <w:jc w:val="right"/>
              <w:rPr>
                <w:sz w:val="22"/>
                <w:szCs w:val="22"/>
              </w:rPr>
            </w:pPr>
          </w:p>
        </w:tc>
      </w:tr>
      <w:tr>
        <w:trPr>
          <w:jc w:val="center"/>
        </w:trPr>
        <w:tc>
          <w:tcPr>
            <w:tcW w:w="2065" w:type="dxa"/>
            <w:shd w:val="clear" w:color="auto" w:fill="auto"/>
          </w:tcPr>
          <w:p>
            <w:pPr>
              <w:spacing w:line="276" w:lineRule="auto"/>
              <w:rPr>
                <w:sz w:val="22"/>
                <w:szCs w:val="22"/>
              </w:rPr>
            </w:pPr>
            <w:r>
              <w:rPr>
                <w:sz w:val="22"/>
                <w:szCs w:val="22"/>
              </w:rPr>
              <w:t>Improvement of PMPTCSC</w:t>
            </w:r>
          </w:p>
        </w:tc>
        <w:tc>
          <w:tcPr>
            <w:tcW w:w="1350" w:type="dxa"/>
            <w:shd w:val="clear" w:color="auto" w:fill="auto"/>
            <w:vAlign w:val="center"/>
          </w:tcPr>
          <w:p>
            <w:pPr>
              <w:spacing w:line="276" w:lineRule="auto"/>
              <w:jc w:val="center"/>
              <w:rPr>
                <w:sz w:val="22"/>
                <w:szCs w:val="22"/>
              </w:rPr>
            </w:pPr>
            <w:r>
              <w:rPr>
                <w:sz w:val="22"/>
                <w:szCs w:val="22"/>
              </w:rPr>
              <w:t>05/21/2018-</w:t>
            </w:r>
          </w:p>
          <w:p>
            <w:pPr>
              <w:spacing w:line="276" w:lineRule="auto"/>
              <w:jc w:val="center"/>
              <w:rPr>
                <w:sz w:val="22"/>
                <w:szCs w:val="22"/>
              </w:rPr>
            </w:pPr>
            <w:r>
              <w:rPr>
                <w:sz w:val="22"/>
                <w:szCs w:val="22"/>
              </w:rPr>
              <w:t>05/19/2028</w:t>
            </w:r>
          </w:p>
        </w:tc>
        <w:tc>
          <w:tcPr>
            <w:tcW w:w="1545" w:type="dxa"/>
            <w:shd w:val="clear" w:color="auto" w:fill="auto"/>
            <w:vAlign w:val="center"/>
          </w:tcPr>
          <w:p>
            <w:pPr>
              <w:spacing w:line="276" w:lineRule="auto"/>
              <w:jc w:val="right"/>
              <w:rPr>
                <w:sz w:val="22"/>
                <w:szCs w:val="22"/>
              </w:rPr>
            </w:pPr>
            <w:r>
              <w:rPr>
                <w:sz w:val="22"/>
                <w:szCs w:val="22"/>
              </w:rPr>
              <w:t xml:space="preserve">37,888,888.64 </w:t>
            </w:r>
          </w:p>
        </w:tc>
        <w:tc>
          <w:tcPr>
            <w:tcW w:w="1577" w:type="dxa"/>
            <w:shd w:val="clear" w:color="auto" w:fill="auto"/>
            <w:vAlign w:val="center"/>
          </w:tcPr>
          <w:p>
            <w:pPr>
              <w:spacing w:line="276" w:lineRule="auto"/>
              <w:jc w:val="right"/>
              <w:rPr>
                <w:sz w:val="22"/>
                <w:szCs w:val="22"/>
              </w:rPr>
            </w:pPr>
            <w:r>
              <w:rPr>
                <w:sz w:val="22"/>
                <w:szCs w:val="22"/>
              </w:rPr>
              <w:t xml:space="preserve">37,888,888.92 </w:t>
            </w:r>
          </w:p>
        </w:tc>
        <w:tc>
          <w:tcPr>
            <w:tcW w:w="1551" w:type="dxa"/>
            <w:shd w:val="clear" w:color="auto" w:fill="auto"/>
            <w:vAlign w:val="center"/>
          </w:tcPr>
          <w:p>
            <w:pPr>
              <w:spacing w:line="276" w:lineRule="auto"/>
              <w:jc w:val="right"/>
              <w:rPr>
                <w:sz w:val="22"/>
                <w:szCs w:val="22"/>
              </w:rPr>
            </w:pPr>
            <w:r>
              <w:rPr>
                <w:sz w:val="22"/>
                <w:szCs w:val="22"/>
              </w:rPr>
              <w:t>0.28</w:t>
            </w:r>
          </w:p>
        </w:tc>
        <w:tc>
          <w:tcPr>
            <w:tcW w:w="1440" w:type="dxa"/>
            <w:shd w:val="clear" w:color="auto" w:fill="auto"/>
            <w:vAlign w:val="center"/>
          </w:tcPr>
          <w:p>
            <w:pPr>
              <w:spacing w:line="276" w:lineRule="auto"/>
              <w:jc w:val="right"/>
              <w:rPr>
                <w:sz w:val="22"/>
                <w:szCs w:val="22"/>
              </w:rPr>
            </w:pPr>
          </w:p>
        </w:tc>
      </w:tr>
      <w:tr>
        <w:trPr>
          <w:jc w:val="center"/>
        </w:trPr>
        <w:tc>
          <w:tcPr>
            <w:tcW w:w="2065" w:type="dxa"/>
            <w:shd w:val="clear" w:color="auto" w:fill="auto"/>
          </w:tcPr>
          <w:p>
            <w:pPr>
              <w:spacing w:line="276" w:lineRule="auto"/>
              <w:rPr>
                <w:sz w:val="22"/>
                <w:szCs w:val="22"/>
              </w:rPr>
            </w:pPr>
            <w:r>
              <w:rPr>
                <w:sz w:val="22"/>
                <w:szCs w:val="22"/>
              </w:rPr>
              <w:t>Concreting of Farm to Market Roads</w:t>
            </w:r>
          </w:p>
        </w:tc>
        <w:tc>
          <w:tcPr>
            <w:tcW w:w="1350" w:type="dxa"/>
            <w:shd w:val="clear" w:color="auto" w:fill="auto"/>
            <w:vAlign w:val="center"/>
          </w:tcPr>
          <w:p>
            <w:pPr>
              <w:spacing w:line="276" w:lineRule="auto"/>
              <w:jc w:val="center"/>
              <w:rPr>
                <w:sz w:val="22"/>
                <w:szCs w:val="22"/>
              </w:rPr>
            </w:pPr>
            <w:r>
              <w:rPr>
                <w:sz w:val="22"/>
                <w:szCs w:val="22"/>
              </w:rPr>
              <w:t>10/18/2021-</w:t>
            </w:r>
          </w:p>
          <w:p>
            <w:pPr>
              <w:spacing w:line="276" w:lineRule="auto"/>
              <w:jc w:val="center"/>
              <w:rPr>
                <w:sz w:val="22"/>
                <w:szCs w:val="22"/>
              </w:rPr>
            </w:pPr>
            <w:r>
              <w:rPr>
                <w:sz w:val="22"/>
                <w:szCs w:val="22"/>
              </w:rPr>
              <w:t>12/29/2036</w:t>
            </w:r>
          </w:p>
        </w:tc>
        <w:tc>
          <w:tcPr>
            <w:tcW w:w="1545" w:type="dxa"/>
            <w:shd w:val="clear" w:color="auto" w:fill="auto"/>
            <w:vAlign w:val="center"/>
          </w:tcPr>
          <w:p>
            <w:pPr>
              <w:spacing w:line="276" w:lineRule="auto"/>
              <w:jc w:val="right"/>
              <w:rPr>
                <w:sz w:val="22"/>
                <w:szCs w:val="22"/>
              </w:rPr>
            </w:pPr>
            <w:r>
              <w:rPr>
                <w:sz w:val="22"/>
                <w:szCs w:val="22"/>
              </w:rPr>
              <w:t>96,364,759.12</w:t>
            </w:r>
          </w:p>
        </w:tc>
        <w:tc>
          <w:tcPr>
            <w:tcW w:w="1577" w:type="dxa"/>
            <w:shd w:val="clear" w:color="auto" w:fill="auto"/>
            <w:vAlign w:val="center"/>
          </w:tcPr>
          <w:p>
            <w:pPr>
              <w:spacing w:line="276" w:lineRule="auto"/>
              <w:jc w:val="right"/>
              <w:rPr>
                <w:sz w:val="22"/>
                <w:szCs w:val="22"/>
              </w:rPr>
            </w:pPr>
            <w:r>
              <w:rPr>
                <w:sz w:val="22"/>
                <w:szCs w:val="22"/>
              </w:rPr>
              <w:t xml:space="preserve">96,364,759.12 </w:t>
            </w:r>
          </w:p>
        </w:tc>
        <w:tc>
          <w:tcPr>
            <w:tcW w:w="1551" w:type="dxa"/>
            <w:shd w:val="clear" w:color="auto" w:fill="auto"/>
            <w:vAlign w:val="center"/>
          </w:tcPr>
          <w:p>
            <w:pPr>
              <w:spacing w:line="276" w:lineRule="auto"/>
              <w:jc w:val="right"/>
              <w:rPr>
                <w:sz w:val="22"/>
                <w:szCs w:val="22"/>
              </w:rPr>
            </w:pPr>
            <w:r>
              <w:rPr>
                <w:sz w:val="22"/>
                <w:szCs w:val="22"/>
              </w:rPr>
              <w:t>-0.00-</w:t>
            </w:r>
          </w:p>
        </w:tc>
        <w:tc>
          <w:tcPr>
            <w:tcW w:w="1440" w:type="dxa"/>
            <w:shd w:val="clear" w:color="auto" w:fill="auto"/>
            <w:vAlign w:val="center"/>
          </w:tcPr>
          <w:p>
            <w:pPr>
              <w:spacing w:line="276" w:lineRule="auto"/>
              <w:jc w:val="right"/>
              <w:rPr>
                <w:sz w:val="22"/>
                <w:szCs w:val="22"/>
              </w:rPr>
            </w:pPr>
          </w:p>
        </w:tc>
      </w:tr>
      <w:tr>
        <w:trPr>
          <w:jc w:val="center"/>
        </w:trPr>
        <w:tc>
          <w:tcPr>
            <w:tcW w:w="2065" w:type="dxa"/>
            <w:shd w:val="clear" w:color="auto" w:fill="auto"/>
          </w:tcPr>
          <w:p>
            <w:pPr>
              <w:spacing w:line="276" w:lineRule="auto"/>
              <w:rPr>
                <w:sz w:val="22"/>
                <w:szCs w:val="22"/>
              </w:rPr>
            </w:pPr>
            <w:r>
              <w:rPr>
                <w:sz w:val="22"/>
                <w:szCs w:val="22"/>
              </w:rPr>
              <w:t>Acquisition of Heavy Equipment (</w:t>
            </w:r>
            <w:proofErr w:type="gramStart"/>
            <w:r>
              <w:rPr>
                <w:sz w:val="22"/>
                <w:szCs w:val="22"/>
              </w:rPr>
              <w:t>1 unit</w:t>
            </w:r>
            <w:proofErr w:type="gramEnd"/>
            <w:r>
              <w:rPr>
                <w:sz w:val="22"/>
                <w:szCs w:val="22"/>
              </w:rPr>
              <w:t xml:space="preserve"> Vacuum Tanker &amp; 3 units 6 Wheeler Dump trucks)</w:t>
            </w:r>
          </w:p>
        </w:tc>
        <w:tc>
          <w:tcPr>
            <w:tcW w:w="1350" w:type="dxa"/>
            <w:shd w:val="clear" w:color="auto" w:fill="auto"/>
            <w:vAlign w:val="center"/>
          </w:tcPr>
          <w:p>
            <w:pPr>
              <w:spacing w:line="276" w:lineRule="auto"/>
              <w:jc w:val="center"/>
              <w:rPr>
                <w:sz w:val="22"/>
                <w:szCs w:val="22"/>
              </w:rPr>
            </w:pPr>
            <w:r>
              <w:rPr>
                <w:sz w:val="22"/>
                <w:szCs w:val="22"/>
              </w:rPr>
              <w:t>01/26/2022</w:t>
            </w:r>
          </w:p>
          <w:p>
            <w:pPr>
              <w:spacing w:line="276" w:lineRule="auto"/>
              <w:jc w:val="center"/>
              <w:rPr>
                <w:sz w:val="22"/>
                <w:szCs w:val="22"/>
              </w:rPr>
            </w:pPr>
            <w:r>
              <w:rPr>
                <w:sz w:val="22"/>
                <w:szCs w:val="22"/>
              </w:rPr>
              <w:t>-01/26/2029</w:t>
            </w:r>
          </w:p>
        </w:tc>
        <w:tc>
          <w:tcPr>
            <w:tcW w:w="1545" w:type="dxa"/>
            <w:shd w:val="clear" w:color="auto" w:fill="auto"/>
            <w:vAlign w:val="center"/>
          </w:tcPr>
          <w:p>
            <w:pPr>
              <w:spacing w:line="276" w:lineRule="auto"/>
              <w:jc w:val="right"/>
              <w:rPr>
                <w:sz w:val="22"/>
                <w:szCs w:val="22"/>
              </w:rPr>
            </w:pPr>
            <w:r>
              <w:rPr>
                <w:sz w:val="22"/>
                <w:szCs w:val="22"/>
              </w:rPr>
              <w:t xml:space="preserve">48,038,461.54 </w:t>
            </w:r>
          </w:p>
        </w:tc>
        <w:tc>
          <w:tcPr>
            <w:tcW w:w="1577" w:type="dxa"/>
            <w:shd w:val="clear" w:color="auto" w:fill="auto"/>
            <w:vAlign w:val="center"/>
          </w:tcPr>
          <w:p>
            <w:pPr>
              <w:spacing w:line="276" w:lineRule="auto"/>
              <w:jc w:val="right"/>
              <w:rPr>
                <w:sz w:val="22"/>
                <w:szCs w:val="22"/>
              </w:rPr>
            </w:pPr>
            <w:r>
              <w:rPr>
                <w:sz w:val="22"/>
                <w:szCs w:val="22"/>
              </w:rPr>
              <w:t xml:space="preserve">48,038,461.54 </w:t>
            </w:r>
          </w:p>
        </w:tc>
        <w:tc>
          <w:tcPr>
            <w:tcW w:w="1551" w:type="dxa"/>
            <w:shd w:val="clear" w:color="auto" w:fill="auto"/>
            <w:vAlign w:val="center"/>
          </w:tcPr>
          <w:p>
            <w:pPr>
              <w:spacing w:line="276" w:lineRule="auto"/>
              <w:jc w:val="right"/>
              <w:rPr>
                <w:sz w:val="22"/>
                <w:szCs w:val="22"/>
              </w:rPr>
            </w:pPr>
            <w:r>
              <w:rPr>
                <w:sz w:val="22"/>
                <w:szCs w:val="22"/>
              </w:rPr>
              <w:t>-0.00-</w:t>
            </w:r>
          </w:p>
        </w:tc>
        <w:tc>
          <w:tcPr>
            <w:tcW w:w="1440" w:type="dxa"/>
            <w:shd w:val="clear" w:color="auto" w:fill="auto"/>
            <w:vAlign w:val="center"/>
          </w:tcPr>
          <w:p>
            <w:pPr>
              <w:spacing w:line="276" w:lineRule="auto"/>
              <w:jc w:val="right"/>
              <w:rPr>
                <w:sz w:val="22"/>
                <w:szCs w:val="22"/>
              </w:rPr>
            </w:pPr>
          </w:p>
        </w:tc>
      </w:tr>
      <w:tr>
        <w:trPr>
          <w:jc w:val="center"/>
        </w:trPr>
        <w:tc>
          <w:tcPr>
            <w:tcW w:w="6537" w:type="dxa"/>
            <w:gridSpan w:val="4"/>
            <w:shd w:val="clear" w:color="auto" w:fill="auto"/>
          </w:tcPr>
          <w:p>
            <w:pPr>
              <w:spacing w:line="276" w:lineRule="auto"/>
              <w:jc w:val="right"/>
              <w:rPr>
                <w:b/>
                <w:color w:val="000000"/>
                <w:sz w:val="22"/>
                <w:szCs w:val="22"/>
              </w:rPr>
            </w:pPr>
            <w:r>
              <w:rPr>
                <w:b/>
                <w:color w:val="000000"/>
                <w:sz w:val="22"/>
                <w:szCs w:val="22"/>
              </w:rPr>
              <w:t xml:space="preserve">TOTAL </w:t>
            </w:r>
            <w:r>
              <w:rPr>
                <w:b/>
                <w:i/>
                <w:color w:val="000000"/>
                <w:sz w:val="22"/>
                <w:szCs w:val="22"/>
              </w:rPr>
              <w:t>Misstatement (in Absolute Value)</w:t>
            </w:r>
          </w:p>
        </w:tc>
        <w:tc>
          <w:tcPr>
            <w:tcW w:w="1551" w:type="dxa"/>
            <w:shd w:val="clear" w:color="auto" w:fill="auto"/>
            <w:vAlign w:val="center"/>
          </w:tcPr>
          <w:p>
            <w:pPr>
              <w:spacing w:line="276" w:lineRule="auto"/>
              <w:jc w:val="right"/>
              <w:rPr>
                <w:b/>
                <w:color w:val="000000"/>
                <w:sz w:val="22"/>
                <w:szCs w:val="22"/>
              </w:rPr>
            </w:pPr>
            <w:r>
              <w:rPr>
                <w:b/>
                <w:color w:val="000000"/>
                <w:sz w:val="22"/>
                <w:szCs w:val="22"/>
              </w:rPr>
              <w:t>P2,050,211.00</w:t>
            </w:r>
          </w:p>
        </w:tc>
        <w:tc>
          <w:tcPr>
            <w:tcW w:w="1440" w:type="dxa"/>
            <w:shd w:val="clear" w:color="auto" w:fill="auto"/>
            <w:vAlign w:val="center"/>
          </w:tcPr>
          <w:p>
            <w:pPr>
              <w:spacing w:line="276" w:lineRule="auto"/>
              <w:jc w:val="right"/>
              <w:rPr>
                <w:b/>
                <w:color w:val="000000"/>
                <w:sz w:val="22"/>
                <w:szCs w:val="22"/>
              </w:rPr>
            </w:pPr>
          </w:p>
        </w:tc>
      </w:tr>
      <w:tr>
        <w:trPr>
          <w:jc w:val="center"/>
        </w:trPr>
        <w:tc>
          <w:tcPr>
            <w:tcW w:w="6537" w:type="dxa"/>
            <w:gridSpan w:val="4"/>
            <w:shd w:val="clear" w:color="auto" w:fill="auto"/>
          </w:tcPr>
          <w:p>
            <w:pPr>
              <w:spacing w:line="276" w:lineRule="auto"/>
              <w:rPr>
                <w:b/>
                <w:i/>
                <w:color w:val="000000"/>
                <w:sz w:val="22"/>
                <w:szCs w:val="22"/>
              </w:rPr>
            </w:pPr>
            <w:r>
              <w:rPr>
                <w:b/>
                <w:i/>
                <w:color w:val="000000"/>
                <w:sz w:val="22"/>
                <w:szCs w:val="22"/>
              </w:rPr>
              <w:t>Overstatement</w:t>
            </w:r>
          </w:p>
          <w:p>
            <w:pPr>
              <w:spacing w:line="276" w:lineRule="auto"/>
              <w:rPr>
                <w:b/>
                <w:color w:val="000000"/>
                <w:sz w:val="22"/>
                <w:szCs w:val="22"/>
              </w:rPr>
            </w:pPr>
            <w:r>
              <w:rPr>
                <w:b/>
                <w:i/>
                <w:color w:val="000000"/>
                <w:sz w:val="22"/>
                <w:szCs w:val="22"/>
              </w:rPr>
              <w:t>(Net Effect on the Balance of Loans Payable-Domestic)</w:t>
            </w:r>
          </w:p>
        </w:tc>
        <w:tc>
          <w:tcPr>
            <w:tcW w:w="1551" w:type="dxa"/>
            <w:shd w:val="clear" w:color="auto" w:fill="auto"/>
            <w:vAlign w:val="center"/>
          </w:tcPr>
          <w:p>
            <w:pPr>
              <w:spacing w:line="276" w:lineRule="auto"/>
              <w:jc w:val="right"/>
              <w:rPr>
                <w:b/>
                <w:color w:val="000000"/>
                <w:sz w:val="22"/>
                <w:szCs w:val="22"/>
              </w:rPr>
            </w:pPr>
            <w:r>
              <w:rPr>
                <w:b/>
                <w:color w:val="000000"/>
                <w:sz w:val="22"/>
                <w:szCs w:val="22"/>
              </w:rPr>
              <w:t>P2,050,210.72</w:t>
            </w:r>
          </w:p>
        </w:tc>
        <w:tc>
          <w:tcPr>
            <w:tcW w:w="1440" w:type="dxa"/>
            <w:shd w:val="clear" w:color="auto" w:fill="auto"/>
            <w:vAlign w:val="center"/>
          </w:tcPr>
          <w:p>
            <w:pPr>
              <w:spacing w:line="276" w:lineRule="auto"/>
              <w:jc w:val="right"/>
              <w:rPr>
                <w:b/>
                <w:color w:val="000000"/>
                <w:sz w:val="22"/>
                <w:szCs w:val="22"/>
              </w:rPr>
            </w:pPr>
          </w:p>
        </w:tc>
      </w:tr>
    </w:tbl>
    <w:p>
      <w:pPr>
        <w:spacing w:line="276" w:lineRule="auto"/>
        <w:jc w:val="both"/>
      </w:pPr>
    </w:p>
    <w:p>
      <w:pPr>
        <w:spacing w:line="276" w:lineRule="auto"/>
        <w:jc w:val="both"/>
      </w:pPr>
      <w:r>
        <w:t>As per inquiry, the City Accountant explained the reason for the variances on the following loans:</w:t>
      </w:r>
    </w:p>
    <w:p>
      <w:pPr>
        <w:spacing w:line="276" w:lineRule="auto"/>
        <w:ind w:firstLine="720"/>
        <w:jc w:val="both"/>
      </w:pPr>
    </w:p>
    <w:p>
      <w:pPr>
        <w:numPr>
          <w:ilvl w:val="0"/>
          <w:numId w:val="31"/>
        </w:numPr>
        <w:spacing w:line="276" w:lineRule="auto"/>
        <w:ind w:left="360"/>
        <w:jc w:val="both"/>
      </w:pPr>
      <w:r>
        <w:t xml:space="preserve">Heavy Equipment III (2014), SMEs OSP-PSF (variance of P684,526.81 and P62,500.00, respectively) – the presented balance of the said loans </w:t>
      </w:r>
      <w:proofErr w:type="gramStart"/>
      <w:r>
        <w:t>are</w:t>
      </w:r>
      <w:proofErr w:type="gramEnd"/>
      <w:r>
        <w:t xml:space="preserve"> still subject for reconciliation by the CAO. The office has already request certification from the financial/lending institution that the loans are already fully paid. However, the reconciliation is still pending due to lack of manpower and difficulty in tracing of the transactions causing the variance. </w:t>
      </w:r>
    </w:p>
    <w:p>
      <w:pPr>
        <w:spacing w:line="276" w:lineRule="auto"/>
        <w:ind w:left="360"/>
      </w:pPr>
    </w:p>
    <w:p>
      <w:pPr>
        <w:spacing w:line="276" w:lineRule="auto"/>
        <w:ind w:left="360"/>
        <w:jc w:val="both"/>
      </w:pPr>
      <w:r>
        <w:t>The said variance was also observed and included in the CY 2014 Annual Audit Report but remained uncorrected as at December 31, 2022.</w:t>
      </w:r>
    </w:p>
    <w:p>
      <w:pPr>
        <w:numPr>
          <w:ilvl w:val="0"/>
          <w:numId w:val="31"/>
        </w:numPr>
        <w:spacing w:line="276" w:lineRule="auto"/>
        <w:ind w:left="360"/>
        <w:jc w:val="both"/>
      </w:pPr>
      <w:r>
        <w:t>Acquisition of Heavy Equipment IV – the variance of P1,303,183.90 is equivalent to the payment of the loan amortization for the 4</w:t>
      </w:r>
      <w:r>
        <w:rPr>
          <w:vertAlign w:val="superscript"/>
        </w:rPr>
        <w:t>th</w:t>
      </w:r>
      <w:r>
        <w:t xml:space="preserve"> quarter of CY 2022. The balance given by the bank is net of the payment for the 4</w:t>
      </w:r>
      <w:r>
        <w:rPr>
          <w:vertAlign w:val="superscript"/>
        </w:rPr>
        <w:t>th</w:t>
      </w:r>
      <w:r>
        <w:t xml:space="preserve"> quarter. However, as per CAO, the payment was only made on its due date which is on January 11, 2023.</w:t>
      </w:r>
    </w:p>
    <w:p>
      <w:pPr>
        <w:spacing w:line="276" w:lineRule="auto"/>
        <w:ind w:left="360"/>
      </w:pPr>
    </w:p>
    <w:p>
      <w:pPr>
        <w:spacing w:line="276" w:lineRule="auto"/>
        <w:jc w:val="both"/>
        <w:rPr>
          <w:color w:val="000000"/>
        </w:rPr>
      </w:pPr>
      <w:r>
        <w:rPr>
          <w:color w:val="000000"/>
        </w:rPr>
        <w:t>As a result of the foregoing, the balance of Loans Payable – Domestic account of P61,124,448.73 is not fairly presented due to total misstatement of P2,050,211.00 while the net effect on the account balance resulted to an understatement of P2,050,210.72.</w:t>
      </w:r>
    </w:p>
    <w:p>
      <w:pPr>
        <w:spacing w:line="276" w:lineRule="auto"/>
        <w:jc w:val="both"/>
        <w:rPr>
          <w:b/>
        </w:rPr>
      </w:pPr>
      <w:r>
        <w:rPr>
          <w:b/>
        </w:rPr>
        <w:lastRenderedPageBreak/>
        <w:t>Recommendations:</w:t>
      </w:r>
    </w:p>
    <w:p>
      <w:pPr>
        <w:spacing w:line="276" w:lineRule="auto"/>
        <w:jc w:val="both"/>
      </w:pPr>
    </w:p>
    <w:p>
      <w:pPr>
        <w:spacing w:line="276" w:lineRule="auto"/>
        <w:jc w:val="both"/>
        <w:rPr>
          <w:bCs/>
          <w:color w:val="000000"/>
        </w:rPr>
      </w:pPr>
      <w:r>
        <w:rPr>
          <w:bCs/>
          <w:color w:val="000000"/>
        </w:rPr>
        <w:t>We recommended the City Mayor to enjoin the City Accounting Office to reconcile its records with that of the financial/lending institution and effect the necessary adjustments to reflect the correct balance of the Loans Payable – Domestic account.</w:t>
      </w:r>
    </w:p>
    <w:p>
      <w:pPr>
        <w:spacing w:line="276" w:lineRule="auto"/>
        <w:ind w:firstLine="720"/>
        <w:jc w:val="both"/>
        <w:rPr>
          <w:bCs/>
          <w:color w:val="000000"/>
        </w:rPr>
      </w:pPr>
    </w:p>
    <w:p>
      <w:pPr>
        <w:spacing w:line="276" w:lineRule="auto"/>
        <w:jc w:val="both"/>
        <w:rPr>
          <w:bCs/>
          <w:color w:val="000000"/>
        </w:rPr>
      </w:pPr>
      <w:r>
        <w:rPr>
          <w:bCs/>
          <w:color w:val="000000"/>
        </w:rPr>
        <w:t>We further recommended directing the City Treasurer’s Office and other offices concerned to forward the necessary documents pertaining to loans owed by the City Government to the City Accounting Office to ensure timely recording of the transactions in the books of account.</w:t>
      </w:r>
    </w:p>
    <w:p>
      <w:pPr>
        <w:spacing w:line="276" w:lineRule="auto"/>
        <w:jc w:val="both"/>
      </w:pPr>
    </w:p>
    <w:p>
      <w:pPr>
        <w:spacing w:line="276" w:lineRule="auto"/>
        <w:ind w:right="162"/>
        <w:jc w:val="both"/>
        <w:rPr>
          <w:b/>
          <w:bCs/>
        </w:rPr>
      </w:pPr>
      <w:r>
        <w:rPr>
          <w:b/>
          <w:bCs/>
        </w:rPr>
        <w:t>Management’s Comments:</w:t>
      </w:r>
    </w:p>
    <w:p>
      <w:pPr>
        <w:spacing w:line="276" w:lineRule="auto"/>
        <w:ind w:right="162"/>
        <w:jc w:val="both"/>
      </w:pPr>
    </w:p>
    <w:p>
      <w:pPr>
        <w:spacing w:line="276" w:lineRule="auto"/>
        <w:ind w:right="-7"/>
        <w:jc w:val="both"/>
        <w:rPr>
          <w:bCs/>
        </w:rPr>
      </w:pPr>
      <w:r>
        <w:t>The management was amenable to the audit observations and recommendations.</w:t>
      </w:r>
      <w:r>
        <w:rPr>
          <w:b/>
        </w:rPr>
        <w:t xml:space="preserve"> </w:t>
      </w:r>
      <w:r>
        <w:t>T</w:t>
      </w:r>
      <w:r>
        <w:rPr>
          <w:bCs/>
        </w:rPr>
        <w:t>he CAO stated that the variance of P1,303,183.90 for the loan on Heavy Equipment IV has been properly recorded as of January 31, 2023. For the variance of P684,526.81 pertaining to the loan for Heavy Equipment III, the CAO stated it can be fully presumed as fully paid since there were no more billings received from the bank. The CAO further pledged to coordinate with LBP-</w:t>
      </w:r>
      <w:proofErr w:type="spellStart"/>
      <w:r>
        <w:rPr>
          <w:bCs/>
        </w:rPr>
        <w:t>Panabo</w:t>
      </w:r>
      <w:proofErr w:type="spellEnd"/>
      <w:r>
        <w:rPr>
          <w:bCs/>
        </w:rPr>
        <w:t xml:space="preserve"> for confirmation and to request for a certificate of full payment.</w:t>
      </w:r>
    </w:p>
    <w:p>
      <w:pPr>
        <w:spacing w:line="276" w:lineRule="auto"/>
        <w:ind w:right="162"/>
        <w:jc w:val="both"/>
        <w:rPr>
          <w:b/>
        </w:rPr>
      </w:pPr>
    </w:p>
    <w:p>
      <w:pPr>
        <w:spacing w:line="276" w:lineRule="auto"/>
        <w:ind w:right="-7"/>
        <w:jc w:val="both"/>
        <w:rPr>
          <w:bCs/>
        </w:rPr>
      </w:pPr>
      <w:r>
        <w:rPr>
          <w:bCs/>
        </w:rPr>
        <w:t>The CAO added that reconciliation with the bank was made by way of the Bank Reconciliation Statement, the result of which were furnished to the CTO for their proper action particularly the endorsement to CAO of the supporting documents to settle the identified reconciling items. CAO also stated that coordination with LBP-</w:t>
      </w:r>
      <w:proofErr w:type="spellStart"/>
      <w:r>
        <w:rPr>
          <w:bCs/>
        </w:rPr>
        <w:t>Panabo</w:t>
      </w:r>
      <w:proofErr w:type="spellEnd"/>
      <w:r>
        <w:rPr>
          <w:bCs/>
        </w:rPr>
        <w:t xml:space="preserve"> and request for information on the outstanding balance of all loans as at year-end have been made. The CAO assured the constant monitoring of the Loans Payable-Domestic account for the timely identification of errors, omissions and misstatements. </w:t>
      </w:r>
    </w:p>
    <w:p>
      <w:pPr>
        <w:spacing w:line="276" w:lineRule="auto"/>
        <w:ind w:right="162"/>
        <w:jc w:val="both"/>
        <w:rPr>
          <w:b/>
        </w:rPr>
      </w:pPr>
    </w:p>
    <w:p>
      <w:pPr>
        <w:spacing w:line="276" w:lineRule="auto"/>
        <w:ind w:right="162"/>
        <w:jc w:val="both"/>
        <w:rPr>
          <w:bCs/>
        </w:rPr>
      </w:pPr>
      <w:r>
        <w:t>On the other hand, t</w:t>
      </w:r>
      <w:r>
        <w:rPr>
          <w:bCs/>
        </w:rPr>
        <w:t>he CTO stated that the some of the required documents had been forwarded to CAO and remaining documents will be forwarded as soon as it becomes available. Finally, the City Treasurer informed that the personnel in-charge were directed to comply and abide with the timeline and proper submission of relevant loan documents to avoid incurrence of the same oversight in the future.</w:t>
      </w:r>
    </w:p>
    <w:p>
      <w:pPr>
        <w:spacing w:line="276" w:lineRule="auto"/>
        <w:ind w:right="-7"/>
        <w:jc w:val="both"/>
        <w:rPr>
          <w:b/>
          <w:bCs/>
        </w:rPr>
      </w:pPr>
    </w:p>
    <w:p>
      <w:pPr>
        <w:spacing w:line="276" w:lineRule="auto"/>
        <w:ind w:right="-7"/>
        <w:jc w:val="both"/>
        <w:rPr>
          <w:b/>
          <w:bCs/>
        </w:rPr>
      </w:pPr>
      <w:r>
        <w:rPr>
          <w:b/>
          <w:bCs/>
        </w:rPr>
        <w:t>Auditor’s Rejoinder:</w:t>
      </w:r>
    </w:p>
    <w:p>
      <w:pPr>
        <w:spacing w:line="276" w:lineRule="auto"/>
        <w:jc w:val="both"/>
      </w:pPr>
    </w:p>
    <w:p>
      <w:pPr>
        <w:spacing w:line="276" w:lineRule="auto"/>
        <w:jc w:val="both"/>
      </w:pPr>
      <w:r>
        <w:t>This audit observation is a reiteration from prior years’ Annual Audit reports. Thus, it is suggested that the management should prioritize in addressing this concern.</w:t>
      </w:r>
    </w:p>
    <w:bookmarkEnd w:id="3"/>
    <w:p>
      <w:pPr>
        <w:spacing w:line="276" w:lineRule="auto"/>
        <w:jc w:val="both"/>
        <w:rPr>
          <w:b/>
        </w:rPr>
      </w:pPr>
    </w:p>
    <w:p>
      <w:pPr>
        <w:spacing w:line="276" w:lineRule="auto"/>
        <w:jc w:val="both"/>
        <w:rPr>
          <w:b/>
          <w:bCs/>
          <w:i/>
        </w:rPr>
      </w:pPr>
      <w:r>
        <w:rPr>
          <w:b/>
          <w:bCs/>
          <w:i/>
        </w:rPr>
        <w:lastRenderedPageBreak/>
        <w:t>Due to NGAs – Accounts with negative balances</w:t>
      </w:r>
    </w:p>
    <w:p>
      <w:pPr>
        <w:spacing w:line="276" w:lineRule="auto"/>
        <w:jc w:val="both"/>
        <w:rPr>
          <w:i/>
        </w:rPr>
      </w:pPr>
    </w:p>
    <w:p>
      <w:pPr>
        <w:pStyle w:val="ListParagraph"/>
        <w:numPr>
          <w:ilvl w:val="0"/>
          <w:numId w:val="3"/>
        </w:numPr>
        <w:spacing w:after="0"/>
        <w:ind w:left="0" w:right="4" w:firstLine="0"/>
        <w:jc w:val="both"/>
        <w:rPr>
          <w:rFonts w:ascii="Times New Roman" w:hAnsi="Times New Roman"/>
          <w:b/>
          <w:sz w:val="24"/>
          <w:szCs w:val="24"/>
        </w:rPr>
      </w:pPr>
      <w:r>
        <w:rPr>
          <w:rFonts w:ascii="Times New Roman" w:hAnsi="Times New Roman"/>
          <w:b/>
          <w:sz w:val="24"/>
          <w:szCs w:val="24"/>
        </w:rPr>
        <w:t xml:space="preserve">Due to NGAs account includes negative balances amounting to P478,071.78 contrary to International Public Accounting Standards 1 and COA Circular 2015-009 dated December 1, 2015, thereby casting doubt on the reliability and accuracy of the balance of the said account as at year-end. </w:t>
      </w:r>
    </w:p>
    <w:p>
      <w:pPr>
        <w:autoSpaceDE w:val="0"/>
        <w:autoSpaceDN w:val="0"/>
        <w:adjustRightInd w:val="0"/>
        <w:spacing w:line="276" w:lineRule="auto"/>
        <w:jc w:val="both"/>
        <w:rPr>
          <w:rFonts w:eastAsia="Calibri"/>
          <w:b/>
          <w:bCs/>
          <w:color w:val="000000"/>
        </w:rPr>
      </w:pPr>
    </w:p>
    <w:p>
      <w:pPr>
        <w:autoSpaceDE w:val="0"/>
        <w:autoSpaceDN w:val="0"/>
        <w:adjustRightInd w:val="0"/>
        <w:spacing w:line="276" w:lineRule="auto"/>
        <w:jc w:val="both"/>
        <w:rPr>
          <w:rFonts w:eastAsia="Calibri"/>
          <w:bCs/>
          <w:color w:val="000000"/>
        </w:rPr>
      </w:pPr>
      <w:r>
        <w:rPr>
          <w:rFonts w:eastAsia="Calibri"/>
          <w:bCs/>
          <w:color w:val="000000"/>
        </w:rPr>
        <w:t>Section 27 of the International Public-Sector Accounting Standards (IPSAS) 1 provides that:</w:t>
      </w:r>
    </w:p>
    <w:p>
      <w:pPr>
        <w:autoSpaceDE w:val="0"/>
        <w:autoSpaceDN w:val="0"/>
        <w:adjustRightInd w:val="0"/>
        <w:spacing w:line="276" w:lineRule="auto"/>
        <w:ind w:firstLine="720"/>
        <w:jc w:val="both"/>
        <w:rPr>
          <w:rFonts w:eastAsia="Calibri"/>
          <w:bCs/>
          <w:i/>
          <w:color w:val="000000"/>
        </w:rPr>
      </w:pPr>
    </w:p>
    <w:p>
      <w:pPr>
        <w:tabs>
          <w:tab w:val="left" w:pos="8640"/>
        </w:tabs>
        <w:autoSpaceDE w:val="0"/>
        <w:autoSpaceDN w:val="0"/>
        <w:adjustRightInd w:val="0"/>
        <w:spacing w:line="276" w:lineRule="auto"/>
        <w:ind w:left="720" w:right="702" w:firstLine="14"/>
        <w:jc w:val="both"/>
        <w:rPr>
          <w:rFonts w:eastAsia="Calibri"/>
          <w:bCs/>
          <w:iCs/>
          <w:color w:val="000000"/>
        </w:rPr>
      </w:pPr>
      <w:r>
        <w:rPr>
          <w:rFonts w:eastAsia="Calibri"/>
          <w:bCs/>
          <w:iCs/>
          <w:color w:val="000000"/>
        </w:rPr>
        <w:t>Financial statements shall present fairly the financial position, financial performance and cash flow of an entity. Fair presentation requires that faithful representation of the effects of transactions, other events and conditions in accordance with definitions and recognition criteria for assets, liabilities, revenue and expenses set out in IPSASs. xxx</w:t>
      </w:r>
    </w:p>
    <w:p>
      <w:pPr>
        <w:spacing w:line="276" w:lineRule="auto"/>
        <w:ind w:right="-23"/>
        <w:jc w:val="both"/>
      </w:pPr>
    </w:p>
    <w:p>
      <w:pPr>
        <w:spacing w:line="276" w:lineRule="auto"/>
        <w:ind w:right="-23"/>
        <w:jc w:val="both"/>
      </w:pPr>
      <w:r>
        <w:t>Moreover, Annex B of COA Circular 2015-009 dated December 1, 2015, prescribing the revised chart of accounts for local government units, provides the following description of Due to NGAs, to wit:</w:t>
      </w:r>
    </w:p>
    <w:p>
      <w:pPr>
        <w:spacing w:line="276" w:lineRule="auto"/>
        <w:ind w:right="-23" w:firstLine="709"/>
        <w:jc w:val="both"/>
      </w:pPr>
    </w:p>
    <w:tbl>
      <w:tblPr>
        <w:tblStyle w:val="TableGrid29"/>
        <w:tblW w:w="0" w:type="auto"/>
        <w:jc w:val="center"/>
        <w:tblLook w:val="04A0" w:firstRow="1" w:lastRow="0" w:firstColumn="1" w:lastColumn="0" w:noHBand="0" w:noVBand="1"/>
      </w:tblPr>
      <w:tblGrid>
        <w:gridCol w:w="2160"/>
        <w:gridCol w:w="5764"/>
      </w:tblGrid>
      <w:tr>
        <w:trPr>
          <w:jc w:val="center"/>
        </w:trPr>
        <w:tc>
          <w:tcPr>
            <w:tcW w:w="2160" w:type="dxa"/>
          </w:tcPr>
          <w:p>
            <w:pPr>
              <w:spacing w:line="276" w:lineRule="auto"/>
              <w:jc w:val="both"/>
              <w:rPr>
                <w:sz w:val="22"/>
                <w:szCs w:val="22"/>
              </w:rPr>
            </w:pPr>
            <w:r>
              <w:rPr>
                <w:sz w:val="22"/>
                <w:szCs w:val="22"/>
              </w:rPr>
              <w:t>Account Title:</w:t>
            </w:r>
          </w:p>
        </w:tc>
        <w:tc>
          <w:tcPr>
            <w:tcW w:w="5764" w:type="dxa"/>
          </w:tcPr>
          <w:p>
            <w:pPr>
              <w:spacing w:line="276" w:lineRule="auto"/>
              <w:ind w:right="-18"/>
              <w:rPr>
                <w:sz w:val="22"/>
                <w:szCs w:val="22"/>
              </w:rPr>
            </w:pPr>
            <w:r>
              <w:rPr>
                <w:sz w:val="22"/>
                <w:szCs w:val="22"/>
              </w:rPr>
              <w:t>Due to National Government Agencies</w:t>
            </w:r>
          </w:p>
        </w:tc>
      </w:tr>
      <w:tr>
        <w:trPr>
          <w:jc w:val="center"/>
        </w:trPr>
        <w:tc>
          <w:tcPr>
            <w:tcW w:w="2160" w:type="dxa"/>
          </w:tcPr>
          <w:p>
            <w:pPr>
              <w:spacing w:line="276" w:lineRule="auto"/>
              <w:jc w:val="both"/>
              <w:rPr>
                <w:sz w:val="22"/>
                <w:szCs w:val="22"/>
              </w:rPr>
            </w:pPr>
            <w:r>
              <w:rPr>
                <w:sz w:val="22"/>
                <w:szCs w:val="22"/>
              </w:rPr>
              <w:t>Account Number:</w:t>
            </w:r>
          </w:p>
        </w:tc>
        <w:tc>
          <w:tcPr>
            <w:tcW w:w="5764" w:type="dxa"/>
          </w:tcPr>
          <w:p>
            <w:pPr>
              <w:spacing w:line="276" w:lineRule="auto"/>
              <w:ind w:right="-18"/>
              <w:rPr>
                <w:sz w:val="22"/>
                <w:szCs w:val="22"/>
              </w:rPr>
            </w:pPr>
            <w:r>
              <w:rPr>
                <w:sz w:val="22"/>
                <w:szCs w:val="22"/>
              </w:rPr>
              <w:t>2-02-01-050</w:t>
            </w:r>
          </w:p>
        </w:tc>
      </w:tr>
      <w:tr>
        <w:trPr>
          <w:jc w:val="center"/>
        </w:trPr>
        <w:tc>
          <w:tcPr>
            <w:tcW w:w="2160" w:type="dxa"/>
          </w:tcPr>
          <w:p>
            <w:pPr>
              <w:spacing w:line="276" w:lineRule="auto"/>
              <w:jc w:val="both"/>
              <w:rPr>
                <w:sz w:val="22"/>
                <w:szCs w:val="22"/>
              </w:rPr>
            </w:pPr>
            <w:r>
              <w:rPr>
                <w:sz w:val="22"/>
                <w:szCs w:val="22"/>
              </w:rPr>
              <w:t>Normal Balance:</w:t>
            </w:r>
          </w:p>
        </w:tc>
        <w:tc>
          <w:tcPr>
            <w:tcW w:w="5764" w:type="dxa"/>
          </w:tcPr>
          <w:p>
            <w:pPr>
              <w:spacing w:line="276" w:lineRule="auto"/>
              <w:ind w:right="-18"/>
              <w:rPr>
                <w:sz w:val="22"/>
                <w:szCs w:val="22"/>
              </w:rPr>
            </w:pPr>
            <w:r>
              <w:rPr>
                <w:sz w:val="22"/>
                <w:szCs w:val="22"/>
              </w:rPr>
              <w:t>Credit</w:t>
            </w:r>
          </w:p>
        </w:tc>
      </w:tr>
      <w:tr>
        <w:trPr>
          <w:jc w:val="center"/>
        </w:trPr>
        <w:tc>
          <w:tcPr>
            <w:tcW w:w="2160" w:type="dxa"/>
          </w:tcPr>
          <w:p>
            <w:pPr>
              <w:spacing w:line="276" w:lineRule="auto"/>
              <w:jc w:val="both"/>
              <w:rPr>
                <w:sz w:val="22"/>
                <w:szCs w:val="22"/>
              </w:rPr>
            </w:pPr>
            <w:r>
              <w:rPr>
                <w:sz w:val="22"/>
                <w:szCs w:val="22"/>
              </w:rPr>
              <w:t>Description:</w:t>
            </w:r>
          </w:p>
        </w:tc>
        <w:tc>
          <w:tcPr>
            <w:tcW w:w="5764" w:type="dxa"/>
          </w:tcPr>
          <w:p>
            <w:pPr>
              <w:spacing w:line="276" w:lineRule="auto"/>
              <w:ind w:right="-18"/>
              <w:jc w:val="both"/>
              <w:rPr>
                <w:sz w:val="22"/>
                <w:szCs w:val="22"/>
              </w:rPr>
            </w:pPr>
            <w:r>
              <w:rPr>
                <w:sz w:val="22"/>
                <w:szCs w:val="22"/>
              </w:rPr>
              <w:t>This account is used to record the receipt of funds for delivery of goods/services as authorized by law, fund transfers from NGAs for implementation of specific programs or projects and other inter-agency transactions. Debit this account for delivery of goods/services, liquidation of funds received and settlement of liabilities.</w:t>
            </w:r>
          </w:p>
        </w:tc>
      </w:tr>
    </w:tbl>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As mentioned in the above-quoted provision, the Due to NGAs account has a normal credit balance. However, verification of the subsidiary ledgers disclosed that negative balances totaling P478,701.78 formed part of the Due to NGAs account in the Trust Fund books with details as follows:</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i/>
          <w:color w:val="000000"/>
        </w:rPr>
      </w:pPr>
      <w:r>
        <w:rPr>
          <w:rFonts w:eastAsia="Calibri"/>
          <w:bCs/>
          <w:i/>
          <w:color w:val="000000"/>
        </w:rPr>
        <w:t>Table 7.1. Schedule of Subsidiary Ledgers with negative balances</w:t>
      </w:r>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2250"/>
        <w:gridCol w:w="1980"/>
        <w:gridCol w:w="1620"/>
        <w:gridCol w:w="1620"/>
      </w:tblGrid>
      <w:tr>
        <w:trPr>
          <w:trHeight w:val="20"/>
          <w:tblHeader/>
          <w:jc w:val="center"/>
        </w:trPr>
        <w:tc>
          <w:tcPr>
            <w:tcW w:w="1260" w:type="dxa"/>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val="en-PH" w:eastAsia="en-PH"/>
              </w:rPr>
              <w:t>Source Agency</w:t>
            </w:r>
          </w:p>
        </w:tc>
        <w:tc>
          <w:tcPr>
            <w:tcW w:w="2250" w:type="dxa"/>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val="en-PH" w:eastAsia="en-PH"/>
              </w:rPr>
              <w:t>Program/Activity</w:t>
            </w:r>
          </w:p>
        </w:tc>
        <w:tc>
          <w:tcPr>
            <w:tcW w:w="1980" w:type="dxa"/>
            <w:shd w:val="clear" w:color="auto" w:fill="auto"/>
            <w:noWrap/>
            <w:vAlign w:val="bottom"/>
            <w:hideMark/>
          </w:tcPr>
          <w:p>
            <w:pPr>
              <w:spacing w:line="276" w:lineRule="auto"/>
              <w:jc w:val="center"/>
              <w:rPr>
                <w:b/>
                <w:bCs/>
                <w:color w:val="000000"/>
                <w:sz w:val="22"/>
                <w:szCs w:val="22"/>
                <w:lang w:val="en-PH" w:eastAsia="en-PH"/>
              </w:rPr>
            </w:pPr>
            <w:r>
              <w:rPr>
                <w:b/>
                <w:bCs/>
                <w:color w:val="000000"/>
                <w:sz w:val="22"/>
                <w:szCs w:val="22"/>
                <w:lang w:val="en-PH" w:eastAsia="en-PH"/>
              </w:rPr>
              <w:t>Earliest Record per Subsidiary Ledger</w:t>
            </w:r>
          </w:p>
        </w:tc>
        <w:tc>
          <w:tcPr>
            <w:tcW w:w="1620" w:type="dxa"/>
          </w:tcPr>
          <w:p>
            <w:pPr>
              <w:spacing w:line="276" w:lineRule="auto"/>
              <w:jc w:val="center"/>
              <w:rPr>
                <w:b/>
                <w:bCs/>
                <w:color w:val="000000"/>
                <w:sz w:val="22"/>
                <w:szCs w:val="22"/>
                <w:lang w:val="en-PH" w:eastAsia="en-PH"/>
              </w:rPr>
            </w:pPr>
            <w:r>
              <w:rPr>
                <w:b/>
                <w:bCs/>
                <w:color w:val="000000"/>
                <w:sz w:val="22"/>
                <w:szCs w:val="22"/>
                <w:lang w:val="en-PH" w:eastAsia="en-PH"/>
              </w:rPr>
              <w:t>Negative balances as of CY 2021</w:t>
            </w:r>
          </w:p>
        </w:tc>
        <w:tc>
          <w:tcPr>
            <w:tcW w:w="1620" w:type="dxa"/>
            <w:shd w:val="clear" w:color="auto" w:fill="auto"/>
            <w:noWrap/>
            <w:vAlign w:val="bottom"/>
            <w:hideMark/>
          </w:tcPr>
          <w:p>
            <w:pPr>
              <w:spacing w:line="276" w:lineRule="auto"/>
              <w:jc w:val="center"/>
              <w:rPr>
                <w:b/>
                <w:bCs/>
                <w:color w:val="000000"/>
                <w:sz w:val="22"/>
                <w:szCs w:val="22"/>
                <w:lang w:val="en-PH" w:eastAsia="en-PH"/>
              </w:rPr>
            </w:pPr>
            <w:r>
              <w:rPr>
                <w:b/>
                <w:bCs/>
                <w:color w:val="000000"/>
                <w:sz w:val="22"/>
                <w:szCs w:val="22"/>
                <w:lang w:val="en-PH" w:eastAsia="en-PH"/>
              </w:rPr>
              <w:t>Negative balances as of CY 20222</w:t>
            </w:r>
          </w:p>
        </w:tc>
      </w:tr>
      <w:tr>
        <w:trPr>
          <w:trHeight w:val="20"/>
          <w:jc w:val="center"/>
        </w:trPr>
        <w:tc>
          <w:tcPr>
            <w:tcW w:w="126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PHIC</w:t>
            </w:r>
          </w:p>
        </w:tc>
        <w:tc>
          <w:tcPr>
            <w:tcW w:w="2250" w:type="dxa"/>
            <w:shd w:val="clear" w:color="auto" w:fill="auto"/>
            <w:hideMark/>
          </w:tcPr>
          <w:p>
            <w:pPr>
              <w:spacing w:line="276" w:lineRule="auto"/>
              <w:rPr>
                <w:color w:val="000000"/>
                <w:sz w:val="22"/>
                <w:szCs w:val="22"/>
                <w:lang w:val="en-PH" w:eastAsia="en-PH"/>
              </w:rPr>
            </w:pPr>
            <w:r>
              <w:rPr>
                <w:color w:val="000000"/>
                <w:sz w:val="22"/>
                <w:szCs w:val="22"/>
                <w:lang w:val="en-PH" w:eastAsia="en-PH"/>
              </w:rPr>
              <w:t>Maternal Care Package</w:t>
            </w:r>
          </w:p>
        </w:tc>
        <w:tc>
          <w:tcPr>
            <w:tcW w:w="198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08/18/2022</w:t>
            </w:r>
          </w:p>
        </w:tc>
        <w:tc>
          <w:tcPr>
            <w:tcW w:w="1620" w:type="dxa"/>
          </w:tcPr>
          <w:p>
            <w:pPr>
              <w:spacing w:line="276" w:lineRule="auto"/>
              <w:jc w:val="right"/>
              <w:rPr>
                <w:color w:val="000000"/>
                <w:sz w:val="22"/>
                <w:szCs w:val="22"/>
                <w:lang w:val="en-PH" w:eastAsia="en-PH"/>
              </w:rPr>
            </w:pPr>
            <w:r>
              <w:rPr>
                <w:color w:val="000000"/>
                <w:sz w:val="22"/>
                <w:szCs w:val="22"/>
                <w:lang w:val="en-PH" w:eastAsia="en-PH"/>
              </w:rPr>
              <w:t>P0.00</w:t>
            </w:r>
          </w:p>
        </w:tc>
        <w:tc>
          <w:tcPr>
            <w:tcW w:w="162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 (P156,165.20)</w:t>
            </w:r>
          </w:p>
        </w:tc>
      </w:tr>
      <w:tr>
        <w:trPr>
          <w:trHeight w:val="20"/>
          <w:jc w:val="center"/>
        </w:trPr>
        <w:tc>
          <w:tcPr>
            <w:tcW w:w="1260" w:type="dxa"/>
            <w:shd w:val="clear" w:color="auto" w:fill="auto"/>
            <w:noWrap/>
          </w:tcPr>
          <w:p>
            <w:pPr>
              <w:spacing w:line="276" w:lineRule="auto"/>
              <w:jc w:val="center"/>
              <w:rPr>
                <w:color w:val="000000"/>
                <w:sz w:val="22"/>
                <w:szCs w:val="22"/>
                <w:lang w:val="en-PH" w:eastAsia="en-PH"/>
              </w:rPr>
            </w:pPr>
            <w:r>
              <w:rPr>
                <w:color w:val="000000"/>
                <w:sz w:val="22"/>
                <w:szCs w:val="22"/>
                <w:lang w:val="en-PH" w:eastAsia="en-PH"/>
              </w:rPr>
              <w:lastRenderedPageBreak/>
              <w:t>DOH</w:t>
            </w:r>
          </w:p>
        </w:tc>
        <w:tc>
          <w:tcPr>
            <w:tcW w:w="2250" w:type="dxa"/>
            <w:shd w:val="clear" w:color="auto" w:fill="auto"/>
            <w:hideMark/>
          </w:tcPr>
          <w:p>
            <w:pPr>
              <w:spacing w:line="276" w:lineRule="auto"/>
              <w:rPr>
                <w:color w:val="000000"/>
                <w:sz w:val="22"/>
                <w:szCs w:val="22"/>
                <w:lang w:val="en-PH" w:eastAsia="en-PH"/>
              </w:rPr>
            </w:pPr>
            <w:proofErr w:type="spellStart"/>
            <w:r>
              <w:rPr>
                <w:color w:val="000000"/>
                <w:sz w:val="22"/>
                <w:szCs w:val="22"/>
                <w:lang w:val="en-PH" w:eastAsia="en-PH"/>
              </w:rPr>
              <w:t>Garantisadong</w:t>
            </w:r>
            <w:proofErr w:type="spellEnd"/>
            <w:r>
              <w:rPr>
                <w:color w:val="000000"/>
                <w:sz w:val="22"/>
                <w:szCs w:val="22"/>
                <w:lang w:val="en-PH" w:eastAsia="en-PH"/>
              </w:rPr>
              <w:t xml:space="preserve"> </w:t>
            </w:r>
            <w:proofErr w:type="spellStart"/>
            <w:r>
              <w:rPr>
                <w:color w:val="000000"/>
                <w:sz w:val="22"/>
                <w:szCs w:val="22"/>
                <w:lang w:val="en-PH" w:eastAsia="en-PH"/>
              </w:rPr>
              <w:t>Pambata</w:t>
            </w:r>
            <w:proofErr w:type="spellEnd"/>
          </w:p>
        </w:tc>
        <w:tc>
          <w:tcPr>
            <w:tcW w:w="198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02/15/2010</w:t>
            </w:r>
          </w:p>
        </w:tc>
        <w:tc>
          <w:tcPr>
            <w:tcW w:w="1620" w:type="dxa"/>
          </w:tcPr>
          <w:p>
            <w:pPr>
              <w:spacing w:line="276" w:lineRule="auto"/>
              <w:jc w:val="right"/>
              <w:rPr>
                <w:color w:val="000000"/>
                <w:sz w:val="22"/>
                <w:szCs w:val="22"/>
                <w:lang w:val="en-PH" w:eastAsia="en-PH"/>
              </w:rPr>
            </w:pPr>
            <w:r>
              <w:rPr>
                <w:color w:val="000000"/>
                <w:sz w:val="22"/>
                <w:szCs w:val="22"/>
                <w:lang w:val="en-PH" w:eastAsia="en-PH"/>
              </w:rPr>
              <w:t xml:space="preserve"> (907.40) </w:t>
            </w:r>
          </w:p>
        </w:tc>
        <w:tc>
          <w:tcPr>
            <w:tcW w:w="162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 (907.40) </w:t>
            </w:r>
          </w:p>
        </w:tc>
      </w:tr>
      <w:tr>
        <w:trPr>
          <w:trHeight w:val="20"/>
          <w:jc w:val="center"/>
        </w:trPr>
        <w:tc>
          <w:tcPr>
            <w:tcW w:w="1260" w:type="dxa"/>
            <w:shd w:val="clear" w:color="auto" w:fill="auto"/>
            <w:noWrap/>
          </w:tcPr>
          <w:p>
            <w:pPr>
              <w:spacing w:line="276" w:lineRule="auto"/>
              <w:jc w:val="center"/>
              <w:rPr>
                <w:color w:val="000000"/>
                <w:sz w:val="22"/>
                <w:szCs w:val="22"/>
                <w:lang w:val="en-PH" w:eastAsia="en-PH"/>
              </w:rPr>
            </w:pPr>
            <w:r>
              <w:rPr>
                <w:color w:val="000000"/>
                <w:sz w:val="22"/>
                <w:szCs w:val="22"/>
                <w:lang w:val="en-PH" w:eastAsia="en-PH"/>
              </w:rPr>
              <w:t>DOH</w:t>
            </w:r>
          </w:p>
        </w:tc>
        <w:tc>
          <w:tcPr>
            <w:tcW w:w="2250" w:type="dxa"/>
            <w:shd w:val="clear" w:color="auto" w:fill="auto"/>
            <w:hideMark/>
          </w:tcPr>
          <w:p>
            <w:pPr>
              <w:spacing w:line="276" w:lineRule="auto"/>
              <w:rPr>
                <w:color w:val="000000"/>
                <w:sz w:val="22"/>
                <w:szCs w:val="22"/>
                <w:lang w:val="en-PH" w:eastAsia="en-PH"/>
              </w:rPr>
            </w:pPr>
            <w:r>
              <w:rPr>
                <w:color w:val="000000"/>
                <w:sz w:val="22"/>
                <w:szCs w:val="22"/>
                <w:lang w:val="en-PH" w:eastAsia="en-PH"/>
              </w:rPr>
              <w:t>Matching Grant</w:t>
            </w:r>
          </w:p>
        </w:tc>
        <w:tc>
          <w:tcPr>
            <w:tcW w:w="198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620" w:type="dxa"/>
          </w:tcPr>
          <w:p>
            <w:pPr>
              <w:spacing w:line="276" w:lineRule="auto"/>
              <w:jc w:val="right"/>
              <w:rPr>
                <w:color w:val="000000"/>
                <w:sz w:val="22"/>
                <w:szCs w:val="22"/>
                <w:lang w:val="en-PH" w:eastAsia="en-PH"/>
              </w:rPr>
            </w:pPr>
            <w:r>
              <w:rPr>
                <w:color w:val="000000"/>
                <w:sz w:val="22"/>
                <w:szCs w:val="22"/>
                <w:lang w:val="en-PH" w:eastAsia="en-PH"/>
              </w:rPr>
              <w:t xml:space="preserve"> (2,831.90) </w:t>
            </w:r>
          </w:p>
        </w:tc>
        <w:tc>
          <w:tcPr>
            <w:tcW w:w="162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 (2,831.90) </w:t>
            </w:r>
          </w:p>
        </w:tc>
      </w:tr>
      <w:tr>
        <w:trPr>
          <w:trHeight w:val="20"/>
          <w:jc w:val="center"/>
        </w:trPr>
        <w:tc>
          <w:tcPr>
            <w:tcW w:w="1260" w:type="dxa"/>
            <w:shd w:val="clear" w:color="auto" w:fill="auto"/>
            <w:noWrap/>
          </w:tcPr>
          <w:p>
            <w:pPr>
              <w:spacing w:line="276" w:lineRule="auto"/>
              <w:jc w:val="center"/>
              <w:rPr>
                <w:color w:val="000000"/>
                <w:sz w:val="22"/>
                <w:szCs w:val="22"/>
                <w:lang w:val="en-PH" w:eastAsia="en-PH"/>
              </w:rPr>
            </w:pPr>
            <w:r>
              <w:rPr>
                <w:color w:val="000000"/>
                <w:sz w:val="22"/>
                <w:szCs w:val="22"/>
                <w:lang w:val="en-PH" w:eastAsia="en-PH"/>
              </w:rPr>
              <w:t>DOH</w:t>
            </w:r>
          </w:p>
        </w:tc>
        <w:tc>
          <w:tcPr>
            <w:tcW w:w="2250" w:type="dxa"/>
            <w:shd w:val="clear" w:color="auto" w:fill="auto"/>
            <w:hideMark/>
          </w:tcPr>
          <w:p>
            <w:pPr>
              <w:spacing w:line="276" w:lineRule="auto"/>
              <w:rPr>
                <w:color w:val="000000"/>
                <w:sz w:val="22"/>
                <w:szCs w:val="22"/>
                <w:lang w:val="en-PH" w:eastAsia="en-PH"/>
              </w:rPr>
            </w:pPr>
            <w:r>
              <w:rPr>
                <w:color w:val="000000"/>
                <w:sz w:val="22"/>
                <w:szCs w:val="22"/>
                <w:lang w:val="en-PH" w:eastAsia="en-PH"/>
              </w:rPr>
              <w:t>Red Orchid Award</w:t>
            </w:r>
          </w:p>
        </w:tc>
        <w:tc>
          <w:tcPr>
            <w:tcW w:w="198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05/01/2019</w:t>
            </w:r>
          </w:p>
        </w:tc>
        <w:tc>
          <w:tcPr>
            <w:tcW w:w="1620" w:type="dxa"/>
          </w:tcPr>
          <w:p>
            <w:pPr>
              <w:spacing w:line="276" w:lineRule="auto"/>
              <w:jc w:val="right"/>
              <w:rPr>
                <w:color w:val="000000"/>
                <w:sz w:val="22"/>
                <w:szCs w:val="22"/>
                <w:lang w:val="en-PH" w:eastAsia="en-PH"/>
              </w:rPr>
            </w:pPr>
            <w:r>
              <w:rPr>
                <w:color w:val="000000"/>
                <w:sz w:val="22"/>
                <w:szCs w:val="22"/>
                <w:lang w:val="en-PH" w:eastAsia="en-PH"/>
              </w:rPr>
              <w:t xml:space="preserve"> (76,033.00) </w:t>
            </w:r>
          </w:p>
        </w:tc>
        <w:tc>
          <w:tcPr>
            <w:tcW w:w="162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 (76,033.00) </w:t>
            </w:r>
          </w:p>
        </w:tc>
      </w:tr>
      <w:tr>
        <w:trPr>
          <w:trHeight w:val="20"/>
          <w:jc w:val="center"/>
        </w:trPr>
        <w:tc>
          <w:tcPr>
            <w:tcW w:w="1260" w:type="dxa"/>
            <w:shd w:val="clear" w:color="auto" w:fill="auto"/>
            <w:noWrap/>
          </w:tcPr>
          <w:p>
            <w:pPr>
              <w:spacing w:line="276" w:lineRule="auto"/>
              <w:jc w:val="center"/>
              <w:rPr>
                <w:color w:val="000000"/>
                <w:sz w:val="22"/>
                <w:szCs w:val="22"/>
                <w:lang w:val="en-PH" w:eastAsia="en-PH"/>
              </w:rPr>
            </w:pPr>
            <w:r>
              <w:rPr>
                <w:color w:val="000000"/>
                <w:sz w:val="22"/>
                <w:szCs w:val="22"/>
                <w:lang w:val="en-PH" w:eastAsia="en-PH"/>
              </w:rPr>
              <w:t>PHIC</w:t>
            </w:r>
          </w:p>
        </w:tc>
        <w:tc>
          <w:tcPr>
            <w:tcW w:w="2250" w:type="dxa"/>
            <w:shd w:val="clear" w:color="auto" w:fill="auto"/>
          </w:tcPr>
          <w:p>
            <w:pPr>
              <w:spacing w:line="276" w:lineRule="auto"/>
              <w:rPr>
                <w:color w:val="000000"/>
                <w:sz w:val="22"/>
                <w:szCs w:val="22"/>
                <w:lang w:val="en-PH" w:eastAsia="en-PH"/>
              </w:rPr>
            </w:pPr>
            <w:r>
              <w:rPr>
                <w:color w:val="000000"/>
                <w:sz w:val="22"/>
                <w:szCs w:val="22"/>
                <w:lang w:val="en-PH" w:eastAsia="en-PH"/>
              </w:rPr>
              <w:t>PPM/TB DOTS</w:t>
            </w:r>
          </w:p>
        </w:tc>
        <w:tc>
          <w:tcPr>
            <w:tcW w:w="1980" w:type="dxa"/>
            <w:shd w:val="clear" w:color="auto" w:fill="auto"/>
            <w:noWrap/>
          </w:tcPr>
          <w:p>
            <w:pPr>
              <w:spacing w:line="276" w:lineRule="auto"/>
              <w:jc w:val="center"/>
              <w:rPr>
                <w:color w:val="000000"/>
                <w:sz w:val="22"/>
                <w:szCs w:val="22"/>
                <w:lang w:val="en-PH" w:eastAsia="en-PH"/>
              </w:rPr>
            </w:pPr>
            <w:r>
              <w:rPr>
                <w:color w:val="000000"/>
                <w:sz w:val="22"/>
                <w:szCs w:val="22"/>
                <w:lang w:val="en-PH" w:eastAsia="en-PH"/>
              </w:rPr>
              <w:t>01/09/2008</w:t>
            </w:r>
          </w:p>
        </w:tc>
        <w:tc>
          <w:tcPr>
            <w:tcW w:w="1620" w:type="dxa"/>
          </w:tcPr>
          <w:p>
            <w:pPr>
              <w:spacing w:line="276" w:lineRule="auto"/>
              <w:jc w:val="right"/>
              <w:rPr>
                <w:color w:val="000000"/>
                <w:sz w:val="22"/>
                <w:szCs w:val="22"/>
                <w:lang w:val="en-PH" w:eastAsia="en-PH"/>
              </w:rPr>
            </w:pPr>
            <w:r>
              <w:rPr>
                <w:color w:val="000000"/>
                <w:sz w:val="22"/>
                <w:szCs w:val="22"/>
                <w:lang w:val="en-PH" w:eastAsia="en-PH"/>
              </w:rPr>
              <w:t xml:space="preserve">  (119,697.99)</w:t>
            </w:r>
          </w:p>
        </w:tc>
        <w:tc>
          <w:tcPr>
            <w:tcW w:w="1620" w:type="dxa"/>
            <w:shd w:val="clear" w:color="auto" w:fill="auto"/>
            <w:noWrap/>
          </w:tcPr>
          <w:p>
            <w:pPr>
              <w:spacing w:line="276" w:lineRule="auto"/>
              <w:jc w:val="right"/>
              <w:rPr>
                <w:color w:val="000000"/>
                <w:sz w:val="22"/>
                <w:szCs w:val="22"/>
                <w:lang w:val="en-PH" w:eastAsia="en-PH"/>
              </w:rPr>
            </w:pPr>
            <w:r>
              <w:rPr>
                <w:color w:val="000000"/>
                <w:sz w:val="22"/>
                <w:szCs w:val="22"/>
                <w:lang w:val="en-PH" w:eastAsia="en-PH"/>
              </w:rPr>
              <w:t>0.00</w:t>
            </w:r>
          </w:p>
        </w:tc>
      </w:tr>
      <w:tr>
        <w:trPr>
          <w:trHeight w:val="20"/>
          <w:jc w:val="center"/>
        </w:trPr>
        <w:tc>
          <w:tcPr>
            <w:tcW w:w="1260" w:type="dxa"/>
            <w:shd w:val="clear" w:color="auto" w:fill="auto"/>
            <w:noWrap/>
          </w:tcPr>
          <w:p>
            <w:pPr>
              <w:spacing w:line="276" w:lineRule="auto"/>
              <w:jc w:val="center"/>
              <w:rPr>
                <w:color w:val="000000"/>
                <w:sz w:val="22"/>
                <w:szCs w:val="22"/>
                <w:lang w:val="en-PH" w:eastAsia="en-PH"/>
              </w:rPr>
            </w:pPr>
            <w:r>
              <w:rPr>
                <w:color w:val="000000"/>
                <w:sz w:val="22"/>
                <w:szCs w:val="22"/>
                <w:lang w:val="en-PH" w:eastAsia="en-PH"/>
              </w:rPr>
              <w:t>PHIC</w:t>
            </w:r>
          </w:p>
        </w:tc>
        <w:tc>
          <w:tcPr>
            <w:tcW w:w="2250" w:type="dxa"/>
            <w:shd w:val="clear" w:color="auto" w:fill="auto"/>
            <w:hideMark/>
          </w:tcPr>
          <w:p>
            <w:pPr>
              <w:spacing w:line="276" w:lineRule="auto"/>
              <w:rPr>
                <w:color w:val="000000"/>
                <w:sz w:val="22"/>
                <w:szCs w:val="22"/>
                <w:lang w:val="en-PH" w:eastAsia="en-PH"/>
              </w:rPr>
            </w:pPr>
            <w:r>
              <w:rPr>
                <w:color w:val="000000"/>
                <w:sz w:val="22"/>
                <w:szCs w:val="22"/>
                <w:lang w:val="en-PH" w:eastAsia="en-PH"/>
              </w:rPr>
              <w:t>Maternal Care Package</w:t>
            </w:r>
          </w:p>
        </w:tc>
        <w:tc>
          <w:tcPr>
            <w:tcW w:w="198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09/19/2013</w:t>
            </w:r>
          </w:p>
        </w:tc>
        <w:tc>
          <w:tcPr>
            <w:tcW w:w="1620" w:type="dxa"/>
          </w:tcPr>
          <w:p>
            <w:pPr>
              <w:spacing w:line="276" w:lineRule="auto"/>
              <w:jc w:val="right"/>
              <w:rPr>
                <w:color w:val="000000"/>
                <w:sz w:val="22"/>
                <w:szCs w:val="22"/>
                <w:lang w:val="en-PH" w:eastAsia="en-PH"/>
              </w:rPr>
            </w:pPr>
            <w:r>
              <w:rPr>
                <w:color w:val="000000"/>
                <w:sz w:val="22"/>
                <w:szCs w:val="22"/>
                <w:lang w:val="en-PH" w:eastAsia="en-PH"/>
              </w:rPr>
              <w:t>0.00</w:t>
            </w:r>
          </w:p>
        </w:tc>
        <w:tc>
          <w:tcPr>
            <w:tcW w:w="162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 xml:space="preserve"> (240,621.72) </w:t>
            </w:r>
          </w:p>
        </w:tc>
      </w:tr>
      <w:tr>
        <w:trPr>
          <w:trHeight w:val="20"/>
          <w:jc w:val="center"/>
        </w:trPr>
        <w:tc>
          <w:tcPr>
            <w:tcW w:w="1260" w:type="dxa"/>
            <w:shd w:val="clear" w:color="auto" w:fill="auto"/>
            <w:noWrap/>
          </w:tcPr>
          <w:p>
            <w:pPr>
              <w:spacing w:line="276" w:lineRule="auto"/>
              <w:jc w:val="center"/>
              <w:rPr>
                <w:color w:val="000000"/>
                <w:sz w:val="22"/>
                <w:szCs w:val="22"/>
                <w:lang w:val="en-PH" w:eastAsia="en-PH"/>
              </w:rPr>
            </w:pPr>
            <w:r>
              <w:rPr>
                <w:color w:val="000000"/>
                <w:sz w:val="22"/>
                <w:szCs w:val="22"/>
                <w:lang w:val="en-PH" w:eastAsia="en-PH"/>
              </w:rPr>
              <w:t>DOH</w:t>
            </w:r>
          </w:p>
        </w:tc>
        <w:tc>
          <w:tcPr>
            <w:tcW w:w="2250" w:type="dxa"/>
            <w:shd w:val="clear" w:color="auto" w:fill="auto"/>
            <w:hideMark/>
          </w:tcPr>
          <w:p>
            <w:pPr>
              <w:spacing w:line="276" w:lineRule="auto"/>
              <w:rPr>
                <w:color w:val="000000"/>
                <w:sz w:val="22"/>
                <w:szCs w:val="22"/>
                <w:lang w:val="en-PH" w:eastAsia="en-PH"/>
              </w:rPr>
            </w:pPr>
            <w:r>
              <w:rPr>
                <w:color w:val="000000"/>
                <w:sz w:val="22"/>
                <w:szCs w:val="22"/>
                <w:lang w:val="en-PH" w:eastAsia="en-PH"/>
              </w:rPr>
              <w:t>Capitation Fees,4thQtr.,2002-DOH</w:t>
            </w:r>
          </w:p>
        </w:tc>
        <w:tc>
          <w:tcPr>
            <w:tcW w:w="198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620" w:type="dxa"/>
          </w:tcPr>
          <w:p>
            <w:pPr>
              <w:spacing w:line="276" w:lineRule="auto"/>
              <w:jc w:val="right"/>
              <w:rPr>
                <w:color w:val="000000"/>
                <w:sz w:val="22"/>
                <w:szCs w:val="22"/>
                <w:lang w:val="en-PH" w:eastAsia="en-PH"/>
              </w:rPr>
            </w:pPr>
            <w:r>
              <w:rPr>
                <w:color w:val="000000"/>
                <w:sz w:val="22"/>
                <w:szCs w:val="22"/>
                <w:lang w:val="en-PH" w:eastAsia="en-PH"/>
              </w:rPr>
              <w:t>0.00</w:t>
            </w:r>
          </w:p>
        </w:tc>
        <w:tc>
          <w:tcPr>
            <w:tcW w:w="162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(1,512.56)</w:t>
            </w:r>
          </w:p>
        </w:tc>
      </w:tr>
      <w:tr>
        <w:trPr>
          <w:trHeight w:val="20"/>
          <w:jc w:val="center"/>
        </w:trPr>
        <w:tc>
          <w:tcPr>
            <w:tcW w:w="5490" w:type="dxa"/>
            <w:gridSpan w:val="3"/>
            <w:shd w:val="clear" w:color="auto" w:fill="auto"/>
            <w:noWrap/>
            <w:vAlign w:val="bottom"/>
            <w:hideMark/>
          </w:tcPr>
          <w:p>
            <w:pPr>
              <w:spacing w:line="276" w:lineRule="auto"/>
              <w:rPr>
                <w:b/>
                <w:bCs/>
                <w:color w:val="000000"/>
                <w:sz w:val="22"/>
                <w:szCs w:val="22"/>
                <w:lang w:val="en-PH" w:eastAsia="en-PH"/>
              </w:rPr>
            </w:pPr>
            <w:r>
              <w:rPr>
                <w:b/>
                <w:bCs/>
                <w:color w:val="000000"/>
                <w:sz w:val="22"/>
                <w:szCs w:val="22"/>
                <w:lang w:val="en-PH" w:eastAsia="en-PH"/>
              </w:rPr>
              <w:t>TOTAL</w:t>
            </w:r>
          </w:p>
        </w:tc>
        <w:tc>
          <w:tcPr>
            <w:tcW w:w="1620" w:type="dxa"/>
          </w:tcPr>
          <w:p>
            <w:pPr>
              <w:spacing w:line="276" w:lineRule="auto"/>
              <w:jc w:val="right"/>
              <w:rPr>
                <w:b/>
                <w:bCs/>
                <w:color w:val="000000"/>
                <w:sz w:val="22"/>
                <w:szCs w:val="22"/>
                <w:lang w:val="en-PH" w:eastAsia="en-PH"/>
              </w:rPr>
            </w:pPr>
            <w:r>
              <w:rPr>
                <w:b/>
                <w:bCs/>
                <w:color w:val="000000"/>
                <w:sz w:val="22"/>
                <w:szCs w:val="22"/>
                <w:lang w:val="en-PH" w:eastAsia="en-PH"/>
              </w:rPr>
              <w:t xml:space="preserve">  (P199,470.29)</w:t>
            </w:r>
          </w:p>
        </w:tc>
        <w:tc>
          <w:tcPr>
            <w:tcW w:w="1620" w:type="dxa"/>
            <w:shd w:val="clear" w:color="auto" w:fill="auto"/>
            <w:noWrap/>
            <w:vAlign w:val="bottom"/>
            <w:hideMark/>
          </w:tcPr>
          <w:p>
            <w:pPr>
              <w:spacing w:line="276" w:lineRule="auto"/>
              <w:jc w:val="right"/>
              <w:rPr>
                <w:b/>
                <w:bCs/>
                <w:color w:val="000000"/>
                <w:sz w:val="22"/>
                <w:szCs w:val="22"/>
                <w:lang w:val="en-PH" w:eastAsia="en-PH"/>
              </w:rPr>
            </w:pPr>
            <w:r>
              <w:rPr>
                <w:b/>
                <w:bCs/>
                <w:color w:val="000000"/>
                <w:sz w:val="22"/>
                <w:szCs w:val="22"/>
                <w:lang w:val="en-PH" w:eastAsia="en-PH"/>
              </w:rPr>
              <w:t xml:space="preserve"> (P478,071.78) </w:t>
            </w:r>
          </w:p>
        </w:tc>
      </w:tr>
    </w:tbl>
    <w:p>
      <w:pPr>
        <w:spacing w:line="276" w:lineRule="auto"/>
        <w:ind w:right="-23"/>
        <w:jc w:val="both"/>
        <w:rPr>
          <w:rFonts w:eastAsia="Calibri"/>
          <w:bCs/>
          <w:color w:val="000000"/>
        </w:rPr>
      </w:pPr>
    </w:p>
    <w:p>
      <w:pPr>
        <w:spacing w:line="276" w:lineRule="auto"/>
        <w:ind w:right="-23"/>
        <w:jc w:val="both"/>
      </w:pPr>
      <w:r>
        <w:t>As observed in the table above, there is a significant increase of P278,601.49 in the negative balances of Due to NGAs account from Calendar Year (CY) 2021 to CY 2022. Interview with the City Accountant revealed that for the Maternal Care Package, there may be a possible miss-posting of receipt and its corresponding utilization hence, the negative balances. Moreover, there is still an on-going reconciliation on the other negative balances by the City Accounting Office (CAO) since these have already been recorded in the books for a long period of time.</w:t>
      </w:r>
    </w:p>
    <w:p>
      <w:pPr>
        <w:autoSpaceDE w:val="0"/>
        <w:autoSpaceDN w:val="0"/>
        <w:adjustRightInd w:val="0"/>
        <w:spacing w:line="276" w:lineRule="auto"/>
        <w:jc w:val="both"/>
      </w:pPr>
    </w:p>
    <w:p>
      <w:pPr>
        <w:autoSpaceDE w:val="0"/>
        <w:autoSpaceDN w:val="0"/>
        <w:adjustRightInd w:val="0"/>
        <w:spacing w:line="276" w:lineRule="auto"/>
        <w:jc w:val="both"/>
        <w:rPr>
          <w:rFonts w:eastAsia="Calibri"/>
          <w:bCs/>
          <w:color w:val="000000"/>
        </w:rPr>
      </w:pPr>
      <w:r>
        <w:rPr>
          <w:rFonts w:eastAsia="Calibri"/>
          <w:bCs/>
          <w:color w:val="000000"/>
        </w:rPr>
        <w:t>The presence of such negative balances cast doubt on the reliability and accuracy of the balances which could affect the fairness of presentation of the said account in the financial statements. Moreover, the said deficiency has been noted in the previous year, hence, this reiteration.</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
          <w:bCs/>
        </w:rPr>
      </w:pPr>
      <w:r>
        <w:rPr>
          <w:rFonts w:eastAsia="Calibri"/>
          <w:b/>
          <w:bCs/>
        </w:rPr>
        <w:t>Recommendations:</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We recommended the City Mayor the following courses of action:</w:t>
      </w:r>
    </w:p>
    <w:p>
      <w:pPr>
        <w:autoSpaceDE w:val="0"/>
        <w:autoSpaceDN w:val="0"/>
        <w:adjustRightInd w:val="0"/>
        <w:spacing w:line="276" w:lineRule="auto"/>
        <w:ind w:firstLine="720"/>
        <w:jc w:val="both"/>
        <w:rPr>
          <w:rFonts w:eastAsia="Calibri"/>
          <w:bCs/>
        </w:rPr>
      </w:pPr>
    </w:p>
    <w:p>
      <w:pPr>
        <w:numPr>
          <w:ilvl w:val="0"/>
          <w:numId w:val="19"/>
        </w:numPr>
        <w:autoSpaceDE w:val="0"/>
        <w:autoSpaceDN w:val="0"/>
        <w:adjustRightInd w:val="0"/>
        <w:spacing w:line="276" w:lineRule="auto"/>
        <w:ind w:left="360"/>
        <w:contextualSpacing/>
        <w:jc w:val="both"/>
        <w:rPr>
          <w:rFonts w:eastAsia="Calibri"/>
          <w:bCs/>
        </w:rPr>
      </w:pPr>
      <w:r>
        <w:rPr>
          <w:rFonts w:eastAsia="Calibri"/>
          <w:bCs/>
        </w:rPr>
        <w:t>Direct the City Accountant to speed up the reconciliation of the negative balances in the Due to NGAs account and effect the necessary correcting/adjusting entries to properly reflect the appropriate balance of the said account; and</w:t>
      </w:r>
    </w:p>
    <w:p>
      <w:pPr>
        <w:autoSpaceDE w:val="0"/>
        <w:autoSpaceDN w:val="0"/>
        <w:adjustRightInd w:val="0"/>
        <w:spacing w:line="276" w:lineRule="auto"/>
        <w:ind w:left="360"/>
        <w:contextualSpacing/>
        <w:jc w:val="both"/>
        <w:rPr>
          <w:rFonts w:eastAsia="Calibri"/>
          <w:bCs/>
        </w:rPr>
      </w:pPr>
    </w:p>
    <w:p>
      <w:pPr>
        <w:numPr>
          <w:ilvl w:val="0"/>
          <w:numId w:val="19"/>
        </w:numPr>
        <w:autoSpaceDE w:val="0"/>
        <w:autoSpaceDN w:val="0"/>
        <w:adjustRightInd w:val="0"/>
        <w:spacing w:line="276" w:lineRule="auto"/>
        <w:ind w:left="360"/>
        <w:contextualSpacing/>
        <w:jc w:val="both"/>
        <w:rPr>
          <w:rFonts w:eastAsia="Calibri"/>
          <w:bCs/>
        </w:rPr>
      </w:pPr>
      <w:r>
        <w:rPr>
          <w:rFonts w:eastAsia="Calibri"/>
          <w:bCs/>
        </w:rPr>
        <w:t>For future transactions, direct the City Accounting Office to analyze and review thoroughly the journal entries made before posting the same in the subsidiary ledgers to avoid the incurrence of negative balances.</w:t>
      </w:r>
    </w:p>
    <w:p>
      <w:pPr>
        <w:spacing w:line="276" w:lineRule="auto"/>
        <w:ind w:right="270"/>
        <w:rPr>
          <w:b/>
          <w:i/>
        </w:rPr>
      </w:pPr>
    </w:p>
    <w:p>
      <w:pPr>
        <w:spacing w:line="276" w:lineRule="auto"/>
        <w:ind w:right="270"/>
        <w:rPr>
          <w:b/>
          <w:i/>
        </w:rPr>
      </w:pPr>
    </w:p>
    <w:p>
      <w:pPr>
        <w:spacing w:line="276" w:lineRule="auto"/>
        <w:ind w:right="162"/>
        <w:jc w:val="both"/>
        <w:rPr>
          <w:b/>
          <w:bCs/>
        </w:rPr>
      </w:pPr>
      <w:r>
        <w:rPr>
          <w:b/>
          <w:bCs/>
        </w:rPr>
        <w:lastRenderedPageBreak/>
        <w:t>Management’s Comments:</w:t>
      </w:r>
    </w:p>
    <w:p>
      <w:pPr>
        <w:spacing w:line="276" w:lineRule="auto"/>
        <w:ind w:right="162"/>
        <w:jc w:val="both"/>
      </w:pPr>
    </w:p>
    <w:p>
      <w:pPr>
        <w:spacing w:line="276" w:lineRule="auto"/>
        <w:ind w:right="-7"/>
        <w:jc w:val="both"/>
        <w:rPr>
          <w:bCs/>
        </w:rPr>
      </w:pPr>
      <w:r>
        <w:t xml:space="preserve">The management was amenable to the audit observations and recommendations. </w:t>
      </w:r>
      <w:r>
        <w:rPr>
          <w:bCs/>
        </w:rPr>
        <w:t>CAO discussed their comments/justifications on the noted observations as summarized below:</w:t>
      </w:r>
    </w:p>
    <w:p>
      <w:pPr>
        <w:spacing w:line="276" w:lineRule="auto"/>
        <w:ind w:right="-7"/>
        <w:jc w:val="both"/>
        <w:rPr>
          <w:bCs/>
        </w:rPr>
      </w:pPr>
    </w:p>
    <w:tbl>
      <w:tblPr>
        <w:tblStyle w:val="TableGrid"/>
        <w:tblW w:w="0" w:type="auto"/>
        <w:tblLook w:val="04A0" w:firstRow="1" w:lastRow="0" w:firstColumn="1" w:lastColumn="0" w:noHBand="0" w:noVBand="1"/>
      </w:tblPr>
      <w:tblGrid>
        <w:gridCol w:w="1974"/>
        <w:gridCol w:w="1456"/>
        <w:gridCol w:w="5200"/>
      </w:tblGrid>
      <w:tr>
        <w:tc>
          <w:tcPr>
            <w:tcW w:w="1974" w:type="dxa"/>
          </w:tcPr>
          <w:p>
            <w:pPr>
              <w:spacing w:line="276" w:lineRule="auto"/>
              <w:ind w:right="-7"/>
              <w:jc w:val="center"/>
              <w:rPr>
                <w:b/>
                <w:bCs/>
                <w:sz w:val="22"/>
                <w:szCs w:val="22"/>
              </w:rPr>
            </w:pPr>
            <w:r>
              <w:rPr>
                <w:b/>
                <w:bCs/>
                <w:sz w:val="22"/>
                <w:szCs w:val="22"/>
              </w:rPr>
              <w:t>NGAs/PPAs</w:t>
            </w:r>
          </w:p>
        </w:tc>
        <w:tc>
          <w:tcPr>
            <w:tcW w:w="1456" w:type="dxa"/>
          </w:tcPr>
          <w:p>
            <w:pPr>
              <w:spacing w:line="276" w:lineRule="auto"/>
              <w:ind w:right="-7"/>
              <w:jc w:val="center"/>
              <w:rPr>
                <w:b/>
                <w:bCs/>
                <w:sz w:val="22"/>
                <w:szCs w:val="22"/>
              </w:rPr>
            </w:pPr>
            <w:r>
              <w:rPr>
                <w:b/>
                <w:bCs/>
                <w:sz w:val="22"/>
                <w:szCs w:val="22"/>
              </w:rPr>
              <w:t>Amount</w:t>
            </w:r>
          </w:p>
        </w:tc>
        <w:tc>
          <w:tcPr>
            <w:tcW w:w="5200" w:type="dxa"/>
          </w:tcPr>
          <w:p>
            <w:pPr>
              <w:spacing w:line="276" w:lineRule="auto"/>
              <w:ind w:right="-7"/>
              <w:jc w:val="center"/>
              <w:rPr>
                <w:b/>
                <w:bCs/>
                <w:sz w:val="22"/>
                <w:szCs w:val="22"/>
              </w:rPr>
            </w:pPr>
            <w:r>
              <w:rPr>
                <w:b/>
                <w:bCs/>
                <w:sz w:val="22"/>
                <w:szCs w:val="22"/>
              </w:rPr>
              <w:t>Remarks (from CAO)</w:t>
            </w:r>
          </w:p>
        </w:tc>
      </w:tr>
      <w:tr>
        <w:tc>
          <w:tcPr>
            <w:tcW w:w="1974" w:type="dxa"/>
            <w:vAlign w:val="center"/>
          </w:tcPr>
          <w:p>
            <w:pPr>
              <w:spacing w:line="276" w:lineRule="auto"/>
              <w:ind w:right="-7"/>
              <w:rPr>
                <w:bCs/>
                <w:sz w:val="22"/>
                <w:szCs w:val="22"/>
              </w:rPr>
            </w:pPr>
            <w:r>
              <w:rPr>
                <w:bCs/>
                <w:sz w:val="22"/>
                <w:szCs w:val="22"/>
              </w:rPr>
              <w:t>DOH-</w:t>
            </w:r>
            <w:proofErr w:type="spellStart"/>
            <w:r>
              <w:rPr>
                <w:bCs/>
                <w:sz w:val="22"/>
                <w:szCs w:val="22"/>
              </w:rPr>
              <w:t>Garantisadong</w:t>
            </w:r>
            <w:proofErr w:type="spellEnd"/>
            <w:r>
              <w:rPr>
                <w:bCs/>
                <w:sz w:val="22"/>
                <w:szCs w:val="22"/>
              </w:rPr>
              <w:t xml:space="preserve"> </w:t>
            </w:r>
            <w:proofErr w:type="spellStart"/>
            <w:r>
              <w:rPr>
                <w:bCs/>
                <w:sz w:val="22"/>
                <w:szCs w:val="22"/>
              </w:rPr>
              <w:t>Pambata</w:t>
            </w:r>
            <w:proofErr w:type="spellEnd"/>
          </w:p>
        </w:tc>
        <w:tc>
          <w:tcPr>
            <w:tcW w:w="1456" w:type="dxa"/>
            <w:vAlign w:val="center"/>
          </w:tcPr>
          <w:p>
            <w:pPr>
              <w:spacing w:line="276" w:lineRule="auto"/>
              <w:ind w:right="-7"/>
              <w:jc w:val="right"/>
              <w:rPr>
                <w:bCs/>
                <w:sz w:val="22"/>
                <w:szCs w:val="22"/>
              </w:rPr>
            </w:pPr>
            <w:r>
              <w:rPr>
                <w:bCs/>
                <w:sz w:val="22"/>
                <w:szCs w:val="22"/>
              </w:rPr>
              <w:t>(907.40)</w:t>
            </w:r>
          </w:p>
        </w:tc>
        <w:tc>
          <w:tcPr>
            <w:tcW w:w="5200" w:type="dxa"/>
            <w:vMerge w:val="restart"/>
          </w:tcPr>
          <w:p>
            <w:pPr>
              <w:spacing w:line="276" w:lineRule="auto"/>
              <w:ind w:right="-7"/>
              <w:jc w:val="both"/>
              <w:rPr>
                <w:bCs/>
                <w:sz w:val="22"/>
                <w:szCs w:val="22"/>
              </w:rPr>
            </w:pPr>
            <w:r>
              <w:rPr>
                <w:bCs/>
                <w:sz w:val="22"/>
                <w:szCs w:val="22"/>
              </w:rPr>
              <w:t>The balances might be caused by errors in recording the utilization in prior years. Though reconciliation was conducted, records show no specific trails causing the negative balances. If proven due to over utilization of funds, the office will request the LCE to include in the Supplemental Budget the replenishment of fund used for these PPAs.</w:t>
            </w:r>
          </w:p>
        </w:tc>
      </w:tr>
      <w:tr>
        <w:tc>
          <w:tcPr>
            <w:tcW w:w="1974" w:type="dxa"/>
            <w:vAlign w:val="center"/>
          </w:tcPr>
          <w:p>
            <w:pPr>
              <w:spacing w:line="276" w:lineRule="auto"/>
              <w:ind w:right="-7"/>
              <w:rPr>
                <w:bCs/>
                <w:sz w:val="22"/>
                <w:szCs w:val="22"/>
              </w:rPr>
            </w:pPr>
            <w:r>
              <w:rPr>
                <w:bCs/>
                <w:sz w:val="22"/>
                <w:szCs w:val="22"/>
              </w:rPr>
              <w:t>DOH-Matching Grant</w:t>
            </w:r>
          </w:p>
        </w:tc>
        <w:tc>
          <w:tcPr>
            <w:tcW w:w="1456" w:type="dxa"/>
            <w:vAlign w:val="center"/>
          </w:tcPr>
          <w:p>
            <w:pPr>
              <w:spacing w:line="276" w:lineRule="auto"/>
              <w:ind w:right="-7"/>
              <w:jc w:val="right"/>
              <w:rPr>
                <w:bCs/>
                <w:sz w:val="22"/>
                <w:szCs w:val="22"/>
              </w:rPr>
            </w:pPr>
            <w:r>
              <w:rPr>
                <w:bCs/>
                <w:sz w:val="22"/>
                <w:szCs w:val="22"/>
              </w:rPr>
              <w:t>(2,831.90)</w:t>
            </w:r>
          </w:p>
        </w:tc>
        <w:tc>
          <w:tcPr>
            <w:tcW w:w="5200" w:type="dxa"/>
            <w:vMerge/>
          </w:tcPr>
          <w:p>
            <w:pPr>
              <w:spacing w:line="276" w:lineRule="auto"/>
              <w:ind w:right="-7"/>
              <w:jc w:val="both"/>
              <w:rPr>
                <w:bCs/>
                <w:sz w:val="22"/>
                <w:szCs w:val="22"/>
              </w:rPr>
            </w:pPr>
          </w:p>
        </w:tc>
      </w:tr>
      <w:tr>
        <w:tc>
          <w:tcPr>
            <w:tcW w:w="1974" w:type="dxa"/>
            <w:vAlign w:val="center"/>
          </w:tcPr>
          <w:p>
            <w:pPr>
              <w:spacing w:line="276" w:lineRule="auto"/>
              <w:ind w:right="-7"/>
              <w:rPr>
                <w:bCs/>
                <w:sz w:val="22"/>
                <w:szCs w:val="22"/>
              </w:rPr>
            </w:pPr>
            <w:r>
              <w:rPr>
                <w:bCs/>
                <w:sz w:val="22"/>
                <w:szCs w:val="22"/>
              </w:rPr>
              <w:t>DOH-Orchid Award</w:t>
            </w:r>
          </w:p>
        </w:tc>
        <w:tc>
          <w:tcPr>
            <w:tcW w:w="1456" w:type="dxa"/>
            <w:vAlign w:val="center"/>
          </w:tcPr>
          <w:p>
            <w:pPr>
              <w:spacing w:line="276" w:lineRule="auto"/>
              <w:ind w:right="-7"/>
              <w:jc w:val="right"/>
              <w:rPr>
                <w:bCs/>
                <w:sz w:val="22"/>
                <w:szCs w:val="22"/>
              </w:rPr>
            </w:pPr>
            <w:r>
              <w:rPr>
                <w:bCs/>
                <w:sz w:val="22"/>
                <w:szCs w:val="22"/>
              </w:rPr>
              <w:t>(76,033.00)</w:t>
            </w:r>
          </w:p>
        </w:tc>
        <w:tc>
          <w:tcPr>
            <w:tcW w:w="5200" w:type="dxa"/>
            <w:vMerge/>
          </w:tcPr>
          <w:p>
            <w:pPr>
              <w:spacing w:line="276" w:lineRule="auto"/>
              <w:ind w:right="-7"/>
              <w:jc w:val="both"/>
              <w:rPr>
                <w:bCs/>
                <w:sz w:val="22"/>
                <w:szCs w:val="22"/>
              </w:rPr>
            </w:pPr>
          </w:p>
        </w:tc>
      </w:tr>
      <w:tr>
        <w:tc>
          <w:tcPr>
            <w:tcW w:w="1974" w:type="dxa"/>
            <w:vAlign w:val="center"/>
          </w:tcPr>
          <w:p>
            <w:pPr>
              <w:spacing w:line="276" w:lineRule="auto"/>
              <w:ind w:right="-7"/>
              <w:rPr>
                <w:bCs/>
                <w:sz w:val="22"/>
                <w:szCs w:val="22"/>
              </w:rPr>
            </w:pPr>
            <w:r>
              <w:rPr>
                <w:bCs/>
                <w:sz w:val="22"/>
                <w:szCs w:val="22"/>
              </w:rPr>
              <w:t>DOH-Capitation Fees</w:t>
            </w:r>
          </w:p>
        </w:tc>
        <w:tc>
          <w:tcPr>
            <w:tcW w:w="1456" w:type="dxa"/>
            <w:vAlign w:val="center"/>
          </w:tcPr>
          <w:p>
            <w:pPr>
              <w:spacing w:line="276" w:lineRule="auto"/>
              <w:ind w:right="-7"/>
              <w:jc w:val="right"/>
              <w:rPr>
                <w:bCs/>
                <w:sz w:val="22"/>
                <w:szCs w:val="22"/>
              </w:rPr>
            </w:pPr>
            <w:r>
              <w:rPr>
                <w:bCs/>
                <w:sz w:val="22"/>
                <w:szCs w:val="22"/>
              </w:rPr>
              <w:t>(1,512.56)</w:t>
            </w:r>
          </w:p>
        </w:tc>
        <w:tc>
          <w:tcPr>
            <w:tcW w:w="5200" w:type="dxa"/>
          </w:tcPr>
          <w:p>
            <w:pPr>
              <w:spacing w:line="276" w:lineRule="auto"/>
              <w:ind w:right="-7"/>
              <w:jc w:val="both"/>
              <w:rPr>
                <w:bCs/>
                <w:sz w:val="22"/>
                <w:szCs w:val="22"/>
              </w:rPr>
            </w:pPr>
            <w:r>
              <w:rPr>
                <w:bCs/>
                <w:sz w:val="22"/>
                <w:szCs w:val="22"/>
              </w:rPr>
              <w:t>During the year, analysis and reconciliation of this account was made. Items identified to be chargeable on this account was recorded and adjusted. Further reconciliation will be done for the remaining negative balances.</w:t>
            </w:r>
          </w:p>
        </w:tc>
      </w:tr>
      <w:tr>
        <w:trPr>
          <w:trHeight w:val="2058"/>
        </w:trPr>
        <w:tc>
          <w:tcPr>
            <w:tcW w:w="1974" w:type="dxa"/>
            <w:vMerge w:val="restart"/>
            <w:vAlign w:val="center"/>
          </w:tcPr>
          <w:p>
            <w:pPr>
              <w:spacing w:line="276" w:lineRule="auto"/>
              <w:ind w:right="-7"/>
              <w:rPr>
                <w:bCs/>
                <w:sz w:val="22"/>
                <w:szCs w:val="22"/>
              </w:rPr>
            </w:pPr>
            <w:r>
              <w:rPr>
                <w:bCs/>
                <w:sz w:val="22"/>
                <w:szCs w:val="22"/>
              </w:rPr>
              <w:t>PHI-Maternal Care Package</w:t>
            </w:r>
          </w:p>
        </w:tc>
        <w:tc>
          <w:tcPr>
            <w:tcW w:w="1456" w:type="dxa"/>
            <w:vAlign w:val="center"/>
          </w:tcPr>
          <w:p>
            <w:pPr>
              <w:spacing w:line="276" w:lineRule="auto"/>
              <w:ind w:right="-7"/>
              <w:jc w:val="right"/>
              <w:rPr>
                <w:bCs/>
                <w:sz w:val="22"/>
                <w:szCs w:val="22"/>
              </w:rPr>
            </w:pPr>
            <w:r>
              <w:rPr>
                <w:bCs/>
                <w:sz w:val="22"/>
                <w:szCs w:val="22"/>
              </w:rPr>
              <w:t>(156,165.20)</w:t>
            </w:r>
          </w:p>
        </w:tc>
        <w:tc>
          <w:tcPr>
            <w:tcW w:w="5200" w:type="dxa"/>
            <w:vMerge w:val="restart"/>
          </w:tcPr>
          <w:p>
            <w:pPr>
              <w:spacing w:line="276" w:lineRule="auto"/>
              <w:ind w:right="-7"/>
              <w:jc w:val="both"/>
              <w:rPr>
                <w:bCs/>
                <w:sz w:val="22"/>
                <w:szCs w:val="22"/>
              </w:rPr>
            </w:pPr>
            <w:r>
              <w:rPr>
                <w:bCs/>
                <w:sz w:val="22"/>
                <w:szCs w:val="22"/>
              </w:rPr>
              <w:t>The resulting negative balances are utilizations properly charged to source account. However, there were receipts credited to bank account/s that are not yet recorded in the books due to lack of supporting documents and/or credit advice furnished to CAO. Letter request for the corresponding Credit Memos were sent to the bank, copy furnished to COA, in coordination with the implementing offices for assistance in securing the CMs. However, only limited copies were received by the accounting office. Continued follow-up on the request for CM and coordination with the proper office and/or PHIC is on-going.</w:t>
            </w:r>
          </w:p>
        </w:tc>
      </w:tr>
      <w:tr>
        <w:trPr>
          <w:trHeight w:val="1655"/>
        </w:trPr>
        <w:tc>
          <w:tcPr>
            <w:tcW w:w="1974" w:type="dxa"/>
            <w:vMerge/>
          </w:tcPr>
          <w:p>
            <w:pPr>
              <w:spacing w:line="276" w:lineRule="auto"/>
              <w:ind w:right="-7"/>
              <w:jc w:val="both"/>
              <w:rPr>
                <w:bCs/>
                <w:sz w:val="22"/>
                <w:szCs w:val="22"/>
              </w:rPr>
            </w:pPr>
          </w:p>
        </w:tc>
        <w:tc>
          <w:tcPr>
            <w:tcW w:w="1456" w:type="dxa"/>
            <w:vAlign w:val="center"/>
          </w:tcPr>
          <w:p>
            <w:pPr>
              <w:spacing w:line="276" w:lineRule="auto"/>
              <w:ind w:right="-7"/>
              <w:jc w:val="right"/>
              <w:rPr>
                <w:bCs/>
                <w:sz w:val="22"/>
                <w:szCs w:val="22"/>
              </w:rPr>
            </w:pPr>
            <w:r>
              <w:rPr>
                <w:bCs/>
                <w:sz w:val="22"/>
                <w:szCs w:val="22"/>
              </w:rPr>
              <w:t>(240,621.72)</w:t>
            </w:r>
          </w:p>
        </w:tc>
        <w:tc>
          <w:tcPr>
            <w:tcW w:w="5200" w:type="dxa"/>
            <w:vMerge/>
          </w:tcPr>
          <w:p>
            <w:pPr>
              <w:spacing w:line="276" w:lineRule="auto"/>
              <w:ind w:right="-7"/>
              <w:jc w:val="both"/>
              <w:rPr>
                <w:bCs/>
                <w:sz w:val="22"/>
                <w:szCs w:val="22"/>
              </w:rPr>
            </w:pPr>
          </w:p>
        </w:tc>
      </w:tr>
      <w:tr>
        <w:tc>
          <w:tcPr>
            <w:tcW w:w="1974" w:type="dxa"/>
          </w:tcPr>
          <w:p>
            <w:pPr>
              <w:spacing w:line="276" w:lineRule="auto"/>
              <w:ind w:right="-7"/>
              <w:jc w:val="both"/>
              <w:rPr>
                <w:b/>
                <w:bCs/>
                <w:sz w:val="22"/>
                <w:szCs w:val="22"/>
              </w:rPr>
            </w:pPr>
            <w:r>
              <w:rPr>
                <w:b/>
                <w:bCs/>
                <w:sz w:val="22"/>
                <w:szCs w:val="22"/>
              </w:rPr>
              <w:t>Total</w:t>
            </w:r>
          </w:p>
        </w:tc>
        <w:tc>
          <w:tcPr>
            <w:tcW w:w="1456" w:type="dxa"/>
          </w:tcPr>
          <w:p>
            <w:pPr>
              <w:spacing w:line="276" w:lineRule="auto"/>
              <w:ind w:right="-7"/>
              <w:jc w:val="right"/>
              <w:rPr>
                <w:b/>
                <w:bCs/>
                <w:sz w:val="22"/>
                <w:szCs w:val="22"/>
              </w:rPr>
            </w:pPr>
            <w:r>
              <w:rPr>
                <w:b/>
                <w:bCs/>
                <w:sz w:val="22"/>
                <w:szCs w:val="22"/>
              </w:rPr>
              <w:t>(478,071.78)</w:t>
            </w:r>
          </w:p>
        </w:tc>
        <w:tc>
          <w:tcPr>
            <w:tcW w:w="5200" w:type="dxa"/>
          </w:tcPr>
          <w:p>
            <w:pPr>
              <w:spacing w:line="276" w:lineRule="auto"/>
              <w:ind w:right="-7"/>
              <w:jc w:val="both"/>
              <w:rPr>
                <w:bCs/>
                <w:sz w:val="22"/>
                <w:szCs w:val="22"/>
              </w:rPr>
            </w:pPr>
          </w:p>
        </w:tc>
      </w:tr>
    </w:tbl>
    <w:p>
      <w:pPr>
        <w:spacing w:line="276" w:lineRule="auto"/>
        <w:ind w:right="-7"/>
        <w:jc w:val="both"/>
        <w:rPr>
          <w:bCs/>
        </w:rPr>
      </w:pPr>
    </w:p>
    <w:p>
      <w:pPr>
        <w:spacing w:line="276" w:lineRule="auto"/>
        <w:ind w:right="270"/>
        <w:jc w:val="both"/>
        <w:rPr>
          <w:color w:val="FF0000"/>
        </w:rPr>
      </w:pPr>
    </w:p>
    <w:p>
      <w:pPr>
        <w:pStyle w:val="ListParagraph"/>
        <w:numPr>
          <w:ilvl w:val="0"/>
          <w:numId w:val="1"/>
        </w:numPr>
        <w:spacing w:after="0"/>
        <w:ind w:left="426" w:right="270" w:hanging="426"/>
        <w:rPr>
          <w:rFonts w:ascii="Times New Roman" w:hAnsi="Times New Roman"/>
          <w:b/>
          <w:sz w:val="24"/>
          <w:szCs w:val="24"/>
        </w:rPr>
      </w:pPr>
      <w:r>
        <w:rPr>
          <w:rFonts w:ascii="Times New Roman" w:hAnsi="Times New Roman"/>
          <w:b/>
          <w:sz w:val="24"/>
          <w:szCs w:val="24"/>
        </w:rPr>
        <w:t>COMPLIANCE AUDIT</w:t>
      </w:r>
    </w:p>
    <w:p>
      <w:pPr>
        <w:spacing w:line="276" w:lineRule="auto"/>
        <w:ind w:right="270"/>
        <w:rPr>
          <w:i/>
        </w:rPr>
      </w:pPr>
    </w:p>
    <w:p>
      <w:pPr>
        <w:spacing w:line="276" w:lineRule="auto"/>
        <w:jc w:val="both"/>
        <w:rPr>
          <w:b/>
          <w:bCs/>
          <w:i/>
        </w:rPr>
      </w:pPr>
      <w:r>
        <w:rPr>
          <w:b/>
          <w:bCs/>
          <w:i/>
        </w:rPr>
        <w:t>20% DF – Insufficient documentation on PPAs expressed in generic terms</w:t>
      </w:r>
    </w:p>
    <w:p>
      <w:pPr>
        <w:spacing w:line="276" w:lineRule="auto"/>
        <w:ind w:right="270"/>
        <w:rPr>
          <w:b/>
          <w:i/>
        </w:rPr>
      </w:pPr>
    </w:p>
    <w:p>
      <w:pPr>
        <w:pStyle w:val="ListParagraph"/>
        <w:numPr>
          <w:ilvl w:val="0"/>
          <w:numId w:val="3"/>
        </w:numPr>
        <w:spacing w:after="0"/>
        <w:ind w:left="0" w:firstLine="0"/>
        <w:jc w:val="both"/>
        <w:rPr>
          <w:rFonts w:ascii="Times New Roman" w:hAnsi="Times New Roman"/>
          <w:b/>
          <w:sz w:val="24"/>
          <w:szCs w:val="24"/>
        </w:rPr>
      </w:pPr>
      <w:r>
        <w:rPr>
          <w:rFonts w:ascii="Times New Roman" w:hAnsi="Times New Roman"/>
          <w:b/>
          <w:sz w:val="24"/>
          <w:szCs w:val="24"/>
        </w:rPr>
        <w:t xml:space="preserve">Contracts covering the specific projects charged under Program/ Projects/ Activities (PPAs) of 20% Development Fund with appropriation expressed in generic terms are considered irregular transactions due to insufficient documentation to show compliance with Section 22(c) of RA No. 7160, The Local </w:t>
      </w:r>
      <w:r>
        <w:rPr>
          <w:rFonts w:ascii="Times New Roman" w:hAnsi="Times New Roman"/>
          <w:b/>
          <w:sz w:val="24"/>
          <w:szCs w:val="24"/>
        </w:rPr>
        <w:lastRenderedPageBreak/>
        <w:t>Government Codes of 1991 and COA Memorandum No. 2010-014 dated April 22, 2010.</w:t>
      </w:r>
    </w:p>
    <w:p>
      <w:pPr>
        <w:spacing w:line="276" w:lineRule="auto"/>
        <w:jc w:val="both"/>
        <w:rPr>
          <w:rFonts w:eastAsia="Calibri"/>
          <w:b/>
          <w:lang w:val="en-PH"/>
        </w:rPr>
      </w:pPr>
    </w:p>
    <w:p>
      <w:pPr>
        <w:spacing w:line="276" w:lineRule="auto"/>
        <w:jc w:val="both"/>
        <w:rPr>
          <w:color w:val="000000"/>
        </w:rPr>
      </w:pPr>
      <w:r>
        <w:rPr>
          <w:color w:val="000000"/>
        </w:rPr>
        <w:t>Section 22(c) of Republic Act No. 7160 (The Local Government Code of 1991) which states:</w:t>
      </w:r>
    </w:p>
    <w:p>
      <w:pPr>
        <w:spacing w:line="276" w:lineRule="auto"/>
        <w:ind w:left="360" w:firstLine="720"/>
        <w:jc w:val="both"/>
        <w:rPr>
          <w:i/>
          <w:color w:val="000000"/>
        </w:rPr>
      </w:pPr>
    </w:p>
    <w:p>
      <w:pPr>
        <w:autoSpaceDE w:val="0"/>
        <w:autoSpaceDN w:val="0"/>
        <w:adjustRightInd w:val="0"/>
        <w:spacing w:line="276" w:lineRule="auto"/>
        <w:ind w:left="720" w:right="702"/>
        <w:jc w:val="both"/>
        <w:rPr>
          <w:lang w:eastAsia="en-PH"/>
        </w:rPr>
      </w:pPr>
      <w:r>
        <w:rPr>
          <w:lang w:eastAsia="en-PH"/>
        </w:rPr>
        <w:t xml:space="preserve">Unless otherwise provided in this Code, no contract may be entered into by the local chief executive in behalf of the local government unit without prior authorization by the </w:t>
      </w:r>
      <w:proofErr w:type="spellStart"/>
      <w:r>
        <w:rPr>
          <w:lang w:eastAsia="en-PH"/>
        </w:rPr>
        <w:t>sanggunian</w:t>
      </w:r>
      <w:proofErr w:type="spellEnd"/>
      <w:r>
        <w:rPr>
          <w:lang w:eastAsia="en-PH"/>
        </w:rPr>
        <w:t xml:space="preserve"> concerned.</w:t>
      </w:r>
    </w:p>
    <w:p>
      <w:pPr>
        <w:spacing w:line="276" w:lineRule="auto"/>
        <w:ind w:firstLine="720"/>
        <w:jc w:val="both"/>
        <w:rPr>
          <w:color w:val="000000"/>
        </w:rPr>
      </w:pPr>
    </w:p>
    <w:p>
      <w:pPr>
        <w:spacing w:line="276" w:lineRule="auto"/>
        <w:jc w:val="both"/>
        <w:rPr>
          <w:color w:val="000000"/>
        </w:rPr>
      </w:pPr>
      <w:r>
        <w:rPr>
          <w:color w:val="000000"/>
        </w:rPr>
        <w:t>Also, COA Memorandum No. 2010-014 dated April 22, 2010, adopted the Supreme Court ruling in the case of Hon. Gabriel Luis Quisumbing, et al. vs. Hon. Gwendolyn F. Garcia, et al., G.R. No. 175527, promulgated on December 8, 2009, as follows:</w:t>
      </w:r>
    </w:p>
    <w:p>
      <w:pPr>
        <w:spacing w:line="276" w:lineRule="auto"/>
        <w:ind w:firstLine="720"/>
        <w:jc w:val="both"/>
        <w:rPr>
          <w:color w:val="000000"/>
        </w:rPr>
      </w:pPr>
    </w:p>
    <w:p>
      <w:pPr>
        <w:widowControl w:val="0"/>
        <w:spacing w:line="276" w:lineRule="auto"/>
        <w:ind w:left="720" w:right="702"/>
        <w:jc w:val="both"/>
        <w:rPr>
          <w:spacing w:val="-1"/>
        </w:rPr>
      </w:pPr>
      <w:r>
        <w:rPr>
          <w:spacing w:val="-1"/>
        </w:rPr>
        <w:t xml:space="preserve">…xxx…should the appropriation ordinance describe the project in generic terms such as ‘infrastructure project’, ‘inter-municipal waterworks, drainage and sewerage, flood control, and irrigation systems projects’, ‘reclamation projects’ or ‘roads and bridges,’ there is obvious need for a covering contract for every specific project that in turn requires approval by the </w:t>
      </w:r>
      <w:proofErr w:type="spellStart"/>
      <w:r>
        <w:rPr>
          <w:spacing w:val="-1"/>
        </w:rPr>
        <w:t>sanggunian</w:t>
      </w:r>
      <w:proofErr w:type="spellEnd"/>
      <w:r>
        <w:rPr>
          <w:spacing w:val="-1"/>
        </w:rPr>
        <w:t>…xxx…</w:t>
      </w:r>
    </w:p>
    <w:p>
      <w:pPr>
        <w:spacing w:line="276" w:lineRule="auto"/>
        <w:jc w:val="both"/>
      </w:pPr>
      <w:r>
        <w:tab/>
      </w:r>
    </w:p>
    <w:p>
      <w:pPr>
        <w:spacing w:line="276" w:lineRule="auto"/>
        <w:jc w:val="both"/>
      </w:pPr>
      <w:r>
        <w:t>Section 3.1 of COA Circular No. 2012-003 defines “Irregular Expenditures” as follows:</w:t>
      </w:r>
    </w:p>
    <w:p>
      <w:pPr>
        <w:spacing w:line="276" w:lineRule="auto"/>
        <w:ind w:firstLine="720"/>
        <w:jc w:val="both"/>
      </w:pPr>
    </w:p>
    <w:p>
      <w:pPr>
        <w:spacing w:line="276" w:lineRule="auto"/>
        <w:ind w:left="720" w:right="702"/>
        <w:jc w:val="both"/>
      </w:pPr>
      <w:r>
        <w:t>“The term "irregular expenditure" signifies an expenditure incurred without adhering to established rules, regulations, procedural guidelines, policies, principles or practices that have gained recognition in laws. Irregular expenditures are incurred if funds are disbursed without conforming with prescribed usages and rules of discipline. There is no observance of an established pattern, course, mode of action, behavior, or conduct in the incurrence of an irregular expenditure. A transaction conducted in a manner that deviates or departs from, or which does not comply with standards set is deemed irregular. A transaction which fails to follow or violates appropriate rules of procedure is, likewise, irregular.”</w:t>
      </w:r>
    </w:p>
    <w:p>
      <w:pPr>
        <w:spacing w:line="276" w:lineRule="auto"/>
        <w:jc w:val="both"/>
      </w:pPr>
    </w:p>
    <w:p>
      <w:pPr>
        <w:spacing w:line="276" w:lineRule="auto"/>
        <w:jc w:val="both"/>
      </w:pPr>
      <w:r>
        <w:t>Verification of the Annual Investment Program (AIP) for CY 2022 and the Annual and Supplemental Budgets for CY 2022 disclosed six Programs/Projects/Activities (PPAs) under the 20% Development Fund that was presented in generic terms amounting to P132,000,000.00, viz:</w:t>
      </w:r>
    </w:p>
    <w:p>
      <w:pPr>
        <w:spacing w:line="276" w:lineRule="auto"/>
      </w:pPr>
    </w:p>
    <w:p>
      <w:pPr>
        <w:spacing w:line="276" w:lineRule="auto"/>
      </w:pPr>
    </w:p>
    <w:p>
      <w:pPr>
        <w:spacing w:line="276" w:lineRule="auto"/>
        <w:ind w:firstLine="360"/>
        <w:rPr>
          <w:i/>
        </w:rPr>
      </w:pPr>
      <w:r>
        <w:lastRenderedPageBreak/>
        <w:t xml:space="preserve"> </w:t>
      </w:r>
      <w:r>
        <w:rPr>
          <w:i/>
        </w:rPr>
        <w:t>Table 8.1. 20% DF Projects with Generic Titles (CY 2022 Appropriations)</w:t>
      </w:r>
    </w:p>
    <w:tbl>
      <w:tblPr>
        <w:tblStyle w:val="TableGrid31"/>
        <w:tblW w:w="7809" w:type="dxa"/>
        <w:jc w:val="center"/>
        <w:tblLook w:val="04A0" w:firstRow="1" w:lastRow="0" w:firstColumn="1" w:lastColumn="0" w:noHBand="0" w:noVBand="1"/>
      </w:tblPr>
      <w:tblGrid>
        <w:gridCol w:w="6083"/>
        <w:gridCol w:w="1726"/>
      </w:tblGrid>
      <w:tr>
        <w:trPr>
          <w:jc w:val="center"/>
        </w:trPr>
        <w:tc>
          <w:tcPr>
            <w:tcW w:w="6093" w:type="dxa"/>
            <w:vAlign w:val="center"/>
          </w:tcPr>
          <w:p>
            <w:pPr>
              <w:spacing w:line="276" w:lineRule="auto"/>
              <w:jc w:val="center"/>
              <w:rPr>
                <w:rFonts w:eastAsia="Calibri"/>
                <w:b/>
                <w:sz w:val="22"/>
                <w:szCs w:val="22"/>
              </w:rPr>
            </w:pPr>
            <w:r>
              <w:rPr>
                <w:rFonts w:eastAsia="Calibri"/>
                <w:b/>
                <w:sz w:val="22"/>
                <w:szCs w:val="22"/>
              </w:rPr>
              <w:t>Program/Project/Activity</w:t>
            </w:r>
          </w:p>
        </w:tc>
        <w:tc>
          <w:tcPr>
            <w:tcW w:w="1716" w:type="dxa"/>
            <w:vAlign w:val="center"/>
          </w:tcPr>
          <w:p>
            <w:pPr>
              <w:spacing w:line="276" w:lineRule="auto"/>
              <w:jc w:val="center"/>
              <w:rPr>
                <w:rFonts w:eastAsia="Calibri"/>
                <w:b/>
                <w:sz w:val="22"/>
                <w:szCs w:val="22"/>
              </w:rPr>
            </w:pPr>
            <w:r>
              <w:rPr>
                <w:rFonts w:eastAsia="Calibri"/>
                <w:b/>
                <w:sz w:val="22"/>
                <w:szCs w:val="22"/>
              </w:rPr>
              <w:t>Appropriated Amount</w:t>
            </w:r>
          </w:p>
        </w:tc>
      </w:tr>
      <w:tr>
        <w:trPr>
          <w:jc w:val="center"/>
        </w:trPr>
        <w:tc>
          <w:tcPr>
            <w:tcW w:w="7809" w:type="dxa"/>
            <w:gridSpan w:val="2"/>
            <w:shd w:val="clear" w:color="auto" w:fill="B4C6E7"/>
          </w:tcPr>
          <w:p>
            <w:pPr>
              <w:spacing w:line="276" w:lineRule="auto"/>
              <w:jc w:val="center"/>
              <w:rPr>
                <w:b/>
                <w:sz w:val="22"/>
                <w:szCs w:val="22"/>
              </w:rPr>
            </w:pPr>
            <w:r>
              <w:rPr>
                <w:b/>
                <w:sz w:val="22"/>
                <w:szCs w:val="22"/>
              </w:rPr>
              <w:t>CY 2022 – Current Appropriation</w:t>
            </w:r>
          </w:p>
        </w:tc>
      </w:tr>
      <w:tr>
        <w:trPr>
          <w:jc w:val="center"/>
        </w:trPr>
        <w:tc>
          <w:tcPr>
            <w:tcW w:w="6093" w:type="dxa"/>
          </w:tcPr>
          <w:p>
            <w:pPr>
              <w:numPr>
                <w:ilvl w:val="0"/>
                <w:numId w:val="21"/>
              </w:numPr>
              <w:spacing w:line="276" w:lineRule="auto"/>
              <w:ind w:left="393"/>
              <w:contextualSpacing/>
              <w:rPr>
                <w:sz w:val="22"/>
                <w:szCs w:val="22"/>
              </w:rPr>
            </w:pPr>
            <w:r>
              <w:rPr>
                <w:sz w:val="22"/>
                <w:szCs w:val="22"/>
              </w:rPr>
              <w:t>Land Banking, Citywide</w:t>
            </w:r>
          </w:p>
        </w:tc>
        <w:tc>
          <w:tcPr>
            <w:tcW w:w="1716" w:type="dxa"/>
          </w:tcPr>
          <w:p>
            <w:pPr>
              <w:spacing w:line="276" w:lineRule="auto"/>
              <w:jc w:val="right"/>
              <w:rPr>
                <w:sz w:val="22"/>
                <w:szCs w:val="22"/>
              </w:rPr>
            </w:pPr>
            <w:r>
              <w:rPr>
                <w:sz w:val="22"/>
                <w:szCs w:val="22"/>
              </w:rPr>
              <w:t>P10,000,000.00</w:t>
            </w:r>
          </w:p>
        </w:tc>
      </w:tr>
      <w:tr>
        <w:trPr>
          <w:jc w:val="center"/>
        </w:trPr>
        <w:tc>
          <w:tcPr>
            <w:tcW w:w="6093" w:type="dxa"/>
          </w:tcPr>
          <w:p>
            <w:pPr>
              <w:numPr>
                <w:ilvl w:val="0"/>
                <w:numId w:val="21"/>
              </w:numPr>
              <w:spacing w:line="276" w:lineRule="auto"/>
              <w:ind w:left="393"/>
              <w:contextualSpacing/>
              <w:rPr>
                <w:sz w:val="22"/>
                <w:szCs w:val="22"/>
              </w:rPr>
            </w:pPr>
            <w:r>
              <w:rPr>
                <w:sz w:val="22"/>
                <w:szCs w:val="22"/>
              </w:rPr>
              <w:t>Site Development for Resettlement Areas, Citywide</w:t>
            </w:r>
          </w:p>
        </w:tc>
        <w:tc>
          <w:tcPr>
            <w:tcW w:w="1716" w:type="dxa"/>
          </w:tcPr>
          <w:p>
            <w:pPr>
              <w:spacing w:line="276" w:lineRule="auto"/>
              <w:jc w:val="right"/>
              <w:rPr>
                <w:sz w:val="22"/>
                <w:szCs w:val="22"/>
              </w:rPr>
            </w:pPr>
            <w:r>
              <w:rPr>
                <w:sz w:val="22"/>
                <w:szCs w:val="22"/>
              </w:rPr>
              <w:t>1,000,000.00</w:t>
            </w:r>
          </w:p>
        </w:tc>
      </w:tr>
      <w:tr>
        <w:trPr>
          <w:jc w:val="center"/>
        </w:trPr>
        <w:tc>
          <w:tcPr>
            <w:tcW w:w="6093" w:type="dxa"/>
          </w:tcPr>
          <w:p>
            <w:pPr>
              <w:numPr>
                <w:ilvl w:val="0"/>
                <w:numId w:val="21"/>
              </w:numPr>
              <w:spacing w:line="276" w:lineRule="auto"/>
              <w:ind w:left="393"/>
              <w:contextualSpacing/>
              <w:rPr>
                <w:sz w:val="22"/>
                <w:szCs w:val="22"/>
              </w:rPr>
            </w:pPr>
            <w:r>
              <w:rPr>
                <w:sz w:val="22"/>
                <w:szCs w:val="22"/>
              </w:rPr>
              <w:t>Upgrading of Local Access Road-Urban Areas, Citywide</w:t>
            </w:r>
          </w:p>
        </w:tc>
        <w:tc>
          <w:tcPr>
            <w:tcW w:w="1716" w:type="dxa"/>
          </w:tcPr>
          <w:p>
            <w:pPr>
              <w:spacing w:line="276" w:lineRule="auto"/>
              <w:jc w:val="right"/>
              <w:rPr>
                <w:sz w:val="22"/>
                <w:szCs w:val="22"/>
              </w:rPr>
            </w:pPr>
            <w:r>
              <w:rPr>
                <w:sz w:val="22"/>
                <w:szCs w:val="22"/>
              </w:rPr>
              <w:t>6,000,000.00</w:t>
            </w:r>
          </w:p>
        </w:tc>
      </w:tr>
      <w:tr>
        <w:trPr>
          <w:jc w:val="center"/>
        </w:trPr>
        <w:tc>
          <w:tcPr>
            <w:tcW w:w="6093" w:type="dxa"/>
          </w:tcPr>
          <w:p>
            <w:pPr>
              <w:numPr>
                <w:ilvl w:val="0"/>
                <w:numId w:val="21"/>
              </w:numPr>
              <w:spacing w:line="276" w:lineRule="auto"/>
              <w:ind w:left="393"/>
              <w:contextualSpacing/>
              <w:rPr>
                <w:sz w:val="22"/>
                <w:szCs w:val="22"/>
              </w:rPr>
            </w:pPr>
            <w:r>
              <w:rPr>
                <w:sz w:val="22"/>
                <w:szCs w:val="22"/>
              </w:rPr>
              <w:t>Construction of Drainage, Citywide</w:t>
            </w:r>
          </w:p>
        </w:tc>
        <w:tc>
          <w:tcPr>
            <w:tcW w:w="1716" w:type="dxa"/>
          </w:tcPr>
          <w:p>
            <w:pPr>
              <w:spacing w:line="276" w:lineRule="auto"/>
              <w:jc w:val="right"/>
              <w:rPr>
                <w:sz w:val="22"/>
                <w:szCs w:val="22"/>
              </w:rPr>
            </w:pPr>
            <w:r>
              <w:rPr>
                <w:sz w:val="22"/>
                <w:szCs w:val="22"/>
              </w:rPr>
              <w:t>50,000,000.00</w:t>
            </w:r>
          </w:p>
        </w:tc>
      </w:tr>
      <w:tr>
        <w:trPr>
          <w:jc w:val="center"/>
        </w:trPr>
        <w:tc>
          <w:tcPr>
            <w:tcW w:w="6093" w:type="dxa"/>
          </w:tcPr>
          <w:p>
            <w:pPr>
              <w:numPr>
                <w:ilvl w:val="0"/>
                <w:numId w:val="21"/>
              </w:numPr>
              <w:spacing w:line="276" w:lineRule="auto"/>
              <w:ind w:left="393"/>
              <w:contextualSpacing/>
              <w:rPr>
                <w:sz w:val="22"/>
                <w:szCs w:val="22"/>
              </w:rPr>
            </w:pPr>
            <w:r>
              <w:rPr>
                <w:sz w:val="22"/>
                <w:szCs w:val="22"/>
              </w:rPr>
              <w:t>Road Rehabilitation Program (Asphalting of Roads), Citywide</w:t>
            </w:r>
          </w:p>
        </w:tc>
        <w:tc>
          <w:tcPr>
            <w:tcW w:w="1716" w:type="dxa"/>
          </w:tcPr>
          <w:p>
            <w:pPr>
              <w:spacing w:line="276" w:lineRule="auto"/>
              <w:jc w:val="right"/>
              <w:rPr>
                <w:sz w:val="22"/>
                <w:szCs w:val="22"/>
              </w:rPr>
            </w:pPr>
            <w:r>
              <w:rPr>
                <w:sz w:val="22"/>
                <w:szCs w:val="22"/>
              </w:rPr>
              <w:t>20,000,000.00</w:t>
            </w:r>
          </w:p>
        </w:tc>
      </w:tr>
      <w:tr>
        <w:trPr>
          <w:jc w:val="center"/>
        </w:trPr>
        <w:tc>
          <w:tcPr>
            <w:tcW w:w="6093" w:type="dxa"/>
          </w:tcPr>
          <w:p>
            <w:pPr>
              <w:numPr>
                <w:ilvl w:val="0"/>
                <w:numId w:val="21"/>
              </w:numPr>
              <w:spacing w:line="276" w:lineRule="auto"/>
              <w:ind w:left="393"/>
              <w:contextualSpacing/>
              <w:rPr>
                <w:sz w:val="22"/>
                <w:szCs w:val="22"/>
              </w:rPr>
            </w:pPr>
            <w:r>
              <w:rPr>
                <w:sz w:val="22"/>
                <w:szCs w:val="22"/>
              </w:rPr>
              <w:t>Upgrading of Local Access Road, Citywide</w:t>
            </w:r>
          </w:p>
        </w:tc>
        <w:tc>
          <w:tcPr>
            <w:tcW w:w="1716" w:type="dxa"/>
          </w:tcPr>
          <w:p>
            <w:pPr>
              <w:spacing w:line="276" w:lineRule="auto"/>
              <w:jc w:val="right"/>
              <w:rPr>
                <w:sz w:val="22"/>
                <w:szCs w:val="22"/>
              </w:rPr>
            </w:pPr>
            <w:r>
              <w:rPr>
                <w:sz w:val="22"/>
                <w:szCs w:val="22"/>
              </w:rPr>
              <w:t>45,000,000.00</w:t>
            </w:r>
          </w:p>
        </w:tc>
      </w:tr>
      <w:tr>
        <w:trPr>
          <w:jc w:val="center"/>
        </w:trPr>
        <w:tc>
          <w:tcPr>
            <w:tcW w:w="6093" w:type="dxa"/>
          </w:tcPr>
          <w:p>
            <w:pPr>
              <w:spacing w:line="276" w:lineRule="auto"/>
              <w:rPr>
                <w:b/>
                <w:sz w:val="22"/>
                <w:szCs w:val="22"/>
              </w:rPr>
            </w:pPr>
            <w:r>
              <w:rPr>
                <w:b/>
                <w:sz w:val="22"/>
                <w:szCs w:val="22"/>
              </w:rPr>
              <w:t>Total</w:t>
            </w:r>
          </w:p>
        </w:tc>
        <w:tc>
          <w:tcPr>
            <w:tcW w:w="1716" w:type="dxa"/>
          </w:tcPr>
          <w:p>
            <w:pPr>
              <w:spacing w:line="276" w:lineRule="auto"/>
              <w:jc w:val="right"/>
              <w:rPr>
                <w:b/>
                <w:sz w:val="22"/>
                <w:szCs w:val="22"/>
              </w:rPr>
            </w:pPr>
            <w:r>
              <w:rPr>
                <w:b/>
                <w:sz w:val="22"/>
                <w:szCs w:val="22"/>
              </w:rPr>
              <w:t>P132,000,000.00</w:t>
            </w:r>
          </w:p>
        </w:tc>
      </w:tr>
    </w:tbl>
    <w:p>
      <w:pPr>
        <w:spacing w:line="276" w:lineRule="auto"/>
        <w:ind w:firstLine="720"/>
        <w:jc w:val="both"/>
      </w:pPr>
    </w:p>
    <w:p>
      <w:pPr>
        <w:spacing w:line="276" w:lineRule="auto"/>
        <w:jc w:val="both"/>
      </w:pPr>
      <w:r>
        <w:t>On the other hand, verification of the Statement of Appropriations, Allotments, Obligations and Balances (SAAOB) as at December 31, 2023 also disclosed that eight projects from CYs 2019-2021 with an appropriated amount of P30,899,800.00 were also expressed in generic terms. The said projects have already incurred obligations in prior years amounting to P21,137,840.85 while balance of continuing appropriations in CY 2022 amounts to P9,761,959.15. Details are shown in Table 8.2.</w:t>
      </w:r>
    </w:p>
    <w:p>
      <w:pPr>
        <w:spacing w:line="276" w:lineRule="auto"/>
        <w:jc w:val="both"/>
      </w:pPr>
    </w:p>
    <w:p>
      <w:pPr>
        <w:spacing w:line="276" w:lineRule="auto"/>
        <w:jc w:val="both"/>
        <w:rPr>
          <w:i/>
        </w:rPr>
      </w:pPr>
      <w:r>
        <w:rPr>
          <w:i/>
        </w:rPr>
        <w:t>Table 8.2. 20% DF Projects with Generic Titles (CYs 2019-2021 Continuing Appropriations)</w:t>
      </w:r>
    </w:p>
    <w:tbl>
      <w:tblPr>
        <w:tblStyle w:val="TableGrid31"/>
        <w:tblW w:w="8815" w:type="dxa"/>
        <w:jc w:val="center"/>
        <w:tblLook w:val="04A0" w:firstRow="1" w:lastRow="0" w:firstColumn="1" w:lastColumn="0" w:noHBand="0" w:noVBand="1"/>
      </w:tblPr>
      <w:tblGrid>
        <w:gridCol w:w="3526"/>
        <w:gridCol w:w="1743"/>
        <w:gridCol w:w="1743"/>
        <w:gridCol w:w="1803"/>
      </w:tblGrid>
      <w:tr>
        <w:trPr>
          <w:tblHeader/>
          <w:jc w:val="center"/>
        </w:trPr>
        <w:tc>
          <w:tcPr>
            <w:tcW w:w="3606" w:type="dxa"/>
            <w:vAlign w:val="center"/>
          </w:tcPr>
          <w:p>
            <w:pPr>
              <w:spacing w:line="276" w:lineRule="auto"/>
              <w:jc w:val="center"/>
              <w:rPr>
                <w:b/>
              </w:rPr>
            </w:pPr>
            <w:r>
              <w:rPr>
                <w:b/>
              </w:rPr>
              <w:t>Program/Project/Activity</w:t>
            </w:r>
          </w:p>
        </w:tc>
        <w:tc>
          <w:tcPr>
            <w:tcW w:w="1743" w:type="dxa"/>
            <w:vAlign w:val="center"/>
          </w:tcPr>
          <w:p>
            <w:pPr>
              <w:spacing w:line="276" w:lineRule="auto"/>
              <w:jc w:val="center"/>
              <w:rPr>
                <w:b/>
              </w:rPr>
            </w:pPr>
            <w:r>
              <w:rPr>
                <w:b/>
              </w:rPr>
              <w:t>Appropriated Amount</w:t>
            </w:r>
          </w:p>
        </w:tc>
        <w:tc>
          <w:tcPr>
            <w:tcW w:w="1743" w:type="dxa"/>
            <w:vAlign w:val="center"/>
          </w:tcPr>
          <w:p>
            <w:pPr>
              <w:spacing w:line="276" w:lineRule="auto"/>
              <w:jc w:val="center"/>
              <w:rPr>
                <w:b/>
              </w:rPr>
            </w:pPr>
            <w:r>
              <w:rPr>
                <w:b/>
              </w:rPr>
              <w:t>Obligations Incurred</w:t>
            </w:r>
          </w:p>
        </w:tc>
        <w:tc>
          <w:tcPr>
            <w:tcW w:w="1723" w:type="dxa"/>
            <w:vAlign w:val="center"/>
          </w:tcPr>
          <w:p>
            <w:pPr>
              <w:spacing w:line="276" w:lineRule="auto"/>
              <w:jc w:val="center"/>
              <w:rPr>
                <w:b/>
              </w:rPr>
            </w:pPr>
            <w:r>
              <w:rPr>
                <w:b/>
              </w:rPr>
              <w:t>Continuing Appropriations</w:t>
            </w:r>
          </w:p>
          <w:p>
            <w:pPr>
              <w:spacing w:line="276" w:lineRule="auto"/>
              <w:jc w:val="center"/>
              <w:rPr>
                <w:b/>
              </w:rPr>
            </w:pPr>
            <w:r>
              <w:rPr>
                <w:b/>
              </w:rPr>
              <w:t>in CY 2022</w:t>
            </w:r>
          </w:p>
        </w:tc>
      </w:tr>
      <w:tr>
        <w:trPr>
          <w:jc w:val="center"/>
        </w:trPr>
        <w:tc>
          <w:tcPr>
            <w:tcW w:w="8815" w:type="dxa"/>
            <w:gridSpan w:val="4"/>
            <w:shd w:val="clear" w:color="auto" w:fill="B4C6E7"/>
          </w:tcPr>
          <w:p>
            <w:pPr>
              <w:spacing w:line="276" w:lineRule="auto"/>
              <w:jc w:val="center"/>
              <w:rPr>
                <w:b/>
              </w:rPr>
            </w:pPr>
            <w:r>
              <w:rPr>
                <w:b/>
              </w:rPr>
              <w:t>CY 2021</w:t>
            </w:r>
          </w:p>
        </w:tc>
      </w:tr>
      <w:tr>
        <w:trPr>
          <w:jc w:val="center"/>
        </w:trPr>
        <w:tc>
          <w:tcPr>
            <w:tcW w:w="3606" w:type="dxa"/>
          </w:tcPr>
          <w:p>
            <w:pPr>
              <w:numPr>
                <w:ilvl w:val="0"/>
                <w:numId w:val="22"/>
              </w:numPr>
              <w:spacing w:line="276" w:lineRule="auto"/>
              <w:ind w:left="390"/>
              <w:contextualSpacing/>
            </w:pPr>
            <w:r>
              <w:t>Land Banking, Citywide</w:t>
            </w:r>
          </w:p>
        </w:tc>
        <w:tc>
          <w:tcPr>
            <w:tcW w:w="1743" w:type="dxa"/>
          </w:tcPr>
          <w:p>
            <w:pPr>
              <w:spacing w:line="276" w:lineRule="auto"/>
              <w:jc w:val="right"/>
            </w:pPr>
            <w:r>
              <w:t>P14,199,800.00</w:t>
            </w:r>
          </w:p>
        </w:tc>
        <w:tc>
          <w:tcPr>
            <w:tcW w:w="1743" w:type="dxa"/>
            <w:vAlign w:val="center"/>
          </w:tcPr>
          <w:p>
            <w:pPr>
              <w:spacing w:line="276" w:lineRule="auto"/>
              <w:jc w:val="right"/>
            </w:pPr>
            <w:r>
              <w:t>P10,907,348.26</w:t>
            </w:r>
          </w:p>
        </w:tc>
        <w:tc>
          <w:tcPr>
            <w:tcW w:w="1723" w:type="dxa"/>
          </w:tcPr>
          <w:p>
            <w:pPr>
              <w:spacing w:line="276" w:lineRule="auto"/>
              <w:jc w:val="right"/>
            </w:pPr>
            <w:r>
              <w:t>P3,292,451.74</w:t>
            </w:r>
          </w:p>
        </w:tc>
      </w:tr>
      <w:tr>
        <w:trPr>
          <w:jc w:val="center"/>
        </w:trPr>
        <w:tc>
          <w:tcPr>
            <w:tcW w:w="3606" w:type="dxa"/>
            <w:vAlign w:val="center"/>
          </w:tcPr>
          <w:p>
            <w:pPr>
              <w:numPr>
                <w:ilvl w:val="0"/>
                <w:numId w:val="22"/>
              </w:numPr>
              <w:spacing w:line="276" w:lineRule="auto"/>
              <w:ind w:left="390"/>
              <w:contextualSpacing/>
            </w:pPr>
            <w:r>
              <w:t>Site Development for Resettlement Areas, Citywide</w:t>
            </w:r>
          </w:p>
        </w:tc>
        <w:tc>
          <w:tcPr>
            <w:tcW w:w="1743" w:type="dxa"/>
            <w:vAlign w:val="center"/>
          </w:tcPr>
          <w:p>
            <w:pPr>
              <w:spacing w:line="276" w:lineRule="auto"/>
              <w:jc w:val="right"/>
            </w:pPr>
            <w:r>
              <w:t>5,000,000.00</w:t>
            </w:r>
          </w:p>
        </w:tc>
        <w:tc>
          <w:tcPr>
            <w:tcW w:w="1743" w:type="dxa"/>
            <w:vAlign w:val="center"/>
          </w:tcPr>
          <w:p>
            <w:pPr>
              <w:spacing w:line="276" w:lineRule="auto"/>
              <w:jc w:val="right"/>
            </w:pPr>
            <w:r>
              <w:t>889,511.87</w:t>
            </w:r>
          </w:p>
        </w:tc>
        <w:tc>
          <w:tcPr>
            <w:tcW w:w="1723" w:type="dxa"/>
            <w:vAlign w:val="center"/>
          </w:tcPr>
          <w:p>
            <w:pPr>
              <w:spacing w:line="276" w:lineRule="auto"/>
              <w:jc w:val="right"/>
            </w:pPr>
            <w:r>
              <w:t>4,110,488.13</w:t>
            </w:r>
          </w:p>
        </w:tc>
      </w:tr>
      <w:tr>
        <w:trPr>
          <w:jc w:val="center"/>
        </w:trPr>
        <w:tc>
          <w:tcPr>
            <w:tcW w:w="3606" w:type="dxa"/>
            <w:vAlign w:val="center"/>
          </w:tcPr>
          <w:p>
            <w:pPr>
              <w:numPr>
                <w:ilvl w:val="0"/>
                <w:numId w:val="22"/>
              </w:numPr>
              <w:spacing w:line="276" w:lineRule="auto"/>
              <w:ind w:left="390"/>
              <w:contextualSpacing/>
            </w:pPr>
            <w:r>
              <w:t>Rural Urban Electrification, Citywide</w:t>
            </w:r>
          </w:p>
        </w:tc>
        <w:tc>
          <w:tcPr>
            <w:tcW w:w="1743" w:type="dxa"/>
            <w:vAlign w:val="center"/>
          </w:tcPr>
          <w:p>
            <w:pPr>
              <w:spacing w:line="276" w:lineRule="auto"/>
              <w:jc w:val="right"/>
            </w:pPr>
            <w:r>
              <w:t>2,000,000.00</w:t>
            </w:r>
          </w:p>
        </w:tc>
        <w:tc>
          <w:tcPr>
            <w:tcW w:w="1743" w:type="dxa"/>
            <w:vAlign w:val="center"/>
          </w:tcPr>
          <w:p>
            <w:pPr>
              <w:spacing w:line="276" w:lineRule="auto"/>
              <w:jc w:val="right"/>
            </w:pPr>
            <w:r>
              <w:t>1,467,937.07</w:t>
            </w:r>
          </w:p>
        </w:tc>
        <w:tc>
          <w:tcPr>
            <w:tcW w:w="1723" w:type="dxa"/>
            <w:vAlign w:val="center"/>
          </w:tcPr>
          <w:p>
            <w:pPr>
              <w:spacing w:line="276" w:lineRule="auto"/>
              <w:jc w:val="right"/>
            </w:pPr>
            <w:r>
              <w:t>532,062.93</w:t>
            </w:r>
          </w:p>
        </w:tc>
      </w:tr>
      <w:tr>
        <w:trPr>
          <w:trHeight w:val="305"/>
          <w:jc w:val="center"/>
        </w:trPr>
        <w:tc>
          <w:tcPr>
            <w:tcW w:w="3606" w:type="dxa"/>
            <w:vAlign w:val="center"/>
          </w:tcPr>
          <w:p>
            <w:pPr>
              <w:numPr>
                <w:ilvl w:val="0"/>
                <w:numId w:val="22"/>
              </w:numPr>
              <w:spacing w:line="276" w:lineRule="auto"/>
              <w:ind w:left="390"/>
              <w:contextualSpacing/>
            </w:pPr>
            <w:r>
              <w:t>Re-blocking of Road, Citywide</w:t>
            </w:r>
          </w:p>
        </w:tc>
        <w:tc>
          <w:tcPr>
            <w:tcW w:w="1743" w:type="dxa"/>
            <w:vAlign w:val="center"/>
          </w:tcPr>
          <w:p>
            <w:pPr>
              <w:spacing w:line="276" w:lineRule="auto"/>
              <w:jc w:val="right"/>
            </w:pPr>
            <w:r>
              <w:t>3,000,000.00</w:t>
            </w:r>
          </w:p>
        </w:tc>
        <w:tc>
          <w:tcPr>
            <w:tcW w:w="1743" w:type="dxa"/>
            <w:vAlign w:val="center"/>
          </w:tcPr>
          <w:p>
            <w:pPr>
              <w:spacing w:line="276" w:lineRule="auto"/>
              <w:jc w:val="right"/>
            </w:pPr>
            <w:r>
              <w:t>2,698,351.80</w:t>
            </w:r>
          </w:p>
        </w:tc>
        <w:tc>
          <w:tcPr>
            <w:tcW w:w="1723" w:type="dxa"/>
            <w:vAlign w:val="center"/>
          </w:tcPr>
          <w:p>
            <w:pPr>
              <w:spacing w:line="276" w:lineRule="auto"/>
              <w:jc w:val="right"/>
            </w:pPr>
            <w:r>
              <w:t>301,648.20</w:t>
            </w:r>
          </w:p>
        </w:tc>
      </w:tr>
      <w:tr>
        <w:trPr>
          <w:trHeight w:val="305"/>
          <w:jc w:val="center"/>
        </w:trPr>
        <w:tc>
          <w:tcPr>
            <w:tcW w:w="3606" w:type="dxa"/>
            <w:vAlign w:val="center"/>
          </w:tcPr>
          <w:p>
            <w:pPr>
              <w:spacing w:line="276" w:lineRule="auto"/>
              <w:rPr>
                <w:b/>
                <w:i/>
              </w:rPr>
            </w:pPr>
            <w:r>
              <w:rPr>
                <w:b/>
                <w:i/>
              </w:rPr>
              <w:t>Sub-total</w:t>
            </w:r>
          </w:p>
        </w:tc>
        <w:tc>
          <w:tcPr>
            <w:tcW w:w="1743" w:type="dxa"/>
            <w:vAlign w:val="center"/>
          </w:tcPr>
          <w:p>
            <w:pPr>
              <w:spacing w:line="276" w:lineRule="auto"/>
              <w:jc w:val="right"/>
              <w:rPr>
                <w:b/>
                <w:i/>
              </w:rPr>
            </w:pPr>
            <w:r>
              <w:rPr>
                <w:b/>
                <w:i/>
              </w:rPr>
              <w:t>24,199,800.00</w:t>
            </w:r>
          </w:p>
        </w:tc>
        <w:tc>
          <w:tcPr>
            <w:tcW w:w="1743" w:type="dxa"/>
          </w:tcPr>
          <w:p>
            <w:pPr>
              <w:spacing w:line="276" w:lineRule="auto"/>
              <w:jc w:val="right"/>
              <w:rPr>
                <w:b/>
                <w:i/>
              </w:rPr>
            </w:pPr>
            <w:r>
              <w:rPr>
                <w:b/>
                <w:i/>
              </w:rPr>
              <w:t>15,963,149.00</w:t>
            </w:r>
          </w:p>
        </w:tc>
        <w:tc>
          <w:tcPr>
            <w:tcW w:w="1723" w:type="dxa"/>
            <w:vAlign w:val="center"/>
          </w:tcPr>
          <w:p>
            <w:pPr>
              <w:spacing w:line="276" w:lineRule="auto"/>
              <w:jc w:val="right"/>
              <w:rPr>
                <w:b/>
                <w:i/>
              </w:rPr>
            </w:pPr>
            <w:r>
              <w:rPr>
                <w:b/>
                <w:i/>
              </w:rPr>
              <w:t>8,236,651.00</w:t>
            </w:r>
          </w:p>
        </w:tc>
      </w:tr>
      <w:tr>
        <w:trPr>
          <w:jc w:val="center"/>
        </w:trPr>
        <w:tc>
          <w:tcPr>
            <w:tcW w:w="8815" w:type="dxa"/>
            <w:gridSpan w:val="4"/>
            <w:shd w:val="clear" w:color="auto" w:fill="B4C6E7"/>
            <w:vAlign w:val="center"/>
          </w:tcPr>
          <w:p>
            <w:pPr>
              <w:spacing w:line="276" w:lineRule="auto"/>
              <w:jc w:val="center"/>
            </w:pPr>
            <w:r>
              <w:rPr>
                <w:b/>
              </w:rPr>
              <w:t>CY 2020</w:t>
            </w:r>
          </w:p>
        </w:tc>
      </w:tr>
      <w:tr>
        <w:trPr>
          <w:jc w:val="center"/>
        </w:trPr>
        <w:tc>
          <w:tcPr>
            <w:tcW w:w="3606" w:type="dxa"/>
            <w:vAlign w:val="center"/>
          </w:tcPr>
          <w:p>
            <w:pPr>
              <w:numPr>
                <w:ilvl w:val="0"/>
                <w:numId w:val="22"/>
              </w:numPr>
              <w:spacing w:line="276" w:lineRule="auto"/>
              <w:ind w:left="390"/>
              <w:contextualSpacing/>
            </w:pPr>
            <w:r>
              <w:t>Site Development for Resettlement Areas, Various Barangays</w:t>
            </w:r>
          </w:p>
        </w:tc>
        <w:tc>
          <w:tcPr>
            <w:tcW w:w="1743" w:type="dxa"/>
            <w:vAlign w:val="center"/>
          </w:tcPr>
          <w:p>
            <w:pPr>
              <w:spacing w:line="276" w:lineRule="auto"/>
              <w:jc w:val="right"/>
            </w:pPr>
            <w:r>
              <w:t>1,000,000.00</w:t>
            </w:r>
          </w:p>
        </w:tc>
        <w:tc>
          <w:tcPr>
            <w:tcW w:w="1743" w:type="dxa"/>
            <w:vAlign w:val="center"/>
          </w:tcPr>
          <w:p>
            <w:pPr>
              <w:spacing w:line="276" w:lineRule="auto"/>
              <w:jc w:val="right"/>
            </w:pPr>
            <w:r>
              <w:t>919,656.71</w:t>
            </w:r>
          </w:p>
        </w:tc>
        <w:tc>
          <w:tcPr>
            <w:tcW w:w="1723" w:type="dxa"/>
            <w:vAlign w:val="center"/>
          </w:tcPr>
          <w:p>
            <w:pPr>
              <w:spacing w:line="276" w:lineRule="auto"/>
              <w:jc w:val="right"/>
            </w:pPr>
            <w:r>
              <w:t>80,343.29</w:t>
            </w:r>
          </w:p>
        </w:tc>
      </w:tr>
      <w:tr>
        <w:trPr>
          <w:jc w:val="center"/>
        </w:trPr>
        <w:tc>
          <w:tcPr>
            <w:tcW w:w="3606" w:type="dxa"/>
            <w:vAlign w:val="center"/>
          </w:tcPr>
          <w:p>
            <w:pPr>
              <w:numPr>
                <w:ilvl w:val="0"/>
                <w:numId w:val="22"/>
              </w:numPr>
              <w:spacing w:line="276" w:lineRule="auto"/>
              <w:ind w:left="390"/>
              <w:contextualSpacing/>
            </w:pPr>
            <w:r>
              <w:t>Rural Urban Electrification, Citywide</w:t>
            </w:r>
          </w:p>
        </w:tc>
        <w:tc>
          <w:tcPr>
            <w:tcW w:w="1743" w:type="dxa"/>
            <w:vAlign w:val="center"/>
          </w:tcPr>
          <w:p>
            <w:pPr>
              <w:spacing w:line="276" w:lineRule="auto"/>
              <w:jc w:val="right"/>
            </w:pPr>
            <w:r>
              <w:t>2,000,000.00</w:t>
            </w:r>
          </w:p>
        </w:tc>
        <w:tc>
          <w:tcPr>
            <w:tcW w:w="1743" w:type="dxa"/>
            <w:vAlign w:val="center"/>
          </w:tcPr>
          <w:p>
            <w:pPr>
              <w:spacing w:line="276" w:lineRule="auto"/>
              <w:jc w:val="right"/>
            </w:pPr>
            <w:r>
              <w:t>1,227,707.46</w:t>
            </w:r>
          </w:p>
        </w:tc>
        <w:tc>
          <w:tcPr>
            <w:tcW w:w="1723" w:type="dxa"/>
            <w:vAlign w:val="center"/>
          </w:tcPr>
          <w:p>
            <w:pPr>
              <w:spacing w:line="276" w:lineRule="auto"/>
              <w:jc w:val="right"/>
            </w:pPr>
            <w:r>
              <w:t>772,292.54</w:t>
            </w:r>
          </w:p>
        </w:tc>
      </w:tr>
      <w:tr>
        <w:trPr>
          <w:jc w:val="center"/>
        </w:trPr>
        <w:tc>
          <w:tcPr>
            <w:tcW w:w="3606" w:type="dxa"/>
            <w:vAlign w:val="center"/>
          </w:tcPr>
          <w:p>
            <w:pPr>
              <w:spacing w:line="276" w:lineRule="auto"/>
              <w:rPr>
                <w:i/>
              </w:rPr>
            </w:pPr>
            <w:r>
              <w:rPr>
                <w:b/>
                <w:i/>
              </w:rPr>
              <w:t>Sub-total</w:t>
            </w:r>
          </w:p>
        </w:tc>
        <w:tc>
          <w:tcPr>
            <w:tcW w:w="1743" w:type="dxa"/>
            <w:vAlign w:val="center"/>
          </w:tcPr>
          <w:p>
            <w:pPr>
              <w:spacing w:line="276" w:lineRule="auto"/>
              <w:jc w:val="right"/>
              <w:rPr>
                <w:b/>
                <w:i/>
              </w:rPr>
            </w:pPr>
            <w:r>
              <w:rPr>
                <w:b/>
                <w:i/>
              </w:rPr>
              <w:t>3,000,000.00</w:t>
            </w:r>
          </w:p>
        </w:tc>
        <w:tc>
          <w:tcPr>
            <w:tcW w:w="1743" w:type="dxa"/>
          </w:tcPr>
          <w:p>
            <w:pPr>
              <w:spacing w:line="276" w:lineRule="auto"/>
              <w:jc w:val="right"/>
              <w:rPr>
                <w:b/>
                <w:i/>
              </w:rPr>
            </w:pPr>
            <w:r>
              <w:rPr>
                <w:b/>
                <w:i/>
              </w:rPr>
              <w:t>2,147,364.17</w:t>
            </w:r>
          </w:p>
        </w:tc>
        <w:tc>
          <w:tcPr>
            <w:tcW w:w="1723" w:type="dxa"/>
            <w:vAlign w:val="center"/>
          </w:tcPr>
          <w:p>
            <w:pPr>
              <w:spacing w:line="276" w:lineRule="auto"/>
              <w:jc w:val="right"/>
              <w:rPr>
                <w:b/>
                <w:i/>
              </w:rPr>
            </w:pPr>
            <w:r>
              <w:rPr>
                <w:b/>
                <w:i/>
              </w:rPr>
              <w:t>852,635.83</w:t>
            </w:r>
          </w:p>
        </w:tc>
      </w:tr>
      <w:tr>
        <w:trPr>
          <w:jc w:val="center"/>
        </w:trPr>
        <w:tc>
          <w:tcPr>
            <w:tcW w:w="8815" w:type="dxa"/>
            <w:gridSpan w:val="4"/>
            <w:shd w:val="clear" w:color="auto" w:fill="B4C6E7"/>
            <w:vAlign w:val="center"/>
          </w:tcPr>
          <w:p>
            <w:pPr>
              <w:spacing w:line="276" w:lineRule="auto"/>
              <w:jc w:val="center"/>
            </w:pPr>
            <w:r>
              <w:rPr>
                <w:b/>
              </w:rPr>
              <w:lastRenderedPageBreak/>
              <w:t>CY 2019</w:t>
            </w:r>
          </w:p>
        </w:tc>
      </w:tr>
      <w:tr>
        <w:trPr>
          <w:jc w:val="center"/>
        </w:trPr>
        <w:tc>
          <w:tcPr>
            <w:tcW w:w="3606" w:type="dxa"/>
            <w:vAlign w:val="center"/>
          </w:tcPr>
          <w:p>
            <w:pPr>
              <w:numPr>
                <w:ilvl w:val="0"/>
                <w:numId w:val="22"/>
              </w:numPr>
              <w:spacing w:line="276" w:lineRule="auto"/>
              <w:ind w:left="390"/>
              <w:contextualSpacing/>
              <w:rPr>
                <w:b/>
              </w:rPr>
            </w:pPr>
            <w:r>
              <w:t>Site Development for Resettlement Areas, Citywide</w:t>
            </w:r>
          </w:p>
        </w:tc>
        <w:tc>
          <w:tcPr>
            <w:tcW w:w="1743" w:type="dxa"/>
            <w:vAlign w:val="center"/>
          </w:tcPr>
          <w:p>
            <w:pPr>
              <w:spacing w:line="276" w:lineRule="auto"/>
              <w:jc w:val="right"/>
            </w:pPr>
            <w:r>
              <w:t>1,000,000.00</w:t>
            </w:r>
          </w:p>
        </w:tc>
        <w:tc>
          <w:tcPr>
            <w:tcW w:w="1743" w:type="dxa"/>
            <w:vAlign w:val="center"/>
          </w:tcPr>
          <w:p>
            <w:pPr>
              <w:spacing w:line="276" w:lineRule="auto"/>
              <w:jc w:val="right"/>
            </w:pPr>
            <w:r>
              <w:t>561,102.03</w:t>
            </w:r>
          </w:p>
        </w:tc>
        <w:tc>
          <w:tcPr>
            <w:tcW w:w="1723" w:type="dxa"/>
            <w:vAlign w:val="center"/>
          </w:tcPr>
          <w:p>
            <w:pPr>
              <w:spacing w:line="276" w:lineRule="auto"/>
              <w:jc w:val="right"/>
            </w:pPr>
            <w:r>
              <w:t>438,897.97</w:t>
            </w:r>
          </w:p>
        </w:tc>
      </w:tr>
      <w:tr>
        <w:trPr>
          <w:jc w:val="center"/>
        </w:trPr>
        <w:tc>
          <w:tcPr>
            <w:tcW w:w="3606" w:type="dxa"/>
            <w:vAlign w:val="center"/>
          </w:tcPr>
          <w:p>
            <w:pPr>
              <w:numPr>
                <w:ilvl w:val="0"/>
                <w:numId w:val="22"/>
              </w:numPr>
              <w:spacing w:line="276" w:lineRule="auto"/>
              <w:ind w:left="390"/>
              <w:contextualSpacing/>
            </w:pPr>
            <w:r>
              <w:t>Road Rehabilitation, Citywide (including MRDP/DIDP Projects)</w:t>
            </w:r>
          </w:p>
        </w:tc>
        <w:tc>
          <w:tcPr>
            <w:tcW w:w="1743" w:type="dxa"/>
            <w:vAlign w:val="center"/>
          </w:tcPr>
          <w:p>
            <w:pPr>
              <w:spacing w:line="276" w:lineRule="auto"/>
              <w:jc w:val="right"/>
            </w:pPr>
            <w:r>
              <w:t>2,700,000.00</w:t>
            </w:r>
          </w:p>
        </w:tc>
        <w:tc>
          <w:tcPr>
            <w:tcW w:w="1743" w:type="dxa"/>
            <w:vAlign w:val="center"/>
          </w:tcPr>
          <w:p>
            <w:pPr>
              <w:spacing w:line="276" w:lineRule="auto"/>
              <w:jc w:val="right"/>
            </w:pPr>
            <w:r>
              <w:t>2,466,225.65</w:t>
            </w:r>
          </w:p>
        </w:tc>
        <w:tc>
          <w:tcPr>
            <w:tcW w:w="1723" w:type="dxa"/>
            <w:vAlign w:val="center"/>
          </w:tcPr>
          <w:p>
            <w:pPr>
              <w:spacing w:line="276" w:lineRule="auto"/>
              <w:jc w:val="right"/>
            </w:pPr>
            <w:r>
              <w:t>233,774.35</w:t>
            </w:r>
          </w:p>
        </w:tc>
      </w:tr>
      <w:tr>
        <w:trPr>
          <w:jc w:val="center"/>
        </w:trPr>
        <w:tc>
          <w:tcPr>
            <w:tcW w:w="3606" w:type="dxa"/>
            <w:vAlign w:val="center"/>
          </w:tcPr>
          <w:p>
            <w:pPr>
              <w:spacing w:line="276" w:lineRule="auto"/>
              <w:rPr>
                <w:i/>
              </w:rPr>
            </w:pPr>
            <w:r>
              <w:rPr>
                <w:b/>
                <w:i/>
              </w:rPr>
              <w:t>Sub-total</w:t>
            </w:r>
          </w:p>
        </w:tc>
        <w:tc>
          <w:tcPr>
            <w:tcW w:w="1743" w:type="dxa"/>
            <w:vAlign w:val="center"/>
          </w:tcPr>
          <w:p>
            <w:pPr>
              <w:spacing w:line="276" w:lineRule="auto"/>
              <w:jc w:val="right"/>
              <w:rPr>
                <w:b/>
                <w:i/>
              </w:rPr>
            </w:pPr>
            <w:r>
              <w:rPr>
                <w:b/>
                <w:i/>
              </w:rPr>
              <w:t>3,700,000.00</w:t>
            </w:r>
          </w:p>
        </w:tc>
        <w:tc>
          <w:tcPr>
            <w:tcW w:w="1743" w:type="dxa"/>
          </w:tcPr>
          <w:p>
            <w:pPr>
              <w:spacing w:line="276" w:lineRule="auto"/>
              <w:jc w:val="right"/>
              <w:rPr>
                <w:b/>
                <w:i/>
              </w:rPr>
            </w:pPr>
            <w:r>
              <w:rPr>
                <w:b/>
                <w:i/>
              </w:rPr>
              <w:t>3,027,327.68</w:t>
            </w:r>
          </w:p>
        </w:tc>
        <w:tc>
          <w:tcPr>
            <w:tcW w:w="1723" w:type="dxa"/>
            <w:vAlign w:val="center"/>
          </w:tcPr>
          <w:p>
            <w:pPr>
              <w:spacing w:line="276" w:lineRule="auto"/>
              <w:jc w:val="right"/>
              <w:rPr>
                <w:b/>
                <w:i/>
              </w:rPr>
            </w:pPr>
            <w:r>
              <w:rPr>
                <w:b/>
                <w:i/>
              </w:rPr>
              <w:t>672,672.32</w:t>
            </w:r>
          </w:p>
        </w:tc>
      </w:tr>
      <w:tr>
        <w:trPr>
          <w:jc w:val="center"/>
        </w:trPr>
        <w:tc>
          <w:tcPr>
            <w:tcW w:w="3606" w:type="dxa"/>
          </w:tcPr>
          <w:p>
            <w:pPr>
              <w:spacing w:line="276" w:lineRule="auto"/>
              <w:rPr>
                <w:b/>
              </w:rPr>
            </w:pPr>
            <w:r>
              <w:rPr>
                <w:b/>
              </w:rPr>
              <w:t>TOTAL</w:t>
            </w:r>
          </w:p>
        </w:tc>
        <w:tc>
          <w:tcPr>
            <w:tcW w:w="1743" w:type="dxa"/>
          </w:tcPr>
          <w:p>
            <w:pPr>
              <w:spacing w:line="276" w:lineRule="auto"/>
              <w:jc w:val="right"/>
              <w:rPr>
                <w:b/>
              </w:rPr>
            </w:pPr>
            <w:r>
              <w:rPr>
                <w:b/>
              </w:rPr>
              <w:t>P30,899,800.00</w:t>
            </w:r>
          </w:p>
        </w:tc>
        <w:tc>
          <w:tcPr>
            <w:tcW w:w="1743" w:type="dxa"/>
          </w:tcPr>
          <w:p>
            <w:pPr>
              <w:spacing w:line="276" w:lineRule="auto"/>
              <w:jc w:val="right"/>
              <w:rPr>
                <w:b/>
              </w:rPr>
            </w:pPr>
            <w:r>
              <w:rPr>
                <w:b/>
                <w:bCs/>
                <w:color w:val="000000"/>
              </w:rPr>
              <w:t>P21,137,840.85</w:t>
            </w:r>
          </w:p>
        </w:tc>
        <w:tc>
          <w:tcPr>
            <w:tcW w:w="1723" w:type="dxa"/>
          </w:tcPr>
          <w:p>
            <w:pPr>
              <w:spacing w:line="276" w:lineRule="auto"/>
              <w:jc w:val="right"/>
              <w:rPr>
                <w:b/>
              </w:rPr>
            </w:pPr>
            <w:r>
              <w:rPr>
                <w:b/>
              </w:rPr>
              <w:t>P9,761,959.15</w:t>
            </w:r>
          </w:p>
        </w:tc>
      </w:tr>
    </w:tbl>
    <w:p>
      <w:pPr>
        <w:spacing w:line="276" w:lineRule="auto"/>
      </w:pPr>
    </w:p>
    <w:p>
      <w:pPr>
        <w:spacing w:line="276" w:lineRule="auto"/>
        <w:jc w:val="both"/>
      </w:pPr>
      <w:r>
        <w:t>The description of the projects (as approved in the Annual/Supplemental Budget) cited in the previous tables were made using generic terms since there is a necessity to further determine both the actual amount to be expensed (project cost) and the actual purpose of the appropriation (in this case, the specific location of the project). Therefore, it cannot be said that the appropriation ordinance already indicates a “specific appropriation of money”.</w:t>
      </w:r>
    </w:p>
    <w:p>
      <w:pPr>
        <w:spacing w:line="276" w:lineRule="auto"/>
        <w:ind w:firstLine="720"/>
        <w:jc w:val="both"/>
      </w:pPr>
    </w:p>
    <w:p>
      <w:pPr>
        <w:spacing w:line="276" w:lineRule="auto"/>
        <w:jc w:val="both"/>
      </w:pPr>
      <w:r>
        <w:t xml:space="preserve">Out of the 14 projects mentioned above, 12 projects have been implemented in CY 2022. However, only the “Land Banking, Citywide” project where specific authorization to enter in to contract was obtained from the </w:t>
      </w:r>
      <w:proofErr w:type="spellStart"/>
      <w:r>
        <w:t>Sanggunian</w:t>
      </w:r>
      <w:proofErr w:type="spellEnd"/>
      <w:r>
        <w:t xml:space="preserve"> prior to the acquisition of land intended for housing relocation/resettlement of displaced households in the City.</w:t>
      </w:r>
    </w:p>
    <w:p>
      <w:pPr>
        <w:spacing w:line="276" w:lineRule="auto"/>
        <w:ind w:firstLine="720"/>
        <w:jc w:val="both"/>
      </w:pPr>
    </w:p>
    <w:p>
      <w:pPr>
        <w:spacing w:line="276" w:lineRule="auto"/>
        <w:jc w:val="both"/>
      </w:pPr>
      <w:r>
        <w:t xml:space="preserve">On the other hand, 11 generic projects (comprised of four projects under CY2022 appropriations and seven projects under CY 2019-2021 continuing appropriations) were further divided into 34 specific projects upon implementation. For instance, the CY 2022 project titled “Construction of Drainage, Citywide” with appropriation of P50,000,000.00 were broken down into two contracts with different locations. A “Road Rehabilitation Program (Asphalting of Road), Citywide” with current appropriation of P20,000,000.00 implemented by Administration were broken down into seven locations. Furthermore, in the prior years, CY 2021 project titled “Site Development for Resettlement Areas, Citywide” were broken down into three POWs/contracts, one of which were implemented in CY 2021 and two were implemented in CY 2022. The “Rural Urban Electrification, Citywide” with an appropriation from CY 2020 and 2021 of P2,000,000.00 each were also broken down into several work orders for the payment of bill deposit to Davao Light and Power Company (DLPC). The details are shown in </w:t>
      </w:r>
      <w:r>
        <w:rPr>
          <w:i/>
        </w:rPr>
        <w:t>Annex N</w:t>
      </w:r>
      <w:r>
        <w:t xml:space="preserve">. During evaluation of the transactions pertaining to these projects, documents showing specific authorization from the </w:t>
      </w:r>
      <w:proofErr w:type="spellStart"/>
      <w:r>
        <w:t>Sanggunian</w:t>
      </w:r>
      <w:proofErr w:type="spellEnd"/>
      <w:r>
        <w:t xml:space="preserve"> to enter in to contract for the implementation of 11 projects were insufficient.</w:t>
      </w:r>
    </w:p>
    <w:p>
      <w:pPr>
        <w:spacing w:line="276" w:lineRule="auto"/>
        <w:jc w:val="both"/>
      </w:pPr>
      <w:r>
        <w:lastRenderedPageBreak/>
        <w:t>The management explained that the locations and specific details of the questioned projects were already identified during the meeting of City Development Council prior to its inclusion in the AIP and Annual/Supplemental Budgets. However, the projects were only presented in the description as stated-above for brevity and maintained that the descriptions are not generic terms since it limits the disbursement to the intended specific purpose as incorporated in the appropriation ordinance although the location was termed “citywide”.</w:t>
      </w:r>
    </w:p>
    <w:p>
      <w:pPr>
        <w:spacing w:line="276" w:lineRule="auto"/>
        <w:ind w:firstLine="720"/>
        <w:jc w:val="both"/>
      </w:pPr>
    </w:p>
    <w:p>
      <w:pPr>
        <w:spacing w:line="276" w:lineRule="auto"/>
        <w:jc w:val="both"/>
      </w:pPr>
      <w:r>
        <w:t xml:space="preserve">The LGC defines appropriation as the authorization made by ordinance, directing the payment of goods and services from local government funds under specified conditions or for specific purposes. The 14 projects presented in Tables 8.1 and 8.2 were described with generic terms in the appropriation ordinances, therefore, there is a need to obtain specific authorization to enter in to contract from the </w:t>
      </w:r>
      <w:proofErr w:type="spellStart"/>
      <w:r>
        <w:t>Sanggunian</w:t>
      </w:r>
      <w:proofErr w:type="spellEnd"/>
      <w:r>
        <w:t xml:space="preserve"> prior to its implementation as provided under Section 22(c) of RA No. 7160, The Local Government Codes of 1991 and COA Memorandum No. 2010-014 dated April 22, 2010. The non-adherence to the latter provisions renders the transaction irregular.</w:t>
      </w:r>
    </w:p>
    <w:p>
      <w:pPr>
        <w:spacing w:line="276" w:lineRule="auto"/>
        <w:jc w:val="both"/>
      </w:pPr>
    </w:p>
    <w:p>
      <w:pPr>
        <w:spacing w:line="276" w:lineRule="auto"/>
        <w:jc w:val="both"/>
        <w:rPr>
          <w:b/>
        </w:rPr>
      </w:pPr>
      <w:r>
        <w:rPr>
          <w:b/>
        </w:rPr>
        <w:t xml:space="preserve">Recommendations: </w:t>
      </w:r>
    </w:p>
    <w:p>
      <w:pPr>
        <w:spacing w:line="276" w:lineRule="auto"/>
        <w:jc w:val="both"/>
      </w:pPr>
    </w:p>
    <w:p>
      <w:pPr>
        <w:spacing w:line="276" w:lineRule="auto"/>
        <w:jc w:val="both"/>
        <w:rPr>
          <w:lang w:eastAsia="en-PH"/>
        </w:rPr>
      </w:pPr>
      <w:r>
        <w:rPr>
          <w:lang w:eastAsia="en-PH"/>
        </w:rPr>
        <w:t>We recommended the City Mayor to:</w:t>
      </w:r>
    </w:p>
    <w:p>
      <w:pPr>
        <w:spacing w:line="276" w:lineRule="auto"/>
        <w:ind w:firstLine="720"/>
        <w:jc w:val="both"/>
        <w:rPr>
          <w:lang w:eastAsia="en-PH"/>
        </w:rPr>
      </w:pPr>
    </w:p>
    <w:p>
      <w:pPr>
        <w:numPr>
          <w:ilvl w:val="0"/>
          <w:numId w:val="23"/>
        </w:numPr>
        <w:spacing w:line="276" w:lineRule="auto"/>
        <w:ind w:left="360" w:hanging="360"/>
        <w:contextualSpacing/>
        <w:jc w:val="both"/>
        <w:rPr>
          <w:lang w:eastAsia="en-PH"/>
        </w:rPr>
      </w:pPr>
      <w:r>
        <w:rPr>
          <w:lang w:eastAsia="en-PH"/>
        </w:rPr>
        <w:t>Enjoin the Local Finance Committee (LFC) and the Proponent/Implementing Offices to avoid appropriation for PPAs with generic terms in the succeeding appropriation ordinances;</w:t>
      </w:r>
    </w:p>
    <w:p>
      <w:pPr>
        <w:spacing w:line="276" w:lineRule="auto"/>
        <w:ind w:left="360" w:hanging="360"/>
        <w:contextualSpacing/>
        <w:jc w:val="both"/>
        <w:rPr>
          <w:lang w:eastAsia="en-PH"/>
        </w:rPr>
      </w:pPr>
    </w:p>
    <w:p>
      <w:pPr>
        <w:numPr>
          <w:ilvl w:val="0"/>
          <w:numId w:val="23"/>
        </w:numPr>
        <w:spacing w:line="276" w:lineRule="auto"/>
        <w:ind w:left="360" w:hanging="360"/>
        <w:contextualSpacing/>
        <w:jc w:val="both"/>
        <w:rPr>
          <w:lang w:eastAsia="en-PH"/>
        </w:rPr>
      </w:pPr>
      <w:r>
        <w:rPr>
          <w:lang w:eastAsia="en-PH"/>
        </w:rPr>
        <w:t xml:space="preserve">If it is unavoidable to include PPAs with generic terms, ensure to secure specific authorization to enter in to contract from the </w:t>
      </w:r>
      <w:proofErr w:type="spellStart"/>
      <w:r>
        <w:rPr>
          <w:lang w:eastAsia="en-PH"/>
        </w:rPr>
        <w:t>Sanggunian</w:t>
      </w:r>
      <w:proofErr w:type="spellEnd"/>
      <w:r>
        <w:rPr>
          <w:lang w:eastAsia="en-PH"/>
        </w:rPr>
        <w:t xml:space="preserve"> prior to its implementation; and,</w:t>
      </w:r>
    </w:p>
    <w:p>
      <w:pPr>
        <w:spacing w:line="276" w:lineRule="auto"/>
        <w:ind w:left="360"/>
        <w:contextualSpacing/>
        <w:jc w:val="both"/>
        <w:rPr>
          <w:lang w:eastAsia="en-PH"/>
        </w:rPr>
      </w:pPr>
    </w:p>
    <w:p>
      <w:pPr>
        <w:numPr>
          <w:ilvl w:val="0"/>
          <w:numId w:val="23"/>
        </w:numPr>
        <w:spacing w:line="276" w:lineRule="auto"/>
        <w:ind w:left="360" w:hanging="360"/>
        <w:contextualSpacing/>
        <w:jc w:val="both"/>
        <w:rPr>
          <w:lang w:eastAsia="en-PH"/>
        </w:rPr>
      </w:pPr>
      <w:r>
        <w:t>Submit documents showing compliance to Section 22(c) of RA No. 7160, The Local Government Codes of 1991 and COA Memorandum No. 2010-014 dated April 22, 2010.</w:t>
      </w:r>
    </w:p>
    <w:p>
      <w:pPr>
        <w:spacing w:line="276" w:lineRule="auto"/>
        <w:ind w:right="162"/>
        <w:jc w:val="both"/>
        <w:rPr>
          <w:b/>
          <w:bCs/>
        </w:rPr>
      </w:pPr>
    </w:p>
    <w:p>
      <w:pPr>
        <w:spacing w:line="276" w:lineRule="auto"/>
        <w:ind w:right="162"/>
        <w:jc w:val="both"/>
        <w:rPr>
          <w:b/>
          <w:bCs/>
        </w:rPr>
      </w:pPr>
      <w:r>
        <w:rPr>
          <w:b/>
          <w:bCs/>
        </w:rPr>
        <w:t>Management’s Comment:</w:t>
      </w:r>
    </w:p>
    <w:p>
      <w:pPr>
        <w:spacing w:line="276" w:lineRule="auto"/>
        <w:ind w:right="162"/>
        <w:jc w:val="both"/>
      </w:pPr>
    </w:p>
    <w:p>
      <w:pPr>
        <w:spacing w:line="276" w:lineRule="auto"/>
        <w:ind w:right="162"/>
        <w:jc w:val="both"/>
        <w:rPr>
          <w:color w:val="FF0000"/>
        </w:rPr>
      </w:pPr>
      <w:r>
        <w:t xml:space="preserve">The management justified that the description of the budgetary items in question are not in generic terms since it is too specific that the disbursements are limited on the specific purpose as indicated in the appropriation ordinance despite that the location was termed as “citywide”. Further, projects included in the 20% Development Fund have been carefully deliberated during the City development Council meeting. The barangays in </w:t>
      </w:r>
      <w:r>
        <w:lastRenderedPageBreak/>
        <w:t>which the projects will be implemented were identified and approved by the council to be included in the AIP and Annual/Supplemental Budgets.</w:t>
      </w:r>
    </w:p>
    <w:p>
      <w:pPr>
        <w:spacing w:line="276" w:lineRule="auto"/>
        <w:ind w:right="162"/>
        <w:jc w:val="both"/>
      </w:pPr>
    </w:p>
    <w:p>
      <w:pPr>
        <w:spacing w:line="276" w:lineRule="auto"/>
        <w:ind w:right="162"/>
        <w:jc w:val="both"/>
      </w:pPr>
      <w:r>
        <w:t>Further, the LFC Chairperson committed to abide to the recommendations and to be keener in the provision of funds to different PPAs under the 20% Development Fund in the future. Furthermore, the LFC pledged to the close coordination with proponent/implementing office to ensure proper identification, prioritization and documentation of PPAs.</w:t>
      </w:r>
    </w:p>
    <w:p>
      <w:pPr>
        <w:spacing w:line="276" w:lineRule="auto"/>
        <w:ind w:right="162"/>
        <w:jc w:val="both"/>
      </w:pPr>
    </w:p>
    <w:p>
      <w:pPr>
        <w:spacing w:line="276" w:lineRule="auto"/>
        <w:ind w:right="-7"/>
        <w:jc w:val="both"/>
        <w:rPr>
          <w:b/>
          <w:bCs/>
        </w:rPr>
      </w:pPr>
      <w:r>
        <w:rPr>
          <w:b/>
          <w:bCs/>
        </w:rPr>
        <w:t>Auditor’s Rejoinder:</w:t>
      </w:r>
    </w:p>
    <w:p>
      <w:pPr>
        <w:spacing w:line="276" w:lineRule="auto"/>
        <w:ind w:right="270"/>
        <w:rPr>
          <w:color w:val="FF0000"/>
        </w:rPr>
      </w:pPr>
    </w:p>
    <w:p>
      <w:pPr>
        <w:spacing w:line="276" w:lineRule="auto"/>
        <w:ind w:right="270"/>
        <w:jc w:val="both"/>
        <w:rPr>
          <w:color w:val="FF0000"/>
        </w:rPr>
      </w:pPr>
      <w:r>
        <w:t xml:space="preserve">The management’s written reply and other supporting documents to support the above-stated justification were submitted to the audit team much later than the date of exit conference. Due to the delay in the submission of the written reply and supporting documents, the verification and evaluation thereof could not be completed within the finalization of this report. Thus, the audit decision shall be rendered by the audit team upon the completion of the verification and evaluation thereof. </w:t>
      </w:r>
    </w:p>
    <w:p>
      <w:pPr>
        <w:spacing w:line="276" w:lineRule="auto"/>
        <w:ind w:right="270"/>
        <w:rPr>
          <w:color w:val="FF0000"/>
        </w:rPr>
      </w:pPr>
    </w:p>
    <w:p>
      <w:pPr>
        <w:spacing w:line="276" w:lineRule="auto"/>
        <w:ind w:right="270"/>
        <w:rPr>
          <w:i/>
        </w:rPr>
      </w:pPr>
    </w:p>
    <w:p>
      <w:pPr>
        <w:spacing w:line="276" w:lineRule="auto"/>
        <w:ind w:right="270"/>
        <w:rPr>
          <w:b/>
          <w:bCs/>
          <w:i/>
        </w:rPr>
      </w:pPr>
      <w:r>
        <w:rPr>
          <w:i/>
        </w:rPr>
        <w:t xml:space="preserve"> </w:t>
      </w:r>
      <w:r>
        <w:rPr>
          <w:b/>
          <w:bCs/>
          <w:i/>
        </w:rPr>
        <w:t>Deficient documentation on the fund utilization and project implementation</w:t>
      </w:r>
    </w:p>
    <w:p>
      <w:pPr>
        <w:spacing w:line="276" w:lineRule="auto"/>
        <w:ind w:right="270"/>
        <w:rPr>
          <w:i/>
        </w:rPr>
      </w:pPr>
    </w:p>
    <w:p>
      <w:pPr>
        <w:pStyle w:val="ListParagraph"/>
        <w:numPr>
          <w:ilvl w:val="0"/>
          <w:numId w:val="22"/>
        </w:numPr>
        <w:spacing w:after="0"/>
        <w:ind w:left="0" w:firstLine="0"/>
        <w:jc w:val="both"/>
        <w:rPr>
          <w:rFonts w:ascii="Times New Roman" w:hAnsi="Times New Roman"/>
          <w:b/>
          <w:sz w:val="24"/>
          <w:szCs w:val="24"/>
        </w:rPr>
      </w:pPr>
      <w:r>
        <w:rPr>
          <w:rFonts w:ascii="Times New Roman" w:hAnsi="Times New Roman"/>
          <w:b/>
          <w:sz w:val="24"/>
          <w:szCs w:val="24"/>
        </w:rPr>
        <w:t>Propriety and regularity of charges against the 20% Development Fund amounting to P1,583,658.43 could not be ascertained due to deficiencies in the documentation in the utilization of continuing appropriation and project implementation contrary to the provisions of DILG-DOF-DBM JMC No. 01, s. 2020, RA No. 7160, and COA Circular No. 2012-001.</w:t>
      </w:r>
    </w:p>
    <w:p>
      <w:pPr>
        <w:spacing w:line="276" w:lineRule="auto"/>
        <w:jc w:val="both"/>
      </w:pPr>
    </w:p>
    <w:p>
      <w:pPr>
        <w:spacing w:line="276" w:lineRule="auto"/>
        <w:jc w:val="both"/>
        <w:rPr>
          <w:bCs/>
        </w:rPr>
      </w:pPr>
      <w:r>
        <w:rPr>
          <w:bCs/>
        </w:rPr>
        <w:t>Department of the Interior and Local Government (DILG), Department of Finance (DOF), and Department of Budget and Management (DBM) issued Joint Memorandum Circular (JMC) No. 1, dated November 4, 2020, prescribing the “Revised Guidelines on the Appropriation and Utilization of the Twenty Percent (20%) of the Annual Internal Revenue Allotment for Development Projects”.</w:t>
      </w:r>
    </w:p>
    <w:p>
      <w:pPr>
        <w:spacing w:line="276" w:lineRule="auto"/>
        <w:jc w:val="both"/>
        <w:rPr>
          <w:bCs/>
          <w:i/>
          <w:iCs/>
        </w:rPr>
      </w:pPr>
    </w:p>
    <w:p>
      <w:pPr>
        <w:spacing w:line="276" w:lineRule="auto"/>
        <w:jc w:val="both"/>
        <w:rPr>
          <w:bCs/>
        </w:rPr>
      </w:pPr>
      <w:r>
        <w:rPr>
          <w:bCs/>
        </w:rPr>
        <w:t>In particular, Section 4 of the JMC states that “the local chief executive and other officials concerned shall be responsible and accountable in ensuring that the development projects funded under the 20% Development Fund (DF) comply with the guidelines set forth in the JMC and optimally contribute to the attainment of desirable socio-economic targets and outcomes of the local government unit (LGU).</w:t>
      </w:r>
    </w:p>
    <w:p>
      <w:pPr>
        <w:spacing w:line="276" w:lineRule="auto"/>
        <w:jc w:val="both"/>
        <w:rPr>
          <w:bCs/>
          <w:iCs/>
        </w:rPr>
      </w:pPr>
    </w:p>
    <w:p>
      <w:pPr>
        <w:spacing w:line="276" w:lineRule="auto"/>
        <w:jc w:val="both"/>
      </w:pPr>
      <w:r>
        <w:rPr>
          <w:bCs/>
        </w:rPr>
        <w:lastRenderedPageBreak/>
        <w:t xml:space="preserve">For calendar year (CY) 2022, the City Government of Davao del Norte appropriated P257,100,000.00 for the 20% DF pursuant to Section 287 of Republic Act No. 7160 otherwise known as the Local Government Code of 1991. The same was intended for thirteen (13) priority development projects. Moreover, </w:t>
      </w:r>
      <w:r>
        <w:t>continuing appropriations from prior years (CY 2017-2021) totaling to P107,742,708.24 remains available for the implementation of 31 development projects.</w:t>
      </w:r>
    </w:p>
    <w:p>
      <w:pPr>
        <w:spacing w:line="276" w:lineRule="auto"/>
        <w:ind w:firstLine="720"/>
        <w:jc w:val="both"/>
        <w:rPr>
          <w:bCs/>
        </w:rPr>
      </w:pPr>
    </w:p>
    <w:p>
      <w:pPr>
        <w:spacing w:line="276" w:lineRule="auto"/>
        <w:jc w:val="both"/>
        <w:rPr>
          <w:bCs/>
          <w:iCs/>
        </w:rPr>
      </w:pPr>
      <w:r>
        <w:rPr>
          <w:bCs/>
          <w:iCs/>
        </w:rPr>
        <w:t>Review and examination of budget utilization reports, disbursement vouchers and relevant supporting documents revealed the following expenditures against the fund wherein the regularity and propriety of charges could not be ascertained, viz:</w:t>
      </w:r>
    </w:p>
    <w:p>
      <w:pPr>
        <w:spacing w:line="276" w:lineRule="auto"/>
        <w:jc w:val="both"/>
        <w:rPr>
          <w:bCs/>
          <w:iCs/>
        </w:rPr>
      </w:pPr>
    </w:p>
    <w:p>
      <w:pPr>
        <w:numPr>
          <w:ilvl w:val="0"/>
          <w:numId w:val="25"/>
        </w:numPr>
        <w:spacing w:line="276" w:lineRule="auto"/>
        <w:ind w:left="360"/>
        <w:jc w:val="both"/>
        <w:rPr>
          <w:b/>
          <w:bCs/>
          <w:i/>
          <w:iCs/>
        </w:rPr>
      </w:pPr>
      <w:r>
        <w:rPr>
          <w:b/>
          <w:bCs/>
          <w:i/>
          <w:iCs/>
        </w:rPr>
        <w:t>Expenditures charged against the balances of continuing appropriation for completed projects – P109,620.52</w:t>
      </w:r>
    </w:p>
    <w:p>
      <w:pPr>
        <w:spacing w:line="276" w:lineRule="auto"/>
        <w:ind w:right="360"/>
        <w:jc w:val="both"/>
        <w:rPr>
          <w:bCs/>
          <w:iCs/>
        </w:rPr>
      </w:pPr>
    </w:p>
    <w:p>
      <w:pPr>
        <w:spacing w:line="276" w:lineRule="auto"/>
        <w:ind w:right="360"/>
        <w:jc w:val="both"/>
        <w:rPr>
          <w:bCs/>
          <w:iCs/>
        </w:rPr>
      </w:pPr>
      <w:r>
        <w:rPr>
          <w:bCs/>
          <w:iCs/>
        </w:rPr>
        <w:t>Section 336 of the said Republic Act No. 7160 further states:</w:t>
      </w:r>
    </w:p>
    <w:p>
      <w:pPr>
        <w:spacing w:line="276" w:lineRule="auto"/>
        <w:ind w:right="360"/>
        <w:jc w:val="both"/>
        <w:rPr>
          <w:bCs/>
          <w:iCs/>
        </w:rPr>
      </w:pPr>
    </w:p>
    <w:p>
      <w:pPr>
        <w:spacing w:line="276" w:lineRule="auto"/>
        <w:ind w:left="720" w:right="702"/>
        <w:jc w:val="both"/>
        <w:rPr>
          <w:bCs/>
        </w:rPr>
      </w:pPr>
      <w:r>
        <w:rPr>
          <w:bCs/>
        </w:rPr>
        <w:t>Funds shall be available exclusively for the specific purpose for which they have been appropriated.</w:t>
      </w:r>
    </w:p>
    <w:p>
      <w:pPr>
        <w:spacing w:line="276" w:lineRule="auto"/>
        <w:jc w:val="both"/>
        <w:rPr>
          <w:bCs/>
          <w:iCs/>
          <w:color w:val="FF0000"/>
        </w:rPr>
      </w:pPr>
    </w:p>
    <w:p>
      <w:pPr>
        <w:spacing w:line="276" w:lineRule="auto"/>
        <w:jc w:val="both"/>
        <w:rPr>
          <w:bCs/>
          <w:iCs/>
        </w:rPr>
      </w:pPr>
      <w:r>
        <w:rPr>
          <w:bCs/>
          <w:iCs/>
        </w:rPr>
        <w:t xml:space="preserve">It was observed that fuel and salary expenses amounting to P103,669.52 and P5,951.00, respectively, were charged in CY2022 against the continuing appropriation of prior years’ completed project. In particular, there were two (2) infrastructure projects where charges are still made after its completion date as reported by the City Engineering’s Office; namely, 1) Site Development for Resettlement Areas, Citywide appropriated in CY2019 which was reportedly completed on October 15, 2021, and 2) Construction of Gawad Kalinga Houses at </w:t>
      </w:r>
      <w:proofErr w:type="spellStart"/>
      <w:r>
        <w:rPr>
          <w:bCs/>
          <w:iCs/>
        </w:rPr>
        <w:t>Brgy</w:t>
      </w:r>
      <w:proofErr w:type="spellEnd"/>
      <w:r>
        <w:rPr>
          <w:bCs/>
          <w:iCs/>
        </w:rPr>
        <w:t>. Datu Abdul appropriated in CY2020 which was reportedly completed on November 12, 2020. Table 9.1 presents more details about the transactions.</w:t>
      </w:r>
    </w:p>
    <w:p>
      <w:pPr>
        <w:spacing w:line="276" w:lineRule="auto"/>
        <w:jc w:val="both"/>
        <w:rPr>
          <w:bCs/>
          <w:iCs/>
        </w:rPr>
      </w:pPr>
    </w:p>
    <w:p>
      <w:pPr>
        <w:spacing w:line="276" w:lineRule="auto"/>
        <w:jc w:val="both"/>
        <w:rPr>
          <w:bCs/>
          <w:i/>
          <w:iCs/>
          <w:sz w:val="21"/>
          <w:szCs w:val="21"/>
        </w:rPr>
      </w:pPr>
      <w:r>
        <w:rPr>
          <w:bCs/>
          <w:i/>
          <w:iCs/>
          <w:sz w:val="21"/>
          <w:szCs w:val="21"/>
        </w:rPr>
        <w:t>Table 9.1. Schedule of infrastructure project where charges are made even after completion date</w:t>
      </w:r>
    </w:p>
    <w:tbl>
      <w:tblPr>
        <w:tblStyle w:val="TableGrid32"/>
        <w:tblW w:w="9175" w:type="dxa"/>
        <w:jc w:val="center"/>
        <w:tblLayout w:type="fixed"/>
        <w:tblCellMar>
          <w:left w:w="72" w:type="dxa"/>
          <w:right w:w="72" w:type="dxa"/>
        </w:tblCellMar>
        <w:tblLook w:val="04A0" w:firstRow="1" w:lastRow="0" w:firstColumn="1" w:lastColumn="0" w:noHBand="0" w:noVBand="1"/>
      </w:tblPr>
      <w:tblGrid>
        <w:gridCol w:w="2700"/>
        <w:gridCol w:w="1530"/>
        <w:gridCol w:w="1435"/>
        <w:gridCol w:w="1890"/>
        <w:gridCol w:w="1620"/>
      </w:tblGrid>
      <w:tr>
        <w:trPr>
          <w:cantSplit/>
          <w:tblHeader/>
          <w:jc w:val="center"/>
        </w:trPr>
        <w:tc>
          <w:tcPr>
            <w:tcW w:w="2700" w:type="dxa"/>
            <w:vAlign w:val="center"/>
          </w:tcPr>
          <w:p>
            <w:pPr>
              <w:spacing w:line="276" w:lineRule="auto"/>
              <w:jc w:val="center"/>
              <w:rPr>
                <w:b/>
                <w:bCs/>
                <w:iCs/>
                <w:sz w:val="22"/>
                <w:szCs w:val="22"/>
              </w:rPr>
            </w:pPr>
            <w:r>
              <w:rPr>
                <w:b/>
                <w:bCs/>
                <w:iCs/>
                <w:sz w:val="22"/>
                <w:szCs w:val="22"/>
              </w:rPr>
              <w:t>Program/Project/Activity</w:t>
            </w:r>
          </w:p>
        </w:tc>
        <w:tc>
          <w:tcPr>
            <w:tcW w:w="1530" w:type="dxa"/>
            <w:vAlign w:val="center"/>
          </w:tcPr>
          <w:p>
            <w:pPr>
              <w:spacing w:line="276" w:lineRule="auto"/>
              <w:jc w:val="center"/>
              <w:rPr>
                <w:b/>
                <w:bCs/>
                <w:iCs/>
                <w:sz w:val="22"/>
                <w:szCs w:val="22"/>
              </w:rPr>
            </w:pPr>
            <w:r>
              <w:rPr>
                <w:b/>
                <w:bCs/>
                <w:iCs/>
                <w:sz w:val="22"/>
                <w:szCs w:val="22"/>
              </w:rPr>
              <w:t>Continuing Appropriation</w:t>
            </w:r>
          </w:p>
        </w:tc>
        <w:tc>
          <w:tcPr>
            <w:tcW w:w="1435" w:type="dxa"/>
            <w:vAlign w:val="center"/>
          </w:tcPr>
          <w:p>
            <w:pPr>
              <w:spacing w:line="276" w:lineRule="auto"/>
              <w:jc w:val="center"/>
              <w:rPr>
                <w:b/>
                <w:bCs/>
                <w:iCs/>
                <w:sz w:val="22"/>
                <w:szCs w:val="22"/>
              </w:rPr>
            </w:pPr>
            <w:r>
              <w:rPr>
                <w:b/>
                <w:bCs/>
                <w:iCs/>
                <w:sz w:val="22"/>
                <w:szCs w:val="22"/>
              </w:rPr>
              <w:t>Date of Project Completion</w:t>
            </w:r>
          </w:p>
        </w:tc>
        <w:tc>
          <w:tcPr>
            <w:tcW w:w="1890" w:type="dxa"/>
            <w:vAlign w:val="center"/>
          </w:tcPr>
          <w:p>
            <w:pPr>
              <w:spacing w:line="276" w:lineRule="auto"/>
              <w:jc w:val="center"/>
              <w:rPr>
                <w:b/>
                <w:bCs/>
                <w:iCs/>
                <w:sz w:val="22"/>
                <w:szCs w:val="22"/>
              </w:rPr>
            </w:pPr>
            <w:r>
              <w:rPr>
                <w:b/>
                <w:bCs/>
                <w:iCs/>
                <w:sz w:val="22"/>
                <w:szCs w:val="22"/>
              </w:rPr>
              <w:t>Expenditures/</w:t>
            </w:r>
          </w:p>
          <w:p>
            <w:pPr>
              <w:spacing w:line="276" w:lineRule="auto"/>
              <w:jc w:val="center"/>
              <w:rPr>
                <w:b/>
                <w:bCs/>
                <w:iCs/>
                <w:sz w:val="22"/>
                <w:szCs w:val="22"/>
              </w:rPr>
            </w:pPr>
            <w:r>
              <w:rPr>
                <w:b/>
                <w:bCs/>
                <w:iCs/>
                <w:sz w:val="22"/>
                <w:szCs w:val="22"/>
              </w:rPr>
              <w:t>Obligations Incurred CY 2022</w:t>
            </w:r>
          </w:p>
        </w:tc>
        <w:tc>
          <w:tcPr>
            <w:tcW w:w="1620" w:type="dxa"/>
            <w:vAlign w:val="center"/>
          </w:tcPr>
          <w:p>
            <w:pPr>
              <w:spacing w:line="276" w:lineRule="auto"/>
              <w:jc w:val="center"/>
              <w:rPr>
                <w:b/>
                <w:bCs/>
                <w:iCs/>
                <w:sz w:val="22"/>
                <w:szCs w:val="22"/>
              </w:rPr>
            </w:pPr>
            <w:r>
              <w:rPr>
                <w:b/>
                <w:bCs/>
                <w:iCs/>
                <w:sz w:val="22"/>
                <w:szCs w:val="22"/>
              </w:rPr>
              <w:t>Remarks</w:t>
            </w:r>
          </w:p>
        </w:tc>
      </w:tr>
      <w:tr>
        <w:trPr>
          <w:cantSplit/>
          <w:jc w:val="center"/>
        </w:trPr>
        <w:tc>
          <w:tcPr>
            <w:tcW w:w="2700" w:type="dxa"/>
          </w:tcPr>
          <w:p>
            <w:pPr>
              <w:spacing w:line="276" w:lineRule="auto"/>
              <w:rPr>
                <w:bCs/>
                <w:iCs/>
                <w:sz w:val="22"/>
                <w:szCs w:val="22"/>
              </w:rPr>
            </w:pPr>
            <w:r>
              <w:rPr>
                <w:bCs/>
                <w:iCs/>
                <w:sz w:val="22"/>
                <w:szCs w:val="22"/>
              </w:rPr>
              <w:t>CY 2019 -</w:t>
            </w:r>
          </w:p>
          <w:p>
            <w:pPr>
              <w:spacing w:line="276" w:lineRule="auto"/>
              <w:rPr>
                <w:bCs/>
                <w:iCs/>
                <w:sz w:val="22"/>
                <w:szCs w:val="22"/>
              </w:rPr>
            </w:pPr>
            <w:r>
              <w:rPr>
                <w:bCs/>
                <w:iCs/>
                <w:sz w:val="22"/>
                <w:szCs w:val="22"/>
              </w:rPr>
              <w:t xml:space="preserve">Site Development for Resettlement Areas, Citywide </w:t>
            </w:r>
          </w:p>
        </w:tc>
        <w:tc>
          <w:tcPr>
            <w:tcW w:w="1530" w:type="dxa"/>
          </w:tcPr>
          <w:p>
            <w:pPr>
              <w:spacing w:line="276" w:lineRule="auto"/>
              <w:jc w:val="right"/>
              <w:rPr>
                <w:bCs/>
                <w:iCs/>
                <w:sz w:val="22"/>
                <w:szCs w:val="22"/>
              </w:rPr>
            </w:pPr>
            <w:r>
              <w:rPr>
                <w:bCs/>
                <w:iCs/>
                <w:sz w:val="22"/>
                <w:szCs w:val="22"/>
              </w:rPr>
              <w:t>438,897.97</w:t>
            </w:r>
          </w:p>
        </w:tc>
        <w:tc>
          <w:tcPr>
            <w:tcW w:w="1435" w:type="dxa"/>
          </w:tcPr>
          <w:p>
            <w:pPr>
              <w:spacing w:line="276" w:lineRule="auto"/>
              <w:jc w:val="center"/>
              <w:rPr>
                <w:bCs/>
                <w:iCs/>
                <w:sz w:val="22"/>
                <w:szCs w:val="22"/>
              </w:rPr>
            </w:pPr>
            <w:r>
              <w:rPr>
                <w:bCs/>
                <w:iCs/>
                <w:sz w:val="22"/>
                <w:szCs w:val="22"/>
              </w:rPr>
              <w:t>Oct. 15, 2021</w:t>
            </w:r>
          </w:p>
        </w:tc>
        <w:tc>
          <w:tcPr>
            <w:tcW w:w="1890" w:type="dxa"/>
          </w:tcPr>
          <w:p>
            <w:pPr>
              <w:spacing w:line="276" w:lineRule="auto"/>
              <w:jc w:val="right"/>
              <w:rPr>
                <w:bCs/>
                <w:iCs/>
                <w:sz w:val="22"/>
                <w:szCs w:val="22"/>
              </w:rPr>
            </w:pPr>
            <w:r>
              <w:rPr>
                <w:bCs/>
                <w:iCs/>
                <w:sz w:val="22"/>
                <w:szCs w:val="22"/>
              </w:rPr>
              <w:t>103,669.52</w:t>
            </w:r>
          </w:p>
        </w:tc>
        <w:tc>
          <w:tcPr>
            <w:tcW w:w="1620" w:type="dxa"/>
          </w:tcPr>
          <w:p>
            <w:pPr>
              <w:spacing w:line="276" w:lineRule="auto"/>
              <w:jc w:val="center"/>
              <w:rPr>
                <w:bCs/>
                <w:iCs/>
                <w:sz w:val="22"/>
                <w:szCs w:val="22"/>
              </w:rPr>
            </w:pPr>
            <w:r>
              <w:rPr>
                <w:bCs/>
                <w:iCs/>
                <w:sz w:val="22"/>
                <w:szCs w:val="22"/>
              </w:rPr>
              <w:t>Fuel for heavy equipment, unpaid as of 12/31/2022</w:t>
            </w:r>
          </w:p>
        </w:tc>
      </w:tr>
      <w:tr>
        <w:trPr>
          <w:cantSplit/>
          <w:jc w:val="center"/>
        </w:trPr>
        <w:tc>
          <w:tcPr>
            <w:tcW w:w="2700" w:type="dxa"/>
          </w:tcPr>
          <w:p>
            <w:pPr>
              <w:spacing w:line="276" w:lineRule="auto"/>
              <w:rPr>
                <w:bCs/>
                <w:iCs/>
                <w:sz w:val="22"/>
                <w:szCs w:val="22"/>
              </w:rPr>
            </w:pPr>
            <w:r>
              <w:rPr>
                <w:bCs/>
                <w:iCs/>
                <w:sz w:val="22"/>
                <w:szCs w:val="22"/>
              </w:rPr>
              <w:t xml:space="preserve">CY 2020 - </w:t>
            </w:r>
          </w:p>
          <w:p>
            <w:pPr>
              <w:spacing w:line="276" w:lineRule="auto"/>
              <w:rPr>
                <w:bCs/>
                <w:iCs/>
                <w:sz w:val="22"/>
                <w:szCs w:val="22"/>
              </w:rPr>
            </w:pPr>
            <w:r>
              <w:rPr>
                <w:bCs/>
                <w:iCs/>
                <w:sz w:val="22"/>
                <w:szCs w:val="22"/>
              </w:rPr>
              <w:t>Construction of Gawad Kalinga Houses, Datu Abdul</w:t>
            </w:r>
          </w:p>
        </w:tc>
        <w:tc>
          <w:tcPr>
            <w:tcW w:w="1530" w:type="dxa"/>
          </w:tcPr>
          <w:p>
            <w:pPr>
              <w:spacing w:line="276" w:lineRule="auto"/>
              <w:jc w:val="right"/>
              <w:rPr>
                <w:bCs/>
                <w:iCs/>
                <w:sz w:val="22"/>
                <w:szCs w:val="22"/>
              </w:rPr>
            </w:pPr>
            <w:r>
              <w:rPr>
                <w:bCs/>
                <w:iCs/>
                <w:sz w:val="22"/>
                <w:szCs w:val="22"/>
              </w:rPr>
              <w:t>13,624.50</w:t>
            </w:r>
          </w:p>
        </w:tc>
        <w:tc>
          <w:tcPr>
            <w:tcW w:w="1435" w:type="dxa"/>
          </w:tcPr>
          <w:p>
            <w:pPr>
              <w:spacing w:line="276" w:lineRule="auto"/>
              <w:jc w:val="center"/>
              <w:rPr>
                <w:bCs/>
                <w:iCs/>
                <w:sz w:val="22"/>
                <w:szCs w:val="22"/>
              </w:rPr>
            </w:pPr>
            <w:r>
              <w:rPr>
                <w:bCs/>
                <w:iCs/>
                <w:sz w:val="22"/>
                <w:szCs w:val="22"/>
              </w:rPr>
              <w:t>Nov. 12, 2020</w:t>
            </w:r>
          </w:p>
        </w:tc>
        <w:tc>
          <w:tcPr>
            <w:tcW w:w="1890" w:type="dxa"/>
          </w:tcPr>
          <w:p>
            <w:pPr>
              <w:spacing w:line="276" w:lineRule="auto"/>
              <w:jc w:val="right"/>
              <w:rPr>
                <w:bCs/>
                <w:iCs/>
                <w:sz w:val="22"/>
                <w:szCs w:val="22"/>
              </w:rPr>
            </w:pPr>
            <w:r>
              <w:rPr>
                <w:bCs/>
                <w:iCs/>
                <w:sz w:val="22"/>
                <w:szCs w:val="22"/>
              </w:rPr>
              <w:t>5,951.00</w:t>
            </w:r>
          </w:p>
        </w:tc>
        <w:tc>
          <w:tcPr>
            <w:tcW w:w="1620" w:type="dxa"/>
          </w:tcPr>
          <w:p>
            <w:pPr>
              <w:spacing w:line="276" w:lineRule="auto"/>
              <w:jc w:val="center"/>
              <w:rPr>
                <w:bCs/>
                <w:iCs/>
                <w:sz w:val="22"/>
                <w:szCs w:val="22"/>
              </w:rPr>
            </w:pPr>
            <w:r>
              <w:rPr>
                <w:bCs/>
                <w:iCs/>
                <w:sz w:val="22"/>
                <w:szCs w:val="22"/>
              </w:rPr>
              <w:t xml:space="preserve">Salary Dec. 1-15, 2021, </w:t>
            </w:r>
          </w:p>
          <w:p>
            <w:pPr>
              <w:spacing w:line="276" w:lineRule="auto"/>
              <w:jc w:val="center"/>
              <w:rPr>
                <w:bCs/>
                <w:iCs/>
                <w:sz w:val="22"/>
                <w:szCs w:val="22"/>
              </w:rPr>
            </w:pPr>
            <w:r>
              <w:rPr>
                <w:bCs/>
                <w:iCs/>
                <w:sz w:val="22"/>
                <w:szCs w:val="22"/>
              </w:rPr>
              <w:t>paid 01/17/2022</w:t>
            </w:r>
          </w:p>
        </w:tc>
      </w:tr>
      <w:tr>
        <w:trPr>
          <w:cantSplit/>
          <w:jc w:val="center"/>
        </w:trPr>
        <w:tc>
          <w:tcPr>
            <w:tcW w:w="2700" w:type="dxa"/>
          </w:tcPr>
          <w:p>
            <w:pPr>
              <w:spacing w:line="276" w:lineRule="auto"/>
              <w:jc w:val="both"/>
              <w:rPr>
                <w:b/>
                <w:bCs/>
                <w:iCs/>
                <w:sz w:val="22"/>
                <w:szCs w:val="22"/>
              </w:rPr>
            </w:pPr>
            <w:r>
              <w:rPr>
                <w:b/>
                <w:bCs/>
                <w:iCs/>
                <w:sz w:val="22"/>
                <w:szCs w:val="22"/>
              </w:rPr>
              <w:t>Total</w:t>
            </w:r>
          </w:p>
        </w:tc>
        <w:tc>
          <w:tcPr>
            <w:tcW w:w="1530" w:type="dxa"/>
          </w:tcPr>
          <w:p>
            <w:pPr>
              <w:spacing w:line="276" w:lineRule="auto"/>
              <w:jc w:val="right"/>
              <w:rPr>
                <w:b/>
                <w:bCs/>
                <w:iCs/>
                <w:sz w:val="22"/>
                <w:szCs w:val="22"/>
              </w:rPr>
            </w:pPr>
            <w:r>
              <w:rPr>
                <w:b/>
                <w:bCs/>
                <w:iCs/>
                <w:sz w:val="22"/>
                <w:szCs w:val="22"/>
              </w:rPr>
              <w:t>452,522.47</w:t>
            </w:r>
          </w:p>
        </w:tc>
        <w:tc>
          <w:tcPr>
            <w:tcW w:w="1435" w:type="dxa"/>
          </w:tcPr>
          <w:p>
            <w:pPr>
              <w:spacing w:line="276" w:lineRule="auto"/>
              <w:jc w:val="both"/>
              <w:rPr>
                <w:b/>
                <w:bCs/>
                <w:iCs/>
                <w:sz w:val="22"/>
                <w:szCs w:val="22"/>
              </w:rPr>
            </w:pPr>
          </w:p>
        </w:tc>
        <w:tc>
          <w:tcPr>
            <w:tcW w:w="1890" w:type="dxa"/>
          </w:tcPr>
          <w:p>
            <w:pPr>
              <w:spacing w:line="276" w:lineRule="auto"/>
              <w:jc w:val="right"/>
              <w:rPr>
                <w:b/>
                <w:bCs/>
                <w:iCs/>
                <w:sz w:val="22"/>
                <w:szCs w:val="22"/>
              </w:rPr>
            </w:pPr>
            <w:r>
              <w:rPr>
                <w:b/>
                <w:bCs/>
                <w:iCs/>
                <w:sz w:val="22"/>
                <w:szCs w:val="22"/>
              </w:rPr>
              <w:t>109,620.52</w:t>
            </w:r>
          </w:p>
        </w:tc>
        <w:tc>
          <w:tcPr>
            <w:tcW w:w="1620" w:type="dxa"/>
          </w:tcPr>
          <w:p>
            <w:pPr>
              <w:spacing w:line="276" w:lineRule="auto"/>
              <w:jc w:val="both"/>
              <w:rPr>
                <w:b/>
                <w:bCs/>
                <w:iCs/>
                <w:sz w:val="22"/>
                <w:szCs w:val="22"/>
              </w:rPr>
            </w:pPr>
          </w:p>
        </w:tc>
      </w:tr>
    </w:tbl>
    <w:p>
      <w:pPr>
        <w:spacing w:line="276" w:lineRule="auto"/>
        <w:jc w:val="both"/>
        <w:rPr>
          <w:bCs/>
          <w:iCs/>
        </w:rPr>
      </w:pPr>
      <w:r>
        <w:rPr>
          <w:bCs/>
          <w:iCs/>
        </w:rPr>
        <w:lastRenderedPageBreak/>
        <w:t>As per inquiry with the City Housing Section with regards to the fuel charges, they were informed that there is still an appropriation balance from the completed project, thus, they opted to use it for fuel consumption of the heavy equipment for site maintenance. The Summary of Obligations obtained from the City Budget Office shows obligations incurred to the supplier Autofill Petron Service from July 18 to December 5, 2022 totaling to P103,669.52. As at December 31, 2022, the said obligations remain unpaid.</w:t>
      </w:r>
    </w:p>
    <w:p>
      <w:pPr>
        <w:spacing w:line="276" w:lineRule="auto"/>
        <w:ind w:firstLine="720"/>
        <w:jc w:val="both"/>
        <w:rPr>
          <w:bCs/>
          <w:iCs/>
          <w:color w:val="FF0000"/>
        </w:rPr>
      </w:pPr>
      <w:r>
        <w:rPr>
          <w:bCs/>
          <w:iCs/>
        </w:rPr>
        <w:t xml:space="preserve"> </w:t>
      </w:r>
    </w:p>
    <w:p>
      <w:pPr>
        <w:spacing w:line="276" w:lineRule="auto"/>
        <w:jc w:val="both"/>
        <w:rPr>
          <w:bCs/>
          <w:iCs/>
        </w:rPr>
      </w:pPr>
      <w:r>
        <w:rPr>
          <w:bCs/>
          <w:iCs/>
        </w:rPr>
        <w:t>As to the salary of job order, Mason, for December 1-15, 2021 amounting to P5,951.00, the assigned personnel from the City Engineering Office informed that the amount was charged to the CY 2020 Continuing Appropriation to fully utilize the remaining balance even though the project was already completed. It was also observed that the attached accomplishment report states that the work accomplished pertains to the maintenance of two-kilometer of existing roads which is not aligned with the Program of Works for the Construction of Gawad Kalinga Houses.</w:t>
      </w:r>
    </w:p>
    <w:p>
      <w:pPr>
        <w:spacing w:line="276" w:lineRule="auto"/>
        <w:ind w:firstLine="720"/>
        <w:jc w:val="both"/>
        <w:rPr>
          <w:bCs/>
          <w:iCs/>
        </w:rPr>
      </w:pPr>
    </w:p>
    <w:p>
      <w:pPr>
        <w:spacing w:line="276" w:lineRule="auto"/>
        <w:jc w:val="both"/>
      </w:pPr>
      <w:r>
        <w:rPr>
          <w:bCs/>
          <w:iCs/>
        </w:rPr>
        <w:t xml:space="preserve">The said transactions run in contravention against the above-mentioned provisions of RA 7160 as well as </w:t>
      </w:r>
      <w:r>
        <w:t xml:space="preserve">DILG-DOF-DBM JMC No. 01, s. 2020. Since the projects were already completed, charges against the fund are no longer allowable on the premise that the specific purpose for which the fund has been appropriated was already attained. This lapse could have prevented by timely declaration of balances of appropriation of completed infrastructure projects as savings and reversion of the funds to the unappropriated surplus of the 20% Development Fund for re-appropriation to other development projects in accordance to pertinent budgetary rules. </w:t>
      </w:r>
    </w:p>
    <w:p>
      <w:pPr>
        <w:spacing w:line="276" w:lineRule="auto"/>
        <w:ind w:firstLine="720"/>
        <w:jc w:val="both"/>
      </w:pPr>
    </w:p>
    <w:p>
      <w:pPr>
        <w:spacing w:line="276" w:lineRule="auto"/>
        <w:jc w:val="both"/>
        <w:rPr>
          <w:bCs/>
          <w:iCs/>
          <w:color w:val="FF0000"/>
        </w:rPr>
      </w:pPr>
      <w:r>
        <w:t xml:space="preserve">However, it has been observed that balances of continuing appropriation were not regularly reviewed contrary to </w:t>
      </w:r>
      <w:r>
        <w:rPr>
          <w:bCs/>
          <w:iCs/>
        </w:rPr>
        <w:t>Section 322 of Republic Act 7160, known as the Local Government Code of 1991, which states that:</w:t>
      </w:r>
    </w:p>
    <w:p>
      <w:pPr>
        <w:spacing w:line="276" w:lineRule="auto"/>
        <w:ind w:left="360"/>
        <w:jc w:val="both"/>
        <w:rPr>
          <w:bCs/>
          <w:iCs/>
          <w:color w:val="FF0000"/>
        </w:rPr>
      </w:pPr>
    </w:p>
    <w:p>
      <w:pPr>
        <w:spacing w:line="276" w:lineRule="auto"/>
        <w:ind w:left="720" w:right="702"/>
        <w:jc w:val="both"/>
        <w:rPr>
          <w:bCs/>
        </w:rPr>
      </w:pPr>
      <w:r>
        <w:rPr>
          <w:bCs/>
        </w:rPr>
        <w:t xml:space="preserve">The balances of continuing appropriations shall be reviewed as part of the annual budget preparation and the </w:t>
      </w:r>
      <w:proofErr w:type="spellStart"/>
      <w:r>
        <w:rPr>
          <w:bCs/>
        </w:rPr>
        <w:t>Sanggunian</w:t>
      </w:r>
      <w:proofErr w:type="spellEnd"/>
      <w:r>
        <w:rPr>
          <w:bCs/>
        </w:rPr>
        <w:t xml:space="preserve"> concerned may approve, upon recommendation of the local chief executive, the </w:t>
      </w:r>
      <w:r>
        <w:rPr>
          <w:b/>
          <w:bCs/>
        </w:rPr>
        <w:t xml:space="preserve">reversion of funds no longer needed in connection with the activities funded </w:t>
      </w:r>
      <w:r>
        <w:rPr>
          <w:bCs/>
        </w:rPr>
        <w:t>by said continuing appropriations subject to the provisions of this Section. (Emphasis supplied)</w:t>
      </w:r>
    </w:p>
    <w:p>
      <w:pPr>
        <w:spacing w:line="276" w:lineRule="auto"/>
        <w:ind w:left="720" w:right="288"/>
        <w:jc w:val="both"/>
        <w:rPr>
          <w:color w:val="FF0000"/>
        </w:rPr>
      </w:pPr>
    </w:p>
    <w:p>
      <w:pPr>
        <w:numPr>
          <w:ilvl w:val="0"/>
          <w:numId w:val="25"/>
        </w:numPr>
        <w:spacing w:line="276" w:lineRule="auto"/>
        <w:ind w:left="360"/>
        <w:jc w:val="both"/>
        <w:rPr>
          <w:b/>
          <w:bCs/>
          <w:i/>
          <w:iCs/>
        </w:rPr>
      </w:pPr>
      <w:r>
        <w:rPr>
          <w:b/>
          <w:i/>
        </w:rPr>
        <w:t>Contract cost for Work Item “Facilities for Engineers” exceeds the Approved Budget for the Contract and are not supported with turn-over documents in its final billing - P1,474,037.91</w:t>
      </w:r>
    </w:p>
    <w:p>
      <w:pPr>
        <w:spacing w:line="276" w:lineRule="auto"/>
        <w:jc w:val="both"/>
      </w:pPr>
    </w:p>
    <w:p>
      <w:pPr>
        <w:spacing w:line="276" w:lineRule="auto"/>
        <w:jc w:val="both"/>
      </w:pPr>
      <w:r>
        <w:lastRenderedPageBreak/>
        <w:t>DPWH Department Order No. 197 series of 2016 prescribing the Revised Guidelines on the Preparation of the Approved Budget for the Contract, states that:</w:t>
      </w:r>
    </w:p>
    <w:p>
      <w:pPr>
        <w:spacing w:line="276" w:lineRule="auto"/>
        <w:ind w:firstLine="720"/>
        <w:jc w:val="both"/>
      </w:pPr>
    </w:p>
    <w:p>
      <w:pPr>
        <w:spacing w:line="276" w:lineRule="auto"/>
        <w:ind w:left="720" w:right="702" w:firstLine="11"/>
        <w:jc w:val="both"/>
        <w:rPr>
          <w:iCs/>
        </w:rPr>
      </w:pPr>
      <w:r>
        <w:rPr>
          <w:iCs/>
        </w:rPr>
        <w:t>Since the ABC is to be compared with the Contractor's bid and is the ceiling for acceptable bid prices in accordance with the provision of R.A. 9184, the ABC should be based on the approved Bidding Documents for the contract which contain the same work items and quantities as those to be used by the contractors in preparing their bid.</w:t>
      </w:r>
    </w:p>
    <w:p>
      <w:pPr>
        <w:spacing w:line="276" w:lineRule="auto"/>
        <w:ind w:left="720" w:right="288"/>
        <w:jc w:val="both"/>
        <w:rPr>
          <w:b/>
          <w:bCs/>
          <w:i/>
          <w:iCs/>
        </w:rPr>
      </w:pPr>
    </w:p>
    <w:p>
      <w:pPr>
        <w:spacing w:line="276" w:lineRule="auto"/>
        <w:jc w:val="both"/>
        <w:rPr>
          <w:bCs/>
          <w:iCs/>
        </w:rPr>
      </w:pPr>
      <w:r>
        <w:rPr>
          <w:bCs/>
          <w:iCs/>
        </w:rPr>
        <w:t>In the conduct of review of the infrastructure contracts under the 20% Development Fund and the corresponding disbursement vouchers on the progress and final billings, it was observed that the contract cost of pay items for the “Facilities for Engineer” under five (5) infrastructure projects totaling P1,474,037.91 exceeds the cost specified in the Approved Budget for the Contract (ABC). Furthermore, quantity and description of pay items in the Detailed Estimates as attached to Contract Bid Price submitted by the Contractor differs from the pay items specified in the Program of Works (POW) and Detailed Unit Price Analysis (DUPA) prepared by the Agency.</w:t>
      </w:r>
    </w:p>
    <w:p>
      <w:pPr>
        <w:spacing w:line="276" w:lineRule="auto"/>
        <w:ind w:firstLine="720"/>
        <w:jc w:val="both"/>
        <w:rPr>
          <w:bCs/>
          <w:iCs/>
        </w:rPr>
      </w:pPr>
    </w:p>
    <w:p>
      <w:pPr>
        <w:spacing w:line="276" w:lineRule="auto"/>
        <w:jc w:val="both"/>
        <w:rPr>
          <w:bCs/>
          <w:iCs/>
        </w:rPr>
      </w:pPr>
      <w:r>
        <w:rPr>
          <w:bCs/>
          <w:iCs/>
        </w:rPr>
        <w:t xml:space="preserve">As shown in Table 9.2, contract cost of the pay item for “Facilities for the Engineer” exceeded the item cost per ABC which ranges from P32,713.51 to P218,420.88. </w:t>
      </w:r>
    </w:p>
    <w:p>
      <w:pPr>
        <w:spacing w:line="276" w:lineRule="auto"/>
        <w:ind w:firstLine="720"/>
        <w:jc w:val="both"/>
        <w:rPr>
          <w:bCs/>
          <w:iCs/>
        </w:rPr>
      </w:pPr>
    </w:p>
    <w:p>
      <w:pPr>
        <w:spacing w:line="276" w:lineRule="auto"/>
        <w:jc w:val="both"/>
        <w:rPr>
          <w:bCs/>
          <w:i/>
          <w:iCs/>
        </w:rPr>
      </w:pPr>
      <w:r>
        <w:rPr>
          <w:bCs/>
          <w:i/>
          <w:iCs/>
        </w:rPr>
        <w:t>Table 9.2. Variances noted between project cost and contract cost</w:t>
      </w:r>
    </w:p>
    <w:tbl>
      <w:tblPr>
        <w:tblW w:w="9652" w:type="dxa"/>
        <w:jc w:val="center"/>
        <w:tblLook w:val="04A0" w:firstRow="1" w:lastRow="0" w:firstColumn="1" w:lastColumn="0" w:noHBand="0" w:noVBand="1"/>
      </w:tblPr>
      <w:tblGrid>
        <w:gridCol w:w="2611"/>
        <w:gridCol w:w="1873"/>
        <w:gridCol w:w="1341"/>
        <w:gridCol w:w="1506"/>
        <w:gridCol w:w="1506"/>
        <w:gridCol w:w="1115"/>
      </w:tblGrid>
      <w:tr>
        <w:trPr>
          <w:cantSplit/>
          <w:trHeight w:val="317"/>
          <w:tblHeader/>
          <w:jc w:val="center"/>
        </w:trPr>
        <w:tc>
          <w:tcPr>
            <w:tcW w:w="242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Project/Program/Activity</w:t>
            </w:r>
          </w:p>
        </w:tc>
        <w:tc>
          <w:tcPr>
            <w:tcW w:w="2076"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Pay Item/Description</w:t>
            </w:r>
          </w:p>
        </w:tc>
        <w:tc>
          <w:tcPr>
            <w:tcW w:w="13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Cost per ABC/POW/ DUPA</w:t>
            </w:r>
          </w:p>
        </w:tc>
        <w:tc>
          <w:tcPr>
            <w:tcW w:w="13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 xml:space="preserve">Cost per Contract Bid Price/ Detailed Estimates </w:t>
            </w:r>
          </w:p>
        </w:tc>
        <w:tc>
          <w:tcPr>
            <w:tcW w:w="242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Excess of Contract Item Cost from ABC</w:t>
            </w:r>
          </w:p>
        </w:tc>
      </w:tr>
      <w:tr>
        <w:trPr>
          <w:cantSplit/>
          <w:trHeight w:val="317"/>
          <w:tblHeader/>
          <w:jc w:val="center"/>
        </w:trPr>
        <w:tc>
          <w:tcPr>
            <w:tcW w:w="2425" w:type="dxa"/>
            <w:vMerge/>
            <w:tcBorders>
              <w:top w:val="single" w:sz="4" w:space="0" w:color="auto"/>
              <w:left w:val="single" w:sz="4" w:space="0" w:color="auto"/>
              <w:bottom w:val="single" w:sz="4" w:space="0" w:color="000000"/>
              <w:right w:val="single" w:sz="4" w:space="0" w:color="auto"/>
            </w:tcBorders>
            <w:vAlign w:val="center"/>
            <w:hideMark/>
          </w:tcPr>
          <w:p>
            <w:pPr>
              <w:spacing w:line="276" w:lineRule="auto"/>
              <w:rPr>
                <w:b/>
                <w:bCs/>
                <w:color w:val="000000"/>
                <w:sz w:val="22"/>
                <w:szCs w:val="22"/>
                <w:lang w:val="en-PH" w:eastAsia="en-PH"/>
              </w:rPr>
            </w:pPr>
          </w:p>
        </w:tc>
        <w:tc>
          <w:tcPr>
            <w:tcW w:w="2076" w:type="dxa"/>
            <w:vMerge/>
            <w:tcBorders>
              <w:top w:val="single" w:sz="4" w:space="0" w:color="auto"/>
              <w:left w:val="single" w:sz="4" w:space="0" w:color="auto"/>
              <w:bottom w:val="single" w:sz="4" w:space="0" w:color="000000"/>
              <w:right w:val="single" w:sz="4" w:space="0" w:color="auto"/>
            </w:tcBorders>
            <w:vAlign w:val="center"/>
            <w:hideMark/>
          </w:tcPr>
          <w:p>
            <w:pPr>
              <w:spacing w:line="276" w:lineRule="auto"/>
              <w:rPr>
                <w:b/>
                <w:bCs/>
                <w:color w:val="000000"/>
                <w:sz w:val="22"/>
                <w:szCs w:val="22"/>
                <w:lang w:val="en-PH" w:eastAsia="en-PH"/>
              </w:rPr>
            </w:pPr>
          </w:p>
        </w:tc>
        <w:tc>
          <w:tcPr>
            <w:tcW w:w="1340" w:type="dxa"/>
            <w:vMerge/>
            <w:tcBorders>
              <w:top w:val="single" w:sz="4" w:space="0" w:color="auto"/>
              <w:left w:val="single" w:sz="4" w:space="0" w:color="auto"/>
              <w:bottom w:val="single" w:sz="4" w:space="0" w:color="000000"/>
              <w:right w:val="single" w:sz="4" w:space="0" w:color="auto"/>
            </w:tcBorders>
            <w:vAlign w:val="center"/>
            <w:hideMark/>
          </w:tcPr>
          <w:p>
            <w:pPr>
              <w:spacing w:line="276" w:lineRule="auto"/>
              <w:rPr>
                <w:b/>
                <w:bCs/>
                <w:color w:val="000000"/>
                <w:sz w:val="22"/>
                <w:szCs w:val="22"/>
                <w:lang w:val="en-PH" w:eastAsia="en-PH"/>
              </w:rPr>
            </w:pPr>
          </w:p>
        </w:tc>
        <w:tc>
          <w:tcPr>
            <w:tcW w:w="1389"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b/>
                <w:bCs/>
                <w:color w:val="000000"/>
                <w:sz w:val="22"/>
                <w:szCs w:val="22"/>
                <w:lang w:val="en-PH" w:eastAsia="en-PH"/>
              </w:rPr>
            </w:pPr>
          </w:p>
        </w:tc>
        <w:tc>
          <w:tcPr>
            <w:tcW w:w="2422" w:type="dxa"/>
            <w:gridSpan w:val="2"/>
            <w:vMerge/>
            <w:tcBorders>
              <w:top w:val="single" w:sz="4" w:space="0" w:color="auto"/>
              <w:left w:val="single" w:sz="4" w:space="0" w:color="auto"/>
              <w:bottom w:val="single" w:sz="4" w:space="0" w:color="auto"/>
              <w:right w:val="single" w:sz="4" w:space="0" w:color="auto"/>
            </w:tcBorders>
            <w:vAlign w:val="center"/>
            <w:hideMark/>
          </w:tcPr>
          <w:p>
            <w:pPr>
              <w:spacing w:line="276" w:lineRule="auto"/>
              <w:rPr>
                <w:b/>
                <w:bCs/>
                <w:color w:val="000000"/>
                <w:sz w:val="22"/>
                <w:szCs w:val="22"/>
                <w:lang w:val="en-PH" w:eastAsia="en-PH"/>
              </w:rPr>
            </w:pPr>
          </w:p>
        </w:tc>
      </w:tr>
      <w:tr>
        <w:trPr>
          <w:cantSplit/>
          <w:trHeight w:val="20"/>
          <w:tblHeader/>
          <w:jc w:val="center"/>
        </w:trPr>
        <w:tc>
          <w:tcPr>
            <w:tcW w:w="2425"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b/>
                <w:bCs/>
                <w:color w:val="000000"/>
                <w:sz w:val="22"/>
                <w:szCs w:val="22"/>
                <w:lang w:val="en-PH" w:eastAsia="en-PH"/>
              </w:rPr>
            </w:pPr>
          </w:p>
        </w:tc>
        <w:tc>
          <w:tcPr>
            <w:tcW w:w="2076"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b/>
                <w:bCs/>
                <w:color w:val="000000"/>
                <w:sz w:val="22"/>
                <w:szCs w:val="22"/>
                <w:lang w:val="en-PH" w:eastAsia="en-PH"/>
              </w:rPr>
            </w:pPr>
          </w:p>
        </w:tc>
        <w:tc>
          <w:tcPr>
            <w:tcW w:w="1340" w:type="dxa"/>
            <w:tcBorders>
              <w:top w:val="nil"/>
              <w:left w:val="nil"/>
              <w:bottom w:val="single" w:sz="4" w:space="0" w:color="auto"/>
              <w:right w:val="single" w:sz="4" w:space="0" w:color="auto"/>
            </w:tcBorders>
            <w:shd w:val="clear" w:color="auto" w:fill="auto"/>
            <w:vAlign w:val="center"/>
            <w:hideMark/>
          </w:tcPr>
          <w:p>
            <w:pPr>
              <w:spacing w:line="276" w:lineRule="auto"/>
              <w:jc w:val="center"/>
              <w:rPr>
                <w:i/>
                <w:iCs/>
                <w:color w:val="000000"/>
                <w:sz w:val="22"/>
                <w:szCs w:val="22"/>
                <w:lang w:val="en-PH" w:eastAsia="en-PH"/>
              </w:rPr>
            </w:pPr>
            <w:r>
              <w:rPr>
                <w:i/>
                <w:iCs/>
                <w:color w:val="000000"/>
                <w:sz w:val="22"/>
                <w:szCs w:val="22"/>
                <w:lang w:eastAsia="en-PH"/>
              </w:rPr>
              <w:t>(Agency)</w:t>
            </w:r>
          </w:p>
        </w:tc>
        <w:tc>
          <w:tcPr>
            <w:tcW w:w="1389" w:type="dxa"/>
            <w:tcBorders>
              <w:top w:val="nil"/>
              <w:left w:val="nil"/>
              <w:bottom w:val="single" w:sz="4" w:space="0" w:color="auto"/>
              <w:right w:val="single" w:sz="4" w:space="0" w:color="auto"/>
            </w:tcBorders>
            <w:shd w:val="clear" w:color="auto" w:fill="auto"/>
            <w:vAlign w:val="center"/>
            <w:hideMark/>
          </w:tcPr>
          <w:p>
            <w:pPr>
              <w:spacing w:line="276" w:lineRule="auto"/>
              <w:jc w:val="center"/>
              <w:rPr>
                <w:i/>
                <w:iCs/>
                <w:color w:val="000000"/>
                <w:sz w:val="22"/>
                <w:szCs w:val="22"/>
                <w:lang w:val="en-PH" w:eastAsia="en-PH"/>
              </w:rPr>
            </w:pPr>
            <w:r>
              <w:rPr>
                <w:i/>
                <w:iCs/>
                <w:color w:val="000000"/>
                <w:sz w:val="22"/>
                <w:szCs w:val="22"/>
                <w:lang w:val="en-PH" w:eastAsia="en-PH"/>
              </w:rPr>
              <w:t>(Contractor)</w:t>
            </w:r>
          </w:p>
        </w:tc>
        <w:tc>
          <w:tcPr>
            <w:tcW w:w="1389" w:type="dxa"/>
            <w:tcBorders>
              <w:top w:val="nil"/>
              <w:left w:val="nil"/>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Amount</w:t>
            </w:r>
          </w:p>
        </w:tc>
        <w:tc>
          <w:tcPr>
            <w:tcW w:w="1033" w:type="dxa"/>
            <w:tcBorders>
              <w:top w:val="nil"/>
              <w:left w:val="nil"/>
              <w:bottom w:val="single" w:sz="4" w:space="0" w:color="auto"/>
              <w:right w:val="single" w:sz="4" w:space="0" w:color="auto"/>
            </w:tcBorders>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eastAsia="en-PH"/>
              </w:rPr>
              <w:t>%</w:t>
            </w:r>
          </w:p>
        </w:tc>
      </w:tr>
      <w:tr>
        <w:trPr>
          <w:cantSplit/>
          <w:trHeight w:val="20"/>
          <w:jc w:val="center"/>
        </w:trPr>
        <w:tc>
          <w:tcPr>
            <w:tcW w:w="2425" w:type="dxa"/>
            <w:tcBorders>
              <w:top w:val="single" w:sz="4" w:space="0" w:color="auto"/>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POW 2022-01-012, Upgrading of local access road - Junction Buenavista &amp; </w:t>
            </w:r>
            <w:proofErr w:type="spellStart"/>
            <w:r>
              <w:rPr>
                <w:color w:val="000000"/>
                <w:sz w:val="22"/>
                <w:szCs w:val="22"/>
                <w:lang w:eastAsia="en-PH"/>
              </w:rPr>
              <w:t>Tagpore</w:t>
            </w:r>
            <w:proofErr w:type="spellEnd"/>
            <w:r>
              <w:rPr>
                <w:color w:val="000000"/>
                <w:sz w:val="22"/>
                <w:szCs w:val="22"/>
                <w:lang w:eastAsia="en-PH"/>
              </w:rPr>
              <w:t xml:space="preserve"> to San Nicolas</w:t>
            </w:r>
          </w:p>
        </w:tc>
        <w:tc>
          <w:tcPr>
            <w:tcW w:w="20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A.1.1(3) Construction of Field Office for the Engineer</w:t>
            </w:r>
          </w:p>
        </w:tc>
        <w:tc>
          <w:tcPr>
            <w:tcW w:w="13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P45,180.36</w:t>
            </w:r>
          </w:p>
        </w:tc>
        <w:tc>
          <w:tcPr>
            <w:tcW w:w="13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P262,145.52</w:t>
            </w:r>
          </w:p>
        </w:tc>
        <w:tc>
          <w:tcPr>
            <w:tcW w:w="13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P216,965.16</w:t>
            </w:r>
          </w:p>
        </w:tc>
        <w:tc>
          <w:tcPr>
            <w:tcW w:w="10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480.22%</w:t>
            </w:r>
          </w:p>
        </w:tc>
      </w:tr>
      <w:tr>
        <w:trPr>
          <w:cantSplit/>
          <w:trHeight w:val="20"/>
          <w:jc w:val="center"/>
        </w:trPr>
        <w:tc>
          <w:tcPr>
            <w:tcW w:w="2425" w:type="dxa"/>
            <w:tcBorders>
              <w:top w:val="nil"/>
              <w:left w:val="single" w:sz="4" w:space="0" w:color="auto"/>
              <w:bottom w:val="nil"/>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i/>
                <w:iCs/>
                <w:color w:val="000000"/>
                <w:sz w:val="22"/>
                <w:szCs w:val="22"/>
                <w:lang w:val="en-PH" w:eastAsia="en-PH"/>
              </w:rPr>
            </w:pPr>
            <w:r>
              <w:rPr>
                <w:i/>
                <w:iCs/>
                <w:color w:val="000000"/>
                <w:sz w:val="22"/>
                <w:szCs w:val="22"/>
                <w:lang w:eastAsia="en-PH"/>
              </w:rPr>
              <w:t>Contract Cost:</w:t>
            </w:r>
          </w:p>
        </w:tc>
        <w:tc>
          <w:tcPr>
            <w:tcW w:w="2076"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A.1.1(11) Provision of Furniture/Fixtures, Equipment </w:t>
            </w:r>
            <w:proofErr w:type="gramStart"/>
            <w:r>
              <w:rPr>
                <w:color w:val="000000"/>
                <w:sz w:val="22"/>
                <w:szCs w:val="22"/>
                <w:lang w:eastAsia="en-PH"/>
              </w:rPr>
              <w:t>&amp;  Appliances</w:t>
            </w:r>
            <w:proofErr w:type="gramEnd"/>
            <w:r>
              <w:rPr>
                <w:color w:val="000000"/>
                <w:sz w:val="22"/>
                <w:szCs w:val="22"/>
                <w:lang w:eastAsia="en-PH"/>
              </w:rPr>
              <w:t xml:space="preserve"> for the Field Office for the Engineer</w:t>
            </w:r>
          </w:p>
        </w:tc>
        <w:tc>
          <w:tcPr>
            <w:tcW w:w="1340"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11,386.49</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121,985.05</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110,598.56</w:t>
            </w:r>
          </w:p>
        </w:tc>
        <w:tc>
          <w:tcPr>
            <w:tcW w:w="1033"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971.31%</w:t>
            </w: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P17,989,294.49</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i/>
                <w:iCs/>
                <w:color w:val="000000"/>
                <w:sz w:val="22"/>
                <w:szCs w:val="22"/>
                <w:lang w:val="en-PH" w:eastAsia="en-PH"/>
              </w:rPr>
            </w:pPr>
            <w:r>
              <w:rPr>
                <w:i/>
                <w:iCs/>
                <w:color w:val="000000"/>
                <w:sz w:val="22"/>
                <w:szCs w:val="22"/>
                <w:lang w:eastAsia="en-PH"/>
              </w:rPr>
              <w:t>Contractor:</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Northern Construction &amp; Allied Services</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 </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POW 2022-01-003 </w:t>
            </w:r>
          </w:p>
        </w:tc>
        <w:tc>
          <w:tcPr>
            <w:tcW w:w="2076"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A.1.1(3) </w:t>
            </w:r>
            <w:r>
              <w:rPr>
                <w:color w:val="000000"/>
                <w:sz w:val="22"/>
                <w:szCs w:val="22"/>
                <w:lang w:eastAsia="en-PH"/>
              </w:rPr>
              <w:lastRenderedPageBreak/>
              <w:t>Construction of Field Office for the Engineer</w:t>
            </w:r>
          </w:p>
        </w:tc>
        <w:tc>
          <w:tcPr>
            <w:tcW w:w="1340"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lastRenderedPageBreak/>
              <w:t>43,222.32</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252,000.00</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208,777.68</w:t>
            </w:r>
          </w:p>
        </w:tc>
        <w:tc>
          <w:tcPr>
            <w:tcW w:w="1033"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483.03%</w:t>
            </w:r>
          </w:p>
        </w:tc>
      </w:tr>
      <w:tr>
        <w:trPr>
          <w:cantSplit/>
          <w:trHeight w:val="20"/>
          <w:jc w:val="center"/>
        </w:trPr>
        <w:tc>
          <w:tcPr>
            <w:tcW w:w="2425" w:type="dxa"/>
            <w:tcBorders>
              <w:top w:val="single" w:sz="4" w:space="0" w:color="auto"/>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lastRenderedPageBreak/>
              <w:t xml:space="preserve">Upgrading of local access road -Barangay Buenavista to </w:t>
            </w:r>
            <w:proofErr w:type="spellStart"/>
            <w:r>
              <w:rPr>
                <w:color w:val="000000"/>
                <w:sz w:val="22"/>
                <w:szCs w:val="22"/>
                <w:lang w:eastAsia="en-PH"/>
              </w:rPr>
              <w:t>Tagpore</w:t>
            </w:r>
            <w:proofErr w:type="spellEnd"/>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noWrap/>
            <w:vAlign w:val="bottom"/>
            <w:hideMark/>
          </w:tcPr>
          <w:p>
            <w:pPr>
              <w:spacing w:line="276" w:lineRule="auto"/>
              <w:rPr>
                <w:color w:val="000000"/>
                <w:sz w:val="22"/>
                <w:szCs w:val="22"/>
                <w:lang w:val="en-PH" w:eastAsia="en-PH"/>
              </w:rPr>
            </w:pP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i/>
                <w:iCs/>
                <w:color w:val="000000"/>
                <w:sz w:val="22"/>
                <w:szCs w:val="22"/>
                <w:lang w:val="en-PH" w:eastAsia="en-PH"/>
              </w:rPr>
            </w:pPr>
            <w:r>
              <w:rPr>
                <w:i/>
                <w:iCs/>
                <w:color w:val="000000"/>
                <w:sz w:val="22"/>
                <w:szCs w:val="22"/>
                <w:lang w:eastAsia="en-PH"/>
              </w:rPr>
              <w:t>Contract Cost:</w:t>
            </w:r>
          </w:p>
        </w:tc>
        <w:tc>
          <w:tcPr>
            <w:tcW w:w="2076"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A.1.1(11) Provision of Furniture/Fixtures, Equipment </w:t>
            </w:r>
            <w:proofErr w:type="gramStart"/>
            <w:r>
              <w:rPr>
                <w:color w:val="000000"/>
                <w:sz w:val="22"/>
                <w:szCs w:val="22"/>
                <w:lang w:eastAsia="en-PH"/>
              </w:rPr>
              <w:t>&amp;  Appliances</w:t>
            </w:r>
            <w:proofErr w:type="gramEnd"/>
            <w:r>
              <w:rPr>
                <w:color w:val="000000"/>
                <w:sz w:val="22"/>
                <w:szCs w:val="22"/>
                <w:lang w:eastAsia="en-PH"/>
              </w:rPr>
              <w:t xml:space="preserve"> for the Field Office for the Engineer</w:t>
            </w:r>
          </w:p>
        </w:tc>
        <w:tc>
          <w:tcPr>
            <w:tcW w:w="1340"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11,386.49</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75,600.00</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64,213.51</w:t>
            </w:r>
          </w:p>
        </w:tc>
        <w:tc>
          <w:tcPr>
            <w:tcW w:w="1033"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563.94%</w:t>
            </w: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P15,593,156.56</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i/>
                <w:iCs/>
                <w:color w:val="000000"/>
                <w:sz w:val="22"/>
                <w:szCs w:val="22"/>
                <w:lang w:val="en-PH" w:eastAsia="en-PH"/>
              </w:rPr>
            </w:pPr>
            <w:r>
              <w:rPr>
                <w:i/>
                <w:iCs/>
                <w:color w:val="000000"/>
                <w:sz w:val="22"/>
                <w:szCs w:val="22"/>
                <w:lang w:eastAsia="en-PH"/>
              </w:rPr>
              <w:t>Contractor:</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Micah Construction &amp; Supply</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 </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POW 2021-10-378 </w:t>
            </w:r>
          </w:p>
        </w:tc>
        <w:tc>
          <w:tcPr>
            <w:tcW w:w="2076"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A.1.1(3) Construction of Field Office for the Engineer</w:t>
            </w:r>
          </w:p>
        </w:tc>
        <w:tc>
          <w:tcPr>
            <w:tcW w:w="1340"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42,881.92</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166,025.50</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123,143.58</w:t>
            </w:r>
          </w:p>
        </w:tc>
        <w:tc>
          <w:tcPr>
            <w:tcW w:w="1033"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287.17%</w:t>
            </w: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Concreting of Farm to Market Road Homeland Dapco going to Main </w:t>
            </w:r>
            <w:proofErr w:type="spellStart"/>
            <w:r>
              <w:rPr>
                <w:color w:val="000000"/>
                <w:sz w:val="22"/>
                <w:szCs w:val="22"/>
                <w:lang w:eastAsia="en-PH"/>
              </w:rPr>
              <w:t>Tadeco</w:t>
            </w:r>
            <w:proofErr w:type="spellEnd"/>
            <w:r>
              <w:rPr>
                <w:color w:val="000000"/>
                <w:sz w:val="22"/>
                <w:szCs w:val="22"/>
                <w:lang w:eastAsia="en-PH"/>
              </w:rPr>
              <w:t xml:space="preserve"> Road</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bottom"/>
            <w:hideMark/>
          </w:tcPr>
          <w:p>
            <w:pPr>
              <w:spacing w:line="276" w:lineRule="auto"/>
              <w:rPr>
                <w:i/>
                <w:iCs/>
                <w:color w:val="000000"/>
                <w:sz w:val="22"/>
                <w:szCs w:val="22"/>
                <w:lang w:eastAsia="en-PH"/>
              </w:rPr>
            </w:pPr>
          </w:p>
          <w:p>
            <w:pPr>
              <w:spacing w:line="276" w:lineRule="auto"/>
              <w:rPr>
                <w:i/>
                <w:iCs/>
                <w:color w:val="000000"/>
                <w:sz w:val="22"/>
                <w:szCs w:val="22"/>
                <w:lang w:val="en-PH" w:eastAsia="en-PH"/>
              </w:rPr>
            </w:pPr>
            <w:r>
              <w:rPr>
                <w:i/>
                <w:iCs/>
                <w:color w:val="000000"/>
                <w:sz w:val="22"/>
                <w:szCs w:val="22"/>
                <w:lang w:eastAsia="en-PH"/>
              </w:rPr>
              <w:t>Contract Cost:</w:t>
            </w:r>
          </w:p>
        </w:tc>
        <w:tc>
          <w:tcPr>
            <w:tcW w:w="2076"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A.1.1(11) Provision of Furniture/Fixtures, Equipment </w:t>
            </w:r>
            <w:proofErr w:type="gramStart"/>
            <w:r>
              <w:rPr>
                <w:color w:val="000000"/>
                <w:sz w:val="22"/>
                <w:szCs w:val="22"/>
                <w:lang w:eastAsia="en-PH"/>
              </w:rPr>
              <w:t>&amp;  Appliances</w:t>
            </w:r>
            <w:proofErr w:type="gramEnd"/>
            <w:r>
              <w:rPr>
                <w:color w:val="000000"/>
                <w:sz w:val="22"/>
                <w:szCs w:val="22"/>
                <w:lang w:eastAsia="en-PH"/>
              </w:rPr>
              <w:t xml:space="preserve"> for the Field Office for the Engineer</w:t>
            </w:r>
          </w:p>
        </w:tc>
        <w:tc>
          <w:tcPr>
            <w:tcW w:w="1340"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7,417.49</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87,381.84</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79,964.35</w:t>
            </w:r>
          </w:p>
        </w:tc>
        <w:tc>
          <w:tcPr>
            <w:tcW w:w="1033"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1078.05%</w:t>
            </w: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P19,985,773.62</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i/>
                <w:iCs/>
                <w:color w:val="000000"/>
                <w:sz w:val="22"/>
                <w:szCs w:val="22"/>
                <w:lang w:val="en-PH" w:eastAsia="en-PH"/>
              </w:rPr>
            </w:pPr>
            <w:r>
              <w:rPr>
                <w:i/>
                <w:iCs/>
                <w:color w:val="000000"/>
                <w:sz w:val="22"/>
                <w:szCs w:val="22"/>
                <w:lang w:eastAsia="en-PH"/>
              </w:rPr>
              <w:t>Contractor:</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eastAsia="en-PH"/>
              </w:rPr>
            </w:pPr>
            <w:r>
              <w:rPr>
                <w:color w:val="000000"/>
                <w:sz w:val="22"/>
                <w:szCs w:val="22"/>
                <w:lang w:eastAsia="en-PH"/>
              </w:rPr>
              <w:t>Northern Construction &amp; Allied Services</w:t>
            </w:r>
          </w:p>
          <w:p>
            <w:pPr>
              <w:spacing w:line="276" w:lineRule="auto"/>
              <w:rPr>
                <w:color w:val="000000"/>
                <w:sz w:val="22"/>
                <w:szCs w:val="22"/>
                <w:lang w:val="en-PH" w:eastAsia="en-PH"/>
              </w:rPr>
            </w:pP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POW-2021-12-454 </w:t>
            </w:r>
          </w:p>
        </w:tc>
        <w:tc>
          <w:tcPr>
            <w:tcW w:w="2076"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A.1.1(3) Construction of Field Office for the Engineer</w:t>
            </w:r>
          </w:p>
        </w:tc>
        <w:tc>
          <w:tcPr>
            <w:tcW w:w="1340"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43,222.32</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107,220.96</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63,998.64</w:t>
            </w:r>
          </w:p>
        </w:tc>
        <w:tc>
          <w:tcPr>
            <w:tcW w:w="1033"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148.07%</w:t>
            </w: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Upgrading of local access road -</w:t>
            </w:r>
            <w:proofErr w:type="spellStart"/>
            <w:r>
              <w:rPr>
                <w:color w:val="000000"/>
                <w:sz w:val="22"/>
                <w:szCs w:val="22"/>
                <w:lang w:eastAsia="en-PH"/>
              </w:rPr>
              <w:t>Kiotoy</w:t>
            </w:r>
            <w:proofErr w:type="spellEnd"/>
            <w:r>
              <w:rPr>
                <w:color w:val="000000"/>
                <w:sz w:val="22"/>
                <w:szCs w:val="22"/>
                <w:lang w:eastAsia="en-PH"/>
              </w:rPr>
              <w:t xml:space="preserve"> to Sta. Cruz</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i/>
                <w:iCs/>
                <w:color w:val="000000"/>
                <w:sz w:val="22"/>
                <w:szCs w:val="22"/>
                <w:lang w:val="en-PH" w:eastAsia="en-PH"/>
              </w:rPr>
            </w:pPr>
            <w:r>
              <w:rPr>
                <w:i/>
                <w:iCs/>
                <w:color w:val="000000"/>
                <w:sz w:val="22"/>
                <w:szCs w:val="22"/>
                <w:lang w:eastAsia="en-PH"/>
              </w:rPr>
              <w:t>Contract Cost:</w:t>
            </w:r>
          </w:p>
        </w:tc>
        <w:tc>
          <w:tcPr>
            <w:tcW w:w="2076"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eastAsia="en-PH"/>
              </w:rPr>
            </w:pPr>
            <w:r>
              <w:rPr>
                <w:color w:val="000000"/>
                <w:sz w:val="22"/>
                <w:szCs w:val="22"/>
                <w:lang w:eastAsia="en-PH"/>
              </w:rPr>
              <w:t xml:space="preserve">A.1.1(11) Provision of Furniture/Fixtures, Equipment </w:t>
            </w:r>
            <w:proofErr w:type="gramStart"/>
            <w:r>
              <w:rPr>
                <w:color w:val="000000"/>
                <w:sz w:val="22"/>
                <w:szCs w:val="22"/>
                <w:lang w:eastAsia="en-PH"/>
              </w:rPr>
              <w:t>&amp;  Appliances</w:t>
            </w:r>
            <w:proofErr w:type="gramEnd"/>
            <w:r>
              <w:rPr>
                <w:color w:val="000000"/>
                <w:sz w:val="22"/>
                <w:szCs w:val="22"/>
                <w:lang w:eastAsia="en-PH"/>
              </w:rPr>
              <w:t xml:space="preserve"> for the Field Office for the Engineer</w:t>
            </w:r>
          </w:p>
          <w:p>
            <w:pPr>
              <w:spacing w:line="276" w:lineRule="auto"/>
              <w:rPr>
                <w:color w:val="000000"/>
                <w:sz w:val="22"/>
                <w:szCs w:val="22"/>
                <w:lang w:val="en-PH" w:eastAsia="en-PH"/>
              </w:rPr>
            </w:pPr>
          </w:p>
        </w:tc>
        <w:tc>
          <w:tcPr>
            <w:tcW w:w="1340"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11,386.49</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44,100.00</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32,713.51</w:t>
            </w:r>
          </w:p>
        </w:tc>
        <w:tc>
          <w:tcPr>
            <w:tcW w:w="1033"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287.30%</w:t>
            </w: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P15,983,278.31</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right w:val="single" w:sz="4" w:space="0" w:color="auto"/>
            </w:tcBorders>
            <w:shd w:val="clear" w:color="auto" w:fill="auto"/>
            <w:vAlign w:val="center"/>
            <w:hideMark/>
          </w:tcPr>
          <w:p>
            <w:pPr>
              <w:spacing w:line="276" w:lineRule="auto"/>
              <w:rPr>
                <w:i/>
                <w:iCs/>
                <w:color w:val="000000"/>
                <w:sz w:val="22"/>
                <w:szCs w:val="22"/>
                <w:lang w:val="en-PH" w:eastAsia="en-PH"/>
              </w:rPr>
            </w:pPr>
            <w:r>
              <w:rPr>
                <w:i/>
                <w:iCs/>
                <w:color w:val="000000"/>
                <w:sz w:val="22"/>
                <w:szCs w:val="22"/>
                <w:lang w:eastAsia="en-PH"/>
              </w:rPr>
              <w:t>Contractor:</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746"/>
          <w:jc w:val="center"/>
        </w:trPr>
        <w:tc>
          <w:tcPr>
            <w:tcW w:w="2425" w:type="dxa"/>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Nen Builders &amp; Development Services Corporation</w:t>
            </w:r>
          </w:p>
          <w:p>
            <w:pPr>
              <w:spacing w:line="276" w:lineRule="auto"/>
              <w:rPr>
                <w:color w:val="000000"/>
                <w:sz w:val="22"/>
                <w:szCs w:val="22"/>
                <w:lang w:val="en-PH" w:eastAsia="en-PH"/>
              </w:rPr>
            </w:pP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POW-2021-09-349</w:t>
            </w:r>
          </w:p>
        </w:tc>
        <w:tc>
          <w:tcPr>
            <w:tcW w:w="20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A.1.1(3) Construction of Field Office for the Engineer</w:t>
            </w:r>
          </w:p>
        </w:tc>
        <w:tc>
          <w:tcPr>
            <w:tcW w:w="13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43,222.32</w:t>
            </w:r>
          </w:p>
        </w:tc>
        <w:tc>
          <w:tcPr>
            <w:tcW w:w="13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261,643.20</w:t>
            </w:r>
          </w:p>
        </w:tc>
        <w:tc>
          <w:tcPr>
            <w:tcW w:w="138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218,420.88</w:t>
            </w:r>
          </w:p>
        </w:tc>
        <w:tc>
          <w:tcPr>
            <w:tcW w:w="10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505.34%</w:t>
            </w:r>
          </w:p>
        </w:tc>
      </w:tr>
      <w:tr>
        <w:trPr>
          <w:cantSplit/>
          <w:trHeight w:val="20"/>
          <w:jc w:val="center"/>
        </w:trPr>
        <w:tc>
          <w:tcPr>
            <w:tcW w:w="2425" w:type="dxa"/>
            <w:tcBorders>
              <w:top w:val="single" w:sz="4" w:space="0" w:color="auto"/>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Concreting of Farm to Market Road from </w:t>
            </w:r>
            <w:proofErr w:type="spellStart"/>
            <w:r>
              <w:rPr>
                <w:color w:val="000000"/>
                <w:sz w:val="22"/>
                <w:szCs w:val="22"/>
                <w:lang w:eastAsia="en-PH"/>
              </w:rPr>
              <w:t>Mabunao</w:t>
            </w:r>
            <w:proofErr w:type="spellEnd"/>
            <w:r>
              <w:rPr>
                <w:color w:val="000000"/>
                <w:sz w:val="22"/>
                <w:szCs w:val="22"/>
                <w:lang w:eastAsia="en-PH"/>
              </w:rPr>
              <w:t xml:space="preserve"> to San Roque</w:t>
            </w:r>
          </w:p>
        </w:tc>
        <w:tc>
          <w:tcPr>
            <w:tcW w:w="2076"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lastRenderedPageBreak/>
              <w:t> </w:t>
            </w:r>
          </w:p>
        </w:tc>
        <w:tc>
          <w:tcPr>
            <w:tcW w:w="2076"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single" w:sz="4" w:space="0" w:color="auto"/>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i/>
                <w:iCs/>
                <w:color w:val="000000"/>
                <w:sz w:val="22"/>
                <w:szCs w:val="22"/>
                <w:lang w:val="en-PH" w:eastAsia="en-PH"/>
              </w:rPr>
            </w:pPr>
            <w:r>
              <w:rPr>
                <w:i/>
                <w:iCs/>
                <w:color w:val="000000"/>
                <w:sz w:val="22"/>
                <w:szCs w:val="22"/>
                <w:lang w:eastAsia="en-PH"/>
              </w:rPr>
              <w:t>Contract Cost:</w:t>
            </w:r>
          </w:p>
        </w:tc>
        <w:tc>
          <w:tcPr>
            <w:tcW w:w="2076"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 xml:space="preserve">A.1.1(11) Provision of Furniture/Fixtures, Equipment </w:t>
            </w:r>
            <w:proofErr w:type="gramStart"/>
            <w:r>
              <w:rPr>
                <w:color w:val="000000"/>
                <w:sz w:val="22"/>
                <w:szCs w:val="22"/>
                <w:lang w:eastAsia="en-PH"/>
              </w:rPr>
              <w:t>&amp;  Appliances</w:t>
            </w:r>
            <w:proofErr w:type="gramEnd"/>
            <w:r>
              <w:rPr>
                <w:color w:val="000000"/>
                <w:sz w:val="22"/>
                <w:szCs w:val="22"/>
                <w:lang w:eastAsia="en-PH"/>
              </w:rPr>
              <w:t xml:space="preserve"> for the Field Office for the Engineer</w:t>
            </w:r>
          </w:p>
        </w:tc>
        <w:tc>
          <w:tcPr>
            <w:tcW w:w="1340"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11,386.49</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95,935.84</w:t>
            </w:r>
          </w:p>
        </w:tc>
        <w:tc>
          <w:tcPr>
            <w:tcW w:w="1389"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84,549.35</w:t>
            </w:r>
          </w:p>
        </w:tc>
        <w:tc>
          <w:tcPr>
            <w:tcW w:w="1033" w:type="dxa"/>
            <w:vMerge w:val="restart"/>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right"/>
              <w:rPr>
                <w:color w:val="000000"/>
                <w:sz w:val="22"/>
                <w:szCs w:val="22"/>
                <w:lang w:val="en-PH" w:eastAsia="en-PH"/>
              </w:rPr>
            </w:pPr>
            <w:r>
              <w:rPr>
                <w:color w:val="000000"/>
                <w:sz w:val="22"/>
                <w:szCs w:val="22"/>
                <w:lang w:eastAsia="en-PH"/>
              </w:rPr>
              <w:t>742.54%</w:t>
            </w: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24,575,622.94</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i/>
                <w:iCs/>
                <w:color w:val="000000"/>
                <w:sz w:val="22"/>
                <w:szCs w:val="22"/>
                <w:lang w:val="en-PH" w:eastAsia="en-PH"/>
              </w:rPr>
            </w:pPr>
            <w:r>
              <w:rPr>
                <w:i/>
                <w:iCs/>
                <w:color w:val="000000"/>
                <w:sz w:val="22"/>
                <w:szCs w:val="22"/>
                <w:lang w:eastAsia="en-PH"/>
              </w:rPr>
              <w:t>Contractor:</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nil"/>
              <w:right w:val="single" w:sz="4" w:space="0" w:color="auto"/>
            </w:tcBorders>
            <w:shd w:val="clear" w:color="auto" w:fill="auto"/>
            <w:vAlign w:val="center"/>
            <w:hideMark/>
          </w:tcPr>
          <w:p>
            <w:pPr>
              <w:spacing w:line="276" w:lineRule="auto"/>
              <w:rPr>
                <w:color w:val="000000"/>
                <w:sz w:val="22"/>
                <w:szCs w:val="22"/>
                <w:lang w:val="en-PH" w:eastAsia="en-PH"/>
              </w:rPr>
            </w:pPr>
            <w:r>
              <w:rPr>
                <w:color w:val="000000"/>
                <w:sz w:val="22"/>
                <w:szCs w:val="22"/>
                <w:lang w:eastAsia="en-PH"/>
              </w:rPr>
              <w:t>Northern Construction &amp; Supply</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single" w:sz="4" w:space="0" w:color="auto"/>
              <w:right w:val="single" w:sz="4" w:space="0" w:color="auto"/>
            </w:tcBorders>
            <w:shd w:val="clear" w:color="auto" w:fill="auto"/>
            <w:hideMark/>
          </w:tcPr>
          <w:p>
            <w:pPr>
              <w:spacing w:line="276" w:lineRule="auto"/>
              <w:rPr>
                <w:color w:val="000000"/>
                <w:sz w:val="22"/>
                <w:szCs w:val="22"/>
                <w:lang w:val="en-PH" w:eastAsia="en-PH"/>
              </w:rPr>
            </w:pPr>
            <w:r>
              <w:rPr>
                <w:color w:val="000000"/>
                <w:sz w:val="22"/>
                <w:szCs w:val="22"/>
                <w:lang w:val="en-PH" w:eastAsia="en-PH"/>
              </w:rPr>
              <w:t> </w:t>
            </w:r>
          </w:p>
        </w:tc>
        <w:tc>
          <w:tcPr>
            <w:tcW w:w="2076"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40"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389"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c>
          <w:tcPr>
            <w:tcW w:w="1033" w:type="dxa"/>
            <w:vMerge/>
            <w:tcBorders>
              <w:top w:val="nil"/>
              <w:left w:val="single" w:sz="4" w:space="0" w:color="auto"/>
              <w:bottom w:val="single" w:sz="4" w:space="0" w:color="auto"/>
              <w:right w:val="single" w:sz="4" w:space="0" w:color="auto"/>
            </w:tcBorders>
            <w:vAlign w:val="center"/>
            <w:hideMark/>
          </w:tcPr>
          <w:p>
            <w:pPr>
              <w:spacing w:line="276" w:lineRule="auto"/>
              <w:rPr>
                <w:color w:val="000000"/>
                <w:sz w:val="22"/>
                <w:szCs w:val="22"/>
                <w:lang w:val="en-PH" w:eastAsia="en-PH"/>
              </w:rPr>
            </w:pPr>
          </w:p>
        </w:tc>
      </w:tr>
      <w:tr>
        <w:trPr>
          <w:cantSplit/>
          <w:trHeight w:val="20"/>
          <w:jc w:val="center"/>
        </w:trPr>
        <w:tc>
          <w:tcPr>
            <w:tcW w:w="2425" w:type="dxa"/>
            <w:tcBorders>
              <w:top w:val="nil"/>
              <w:left w:val="single" w:sz="4" w:space="0" w:color="auto"/>
              <w:bottom w:val="single" w:sz="4" w:space="0" w:color="auto"/>
              <w:right w:val="single" w:sz="4" w:space="0" w:color="auto"/>
            </w:tcBorders>
            <w:shd w:val="clear" w:color="auto" w:fill="auto"/>
            <w:vAlign w:val="center"/>
            <w:hideMark/>
          </w:tcPr>
          <w:p>
            <w:pPr>
              <w:spacing w:line="276" w:lineRule="auto"/>
              <w:jc w:val="both"/>
              <w:rPr>
                <w:b/>
                <w:bCs/>
                <w:color w:val="000000"/>
                <w:sz w:val="22"/>
                <w:szCs w:val="22"/>
                <w:lang w:val="en-PH" w:eastAsia="en-PH"/>
              </w:rPr>
            </w:pPr>
            <w:r>
              <w:rPr>
                <w:b/>
                <w:bCs/>
                <w:color w:val="000000"/>
                <w:sz w:val="22"/>
                <w:szCs w:val="22"/>
                <w:lang w:eastAsia="en-PH"/>
              </w:rPr>
              <w:t>TOTAL</w:t>
            </w:r>
          </w:p>
        </w:tc>
        <w:tc>
          <w:tcPr>
            <w:tcW w:w="2076" w:type="dxa"/>
            <w:tcBorders>
              <w:top w:val="nil"/>
              <w:left w:val="nil"/>
              <w:bottom w:val="single" w:sz="4" w:space="0" w:color="auto"/>
              <w:right w:val="single" w:sz="4" w:space="0" w:color="auto"/>
            </w:tcBorders>
            <w:shd w:val="clear" w:color="auto" w:fill="auto"/>
            <w:vAlign w:val="center"/>
            <w:hideMark/>
          </w:tcPr>
          <w:p>
            <w:pPr>
              <w:spacing w:line="276" w:lineRule="auto"/>
              <w:jc w:val="both"/>
              <w:rPr>
                <w:b/>
                <w:bCs/>
                <w:color w:val="000000"/>
                <w:sz w:val="22"/>
                <w:szCs w:val="22"/>
                <w:lang w:val="en-PH" w:eastAsia="en-PH"/>
              </w:rPr>
            </w:pPr>
            <w:r>
              <w:rPr>
                <w:b/>
                <w:bCs/>
                <w:color w:val="000000"/>
                <w:sz w:val="22"/>
                <w:szCs w:val="22"/>
                <w:lang w:eastAsia="en-PH"/>
              </w:rPr>
              <w:t> </w:t>
            </w:r>
          </w:p>
        </w:tc>
        <w:tc>
          <w:tcPr>
            <w:tcW w:w="1340" w:type="dxa"/>
            <w:tcBorders>
              <w:top w:val="nil"/>
              <w:left w:val="nil"/>
              <w:bottom w:val="single" w:sz="4" w:space="0" w:color="auto"/>
              <w:right w:val="single" w:sz="4" w:space="0" w:color="auto"/>
            </w:tcBorders>
            <w:shd w:val="clear" w:color="auto" w:fill="auto"/>
            <w:vAlign w:val="center"/>
            <w:hideMark/>
          </w:tcPr>
          <w:p>
            <w:pPr>
              <w:spacing w:line="276" w:lineRule="auto"/>
              <w:jc w:val="right"/>
              <w:rPr>
                <w:b/>
                <w:bCs/>
                <w:color w:val="000000"/>
                <w:sz w:val="22"/>
                <w:szCs w:val="22"/>
                <w:lang w:val="en-PH" w:eastAsia="en-PH"/>
              </w:rPr>
            </w:pPr>
            <w:r>
              <w:rPr>
                <w:b/>
                <w:bCs/>
                <w:color w:val="000000"/>
                <w:sz w:val="22"/>
                <w:szCs w:val="22"/>
                <w:lang w:eastAsia="en-PH"/>
              </w:rPr>
              <w:t>P270,692.69</w:t>
            </w:r>
          </w:p>
        </w:tc>
        <w:tc>
          <w:tcPr>
            <w:tcW w:w="1389" w:type="dxa"/>
            <w:tcBorders>
              <w:top w:val="nil"/>
              <w:left w:val="nil"/>
              <w:bottom w:val="single" w:sz="4" w:space="0" w:color="auto"/>
              <w:right w:val="single" w:sz="4" w:space="0" w:color="auto"/>
            </w:tcBorders>
            <w:shd w:val="clear" w:color="auto" w:fill="auto"/>
            <w:vAlign w:val="center"/>
            <w:hideMark/>
          </w:tcPr>
          <w:p>
            <w:pPr>
              <w:spacing w:line="276" w:lineRule="auto"/>
              <w:jc w:val="right"/>
              <w:rPr>
                <w:b/>
                <w:bCs/>
                <w:color w:val="000000"/>
                <w:sz w:val="22"/>
                <w:szCs w:val="22"/>
                <w:lang w:val="en-PH" w:eastAsia="en-PH"/>
              </w:rPr>
            </w:pPr>
            <w:r>
              <w:rPr>
                <w:b/>
                <w:bCs/>
                <w:color w:val="000000"/>
                <w:sz w:val="22"/>
                <w:szCs w:val="22"/>
                <w:lang w:eastAsia="en-PH"/>
              </w:rPr>
              <w:t>P1,474,037.91</w:t>
            </w:r>
          </w:p>
        </w:tc>
        <w:tc>
          <w:tcPr>
            <w:tcW w:w="1389" w:type="dxa"/>
            <w:tcBorders>
              <w:top w:val="nil"/>
              <w:left w:val="nil"/>
              <w:bottom w:val="single" w:sz="4" w:space="0" w:color="auto"/>
              <w:right w:val="single" w:sz="4" w:space="0" w:color="auto"/>
            </w:tcBorders>
            <w:shd w:val="clear" w:color="auto" w:fill="auto"/>
            <w:vAlign w:val="center"/>
            <w:hideMark/>
          </w:tcPr>
          <w:p>
            <w:pPr>
              <w:spacing w:line="276" w:lineRule="auto"/>
              <w:jc w:val="right"/>
              <w:rPr>
                <w:b/>
                <w:bCs/>
                <w:color w:val="000000"/>
                <w:sz w:val="22"/>
                <w:szCs w:val="22"/>
                <w:lang w:val="en-PH" w:eastAsia="en-PH"/>
              </w:rPr>
            </w:pPr>
            <w:r>
              <w:rPr>
                <w:b/>
                <w:bCs/>
                <w:color w:val="000000"/>
                <w:sz w:val="22"/>
                <w:szCs w:val="22"/>
                <w:lang w:eastAsia="en-PH"/>
              </w:rPr>
              <w:t>P1,203,345.22</w:t>
            </w:r>
          </w:p>
        </w:tc>
        <w:tc>
          <w:tcPr>
            <w:tcW w:w="1033" w:type="dxa"/>
            <w:tcBorders>
              <w:top w:val="nil"/>
              <w:left w:val="nil"/>
              <w:bottom w:val="single" w:sz="4" w:space="0" w:color="auto"/>
              <w:right w:val="single" w:sz="4" w:space="0" w:color="auto"/>
            </w:tcBorders>
            <w:shd w:val="clear" w:color="auto" w:fill="auto"/>
            <w:vAlign w:val="center"/>
            <w:hideMark/>
          </w:tcPr>
          <w:p>
            <w:pPr>
              <w:spacing w:line="276" w:lineRule="auto"/>
              <w:jc w:val="right"/>
              <w:rPr>
                <w:b/>
                <w:bCs/>
                <w:color w:val="000000"/>
                <w:sz w:val="22"/>
                <w:szCs w:val="22"/>
                <w:lang w:val="en-PH" w:eastAsia="en-PH"/>
              </w:rPr>
            </w:pPr>
            <w:r>
              <w:rPr>
                <w:b/>
                <w:bCs/>
                <w:color w:val="000000"/>
                <w:sz w:val="22"/>
                <w:szCs w:val="22"/>
                <w:lang w:eastAsia="en-PH"/>
              </w:rPr>
              <w:t>444.54%</w:t>
            </w:r>
          </w:p>
        </w:tc>
      </w:tr>
    </w:tbl>
    <w:p>
      <w:pPr>
        <w:spacing w:line="276" w:lineRule="auto"/>
        <w:jc w:val="both"/>
        <w:rPr>
          <w:bCs/>
          <w:iCs/>
        </w:rPr>
      </w:pPr>
    </w:p>
    <w:p>
      <w:pPr>
        <w:spacing w:line="276" w:lineRule="auto"/>
        <w:jc w:val="both"/>
        <w:rPr>
          <w:bCs/>
          <w:iCs/>
        </w:rPr>
      </w:pPr>
      <w:r>
        <w:rPr>
          <w:bCs/>
          <w:iCs/>
        </w:rPr>
        <w:t>According to the management, as per their understanding, specifications and quantity of the items in the POW and DUPA prepared by the agency serve only as benchmark in determining compliance by the Contractor. They no longer focus on the cost per item rather they focus on ensuring that total contract cost per infrastructure project does not exceed the total ABC.</w:t>
      </w:r>
    </w:p>
    <w:p>
      <w:pPr>
        <w:spacing w:line="276" w:lineRule="auto"/>
        <w:ind w:firstLine="720"/>
        <w:jc w:val="both"/>
        <w:rPr>
          <w:bCs/>
          <w:iCs/>
        </w:rPr>
      </w:pPr>
    </w:p>
    <w:p>
      <w:pPr>
        <w:spacing w:line="276" w:lineRule="auto"/>
        <w:jc w:val="both"/>
        <w:rPr>
          <w:b/>
          <w:bCs/>
          <w:iCs/>
        </w:rPr>
      </w:pPr>
      <w:r>
        <w:rPr>
          <w:bCs/>
          <w:iCs/>
        </w:rPr>
        <w:t xml:space="preserve">The rules and regulation </w:t>
      </w:r>
      <w:proofErr w:type="gramStart"/>
      <w:r>
        <w:rPr>
          <w:bCs/>
          <w:iCs/>
        </w:rPr>
        <w:t>requires</w:t>
      </w:r>
      <w:proofErr w:type="gramEnd"/>
      <w:r>
        <w:rPr>
          <w:bCs/>
          <w:iCs/>
        </w:rPr>
        <w:t xml:space="preserve"> that the detailed estimates supporting the contract bid price contain the same work items and quantities as specified in the ABC/POW/DUPA. However, detailed estimates attached to the contractor’s bid presented the work item in lump sum with no specification for the quantity, materials and labor. The details of this deficiency are presented in </w:t>
      </w:r>
      <w:r>
        <w:rPr>
          <w:b/>
          <w:bCs/>
          <w:i/>
          <w:iCs/>
        </w:rPr>
        <w:t>Annex O</w:t>
      </w:r>
      <w:r>
        <w:rPr>
          <w:b/>
          <w:bCs/>
          <w:iCs/>
        </w:rPr>
        <w:t xml:space="preserve">. </w:t>
      </w:r>
    </w:p>
    <w:p>
      <w:pPr>
        <w:spacing w:line="276" w:lineRule="auto"/>
        <w:ind w:firstLine="720"/>
        <w:jc w:val="both"/>
        <w:rPr>
          <w:bCs/>
          <w:iCs/>
        </w:rPr>
      </w:pPr>
    </w:p>
    <w:p>
      <w:pPr>
        <w:spacing w:line="276" w:lineRule="auto"/>
        <w:jc w:val="both"/>
        <w:rPr>
          <w:bCs/>
          <w:iCs/>
        </w:rPr>
      </w:pPr>
      <w:r>
        <w:rPr>
          <w:bCs/>
          <w:iCs/>
        </w:rPr>
        <w:t>Moreover, the excess noted is significant which is equivalent to 148.07% to 1,078.05% more than the item cost per ABC and the total excess for the five (5) projects amounted to P1,203,345.22</w:t>
      </w:r>
      <w:r>
        <w:t>.</w:t>
      </w:r>
    </w:p>
    <w:p>
      <w:pPr>
        <w:spacing w:line="276" w:lineRule="auto"/>
        <w:ind w:firstLine="720"/>
        <w:jc w:val="both"/>
        <w:rPr>
          <w:bCs/>
          <w:iCs/>
        </w:rPr>
      </w:pPr>
    </w:p>
    <w:p>
      <w:pPr>
        <w:spacing w:line="276" w:lineRule="auto"/>
        <w:jc w:val="both"/>
        <w:rPr>
          <w:bCs/>
          <w:iCs/>
        </w:rPr>
      </w:pPr>
      <w:r>
        <w:rPr>
          <w:bCs/>
          <w:iCs/>
        </w:rPr>
        <w:t>On the other hand, turn-over documents for the facilities, equipment and furniture included in the contract were not attached in the final billing contrary to the instruction in the bidding documents and the afore-cited provision of COA Circular No. 2012-001</w:t>
      </w:r>
      <w:r>
        <w:t xml:space="preserve"> dated June 14, 2012</w:t>
      </w:r>
      <w:r>
        <w:rPr>
          <w:bCs/>
          <w:iCs/>
        </w:rPr>
        <w:t xml:space="preserve">. </w:t>
      </w:r>
      <w:r>
        <w:t>Item 9.1.1.4 thereof states that one of the documentary requirements for the release of final payment of infrastructures projects is the “</w:t>
      </w:r>
      <w:r>
        <w:rPr>
          <w:i/>
        </w:rPr>
        <w:t>copy of turn over documents/transfer of project and facilities such as motor vehicle, laptops, other equipment and furniture included in the contract to concerned government agency.”</w:t>
      </w:r>
    </w:p>
    <w:p>
      <w:pPr>
        <w:spacing w:line="276" w:lineRule="auto"/>
        <w:jc w:val="both"/>
        <w:rPr>
          <w:bCs/>
          <w:iCs/>
        </w:rPr>
      </w:pPr>
      <w:r>
        <w:rPr>
          <w:bCs/>
          <w:iCs/>
        </w:rPr>
        <w:t>It was also stated in the City’s Bidding Documents for each infrastructure project, under Section VI Specifications, that:</w:t>
      </w:r>
    </w:p>
    <w:p>
      <w:pPr>
        <w:spacing w:line="276" w:lineRule="auto"/>
        <w:ind w:firstLine="720"/>
        <w:jc w:val="both"/>
        <w:rPr>
          <w:bCs/>
          <w:iCs/>
        </w:rPr>
      </w:pPr>
    </w:p>
    <w:p>
      <w:pPr>
        <w:spacing w:line="276" w:lineRule="auto"/>
        <w:ind w:left="720" w:right="702" w:firstLine="14"/>
        <w:jc w:val="both"/>
        <w:rPr>
          <w:bCs/>
          <w:iCs/>
        </w:rPr>
      </w:pPr>
      <w:r>
        <w:rPr>
          <w:bCs/>
          <w:iCs/>
        </w:rPr>
        <w:lastRenderedPageBreak/>
        <w:t xml:space="preserve">All equipment, furniture, instrument, apparatus, fixtures, fittings and items for the use of the Engineer to be provided shall be new and shall conform with the specifications as to kinds, grades, types and sizes or as determined by the Engineer. </w:t>
      </w:r>
      <w:r>
        <w:rPr>
          <w:b/>
          <w:bCs/>
          <w:iCs/>
        </w:rPr>
        <w:t xml:space="preserve">These will become the property of the Implementing Agency the moment they are handed-over and accepted by the Engineer. </w:t>
      </w:r>
      <w:r>
        <w:rPr>
          <w:bCs/>
          <w:iCs/>
        </w:rPr>
        <w:t>(Emphasis supplied)</w:t>
      </w:r>
    </w:p>
    <w:p>
      <w:pPr>
        <w:spacing w:line="276" w:lineRule="auto"/>
        <w:ind w:firstLine="720"/>
        <w:jc w:val="both"/>
        <w:rPr>
          <w:bCs/>
          <w:iCs/>
        </w:rPr>
      </w:pPr>
    </w:p>
    <w:p>
      <w:pPr>
        <w:spacing w:line="276" w:lineRule="auto"/>
        <w:jc w:val="both"/>
        <w:rPr>
          <w:bCs/>
          <w:iCs/>
        </w:rPr>
      </w:pPr>
      <w:r>
        <w:rPr>
          <w:bCs/>
          <w:iCs/>
        </w:rPr>
        <w:t xml:space="preserve">As per inquiry with the project engineer, the said field house, equipment and furniture were turned-over to the Barangay were the project is located. However, the turn-over of the items to the Barangay is a transfer of property to another government agency and is independent to the implementation of the infrastructure project by the City. </w:t>
      </w:r>
    </w:p>
    <w:p>
      <w:pPr>
        <w:spacing w:line="276" w:lineRule="auto"/>
        <w:ind w:firstLine="720"/>
        <w:jc w:val="both"/>
        <w:rPr>
          <w:bCs/>
          <w:iCs/>
        </w:rPr>
      </w:pPr>
    </w:p>
    <w:p>
      <w:pPr>
        <w:spacing w:line="276" w:lineRule="auto"/>
        <w:jc w:val="both"/>
        <w:rPr>
          <w:bCs/>
          <w:iCs/>
        </w:rPr>
      </w:pPr>
      <w:r>
        <w:rPr>
          <w:bCs/>
          <w:iCs/>
        </w:rPr>
        <w:t xml:space="preserve">The turn-over document pertaining in the rules and regulations pertain to the turn-over of the items to the City Government by the Contractor as prerequisite in the final billing. The turn-over documents would have substantiated the contract cost by showing the breakdown of the provided facilities for the engineer and serve as proof that the pay items were </w:t>
      </w:r>
      <w:proofErr w:type="spellStart"/>
      <w:r>
        <w:rPr>
          <w:bCs/>
          <w:iCs/>
        </w:rPr>
        <w:t>complied</w:t>
      </w:r>
      <w:proofErr w:type="spellEnd"/>
      <w:r>
        <w:rPr>
          <w:bCs/>
          <w:iCs/>
        </w:rPr>
        <w:t xml:space="preserve"> by the contractor. In the absence of the said document, the existence and completeness of the facilities, equipment and furniture included in the contract with total cost of P1,474,037.91 could not be ascertained.</w:t>
      </w:r>
    </w:p>
    <w:p>
      <w:pPr>
        <w:spacing w:line="276" w:lineRule="auto"/>
        <w:jc w:val="both"/>
        <w:rPr>
          <w:b/>
        </w:rPr>
      </w:pPr>
    </w:p>
    <w:p>
      <w:pPr>
        <w:spacing w:line="276" w:lineRule="auto"/>
        <w:jc w:val="both"/>
        <w:rPr>
          <w:b/>
        </w:rPr>
      </w:pPr>
      <w:r>
        <w:rPr>
          <w:b/>
        </w:rPr>
        <w:t>Recommendations:</w:t>
      </w:r>
    </w:p>
    <w:p>
      <w:pPr>
        <w:spacing w:line="276" w:lineRule="auto"/>
        <w:jc w:val="both"/>
        <w:rPr>
          <w:b/>
        </w:rPr>
      </w:pPr>
    </w:p>
    <w:p>
      <w:pPr>
        <w:spacing w:line="276" w:lineRule="auto"/>
        <w:jc w:val="both"/>
      </w:pPr>
      <w:r>
        <w:t>We recommended the City Mayor to:</w:t>
      </w:r>
    </w:p>
    <w:p>
      <w:pPr>
        <w:spacing w:line="276" w:lineRule="auto"/>
        <w:jc w:val="both"/>
      </w:pPr>
    </w:p>
    <w:p>
      <w:pPr>
        <w:numPr>
          <w:ilvl w:val="0"/>
          <w:numId w:val="24"/>
        </w:numPr>
        <w:spacing w:line="276" w:lineRule="auto"/>
        <w:ind w:left="360"/>
        <w:jc w:val="both"/>
      </w:pPr>
      <w:r>
        <w:t>Direct the City Budget Office and the implementing city departments/offices to refrain from charging expenditures to the appropriation balance of completed projects and ensure that savings from completed projects are reverted back to the unappropriated surplus of the 20% Development Fund in accordance to pertinent budgetary rules; and,</w:t>
      </w:r>
    </w:p>
    <w:p>
      <w:pPr>
        <w:numPr>
          <w:ilvl w:val="0"/>
          <w:numId w:val="24"/>
        </w:numPr>
        <w:spacing w:line="276" w:lineRule="auto"/>
        <w:ind w:left="360"/>
        <w:jc w:val="both"/>
      </w:pPr>
      <w:r>
        <w:t>Direct the City Housing Section and City Engineering Office to submit relevant supporting documents and written justification for the charging of expenditures amounting to P103,669.52 and P5,951.00 to the continuing appropriations of prior years’ completed projects.</w:t>
      </w:r>
    </w:p>
    <w:p>
      <w:pPr>
        <w:spacing w:line="276" w:lineRule="auto"/>
        <w:jc w:val="both"/>
        <w:rPr>
          <w:bCs/>
          <w:iCs/>
        </w:rPr>
      </w:pPr>
    </w:p>
    <w:p>
      <w:pPr>
        <w:spacing w:line="276" w:lineRule="auto"/>
        <w:jc w:val="both"/>
        <w:rPr>
          <w:bCs/>
          <w:iCs/>
        </w:rPr>
      </w:pPr>
      <w:r>
        <w:t>We further recommended that</w:t>
      </w:r>
      <w:r>
        <w:rPr>
          <w:bCs/>
          <w:iCs/>
        </w:rPr>
        <w:t xml:space="preserve"> the Bids and Awards Committee, City Engineering Office, and City Accounting Office be directed to submit written justifications on the noted deficiencies and additional documents/information relevant to the transactions, if any.</w:t>
      </w:r>
    </w:p>
    <w:p>
      <w:pPr>
        <w:spacing w:line="276" w:lineRule="auto"/>
        <w:ind w:firstLine="720"/>
        <w:jc w:val="both"/>
        <w:rPr>
          <w:bCs/>
          <w:iCs/>
        </w:rPr>
      </w:pPr>
    </w:p>
    <w:p>
      <w:pPr>
        <w:spacing w:line="276" w:lineRule="auto"/>
        <w:jc w:val="both"/>
        <w:rPr>
          <w:iCs/>
        </w:rPr>
      </w:pPr>
      <w:r>
        <w:rPr>
          <w:iCs/>
        </w:rPr>
        <w:t xml:space="preserve">Finally, we recommended the immediate submission of turn-over documents from the contractor for the pay item Facilities for the Engineer amounting to P1,474,037.91 with </w:t>
      </w:r>
      <w:r>
        <w:rPr>
          <w:iCs/>
        </w:rPr>
        <w:lastRenderedPageBreak/>
        <w:t>complete breakdown and specifications of the items included therein for us to further make a decision in audit.</w:t>
      </w:r>
    </w:p>
    <w:p>
      <w:pPr>
        <w:spacing w:line="276" w:lineRule="auto"/>
        <w:ind w:right="270"/>
        <w:rPr>
          <w:b/>
          <w:i/>
        </w:rPr>
      </w:pPr>
    </w:p>
    <w:p>
      <w:pPr>
        <w:spacing w:line="276" w:lineRule="auto"/>
        <w:ind w:right="162"/>
        <w:jc w:val="both"/>
        <w:rPr>
          <w:b/>
          <w:bCs/>
        </w:rPr>
      </w:pPr>
      <w:r>
        <w:rPr>
          <w:b/>
          <w:bCs/>
        </w:rPr>
        <w:t>Management’s Comment:</w:t>
      </w:r>
    </w:p>
    <w:p>
      <w:pPr>
        <w:spacing w:line="276" w:lineRule="auto"/>
        <w:jc w:val="both"/>
        <w:rPr>
          <w:b/>
        </w:rPr>
      </w:pPr>
    </w:p>
    <w:p>
      <w:pPr>
        <w:spacing w:line="276" w:lineRule="auto"/>
        <w:jc w:val="both"/>
      </w:pPr>
      <w:r>
        <w:t>The management was amenable to the audit observations and recommendations. The concerned offices adhered to refrain charging expenditures to the appropriation balance of completed projects. The CBO added that it has been practice that at the end of each year, the implementing offices are asked for certification of completed projects that are subject for reversion to ensure that the projects are 100% physically completed. Confirmation is also obtained from the City Accounting Office if the said projects are also free from financial obligations before finally closing or reverting the balances to savings or surplus. CBO also pledged to closely coordinate with the implementing offices to monitor completion of projects for the timely declaration as savings of unexpended appropriation balances.</w:t>
      </w:r>
    </w:p>
    <w:p>
      <w:pPr>
        <w:spacing w:line="276" w:lineRule="auto"/>
        <w:jc w:val="both"/>
      </w:pPr>
    </w:p>
    <w:p>
      <w:pPr>
        <w:spacing w:line="276" w:lineRule="auto"/>
        <w:jc w:val="both"/>
      </w:pPr>
      <w:r>
        <w:t>On the other hand, CAO stated that the copy of turn-over documents/transfer of project and facilities of the above-mentioned projects was unintentionally not included as documentary requirements. The CAO assured to further review and revise the checklist of documentary checklist to ensure completeness of supporting documents as prescribed in the COA Circular No. 2012-001 and grateful to the audit team because this audit observation helped to enhance the Office’s processes and internal controls. Furthermore, the CAO committed to coordinate with the City Engineering Office for the compliance of lacking documents and will be submitted to the audit team once available.</w:t>
      </w:r>
    </w:p>
    <w:p>
      <w:pPr>
        <w:spacing w:line="276" w:lineRule="auto"/>
        <w:jc w:val="both"/>
      </w:pPr>
    </w:p>
    <w:p>
      <w:pPr>
        <w:spacing w:line="276" w:lineRule="auto"/>
        <w:jc w:val="both"/>
      </w:pPr>
      <w:r>
        <w:t>Finally, CEO stated that the completed projects were already turned over to the end-users. They assured that prior to the issuance of the Certificate of Acceptance, evaluation was done to ensure that the completed infrastructure projects were in accordance with the listed item of works. Furthermore, the CEO stated that they have undertaken corrective measures on the projects concerned and will inform the audit team on the matter.</w:t>
      </w:r>
    </w:p>
    <w:p>
      <w:pPr>
        <w:spacing w:line="276" w:lineRule="auto"/>
        <w:ind w:right="270"/>
        <w:rPr>
          <w:b/>
          <w:i/>
        </w:rPr>
      </w:pPr>
    </w:p>
    <w:p>
      <w:pPr>
        <w:spacing w:line="276" w:lineRule="auto"/>
        <w:ind w:right="270"/>
        <w:rPr>
          <w:b/>
          <w:i/>
        </w:rPr>
      </w:pPr>
    </w:p>
    <w:p>
      <w:pPr>
        <w:spacing w:line="276" w:lineRule="auto"/>
        <w:jc w:val="both"/>
        <w:rPr>
          <w:b/>
          <w:bCs/>
          <w:i/>
        </w:rPr>
      </w:pPr>
      <w:r>
        <w:rPr>
          <w:b/>
          <w:bCs/>
          <w:i/>
        </w:rPr>
        <w:t xml:space="preserve">Covid-19 Vaccine Program - Lapses in inventory management control procedures </w:t>
      </w:r>
    </w:p>
    <w:p>
      <w:pPr>
        <w:pStyle w:val="ListParagraph"/>
        <w:spacing w:after="0"/>
        <w:ind w:left="0"/>
        <w:jc w:val="both"/>
        <w:rPr>
          <w:rFonts w:ascii="Times New Roman" w:hAnsi="Times New Roman"/>
          <w:sz w:val="24"/>
          <w:szCs w:val="24"/>
        </w:rPr>
      </w:pPr>
    </w:p>
    <w:p>
      <w:pPr>
        <w:pStyle w:val="ListParagraph"/>
        <w:numPr>
          <w:ilvl w:val="0"/>
          <w:numId w:val="22"/>
        </w:numPr>
        <w:ind w:left="0" w:firstLine="0"/>
        <w:jc w:val="both"/>
        <w:rPr>
          <w:b/>
        </w:rPr>
      </w:pPr>
      <w:r>
        <w:rPr>
          <w:rFonts w:ascii="Times New Roman" w:eastAsia="Times New Roman" w:hAnsi="Times New Roman"/>
          <w:b/>
          <w:bCs/>
          <w:iCs/>
          <w:sz w:val="24"/>
          <w:szCs w:val="24"/>
          <w:lang w:val="en-US"/>
        </w:rPr>
        <w:t>The receipt and utilization of COVID-19 vaccines and ancillary supplies totaling P40,888,763.67 from the various donors were not properly accounted due to lapses in inventory management control procedures.</w:t>
      </w:r>
    </w:p>
    <w:p>
      <w:pPr>
        <w:spacing w:line="276" w:lineRule="auto"/>
        <w:jc w:val="both"/>
        <w:rPr>
          <w:rFonts w:eastAsiaTheme="minorHAnsi"/>
          <w:lang w:val="en-PH"/>
        </w:rPr>
      </w:pPr>
      <w:r>
        <w:rPr>
          <w:rFonts w:eastAsiaTheme="minorHAnsi"/>
          <w:lang w:val="en-PH"/>
        </w:rPr>
        <w:t xml:space="preserve">Section 3 of RA No. 11526 or the COVID 19 Vaccination Program Act of 2021, provides that “…notwithstanding any law to contrary, the DOH and NTF, either thru themselves, jointly or in cooperation with any national government or agency or instrumentality or </w:t>
      </w:r>
      <w:r>
        <w:rPr>
          <w:rFonts w:eastAsiaTheme="minorHAnsi"/>
          <w:lang w:val="en-PH"/>
        </w:rPr>
        <w:lastRenderedPageBreak/>
        <w:t>LGU, are authorized to procure COVID 19 vaccines, including ancillary supplies and services…xxx.”</w:t>
      </w:r>
    </w:p>
    <w:p>
      <w:pPr>
        <w:spacing w:line="276" w:lineRule="auto"/>
        <w:ind w:firstLine="720"/>
        <w:jc w:val="both"/>
        <w:rPr>
          <w:rFonts w:eastAsiaTheme="minorHAnsi"/>
          <w:lang w:val="en-PH"/>
        </w:rPr>
      </w:pPr>
    </w:p>
    <w:p>
      <w:pPr>
        <w:spacing w:line="276" w:lineRule="auto"/>
        <w:jc w:val="both"/>
        <w:rPr>
          <w:rFonts w:eastAsiaTheme="minorHAnsi"/>
          <w:lang w:val="en-PH"/>
        </w:rPr>
      </w:pPr>
      <w:r>
        <w:rPr>
          <w:rFonts w:eastAsiaTheme="minorHAnsi"/>
          <w:lang w:val="en-PH"/>
        </w:rPr>
        <w:t xml:space="preserve">One of the most important developments in the fight against the pandemic is the development of COVID-19 vaccines at an unprecedented speed. COVID-19 vaccine deployment and vaccination program are a combined national, regional, and local responsibility that requires close collaboration between public health, external agencies, and community partners. During the year 2022, the City Government of </w:t>
      </w:r>
      <w:proofErr w:type="spellStart"/>
      <w:r>
        <w:rPr>
          <w:rFonts w:eastAsiaTheme="minorHAnsi"/>
          <w:lang w:val="en-PH"/>
        </w:rPr>
        <w:t>Panabo</w:t>
      </w:r>
      <w:proofErr w:type="spellEnd"/>
      <w:r>
        <w:rPr>
          <w:rFonts w:eastAsiaTheme="minorHAnsi"/>
          <w:lang w:val="en-PH"/>
        </w:rPr>
        <w:t xml:space="preserve"> targeted 70% or 135,847 out of 194,067</w:t>
      </w:r>
      <w:r>
        <w:rPr>
          <w:rFonts w:eastAsiaTheme="minorHAnsi"/>
          <w:b/>
          <w:lang w:val="en-PH"/>
        </w:rPr>
        <w:t xml:space="preserve"> </w:t>
      </w:r>
      <w:r>
        <w:rPr>
          <w:rFonts w:eastAsiaTheme="minorHAnsi"/>
          <w:lang w:val="en-PH"/>
        </w:rPr>
        <w:t>of its projected populations to participate the vaccination programs. Figure 1 shows the status of individuals who availed the immunization as at CY2022.</w:t>
      </w:r>
    </w:p>
    <w:p>
      <w:pPr>
        <w:spacing w:line="276" w:lineRule="auto"/>
        <w:ind w:firstLine="720"/>
        <w:jc w:val="both"/>
        <w:rPr>
          <w:rFonts w:eastAsiaTheme="minorHAnsi"/>
          <w:lang w:val="en-PH"/>
        </w:rPr>
      </w:pPr>
    </w:p>
    <w:p>
      <w:pPr>
        <w:spacing w:line="276" w:lineRule="auto"/>
        <w:jc w:val="both"/>
        <w:rPr>
          <w:rFonts w:eastAsiaTheme="minorHAnsi"/>
          <w:lang w:val="en-PH"/>
        </w:rPr>
      </w:pPr>
      <w:r>
        <w:rPr>
          <w:rFonts w:eastAsiaTheme="minorHAnsi"/>
          <w:lang w:val="en-PH"/>
        </w:rPr>
        <w:t>Out of the 135,847 individuals targeted to be fully vaccinated 137,144 or 100.95% have been inoculated with first dose while 123,012 or 90.55% have been inoculated with second dose. On the other hand, 19,633 and 2,766 individuals have been inoculated with first and second booster, respectively.</w:t>
      </w:r>
    </w:p>
    <w:p>
      <w:pPr>
        <w:spacing w:line="276" w:lineRule="auto"/>
        <w:ind w:firstLine="720"/>
        <w:jc w:val="both"/>
        <w:rPr>
          <w:rFonts w:eastAsiaTheme="minorHAnsi"/>
          <w:lang w:val="en-PH"/>
        </w:rPr>
      </w:pPr>
    </w:p>
    <w:p>
      <w:pPr>
        <w:spacing w:line="276" w:lineRule="auto"/>
        <w:jc w:val="both"/>
        <w:rPr>
          <w:rFonts w:eastAsiaTheme="minorHAnsi"/>
          <w:lang w:val="en-PH"/>
        </w:rPr>
      </w:pPr>
      <w:r>
        <w:rPr>
          <w:rFonts w:eastAsiaTheme="minorHAnsi"/>
          <w:lang w:val="en-PH"/>
        </w:rPr>
        <w:t xml:space="preserve">The City Government did not procure COVID-19 vaccines during the year and 100% or 27,478 vaccines used in their vaccination program were donated by the Department of Health (DOH) Region XI, Provincial Health Office (PHO), other local governments and private organization. </w:t>
      </w:r>
    </w:p>
    <w:p>
      <w:pPr>
        <w:spacing w:line="276" w:lineRule="auto"/>
        <w:jc w:val="both"/>
        <w:rPr>
          <w:rFonts w:eastAsiaTheme="minorHAnsi"/>
          <w:lang w:val="en-PH"/>
        </w:rPr>
      </w:pPr>
    </w:p>
    <w:p>
      <w:pPr>
        <w:spacing w:line="276" w:lineRule="auto"/>
        <w:jc w:val="both"/>
        <w:rPr>
          <w:rFonts w:eastAsiaTheme="minorHAnsi"/>
          <w:i/>
          <w:lang w:val="en-PH"/>
        </w:rPr>
      </w:pPr>
      <w:r>
        <w:rPr>
          <w:rFonts w:eastAsiaTheme="minorHAnsi"/>
          <w:i/>
          <w:lang w:val="en-PH"/>
        </w:rPr>
        <w:t>Figure 1. Status of individuals who participated in the vaccination program of the City</w:t>
      </w:r>
    </w:p>
    <w:p>
      <w:pPr>
        <w:spacing w:line="276" w:lineRule="auto"/>
        <w:ind w:firstLine="720"/>
        <w:jc w:val="both"/>
        <w:rPr>
          <w:rFonts w:eastAsiaTheme="minorHAnsi"/>
          <w:i/>
          <w:lang w:val="en-PH"/>
        </w:rPr>
      </w:pPr>
      <w:r>
        <w:rPr>
          <w:rFonts w:eastAsiaTheme="minorHAnsi"/>
          <w:noProof/>
          <w:lang w:val="en-PH" w:eastAsia="en-PH"/>
        </w:rPr>
        <w:drawing>
          <wp:anchor distT="0" distB="0" distL="114300" distR="114300" simplePos="0" relativeHeight="251660288" behindDoc="1" locked="0" layoutInCell="1" allowOverlap="1">
            <wp:simplePos x="0" y="0"/>
            <wp:positionH relativeFrom="margin">
              <wp:align>right</wp:align>
            </wp:positionH>
            <wp:positionV relativeFrom="paragraph">
              <wp:posOffset>4445</wp:posOffset>
            </wp:positionV>
            <wp:extent cx="5471160" cy="2889250"/>
            <wp:effectExtent l="0" t="0" r="15240" b="6350"/>
            <wp:wrapNone/>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tabs>
          <w:tab w:val="left" w:pos="1728"/>
        </w:tabs>
        <w:spacing w:line="276" w:lineRule="auto"/>
        <w:ind w:firstLine="720"/>
        <w:jc w:val="both"/>
        <w:rPr>
          <w:rFonts w:eastAsiaTheme="minorHAnsi"/>
          <w:lang w:val="en-PH"/>
        </w:rPr>
      </w:pPr>
      <w:r>
        <w:rPr>
          <w:rFonts w:eastAsiaTheme="minorHAnsi"/>
          <w:lang w:val="en-PH"/>
        </w:rPr>
        <w:tab/>
      </w:r>
    </w:p>
    <w:p>
      <w:pPr>
        <w:tabs>
          <w:tab w:val="left" w:pos="1728"/>
        </w:tabs>
        <w:spacing w:line="276" w:lineRule="auto"/>
        <w:ind w:firstLine="720"/>
        <w:jc w:val="both"/>
        <w:rPr>
          <w:rFonts w:eastAsiaTheme="minorHAnsi"/>
          <w:lang w:val="en-PH"/>
        </w:rPr>
      </w:pPr>
      <w:r>
        <w:rPr>
          <w:rFonts w:eastAsiaTheme="minorHAnsi"/>
          <w:lang w:val="en-PH"/>
        </w:rPr>
        <w:tab/>
      </w:r>
    </w:p>
    <w:p>
      <w:pPr>
        <w:tabs>
          <w:tab w:val="left" w:pos="2112"/>
        </w:tabs>
        <w:spacing w:line="276" w:lineRule="auto"/>
        <w:ind w:firstLine="720"/>
        <w:jc w:val="both"/>
        <w:rPr>
          <w:rFonts w:eastAsiaTheme="minorHAnsi"/>
          <w:lang w:val="en-PH"/>
        </w:rPr>
      </w:pPr>
      <w:r>
        <w:rPr>
          <w:rFonts w:eastAsiaTheme="minorHAnsi"/>
          <w:lang w:val="en-PH"/>
        </w:rPr>
        <w:tab/>
      </w: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spacing w:line="276" w:lineRule="auto"/>
        <w:ind w:firstLine="720"/>
        <w:jc w:val="right"/>
        <w:rPr>
          <w:rFonts w:eastAsiaTheme="minorHAnsi"/>
          <w:lang w:val="en-PH"/>
        </w:rPr>
      </w:pPr>
    </w:p>
    <w:p>
      <w:pPr>
        <w:tabs>
          <w:tab w:val="left" w:pos="7848"/>
          <w:tab w:val="left" w:pos="8232"/>
        </w:tabs>
        <w:spacing w:line="276" w:lineRule="auto"/>
        <w:ind w:firstLine="720"/>
        <w:jc w:val="both"/>
        <w:rPr>
          <w:rFonts w:eastAsiaTheme="minorHAnsi"/>
          <w:lang w:val="en-PH"/>
        </w:rPr>
      </w:pPr>
      <w:r>
        <w:rPr>
          <w:rFonts w:eastAsiaTheme="minorHAnsi"/>
          <w:lang w:val="en-PH"/>
        </w:rPr>
        <w:tab/>
      </w:r>
      <w:r>
        <w:rPr>
          <w:rFonts w:eastAsiaTheme="minorHAnsi"/>
          <w:lang w:val="en-PH"/>
        </w:rPr>
        <w:tab/>
      </w:r>
    </w:p>
    <w:p>
      <w:pPr>
        <w:tabs>
          <w:tab w:val="left" w:pos="7884"/>
        </w:tabs>
        <w:spacing w:line="276" w:lineRule="auto"/>
        <w:ind w:firstLine="720"/>
        <w:jc w:val="both"/>
        <w:rPr>
          <w:rFonts w:eastAsiaTheme="minorHAnsi"/>
          <w:lang w:val="en-PH"/>
        </w:rPr>
      </w:pPr>
      <w:r>
        <w:rPr>
          <w:rFonts w:eastAsiaTheme="minorHAnsi"/>
          <w:lang w:val="en-PH"/>
        </w:rPr>
        <w:tab/>
      </w:r>
    </w:p>
    <w:p>
      <w:pPr>
        <w:tabs>
          <w:tab w:val="left" w:pos="7884"/>
        </w:tabs>
        <w:spacing w:line="276" w:lineRule="auto"/>
        <w:ind w:firstLine="720"/>
        <w:jc w:val="both"/>
        <w:rPr>
          <w:rFonts w:eastAsiaTheme="minorHAnsi"/>
          <w:lang w:val="en-PH"/>
        </w:rPr>
      </w:pPr>
      <w:r>
        <w:rPr>
          <w:rFonts w:eastAsiaTheme="minorHAnsi"/>
          <w:lang w:val="en-PH"/>
        </w:rPr>
        <w:tab/>
      </w:r>
    </w:p>
    <w:p>
      <w:pPr>
        <w:spacing w:line="276" w:lineRule="auto"/>
        <w:ind w:firstLine="720"/>
        <w:jc w:val="center"/>
        <w:rPr>
          <w:rFonts w:eastAsiaTheme="minorHAnsi"/>
          <w:lang w:val="en-PH"/>
        </w:rPr>
      </w:pPr>
    </w:p>
    <w:p>
      <w:pPr>
        <w:spacing w:line="276" w:lineRule="auto"/>
        <w:ind w:firstLine="720"/>
        <w:jc w:val="both"/>
        <w:rPr>
          <w:rFonts w:eastAsiaTheme="minorHAnsi"/>
          <w:lang w:val="en-PH"/>
        </w:rPr>
      </w:pPr>
    </w:p>
    <w:p>
      <w:pPr>
        <w:spacing w:line="276" w:lineRule="auto"/>
        <w:jc w:val="both"/>
        <w:rPr>
          <w:rFonts w:eastAsiaTheme="minorHAnsi"/>
          <w:i/>
          <w:lang w:val="en-PH"/>
        </w:rPr>
      </w:pPr>
      <w:r>
        <w:rPr>
          <w:rFonts w:eastAsiaTheme="minorHAnsi"/>
          <w:i/>
          <w:lang w:val="en-PH"/>
        </w:rPr>
        <w:t>Figure 2: Quantities (in vial) of COVID-19 vaccines received from various donors.</w:t>
      </w:r>
    </w:p>
    <w:p>
      <w:pPr>
        <w:spacing w:line="276" w:lineRule="auto"/>
        <w:ind w:firstLine="720"/>
        <w:jc w:val="both"/>
        <w:rPr>
          <w:rFonts w:eastAsiaTheme="minorHAnsi"/>
          <w:lang w:val="en-PH"/>
        </w:rPr>
      </w:pPr>
      <w:r>
        <w:rPr>
          <w:rFonts w:eastAsiaTheme="minorHAnsi"/>
          <w:noProof/>
          <w:lang w:val="en-PH" w:eastAsia="en-PH"/>
        </w:rPr>
        <w:drawing>
          <wp:anchor distT="0" distB="0" distL="114300" distR="114300" simplePos="0" relativeHeight="251661312" behindDoc="1" locked="0" layoutInCell="1" allowOverlap="1">
            <wp:simplePos x="0" y="0"/>
            <wp:positionH relativeFrom="margin">
              <wp:align>right</wp:align>
            </wp:positionH>
            <wp:positionV relativeFrom="paragraph">
              <wp:posOffset>14605</wp:posOffset>
            </wp:positionV>
            <wp:extent cx="5471160" cy="2697480"/>
            <wp:effectExtent l="0" t="0" r="15240" b="7620"/>
            <wp:wrapNone/>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spacing w:line="276" w:lineRule="auto"/>
        <w:ind w:firstLine="720"/>
        <w:jc w:val="both"/>
        <w:rPr>
          <w:rFonts w:eastAsiaTheme="minorHAnsi"/>
          <w:lang w:val="en-PH"/>
        </w:rPr>
      </w:pPr>
    </w:p>
    <w:p>
      <w:pPr>
        <w:tabs>
          <w:tab w:val="left" w:pos="6456"/>
        </w:tabs>
        <w:spacing w:line="276" w:lineRule="auto"/>
        <w:ind w:firstLine="720"/>
        <w:jc w:val="both"/>
        <w:rPr>
          <w:rFonts w:eastAsiaTheme="minorHAnsi"/>
          <w:lang w:val="en-PH"/>
        </w:rPr>
      </w:pPr>
      <w:r>
        <w:rPr>
          <w:rFonts w:eastAsiaTheme="minorHAnsi"/>
          <w:lang w:val="en-PH"/>
        </w:rPr>
        <w:tab/>
      </w:r>
    </w:p>
    <w:p>
      <w:pPr>
        <w:spacing w:line="276" w:lineRule="auto"/>
        <w:jc w:val="both"/>
        <w:rPr>
          <w:rFonts w:eastAsiaTheme="minorHAnsi"/>
          <w:lang w:val="en-PH"/>
        </w:rPr>
      </w:pPr>
    </w:p>
    <w:p>
      <w:pPr>
        <w:spacing w:line="276" w:lineRule="auto"/>
        <w:jc w:val="both"/>
        <w:rPr>
          <w:rFonts w:eastAsiaTheme="minorHAnsi"/>
          <w:lang w:val="en-PH"/>
        </w:rPr>
      </w:pPr>
    </w:p>
    <w:p>
      <w:pPr>
        <w:spacing w:line="276" w:lineRule="auto"/>
        <w:jc w:val="both"/>
        <w:rPr>
          <w:rFonts w:eastAsiaTheme="minorHAnsi"/>
          <w:lang w:val="en-PH"/>
        </w:rPr>
      </w:pPr>
      <w:r>
        <w:rPr>
          <w:rFonts w:eastAsiaTheme="minorHAnsi"/>
          <w:lang w:val="en-PH"/>
        </w:rPr>
        <w:t>As shown in Figure 2, PHO of the Provincial Government of Davao del Norte and DOH Region XI were the major donors of the vaccines. PHO donated 23,062 vaccines or equivalent to 83.92% of the total vaccines received while DOH Region XI donated 4,137 vaccines or 15.06% of total vaccines received.</w:t>
      </w:r>
    </w:p>
    <w:p>
      <w:pPr>
        <w:spacing w:line="276" w:lineRule="auto"/>
        <w:jc w:val="both"/>
        <w:rPr>
          <w:rFonts w:eastAsiaTheme="minorHAnsi"/>
          <w:lang w:val="en-PH"/>
        </w:rPr>
      </w:pPr>
    </w:p>
    <w:p>
      <w:pPr>
        <w:spacing w:line="276" w:lineRule="auto"/>
        <w:jc w:val="both"/>
        <w:rPr>
          <w:rFonts w:eastAsiaTheme="minorHAnsi"/>
          <w:lang w:val="en-PH"/>
        </w:rPr>
      </w:pPr>
      <w:r>
        <w:rPr>
          <w:rFonts w:eastAsiaTheme="minorHAnsi"/>
          <w:lang w:val="en-PH"/>
        </w:rPr>
        <w:t xml:space="preserve">The City Government of </w:t>
      </w:r>
      <w:proofErr w:type="spellStart"/>
      <w:r>
        <w:rPr>
          <w:rFonts w:eastAsiaTheme="minorHAnsi"/>
          <w:lang w:val="en-PH"/>
        </w:rPr>
        <w:t>Panabo</w:t>
      </w:r>
      <w:proofErr w:type="spellEnd"/>
      <w:r>
        <w:rPr>
          <w:rFonts w:eastAsiaTheme="minorHAnsi"/>
          <w:lang w:val="en-PH"/>
        </w:rPr>
        <w:t xml:space="preserve"> received six (6) different brands of COVID-19 vaccines namely, </w:t>
      </w:r>
      <w:proofErr w:type="spellStart"/>
      <w:r>
        <w:rPr>
          <w:rFonts w:eastAsiaTheme="minorHAnsi"/>
          <w:lang w:val="en-PH"/>
        </w:rPr>
        <w:t>Sinovac</w:t>
      </w:r>
      <w:proofErr w:type="spellEnd"/>
      <w:r>
        <w:rPr>
          <w:rFonts w:eastAsiaTheme="minorHAnsi"/>
          <w:lang w:val="en-PH"/>
        </w:rPr>
        <w:t xml:space="preserve">, </w:t>
      </w:r>
      <w:proofErr w:type="spellStart"/>
      <w:r>
        <w:rPr>
          <w:rFonts w:eastAsiaTheme="minorHAnsi"/>
          <w:lang w:val="en-PH"/>
        </w:rPr>
        <w:t>Astrazeneca</w:t>
      </w:r>
      <w:proofErr w:type="spellEnd"/>
      <w:r>
        <w:rPr>
          <w:rFonts w:eastAsiaTheme="minorHAnsi"/>
          <w:lang w:val="en-PH"/>
        </w:rPr>
        <w:t xml:space="preserve">, Janssen, </w:t>
      </w:r>
      <w:proofErr w:type="spellStart"/>
      <w:r>
        <w:rPr>
          <w:rFonts w:eastAsiaTheme="minorHAnsi"/>
          <w:lang w:val="en-PH"/>
        </w:rPr>
        <w:t>Moderna</w:t>
      </w:r>
      <w:proofErr w:type="spellEnd"/>
      <w:r>
        <w:rPr>
          <w:rFonts w:eastAsiaTheme="minorHAnsi"/>
          <w:lang w:val="en-PH"/>
        </w:rPr>
        <w:t>, Pfizer, and Sinopharm. The City received mostly Sinovac and Pfizer which is equivalent to 40.26% and 35.99% of the total vaccines received as presented in Figure 3.</w:t>
      </w:r>
    </w:p>
    <w:p>
      <w:pPr>
        <w:spacing w:line="276" w:lineRule="auto"/>
        <w:jc w:val="both"/>
        <w:rPr>
          <w:rFonts w:eastAsiaTheme="minorHAnsi"/>
          <w:i/>
          <w:lang w:val="en-PH"/>
        </w:rPr>
      </w:pPr>
    </w:p>
    <w:p>
      <w:pPr>
        <w:spacing w:line="276" w:lineRule="auto"/>
        <w:jc w:val="both"/>
        <w:rPr>
          <w:rFonts w:eastAsiaTheme="minorHAnsi"/>
          <w:i/>
          <w:lang w:val="en-PH"/>
        </w:rPr>
      </w:pPr>
      <w:r>
        <w:rPr>
          <w:rFonts w:eastAsiaTheme="minorHAnsi"/>
          <w:i/>
          <w:lang w:val="en-PH"/>
        </w:rPr>
        <w:t xml:space="preserve">Figure 3. COVID-19 vaccine brands received by the City Government of </w:t>
      </w:r>
      <w:proofErr w:type="spellStart"/>
      <w:r>
        <w:rPr>
          <w:rFonts w:eastAsiaTheme="minorHAnsi"/>
          <w:i/>
          <w:lang w:val="en-PH"/>
        </w:rPr>
        <w:t>Panabo</w:t>
      </w:r>
      <w:proofErr w:type="spellEnd"/>
    </w:p>
    <w:p>
      <w:pPr>
        <w:spacing w:line="276" w:lineRule="auto"/>
        <w:ind w:firstLine="720"/>
        <w:jc w:val="both"/>
        <w:rPr>
          <w:rFonts w:eastAsiaTheme="minorHAnsi"/>
          <w:lang w:val="en-PH"/>
        </w:rPr>
      </w:pPr>
      <w:r>
        <w:rPr>
          <w:rFonts w:eastAsiaTheme="minorHAnsi"/>
          <w:noProof/>
          <w:lang w:val="en-PH" w:eastAsia="en-PH"/>
        </w:rPr>
        <w:drawing>
          <wp:anchor distT="0" distB="0" distL="114300" distR="114300" simplePos="0" relativeHeight="251662336" behindDoc="1" locked="0" layoutInCell="1" allowOverlap="1">
            <wp:simplePos x="0" y="0"/>
            <wp:positionH relativeFrom="margin">
              <wp:align>right</wp:align>
            </wp:positionH>
            <wp:positionV relativeFrom="paragraph">
              <wp:posOffset>5080</wp:posOffset>
            </wp:positionV>
            <wp:extent cx="5486400" cy="2953385"/>
            <wp:effectExtent l="0" t="0" r="0" b="18415"/>
            <wp:wrapNone/>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3756"/>
          <w:tab w:val="left" w:pos="4032"/>
          <w:tab w:val="center" w:pos="4873"/>
        </w:tabs>
        <w:spacing w:line="276" w:lineRule="auto"/>
        <w:jc w:val="both"/>
        <w:rPr>
          <w:rFonts w:eastAsiaTheme="minorHAnsi"/>
          <w:lang w:val="en-PH"/>
        </w:rPr>
      </w:pPr>
    </w:p>
    <w:p>
      <w:pPr>
        <w:tabs>
          <w:tab w:val="left" w:pos="6420"/>
        </w:tabs>
        <w:spacing w:line="276" w:lineRule="auto"/>
        <w:jc w:val="both"/>
        <w:rPr>
          <w:rFonts w:eastAsiaTheme="minorHAnsi"/>
          <w:lang w:val="en-PH"/>
        </w:rPr>
      </w:pPr>
      <w:r>
        <w:rPr>
          <w:rFonts w:eastAsiaTheme="minorHAnsi"/>
          <w:lang w:val="en-PH"/>
        </w:rPr>
        <w:t>We examined the receipt and utilization of the COVID-19 vaccines and noted the following deficiencies:</w:t>
      </w:r>
    </w:p>
    <w:p>
      <w:pPr>
        <w:spacing w:line="276" w:lineRule="auto"/>
        <w:ind w:firstLine="720"/>
        <w:jc w:val="both"/>
        <w:rPr>
          <w:rFonts w:eastAsiaTheme="minorHAnsi"/>
          <w:lang w:val="en-PH"/>
        </w:rPr>
      </w:pPr>
    </w:p>
    <w:p>
      <w:pPr>
        <w:spacing w:line="276" w:lineRule="auto"/>
        <w:jc w:val="both"/>
        <w:rPr>
          <w:rFonts w:eastAsiaTheme="minorHAnsi"/>
          <w:lang w:val="en-PH"/>
        </w:rPr>
      </w:pPr>
      <w:r>
        <w:rPr>
          <w:rFonts w:eastAsiaTheme="minorHAnsi"/>
          <w:lang w:val="en-PH"/>
        </w:rPr>
        <w:lastRenderedPageBreak/>
        <w:t xml:space="preserve">Validation on the confirmation request from various donors on the transfer of COVID-19 vaccines and ancillary supplies to the City Government of </w:t>
      </w:r>
      <w:proofErr w:type="spellStart"/>
      <w:r>
        <w:rPr>
          <w:rFonts w:eastAsiaTheme="minorHAnsi"/>
          <w:lang w:val="en-PH"/>
        </w:rPr>
        <w:t>Panabo</w:t>
      </w:r>
      <w:proofErr w:type="spellEnd"/>
      <w:r>
        <w:rPr>
          <w:rFonts w:eastAsiaTheme="minorHAnsi"/>
          <w:lang w:val="en-PH"/>
        </w:rPr>
        <w:t xml:space="preserve"> disclosed that a total of P40,349,189.19 COVID-19 vaccines and P462,574.48 ancillary supplies were received during CY2022 (see Table 10.1).</w:t>
      </w:r>
    </w:p>
    <w:p>
      <w:pPr>
        <w:spacing w:line="276" w:lineRule="auto"/>
        <w:rPr>
          <w:rFonts w:eastAsiaTheme="minorHAnsi"/>
          <w:lang w:val="en-PH"/>
        </w:rPr>
      </w:pPr>
    </w:p>
    <w:p>
      <w:pPr>
        <w:spacing w:line="276" w:lineRule="auto"/>
        <w:rPr>
          <w:rFonts w:eastAsiaTheme="minorHAnsi"/>
          <w:b/>
          <w:lang w:val="en-PH"/>
        </w:rPr>
      </w:pPr>
      <w:r>
        <w:rPr>
          <w:rFonts w:eastAsiaTheme="minorHAnsi"/>
          <w:i/>
          <w:lang w:val="en-PH"/>
        </w:rPr>
        <w:t>Table 10.1.</w:t>
      </w:r>
      <w:r>
        <w:rPr>
          <w:rFonts w:eastAsiaTheme="minorHAnsi"/>
          <w:b/>
          <w:lang w:val="en-PH"/>
        </w:rPr>
        <w:t xml:space="preserve"> </w:t>
      </w:r>
      <w:r>
        <w:rPr>
          <w:rFonts w:eastAsiaTheme="minorHAnsi"/>
          <w:i/>
          <w:lang w:val="en-PH"/>
        </w:rPr>
        <w:t>COVID-19 vaccines and ancillary supplies received from various donors</w:t>
      </w:r>
    </w:p>
    <w:tbl>
      <w:tblPr>
        <w:tblStyle w:val="TableGrid35"/>
        <w:tblW w:w="8631" w:type="dxa"/>
        <w:jc w:val="center"/>
        <w:tblLook w:val="04A0" w:firstRow="1" w:lastRow="0" w:firstColumn="1" w:lastColumn="0" w:noHBand="0" w:noVBand="1"/>
      </w:tblPr>
      <w:tblGrid>
        <w:gridCol w:w="2023"/>
        <w:gridCol w:w="992"/>
        <w:gridCol w:w="1872"/>
        <w:gridCol w:w="1872"/>
        <w:gridCol w:w="1872"/>
      </w:tblGrid>
      <w:tr>
        <w:trPr>
          <w:trHeight w:val="20"/>
          <w:tblHeader/>
          <w:jc w:val="center"/>
        </w:trPr>
        <w:tc>
          <w:tcPr>
            <w:tcW w:w="2023" w:type="dxa"/>
            <w:vMerge w:val="restart"/>
            <w:vAlign w:val="center"/>
          </w:tcPr>
          <w:p>
            <w:pPr>
              <w:spacing w:line="276" w:lineRule="auto"/>
              <w:jc w:val="center"/>
              <w:rPr>
                <w:rFonts w:eastAsiaTheme="minorHAnsi" w:cs="Times New Roman"/>
                <w:b/>
                <w:sz w:val="21"/>
                <w:szCs w:val="21"/>
              </w:rPr>
            </w:pPr>
            <w:r>
              <w:rPr>
                <w:rFonts w:eastAsiaTheme="minorHAnsi" w:cs="Times New Roman"/>
                <w:b/>
                <w:sz w:val="21"/>
                <w:szCs w:val="21"/>
              </w:rPr>
              <w:t>Date Delivered</w:t>
            </w:r>
          </w:p>
        </w:tc>
        <w:tc>
          <w:tcPr>
            <w:tcW w:w="992" w:type="dxa"/>
            <w:vMerge w:val="restart"/>
          </w:tcPr>
          <w:p>
            <w:pPr>
              <w:spacing w:line="276" w:lineRule="auto"/>
              <w:rPr>
                <w:rFonts w:eastAsiaTheme="minorHAnsi" w:cs="Times New Roman"/>
                <w:b/>
                <w:sz w:val="21"/>
                <w:szCs w:val="21"/>
              </w:rPr>
            </w:pPr>
          </w:p>
          <w:p>
            <w:pPr>
              <w:spacing w:line="276" w:lineRule="auto"/>
              <w:jc w:val="center"/>
              <w:rPr>
                <w:rFonts w:eastAsiaTheme="minorHAnsi" w:cs="Times New Roman"/>
                <w:b/>
                <w:sz w:val="21"/>
                <w:szCs w:val="21"/>
              </w:rPr>
            </w:pPr>
            <w:r>
              <w:rPr>
                <w:rFonts w:eastAsiaTheme="minorHAnsi" w:cs="Times New Roman"/>
                <w:b/>
                <w:sz w:val="21"/>
                <w:szCs w:val="21"/>
              </w:rPr>
              <w:t>Vials</w:t>
            </w:r>
          </w:p>
        </w:tc>
        <w:tc>
          <w:tcPr>
            <w:tcW w:w="3744" w:type="dxa"/>
            <w:gridSpan w:val="2"/>
          </w:tcPr>
          <w:p>
            <w:pPr>
              <w:spacing w:line="276" w:lineRule="auto"/>
              <w:jc w:val="center"/>
              <w:rPr>
                <w:rFonts w:eastAsiaTheme="minorHAnsi" w:cs="Times New Roman"/>
                <w:b/>
                <w:sz w:val="21"/>
                <w:szCs w:val="21"/>
              </w:rPr>
            </w:pPr>
            <w:r>
              <w:rPr>
                <w:rFonts w:eastAsiaTheme="minorHAnsi" w:cs="Times New Roman"/>
                <w:b/>
                <w:sz w:val="21"/>
                <w:szCs w:val="21"/>
              </w:rPr>
              <w:t>Amount</w:t>
            </w:r>
          </w:p>
        </w:tc>
        <w:tc>
          <w:tcPr>
            <w:tcW w:w="1872" w:type="dxa"/>
            <w:vMerge w:val="restart"/>
            <w:vAlign w:val="center"/>
          </w:tcPr>
          <w:p>
            <w:pPr>
              <w:spacing w:line="276" w:lineRule="auto"/>
              <w:jc w:val="center"/>
              <w:rPr>
                <w:rFonts w:eastAsiaTheme="minorHAnsi" w:cs="Times New Roman"/>
                <w:b/>
                <w:sz w:val="21"/>
                <w:szCs w:val="21"/>
              </w:rPr>
            </w:pPr>
            <w:r>
              <w:rPr>
                <w:rFonts w:eastAsiaTheme="minorHAnsi" w:cs="Times New Roman"/>
                <w:b/>
                <w:sz w:val="21"/>
                <w:szCs w:val="21"/>
              </w:rPr>
              <w:t>Total</w:t>
            </w:r>
          </w:p>
        </w:tc>
      </w:tr>
      <w:tr>
        <w:trPr>
          <w:trHeight w:val="20"/>
          <w:tblHeader/>
          <w:jc w:val="center"/>
        </w:trPr>
        <w:tc>
          <w:tcPr>
            <w:tcW w:w="2023" w:type="dxa"/>
            <w:vMerge/>
          </w:tcPr>
          <w:p>
            <w:pPr>
              <w:spacing w:line="276" w:lineRule="auto"/>
              <w:rPr>
                <w:rFonts w:eastAsiaTheme="minorHAnsi" w:cs="Times New Roman"/>
                <w:b/>
                <w:sz w:val="21"/>
                <w:szCs w:val="21"/>
              </w:rPr>
            </w:pPr>
          </w:p>
        </w:tc>
        <w:tc>
          <w:tcPr>
            <w:tcW w:w="992" w:type="dxa"/>
            <w:vMerge/>
          </w:tcPr>
          <w:p>
            <w:pPr>
              <w:spacing w:line="276" w:lineRule="auto"/>
              <w:jc w:val="center"/>
              <w:rPr>
                <w:rFonts w:eastAsiaTheme="minorHAnsi" w:cs="Times New Roman"/>
                <w:b/>
                <w:sz w:val="21"/>
                <w:szCs w:val="21"/>
              </w:rPr>
            </w:pPr>
          </w:p>
        </w:tc>
        <w:tc>
          <w:tcPr>
            <w:tcW w:w="1872" w:type="dxa"/>
          </w:tcPr>
          <w:p>
            <w:pPr>
              <w:spacing w:line="276" w:lineRule="auto"/>
              <w:jc w:val="center"/>
              <w:rPr>
                <w:rFonts w:eastAsiaTheme="minorHAnsi" w:cs="Times New Roman"/>
                <w:b/>
                <w:sz w:val="21"/>
                <w:szCs w:val="21"/>
              </w:rPr>
            </w:pPr>
            <w:r>
              <w:rPr>
                <w:rFonts w:eastAsiaTheme="minorHAnsi" w:cs="Times New Roman"/>
                <w:b/>
                <w:sz w:val="21"/>
                <w:szCs w:val="21"/>
              </w:rPr>
              <w:t>COVID-19 Vaccines</w:t>
            </w:r>
          </w:p>
        </w:tc>
        <w:tc>
          <w:tcPr>
            <w:tcW w:w="1872" w:type="dxa"/>
          </w:tcPr>
          <w:p>
            <w:pPr>
              <w:spacing w:line="276" w:lineRule="auto"/>
              <w:jc w:val="center"/>
              <w:rPr>
                <w:rFonts w:eastAsiaTheme="minorHAnsi" w:cs="Times New Roman"/>
                <w:b/>
                <w:sz w:val="21"/>
                <w:szCs w:val="21"/>
              </w:rPr>
            </w:pPr>
            <w:r>
              <w:rPr>
                <w:rFonts w:eastAsiaTheme="minorHAnsi" w:cs="Times New Roman"/>
                <w:b/>
                <w:sz w:val="21"/>
                <w:szCs w:val="21"/>
              </w:rPr>
              <w:t>Ancillary Supplies</w:t>
            </w:r>
          </w:p>
        </w:tc>
        <w:tc>
          <w:tcPr>
            <w:tcW w:w="1872" w:type="dxa"/>
            <w:vMerge/>
          </w:tcPr>
          <w:p>
            <w:pPr>
              <w:spacing w:line="276" w:lineRule="auto"/>
              <w:jc w:val="right"/>
              <w:rPr>
                <w:rFonts w:eastAsiaTheme="minorHAnsi" w:cs="Times New Roman"/>
                <w:b/>
                <w:sz w:val="21"/>
                <w:szCs w:val="21"/>
              </w:rPr>
            </w:pP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January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3,207</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P6,420,018.61</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P82,929.60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P6,502,948.21</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February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1,207</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2,137,639.46</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26,861.50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2,164,500.96</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March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2,989</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5,756,948.32</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47,953.43</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5,804,901.75</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April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4,005</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6,802,690.30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107,497.70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6,910,188.00</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May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1,785</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3,601,747.30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20,360.40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3,622,107.70</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June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1,890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2,150,169.50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39,112.20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2,189,281.70</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July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4,995</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4,881,651.10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56,883.00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4,938,534.10</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August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2,385</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1,879,042.50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19,094.40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1,898,136.90</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September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3,770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4,235,496.00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37,755.40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4,273,251.40</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October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510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1,001,070.60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10,315.60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1,011,386.20</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November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440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887,612.00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8,273.65</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895,885.65</w:t>
            </w:r>
          </w:p>
        </w:tc>
      </w:tr>
      <w:tr>
        <w:trPr>
          <w:trHeight w:val="20"/>
          <w:jc w:val="center"/>
        </w:trPr>
        <w:tc>
          <w:tcPr>
            <w:tcW w:w="2023" w:type="dxa"/>
          </w:tcPr>
          <w:p>
            <w:pPr>
              <w:spacing w:line="276" w:lineRule="auto"/>
              <w:rPr>
                <w:rFonts w:eastAsiaTheme="minorHAnsi" w:cs="Times New Roman"/>
                <w:sz w:val="21"/>
                <w:szCs w:val="21"/>
              </w:rPr>
            </w:pPr>
            <w:r>
              <w:rPr>
                <w:rFonts w:eastAsiaTheme="minorHAnsi" w:cs="Times New Roman"/>
                <w:sz w:val="21"/>
                <w:szCs w:val="21"/>
              </w:rPr>
              <w:t>December 2022</w:t>
            </w:r>
          </w:p>
        </w:tc>
        <w:tc>
          <w:tcPr>
            <w:tcW w:w="992" w:type="dxa"/>
          </w:tcPr>
          <w:p>
            <w:pPr>
              <w:spacing w:line="276" w:lineRule="auto"/>
              <w:jc w:val="center"/>
              <w:rPr>
                <w:rFonts w:eastAsiaTheme="minorHAnsi" w:cs="Times New Roman"/>
                <w:sz w:val="21"/>
                <w:szCs w:val="21"/>
              </w:rPr>
            </w:pPr>
            <w:r>
              <w:rPr>
                <w:rFonts w:eastAsiaTheme="minorHAnsi" w:cs="Times New Roman"/>
                <w:sz w:val="21"/>
                <w:szCs w:val="21"/>
              </w:rPr>
              <w:t>295</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595,103.50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5,537.60</w:t>
            </w:r>
          </w:p>
        </w:tc>
        <w:tc>
          <w:tcPr>
            <w:tcW w:w="1872" w:type="dxa"/>
          </w:tcPr>
          <w:p>
            <w:pPr>
              <w:spacing w:line="276" w:lineRule="auto"/>
              <w:jc w:val="right"/>
              <w:rPr>
                <w:rFonts w:eastAsiaTheme="minorHAnsi" w:cs="Times New Roman"/>
                <w:sz w:val="21"/>
                <w:szCs w:val="21"/>
              </w:rPr>
            </w:pPr>
            <w:r>
              <w:rPr>
                <w:rFonts w:eastAsiaTheme="minorHAnsi" w:cs="Times New Roman"/>
                <w:sz w:val="21"/>
                <w:szCs w:val="21"/>
              </w:rPr>
              <w:t>600,641.10</w:t>
            </w:r>
          </w:p>
        </w:tc>
      </w:tr>
      <w:tr>
        <w:trPr>
          <w:trHeight w:val="20"/>
          <w:jc w:val="center"/>
        </w:trPr>
        <w:tc>
          <w:tcPr>
            <w:tcW w:w="2023" w:type="dxa"/>
          </w:tcPr>
          <w:p>
            <w:pPr>
              <w:spacing w:line="276" w:lineRule="auto"/>
              <w:rPr>
                <w:rFonts w:eastAsiaTheme="minorHAnsi" w:cs="Times New Roman"/>
                <w:b/>
                <w:sz w:val="21"/>
                <w:szCs w:val="21"/>
              </w:rPr>
            </w:pPr>
            <w:r>
              <w:rPr>
                <w:rFonts w:eastAsiaTheme="minorHAnsi" w:cs="Times New Roman"/>
                <w:b/>
                <w:sz w:val="21"/>
                <w:szCs w:val="21"/>
              </w:rPr>
              <w:t>TOTAL</w:t>
            </w:r>
          </w:p>
        </w:tc>
        <w:tc>
          <w:tcPr>
            <w:tcW w:w="992" w:type="dxa"/>
          </w:tcPr>
          <w:p>
            <w:pPr>
              <w:spacing w:line="276" w:lineRule="auto"/>
              <w:jc w:val="center"/>
              <w:rPr>
                <w:rFonts w:eastAsiaTheme="minorHAnsi" w:cs="Times New Roman"/>
                <w:b/>
                <w:sz w:val="21"/>
                <w:szCs w:val="21"/>
              </w:rPr>
            </w:pPr>
            <w:r>
              <w:rPr>
                <w:rFonts w:eastAsiaTheme="minorHAnsi" w:cs="Times New Roman"/>
                <w:b/>
                <w:sz w:val="21"/>
                <w:szCs w:val="21"/>
              </w:rPr>
              <w:t>27,478</w:t>
            </w:r>
          </w:p>
        </w:tc>
        <w:tc>
          <w:tcPr>
            <w:tcW w:w="1872" w:type="dxa"/>
          </w:tcPr>
          <w:p>
            <w:pPr>
              <w:spacing w:line="276" w:lineRule="auto"/>
              <w:jc w:val="right"/>
              <w:rPr>
                <w:rFonts w:eastAsiaTheme="minorHAnsi" w:cs="Times New Roman"/>
                <w:sz w:val="21"/>
                <w:szCs w:val="21"/>
              </w:rPr>
            </w:pPr>
            <w:r>
              <w:rPr>
                <w:rFonts w:eastAsiaTheme="minorHAnsi" w:cs="Times New Roman"/>
                <w:b/>
                <w:sz w:val="21"/>
                <w:szCs w:val="21"/>
              </w:rPr>
              <w:t xml:space="preserve">P40,349,189.19 </w:t>
            </w:r>
          </w:p>
        </w:tc>
        <w:tc>
          <w:tcPr>
            <w:tcW w:w="1872" w:type="dxa"/>
          </w:tcPr>
          <w:p>
            <w:pPr>
              <w:spacing w:line="276" w:lineRule="auto"/>
              <w:jc w:val="right"/>
              <w:rPr>
                <w:rFonts w:eastAsiaTheme="minorHAnsi" w:cs="Times New Roman"/>
                <w:sz w:val="21"/>
                <w:szCs w:val="21"/>
              </w:rPr>
            </w:pPr>
            <w:r>
              <w:rPr>
                <w:rFonts w:eastAsiaTheme="minorHAnsi" w:cs="Times New Roman"/>
                <w:b/>
                <w:sz w:val="21"/>
                <w:szCs w:val="21"/>
              </w:rPr>
              <w:t>P462,574.48</w:t>
            </w:r>
          </w:p>
        </w:tc>
        <w:tc>
          <w:tcPr>
            <w:tcW w:w="1872" w:type="dxa"/>
          </w:tcPr>
          <w:p>
            <w:pPr>
              <w:spacing w:line="276" w:lineRule="auto"/>
              <w:jc w:val="right"/>
              <w:rPr>
                <w:rFonts w:eastAsiaTheme="minorHAnsi" w:cs="Times New Roman"/>
                <w:b/>
                <w:sz w:val="21"/>
                <w:szCs w:val="21"/>
              </w:rPr>
            </w:pPr>
            <w:r>
              <w:rPr>
                <w:rFonts w:eastAsiaTheme="minorHAnsi" w:cs="Times New Roman"/>
                <w:b/>
                <w:sz w:val="21"/>
                <w:szCs w:val="21"/>
              </w:rPr>
              <w:t>P40,811,763.67</w:t>
            </w:r>
          </w:p>
        </w:tc>
      </w:tr>
    </w:tbl>
    <w:p>
      <w:pPr>
        <w:spacing w:line="276" w:lineRule="auto"/>
        <w:jc w:val="both"/>
        <w:rPr>
          <w:rFonts w:eastAsiaTheme="minorHAnsi"/>
          <w:lang w:val="en-PH"/>
        </w:rPr>
      </w:pPr>
    </w:p>
    <w:p>
      <w:pPr>
        <w:spacing w:line="276" w:lineRule="auto"/>
        <w:jc w:val="both"/>
        <w:rPr>
          <w:rFonts w:eastAsiaTheme="minorHAnsi"/>
          <w:lang w:val="en-PH"/>
        </w:rPr>
      </w:pPr>
      <w:r>
        <w:rPr>
          <w:rFonts w:eastAsiaTheme="minorHAnsi"/>
          <w:lang w:val="en-PH"/>
        </w:rPr>
        <w:t>However, review of the accounting records showed that the City Accounting Office (CAO) only recorded P2,936,346.80 or 7.20% worth of vaccines received from various donors, thus a variance amounting to P37,875,416.87 (see Table 10.2) between the CAO and City Health Office (CHO) records was observed.</w:t>
      </w:r>
    </w:p>
    <w:p>
      <w:pPr>
        <w:spacing w:line="276" w:lineRule="auto"/>
        <w:ind w:firstLine="720"/>
        <w:jc w:val="both"/>
        <w:rPr>
          <w:rFonts w:eastAsiaTheme="minorHAnsi"/>
          <w:lang w:val="en-PH"/>
        </w:rPr>
      </w:pPr>
    </w:p>
    <w:p>
      <w:pPr>
        <w:spacing w:line="276" w:lineRule="auto"/>
        <w:jc w:val="both"/>
        <w:rPr>
          <w:rFonts w:eastAsiaTheme="minorHAnsi"/>
          <w:i/>
          <w:lang w:val="en-PH"/>
        </w:rPr>
      </w:pPr>
      <w:r>
        <w:rPr>
          <w:rFonts w:eastAsiaTheme="minorHAnsi"/>
          <w:i/>
          <w:lang w:val="en-PH"/>
        </w:rPr>
        <w:t>Table 10.2. Variance between CAO and CHO records of vaccines received</w:t>
      </w:r>
    </w:p>
    <w:tbl>
      <w:tblPr>
        <w:tblStyle w:val="TableGrid35"/>
        <w:tblW w:w="8725" w:type="dxa"/>
        <w:jc w:val="center"/>
        <w:tblLook w:val="04A0" w:firstRow="1" w:lastRow="0" w:firstColumn="1" w:lastColumn="0" w:noHBand="0" w:noVBand="1"/>
      </w:tblPr>
      <w:tblGrid>
        <w:gridCol w:w="5357"/>
        <w:gridCol w:w="1337"/>
        <w:gridCol w:w="2031"/>
      </w:tblGrid>
      <w:tr>
        <w:trPr>
          <w:jc w:val="center"/>
        </w:trPr>
        <w:tc>
          <w:tcPr>
            <w:tcW w:w="5357" w:type="dxa"/>
          </w:tcPr>
          <w:p>
            <w:pPr>
              <w:spacing w:line="276" w:lineRule="auto"/>
              <w:jc w:val="center"/>
              <w:rPr>
                <w:rFonts w:eastAsiaTheme="minorHAnsi" w:cs="Times New Roman"/>
                <w:b/>
                <w:sz w:val="22"/>
                <w:szCs w:val="22"/>
              </w:rPr>
            </w:pPr>
            <w:r>
              <w:rPr>
                <w:rFonts w:eastAsiaTheme="minorHAnsi" w:cs="Times New Roman"/>
                <w:b/>
                <w:sz w:val="22"/>
                <w:szCs w:val="22"/>
              </w:rPr>
              <w:t>Particulars</w:t>
            </w:r>
          </w:p>
        </w:tc>
        <w:tc>
          <w:tcPr>
            <w:tcW w:w="1337" w:type="dxa"/>
          </w:tcPr>
          <w:p>
            <w:pPr>
              <w:spacing w:line="276" w:lineRule="auto"/>
              <w:jc w:val="center"/>
              <w:rPr>
                <w:rFonts w:eastAsiaTheme="minorHAnsi" w:cs="Times New Roman"/>
                <w:b/>
                <w:sz w:val="22"/>
                <w:szCs w:val="22"/>
              </w:rPr>
            </w:pPr>
            <w:r>
              <w:rPr>
                <w:rFonts w:eastAsiaTheme="minorHAnsi" w:cs="Times New Roman"/>
                <w:b/>
                <w:sz w:val="22"/>
                <w:szCs w:val="22"/>
              </w:rPr>
              <w:t>Reference</w:t>
            </w:r>
          </w:p>
        </w:tc>
        <w:tc>
          <w:tcPr>
            <w:tcW w:w="2031" w:type="dxa"/>
          </w:tcPr>
          <w:p>
            <w:pPr>
              <w:spacing w:line="276" w:lineRule="auto"/>
              <w:jc w:val="center"/>
              <w:rPr>
                <w:rFonts w:eastAsiaTheme="minorHAnsi" w:cs="Times New Roman"/>
                <w:b/>
                <w:sz w:val="22"/>
                <w:szCs w:val="22"/>
              </w:rPr>
            </w:pPr>
            <w:r>
              <w:rPr>
                <w:rFonts w:eastAsiaTheme="minorHAnsi" w:cs="Times New Roman"/>
                <w:b/>
                <w:sz w:val="22"/>
                <w:szCs w:val="22"/>
              </w:rPr>
              <w:t>Amount</w:t>
            </w:r>
          </w:p>
        </w:tc>
      </w:tr>
      <w:tr>
        <w:trPr>
          <w:jc w:val="center"/>
        </w:trPr>
        <w:tc>
          <w:tcPr>
            <w:tcW w:w="5357" w:type="dxa"/>
          </w:tcPr>
          <w:p>
            <w:pPr>
              <w:spacing w:line="276" w:lineRule="auto"/>
              <w:jc w:val="both"/>
              <w:rPr>
                <w:rFonts w:eastAsiaTheme="minorHAnsi" w:cs="Times New Roman"/>
                <w:sz w:val="22"/>
                <w:szCs w:val="22"/>
              </w:rPr>
            </w:pPr>
            <w:r>
              <w:rPr>
                <w:rFonts w:eastAsiaTheme="minorHAnsi" w:cs="Times New Roman"/>
                <w:sz w:val="22"/>
                <w:szCs w:val="22"/>
              </w:rPr>
              <w:t>ADJNC002-Other Manual Transactions: To record receipts of various supplies from Department of Health XI (DOH-XI) intended for COVID 19 response and CHO operations duly supported by Property Transfer Report.</w:t>
            </w:r>
          </w:p>
        </w:tc>
        <w:tc>
          <w:tcPr>
            <w:tcW w:w="1337" w:type="dxa"/>
          </w:tcPr>
          <w:p>
            <w:pPr>
              <w:spacing w:line="276" w:lineRule="auto"/>
              <w:jc w:val="both"/>
              <w:rPr>
                <w:rFonts w:eastAsiaTheme="minorHAnsi" w:cs="Times New Roman"/>
                <w:sz w:val="22"/>
                <w:szCs w:val="22"/>
              </w:rPr>
            </w:pPr>
          </w:p>
          <w:p>
            <w:pPr>
              <w:spacing w:line="276" w:lineRule="auto"/>
              <w:jc w:val="both"/>
              <w:rPr>
                <w:rFonts w:eastAsiaTheme="minorHAnsi" w:cs="Times New Roman"/>
                <w:sz w:val="22"/>
                <w:szCs w:val="22"/>
              </w:rPr>
            </w:pPr>
          </w:p>
          <w:p>
            <w:pPr>
              <w:spacing w:line="276" w:lineRule="auto"/>
              <w:jc w:val="center"/>
              <w:rPr>
                <w:rFonts w:eastAsiaTheme="minorHAnsi" w:cs="Times New Roman"/>
                <w:sz w:val="22"/>
                <w:szCs w:val="22"/>
              </w:rPr>
            </w:pPr>
            <w:r>
              <w:rPr>
                <w:rFonts w:eastAsiaTheme="minorHAnsi" w:cs="Times New Roman"/>
                <w:sz w:val="22"/>
                <w:szCs w:val="22"/>
              </w:rPr>
              <w:t>JEV-2022-05-006930</w:t>
            </w:r>
          </w:p>
        </w:tc>
        <w:tc>
          <w:tcPr>
            <w:tcW w:w="2031" w:type="dxa"/>
          </w:tcPr>
          <w:p>
            <w:pPr>
              <w:spacing w:line="276" w:lineRule="auto"/>
              <w:jc w:val="both"/>
              <w:rPr>
                <w:rFonts w:eastAsiaTheme="minorHAnsi" w:cs="Times New Roman"/>
                <w:sz w:val="22"/>
                <w:szCs w:val="22"/>
              </w:rPr>
            </w:pPr>
          </w:p>
          <w:p>
            <w:pPr>
              <w:spacing w:line="276" w:lineRule="auto"/>
              <w:jc w:val="both"/>
              <w:rPr>
                <w:rFonts w:eastAsiaTheme="minorHAnsi" w:cs="Times New Roman"/>
                <w:sz w:val="22"/>
                <w:szCs w:val="22"/>
              </w:rPr>
            </w:pPr>
          </w:p>
          <w:p>
            <w:pPr>
              <w:spacing w:line="276" w:lineRule="auto"/>
              <w:jc w:val="right"/>
              <w:rPr>
                <w:rFonts w:eastAsiaTheme="minorHAnsi" w:cs="Times New Roman"/>
                <w:sz w:val="22"/>
                <w:szCs w:val="22"/>
              </w:rPr>
            </w:pPr>
            <w:r>
              <w:rPr>
                <w:rFonts w:eastAsiaTheme="minorHAnsi" w:cs="Times New Roman"/>
                <w:sz w:val="22"/>
                <w:szCs w:val="22"/>
              </w:rPr>
              <w:t>P2,882,026.80</w:t>
            </w:r>
          </w:p>
          <w:p>
            <w:pPr>
              <w:spacing w:line="276" w:lineRule="auto"/>
              <w:jc w:val="both"/>
              <w:rPr>
                <w:rFonts w:eastAsiaTheme="minorHAnsi" w:cs="Times New Roman"/>
                <w:sz w:val="22"/>
                <w:szCs w:val="22"/>
              </w:rPr>
            </w:pPr>
          </w:p>
          <w:p>
            <w:pPr>
              <w:spacing w:line="276" w:lineRule="auto"/>
              <w:jc w:val="both"/>
              <w:rPr>
                <w:rFonts w:eastAsiaTheme="minorHAnsi" w:cs="Times New Roman"/>
                <w:sz w:val="22"/>
                <w:szCs w:val="22"/>
              </w:rPr>
            </w:pPr>
          </w:p>
        </w:tc>
      </w:tr>
      <w:tr>
        <w:trPr>
          <w:jc w:val="center"/>
        </w:trPr>
        <w:tc>
          <w:tcPr>
            <w:tcW w:w="5357" w:type="dxa"/>
          </w:tcPr>
          <w:p>
            <w:pPr>
              <w:spacing w:line="276" w:lineRule="auto"/>
              <w:jc w:val="both"/>
              <w:rPr>
                <w:rFonts w:eastAsiaTheme="minorHAnsi" w:cs="Times New Roman"/>
                <w:sz w:val="22"/>
                <w:szCs w:val="22"/>
              </w:rPr>
            </w:pPr>
            <w:r>
              <w:rPr>
                <w:rFonts w:eastAsiaTheme="minorHAnsi" w:cs="Times New Roman"/>
                <w:sz w:val="22"/>
                <w:szCs w:val="22"/>
              </w:rPr>
              <w:t>ADJNC002-Other Manual Transactions: to record the receipts of various supplies from Province of Davao del Norte and Department of Health intended for COVID Vaccination use support by Invoice Receipt for Property Report</w:t>
            </w:r>
          </w:p>
        </w:tc>
        <w:tc>
          <w:tcPr>
            <w:tcW w:w="1337" w:type="dxa"/>
          </w:tcPr>
          <w:p>
            <w:pPr>
              <w:spacing w:line="276" w:lineRule="auto"/>
              <w:jc w:val="both"/>
              <w:rPr>
                <w:rFonts w:eastAsiaTheme="minorHAnsi" w:cs="Times New Roman"/>
                <w:sz w:val="22"/>
                <w:szCs w:val="22"/>
              </w:rPr>
            </w:pPr>
          </w:p>
          <w:p>
            <w:pPr>
              <w:spacing w:line="276" w:lineRule="auto"/>
              <w:jc w:val="both"/>
              <w:rPr>
                <w:rFonts w:eastAsiaTheme="minorHAnsi" w:cs="Times New Roman"/>
                <w:sz w:val="22"/>
                <w:szCs w:val="22"/>
              </w:rPr>
            </w:pPr>
          </w:p>
          <w:p>
            <w:pPr>
              <w:spacing w:line="276" w:lineRule="auto"/>
              <w:jc w:val="both"/>
              <w:rPr>
                <w:rFonts w:eastAsiaTheme="minorHAnsi" w:cs="Times New Roman"/>
                <w:sz w:val="22"/>
                <w:szCs w:val="22"/>
              </w:rPr>
            </w:pPr>
            <w:r>
              <w:rPr>
                <w:rFonts w:eastAsiaTheme="minorHAnsi" w:cs="Times New Roman"/>
                <w:sz w:val="22"/>
                <w:szCs w:val="22"/>
              </w:rPr>
              <w:t>JEV-2022-07-010080</w:t>
            </w:r>
          </w:p>
        </w:tc>
        <w:tc>
          <w:tcPr>
            <w:tcW w:w="2031" w:type="dxa"/>
          </w:tcPr>
          <w:p>
            <w:pPr>
              <w:spacing w:line="276" w:lineRule="auto"/>
              <w:jc w:val="both"/>
              <w:rPr>
                <w:rFonts w:eastAsiaTheme="minorHAnsi" w:cs="Times New Roman"/>
                <w:sz w:val="22"/>
                <w:szCs w:val="22"/>
              </w:rPr>
            </w:pPr>
          </w:p>
          <w:p>
            <w:pPr>
              <w:spacing w:line="276" w:lineRule="auto"/>
              <w:jc w:val="both"/>
              <w:rPr>
                <w:rFonts w:eastAsiaTheme="minorHAnsi" w:cs="Times New Roman"/>
                <w:sz w:val="22"/>
                <w:szCs w:val="22"/>
              </w:rPr>
            </w:pPr>
          </w:p>
          <w:p>
            <w:pPr>
              <w:spacing w:line="276" w:lineRule="auto"/>
              <w:jc w:val="right"/>
              <w:rPr>
                <w:rFonts w:eastAsiaTheme="minorHAnsi" w:cs="Times New Roman"/>
                <w:sz w:val="22"/>
                <w:szCs w:val="22"/>
              </w:rPr>
            </w:pPr>
            <w:r>
              <w:rPr>
                <w:rFonts w:eastAsiaTheme="minorHAnsi" w:cs="Times New Roman"/>
                <w:sz w:val="22"/>
                <w:szCs w:val="22"/>
              </w:rPr>
              <w:t>54,320.00</w:t>
            </w:r>
          </w:p>
        </w:tc>
      </w:tr>
      <w:tr>
        <w:trPr>
          <w:jc w:val="center"/>
        </w:trPr>
        <w:tc>
          <w:tcPr>
            <w:tcW w:w="5357" w:type="dxa"/>
          </w:tcPr>
          <w:p>
            <w:pPr>
              <w:spacing w:line="276" w:lineRule="auto"/>
              <w:jc w:val="both"/>
              <w:rPr>
                <w:rFonts w:eastAsiaTheme="minorHAnsi" w:cs="Times New Roman"/>
                <w:b/>
                <w:sz w:val="22"/>
                <w:szCs w:val="22"/>
              </w:rPr>
            </w:pPr>
            <w:r>
              <w:rPr>
                <w:rFonts w:eastAsiaTheme="minorHAnsi" w:cs="Times New Roman"/>
                <w:b/>
                <w:sz w:val="22"/>
                <w:szCs w:val="22"/>
              </w:rPr>
              <w:t xml:space="preserve">Total recorded Grants and Donations in Kind </w:t>
            </w:r>
          </w:p>
        </w:tc>
        <w:tc>
          <w:tcPr>
            <w:tcW w:w="1337" w:type="dxa"/>
          </w:tcPr>
          <w:p>
            <w:pPr>
              <w:spacing w:line="276" w:lineRule="auto"/>
              <w:jc w:val="both"/>
              <w:rPr>
                <w:rFonts w:eastAsiaTheme="minorHAnsi" w:cs="Times New Roman"/>
                <w:sz w:val="22"/>
                <w:szCs w:val="22"/>
              </w:rPr>
            </w:pPr>
          </w:p>
        </w:tc>
        <w:tc>
          <w:tcPr>
            <w:tcW w:w="2031" w:type="dxa"/>
          </w:tcPr>
          <w:p>
            <w:pPr>
              <w:spacing w:line="276" w:lineRule="auto"/>
              <w:jc w:val="right"/>
              <w:rPr>
                <w:rFonts w:eastAsiaTheme="minorHAnsi" w:cs="Times New Roman"/>
                <w:b/>
                <w:sz w:val="22"/>
                <w:szCs w:val="22"/>
              </w:rPr>
            </w:pPr>
            <w:r>
              <w:rPr>
                <w:rFonts w:eastAsiaTheme="minorHAnsi" w:cs="Times New Roman"/>
                <w:b/>
                <w:sz w:val="22"/>
                <w:szCs w:val="22"/>
              </w:rPr>
              <w:t>2,936,346.80</w:t>
            </w:r>
          </w:p>
        </w:tc>
      </w:tr>
      <w:tr>
        <w:trPr>
          <w:jc w:val="center"/>
        </w:trPr>
        <w:tc>
          <w:tcPr>
            <w:tcW w:w="5357" w:type="dxa"/>
          </w:tcPr>
          <w:p>
            <w:pPr>
              <w:spacing w:line="276" w:lineRule="auto"/>
              <w:jc w:val="both"/>
              <w:rPr>
                <w:rFonts w:eastAsiaTheme="minorHAnsi" w:cs="Times New Roman"/>
                <w:sz w:val="22"/>
                <w:szCs w:val="22"/>
              </w:rPr>
            </w:pPr>
            <w:r>
              <w:rPr>
                <w:rFonts w:eastAsiaTheme="minorHAnsi" w:cs="Times New Roman"/>
                <w:sz w:val="22"/>
                <w:szCs w:val="22"/>
              </w:rPr>
              <w:t>Less:</w:t>
            </w:r>
          </w:p>
          <w:p>
            <w:pPr>
              <w:spacing w:line="276" w:lineRule="auto"/>
              <w:jc w:val="both"/>
              <w:rPr>
                <w:rFonts w:eastAsiaTheme="minorHAnsi" w:cs="Times New Roman"/>
                <w:sz w:val="22"/>
                <w:szCs w:val="22"/>
              </w:rPr>
            </w:pPr>
          </w:p>
          <w:p>
            <w:pPr>
              <w:spacing w:line="276" w:lineRule="auto"/>
              <w:jc w:val="both"/>
              <w:rPr>
                <w:rFonts w:eastAsiaTheme="minorHAnsi" w:cs="Times New Roman"/>
                <w:sz w:val="22"/>
                <w:szCs w:val="22"/>
              </w:rPr>
            </w:pPr>
            <w:r>
              <w:rPr>
                <w:rFonts w:eastAsiaTheme="minorHAnsi" w:cs="Times New Roman"/>
                <w:sz w:val="22"/>
                <w:szCs w:val="22"/>
              </w:rPr>
              <w:lastRenderedPageBreak/>
              <w:t xml:space="preserve">Actual COVID-19 vaccines and ancillary supplies received by the City Health Office (CHO) </w:t>
            </w:r>
          </w:p>
        </w:tc>
        <w:tc>
          <w:tcPr>
            <w:tcW w:w="1337" w:type="dxa"/>
          </w:tcPr>
          <w:p>
            <w:pPr>
              <w:spacing w:line="276" w:lineRule="auto"/>
              <w:jc w:val="both"/>
              <w:rPr>
                <w:rFonts w:eastAsiaTheme="minorHAnsi" w:cs="Times New Roman"/>
                <w:sz w:val="22"/>
                <w:szCs w:val="22"/>
              </w:rPr>
            </w:pPr>
          </w:p>
          <w:p>
            <w:pPr>
              <w:spacing w:line="276" w:lineRule="auto"/>
              <w:jc w:val="center"/>
              <w:rPr>
                <w:rFonts w:eastAsiaTheme="minorHAnsi" w:cs="Times New Roman"/>
                <w:sz w:val="22"/>
                <w:szCs w:val="22"/>
              </w:rPr>
            </w:pPr>
            <w:r>
              <w:rPr>
                <w:rFonts w:eastAsiaTheme="minorHAnsi" w:cs="Times New Roman"/>
                <w:sz w:val="22"/>
                <w:szCs w:val="22"/>
              </w:rPr>
              <w:t xml:space="preserve">AOM no. </w:t>
            </w:r>
            <w:r>
              <w:rPr>
                <w:rFonts w:eastAsiaTheme="minorHAnsi" w:cs="Times New Roman"/>
                <w:sz w:val="22"/>
                <w:szCs w:val="22"/>
              </w:rPr>
              <w:lastRenderedPageBreak/>
              <w:t>23-019</w:t>
            </w:r>
          </w:p>
          <w:p>
            <w:pPr>
              <w:spacing w:line="276" w:lineRule="auto"/>
              <w:jc w:val="center"/>
              <w:rPr>
                <w:rFonts w:eastAsiaTheme="minorHAnsi" w:cs="Times New Roman"/>
                <w:sz w:val="22"/>
                <w:szCs w:val="22"/>
              </w:rPr>
            </w:pPr>
          </w:p>
          <w:p>
            <w:pPr>
              <w:spacing w:line="276" w:lineRule="auto"/>
              <w:jc w:val="center"/>
              <w:rPr>
                <w:rFonts w:eastAsiaTheme="minorHAnsi" w:cs="Times New Roman"/>
                <w:sz w:val="22"/>
                <w:szCs w:val="22"/>
              </w:rPr>
            </w:pPr>
            <w:r>
              <w:rPr>
                <w:rFonts w:eastAsiaTheme="minorHAnsi" w:cs="Times New Roman"/>
                <w:sz w:val="22"/>
                <w:szCs w:val="22"/>
              </w:rPr>
              <w:t>Table 3</w:t>
            </w:r>
          </w:p>
        </w:tc>
        <w:tc>
          <w:tcPr>
            <w:tcW w:w="2031" w:type="dxa"/>
          </w:tcPr>
          <w:p>
            <w:pPr>
              <w:spacing w:line="276" w:lineRule="auto"/>
              <w:jc w:val="both"/>
              <w:rPr>
                <w:rFonts w:eastAsiaTheme="minorHAnsi" w:cs="Times New Roman"/>
                <w:sz w:val="22"/>
                <w:szCs w:val="22"/>
              </w:rPr>
            </w:pPr>
          </w:p>
          <w:p>
            <w:pPr>
              <w:spacing w:line="276" w:lineRule="auto"/>
              <w:jc w:val="both"/>
              <w:rPr>
                <w:rFonts w:eastAsiaTheme="minorHAnsi" w:cs="Times New Roman"/>
                <w:sz w:val="22"/>
                <w:szCs w:val="22"/>
              </w:rPr>
            </w:pPr>
          </w:p>
          <w:p>
            <w:pPr>
              <w:spacing w:line="276" w:lineRule="auto"/>
              <w:jc w:val="right"/>
              <w:rPr>
                <w:rFonts w:eastAsiaTheme="minorHAnsi" w:cs="Times New Roman"/>
                <w:sz w:val="22"/>
                <w:szCs w:val="22"/>
              </w:rPr>
            </w:pPr>
            <w:r>
              <w:rPr>
                <w:rFonts w:eastAsiaTheme="minorHAnsi" w:cs="Times New Roman"/>
                <w:sz w:val="22"/>
                <w:szCs w:val="22"/>
              </w:rPr>
              <w:lastRenderedPageBreak/>
              <w:t>40,811,763.67</w:t>
            </w:r>
          </w:p>
        </w:tc>
      </w:tr>
      <w:tr>
        <w:trPr>
          <w:jc w:val="center"/>
        </w:trPr>
        <w:tc>
          <w:tcPr>
            <w:tcW w:w="5357" w:type="dxa"/>
          </w:tcPr>
          <w:p>
            <w:pPr>
              <w:spacing w:line="276" w:lineRule="auto"/>
              <w:jc w:val="both"/>
              <w:rPr>
                <w:rFonts w:eastAsiaTheme="minorHAnsi" w:cs="Times New Roman"/>
                <w:b/>
                <w:sz w:val="22"/>
                <w:szCs w:val="22"/>
              </w:rPr>
            </w:pPr>
            <w:r>
              <w:rPr>
                <w:rFonts w:eastAsiaTheme="minorHAnsi" w:cs="Times New Roman"/>
                <w:b/>
                <w:sz w:val="22"/>
                <w:szCs w:val="22"/>
              </w:rPr>
              <w:lastRenderedPageBreak/>
              <w:t>Variance</w:t>
            </w:r>
          </w:p>
        </w:tc>
        <w:tc>
          <w:tcPr>
            <w:tcW w:w="1337" w:type="dxa"/>
          </w:tcPr>
          <w:p>
            <w:pPr>
              <w:spacing w:line="276" w:lineRule="auto"/>
              <w:jc w:val="both"/>
              <w:rPr>
                <w:rFonts w:eastAsiaTheme="minorHAnsi" w:cs="Times New Roman"/>
                <w:sz w:val="22"/>
                <w:szCs w:val="22"/>
              </w:rPr>
            </w:pPr>
          </w:p>
        </w:tc>
        <w:tc>
          <w:tcPr>
            <w:tcW w:w="2031" w:type="dxa"/>
          </w:tcPr>
          <w:p>
            <w:pPr>
              <w:spacing w:line="276" w:lineRule="auto"/>
              <w:jc w:val="right"/>
              <w:rPr>
                <w:rFonts w:eastAsiaTheme="minorHAnsi" w:cs="Times New Roman"/>
                <w:b/>
                <w:sz w:val="22"/>
                <w:szCs w:val="22"/>
              </w:rPr>
            </w:pPr>
            <w:r>
              <w:rPr>
                <w:rFonts w:eastAsiaTheme="minorHAnsi" w:cs="Times New Roman"/>
                <w:b/>
                <w:sz w:val="22"/>
                <w:szCs w:val="22"/>
              </w:rPr>
              <w:t>P37,875,416.87</w:t>
            </w:r>
          </w:p>
        </w:tc>
      </w:tr>
    </w:tbl>
    <w:p>
      <w:pPr>
        <w:spacing w:line="276" w:lineRule="auto"/>
        <w:ind w:firstLine="720"/>
        <w:jc w:val="both"/>
        <w:rPr>
          <w:rFonts w:eastAsiaTheme="minorHAnsi"/>
          <w:lang w:val="en-PH"/>
        </w:rPr>
      </w:pPr>
    </w:p>
    <w:p>
      <w:pPr>
        <w:spacing w:line="276" w:lineRule="auto"/>
        <w:jc w:val="both"/>
        <w:rPr>
          <w:rFonts w:eastAsiaTheme="minorHAnsi"/>
          <w:lang w:val="en-PH"/>
        </w:rPr>
      </w:pPr>
      <w:r>
        <w:rPr>
          <w:rFonts w:eastAsiaTheme="minorHAnsi"/>
          <w:lang w:val="en-PH"/>
        </w:rPr>
        <w:t xml:space="preserve">Inquiry with CHO, disclosed that COVID-19 vaccines and ancillary supplies received from donors were directly delivered to the CHO due to the cold storage requirement of the vaccines.  The transfers were supported with a Property Transfer Report (PTR) duly acknowledge and received by the health officer concerned. The PTRs were kept at the CHO and copies of the PTRs were furnished to the City General Services Office (CGSO) for information. The CHO maintains a logbook were receipts of the vaccines were manually recorded by the cold chain in-charge. Inquiry with CAO revealed that no records were made for some COVID-19 vaccines received by the City for the reason that they neither received report nor documents from the CHO/CGSO to support the recording of the receipt of these vaccines. </w:t>
      </w:r>
    </w:p>
    <w:p>
      <w:pPr>
        <w:spacing w:line="276" w:lineRule="auto"/>
        <w:jc w:val="both"/>
        <w:rPr>
          <w:rFonts w:eastAsiaTheme="minorHAnsi"/>
          <w:lang w:val="en-PH"/>
        </w:rPr>
      </w:pPr>
      <w:r>
        <w:rPr>
          <w:rFonts w:eastAsiaTheme="minorHAnsi"/>
          <w:lang w:val="en-PH"/>
        </w:rPr>
        <w:t xml:space="preserve">As discussed earlier, the CHO maintains a logbook to record receipt and issuances of the vaccines.  Verification of these records showed that P42,808,534.35 (see Table 10.3) of COVID-19 vaccines were utilized during the year in the implementation of the COVID-19 vaccination program.  </w:t>
      </w:r>
    </w:p>
    <w:p>
      <w:pPr>
        <w:spacing w:line="276" w:lineRule="auto"/>
        <w:ind w:firstLine="720"/>
        <w:jc w:val="both"/>
        <w:rPr>
          <w:rFonts w:eastAsiaTheme="minorHAnsi"/>
          <w:lang w:val="en-PH"/>
        </w:rPr>
      </w:pPr>
    </w:p>
    <w:p>
      <w:pPr>
        <w:spacing w:line="276" w:lineRule="auto"/>
        <w:rPr>
          <w:rFonts w:eastAsiaTheme="minorHAnsi"/>
          <w:i/>
          <w:lang w:val="en-PH"/>
        </w:rPr>
      </w:pPr>
      <w:r>
        <w:rPr>
          <w:rFonts w:eastAsiaTheme="minorHAnsi"/>
          <w:i/>
          <w:lang w:val="en-PH"/>
        </w:rPr>
        <w:t>Table 10.3.  COVID-19 vaccines (in vial) utilized and wastage</w:t>
      </w:r>
    </w:p>
    <w:tbl>
      <w:tblPr>
        <w:tblStyle w:val="TableGrid35"/>
        <w:tblW w:w="8545" w:type="dxa"/>
        <w:jc w:val="center"/>
        <w:tblLook w:val="04A0" w:firstRow="1" w:lastRow="0" w:firstColumn="1" w:lastColumn="0" w:noHBand="0" w:noVBand="1"/>
      </w:tblPr>
      <w:tblGrid>
        <w:gridCol w:w="2394"/>
        <w:gridCol w:w="1096"/>
        <w:gridCol w:w="1287"/>
        <w:gridCol w:w="1319"/>
        <w:gridCol w:w="2449"/>
      </w:tblGrid>
      <w:tr>
        <w:trPr>
          <w:trHeight w:hRule="exact" w:val="288"/>
          <w:jc w:val="center"/>
        </w:trPr>
        <w:tc>
          <w:tcPr>
            <w:tcW w:w="2394" w:type="dxa"/>
            <w:vMerge w:val="restart"/>
          </w:tcPr>
          <w:p>
            <w:pPr>
              <w:spacing w:line="276" w:lineRule="auto"/>
              <w:jc w:val="center"/>
              <w:rPr>
                <w:rFonts w:eastAsiaTheme="minorHAnsi" w:cs="Times New Roman"/>
                <w:b/>
                <w:sz w:val="22"/>
                <w:szCs w:val="22"/>
              </w:rPr>
            </w:pPr>
            <w:r>
              <w:rPr>
                <w:rFonts w:eastAsiaTheme="minorHAnsi" w:cs="Times New Roman"/>
                <w:b/>
                <w:sz w:val="22"/>
                <w:szCs w:val="22"/>
              </w:rPr>
              <w:t>Name of Vaccine</w:t>
            </w:r>
          </w:p>
        </w:tc>
        <w:tc>
          <w:tcPr>
            <w:tcW w:w="2383" w:type="dxa"/>
            <w:gridSpan w:val="2"/>
          </w:tcPr>
          <w:p>
            <w:pPr>
              <w:spacing w:line="276" w:lineRule="auto"/>
              <w:jc w:val="center"/>
              <w:rPr>
                <w:rFonts w:eastAsiaTheme="minorHAnsi" w:cs="Times New Roman"/>
                <w:b/>
                <w:sz w:val="22"/>
                <w:szCs w:val="22"/>
              </w:rPr>
            </w:pPr>
            <w:r>
              <w:rPr>
                <w:rFonts w:eastAsiaTheme="minorHAnsi" w:cs="Times New Roman"/>
                <w:b/>
                <w:sz w:val="22"/>
                <w:szCs w:val="22"/>
              </w:rPr>
              <w:t>Quantity</w:t>
            </w:r>
          </w:p>
        </w:tc>
        <w:tc>
          <w:tcPr>
            <w:tcW w:w="1319" w:type="dxa"/>
            <w:vMerge w:val="restart"/>
          </w:tcPr>
          <w:p>
            <w:pPr>
              <w:spacing w:line="276" w:lineRule="auto"/>
              <w:jc w:val="center"/>
              <w:rPr>
                <w:rFonts w:eastAsiaTheme="minorHAnsi" w:cs="Times New Roman"/>
                <w:b/>
                <w:sz w:val="22"/>
                <w:szCs w:val="22"/>
              </w:rPr>
            </w:pPr>
            <w:r>
              <w:rPr>
                <w:rFonts w:eastAsiaTheme="minorHAnsi" w:cs="Times New Roman"/>
                <w:b/>
                <w:sz w:val="22"/>
                <w:szCs w:val="22"/>
              </w:rPr>
              <w:t>TOTAL</w:t>
            </w:r>
          </w:p>
        </w:tc>
        <w:tc>
          <w:tcPr>
            <w:tcW w:w="2449" w:type="dxa"/>
            <w:vMerge w:val="restart"/>
          </w:tcPr>
          <w:p>
            <w:pPr>
              <w:spacing w:line="276" w:lineRule="auto"/>
              <w:jc w:val="center"/>
              <w:rPr>
                <w:rFonts w:eastAsiaTheme="minorHAnsi" w:cs="Times New Roman"/>
                <w:b/>
                <w:sz w:val="22"/>
                <w:szCs w:val="22"/>
              </w:rPr>
            </w:pPr>
            <w:r>
              <w:rPr>
                <w:rFonts w:eastAsiaTheme="minorHAnsi" w:cs="Times New Roman"/>
                <w:b/>
                <w:sz w:val="22"/>
                <w:szCs w:val="22"/>
              </w:rPr>
              <w:t>Amount</w:t>
            </w:r>
          </w:p>
        </w:tc>
      </w:tr>
      <w:tr>
        <w:trPr>
          <w:trHeight w:hRule="exact" w:val="359"/>
          <w:jc w:val="center"/>
        </w:trPr>
        <w:tc>
          <w:tcPr>
            <w:tcW w:w="2394" w:type="dxa"/>
            <w:vMerge/>
          </w:tcPr>
          <w:p>
            <w:pPr>
              <w:spacing w:line="276" w:lineRule="auto"/>
              <w:jc w:val="center"/>
              <w:rPr>
                <w:rFonts w:eastAsiaTheme="minorHAnsi" w:cs="Times New Roman"/>
                <w:b/>
                <w:sz w:val="22"/>
                <w:szCs w:val="22"/>
              </w:rPr>
            </w:pPr>
          </w:p>
        </w:tc>
        <w:tc>
          <w:tcPr>
            <w:tcW w:w="1096" w:type="dxa"/>
          </w:tcPr>
          <w:p>
            <w:pPr>
              <w:spacing w:line="276" w:lineRule="auto"/>
              <w:jc w:val="center"/>
              <w:rPr>
                <w:rFonts w:eastAsiaTheme="minorHAnsi" w:cs="Times New Roman"/>
                <w:b/>
                <w:sz w:val="22"/>
                <w:szCs w:val="22"/>
              </w:rPr>
            </w:pPr>
            <w:r>
              <w:rPr>
                <w:rFonts w:eastAsiaTheme="minorHAnsi" w:cs="Times New Roman"/>
                <w:b/>
                <w:sz w:val="22"/>
                <w:szCs w:val="22"/>
              </w:rPr>
              <w:t>Issued</w:t>
            </w:r>
          </w:p>
        </w:tc>
        <w:tc>
          <w:tcPr>
            <w:tcW w:w="1287" w:type="dxa"/>
          </w:tcPr>
          <w:p>
            <w:pPr>
              <w:spacing w:line="276" w:lineRule="auto"/>
              <w:jc w:val="center"/>
              <w:rPr>
                <w:rFonts w:eastAsiaTheme="minorHAnsi" w:cs="Times New Roman"/>
                <w:b/>
                <w:sz w:val="22"/>
                <w:szCs w:val="22"/>
              </w:rPr>
            </w:pPr>
            <w:r>
              <w:rPr>
                <w:rFonts w:eastAsiaTheme="minorHAnsi" w:cs="Times New Roman"/>
                <w:b/>
                <w:sz w:val="22"/>
                <w:szCs w:val="22"/>
              </w:rPr>
              <w:t>Wastage</w:t>
            </w:r>
          </w:p>
        </w:tc>
        <w:tc>
          <w:tcPr>
            <w:tcW w:w="1319" w:type="dxa"/>
            <w:vMerge/>
          </w:tcPr>
          <w:p>
            <w:pPr>
              <w:spacing w:line="276" w:lineRule="auto"/>
              <w:jc w:val="center"/>
              <w:rPr>
                <w:rFonts w:eastAsiaTheme="minorHAnsi" w:cs="Times New Roman"/>
                <w:b/>
                <w:sz w:val="22"/>
                <w:szCs w:val="22"/>
              </w:rPr>
            </w:pPr>
          </w:p>
        </w:tc>
        <w:tc>
          <w:tcPr>
            <w:tcW w:w="2449" w:type="dxa"/>
            <w:vMerge/>
          </w:tcPr>
          <w:p>
            <w:pPr>
              <w:spacing w:line="276" w:lineRule="auto"/>
              <w:jc w:val="center"/>
              <w:rPr>
                <w:rFonts w:eastAsiaTheme="minorHAnsi" w:cs="Times New Roman"/>
                <w:b/>
                <w:sz w:val="22"/>
                <w:szCs w:val="22"/>
              </w:rPr>
            </w:pPr>
          </w:p>
        </w:tc>
      </w:tr>
      <w:tr>
        <w:trPr>
          <w:trHeight w:hRule="exact" w:val="288"/>
          <w:jc w:val="center"/>
        </w:trPr>
        <w:tc>
          <w:tcPr>
            <w:tcW w:w="2394" w:type="dxa"/>
          </w:tcPr>
          <w:p>
            <w:pPr>
              <w:spacing w:line="276" w:lineRule="auto"/>
              <w:rPr>
                <w:rFonts w:eastAsiaTheme="minorHAnsi" w:cs="Times New Roman"/>
                <w:sz w:val="22"/>
                <w:szCs w:val="22"/>
              </w:rPr>
            </w:pPr>
            <w:r>
              <w:rPr>
                <w:rFonts w:eastAsiaTheme="minorHAnsi" w:cs="Times New Roman"/>
                <w:sz w:val="22"/>
                <w:szCs w:val="22"/>
              </w:rPr>
              <w:t>ASTRAZENECA</w:t>
            </w:r>
          </w:p>
        </w:tc>
        <w:tc>
          <w:tcPr>
            <w:tcW w:w="1096" w:type="dxa"/>
          </w:tcPr>
          <w:p>
            <w:pPr>
              <w:spacing w:line="276" w:lineRule="auto"/>
              <w:jc w:val="center"/>
              <w:rPr>
                <w:rFonts w:eastAsiaTheme="minorHAnsi" w:cs="Times New Roman"/>
                <w:sz w:val="22"/>
                <w:szCs w:val="22"/>
              </w:rPr>
            </w:pPr>
            <w:r>
              <w:rPr>
                <w:rFonts w:eastAsiaTheme="minorHAnsi" w:cs="Times New Roman"/>
                <w:sz w:val="22"/>
                <w:szCs w:val="22"/>
              </w:rPr>
              <w:t>1,843</w:t>
            </w:r>
          </w:p>
        </w:tc>
        <w:tc>
          <w:tcPr>
            <w:tcW w:w="1287" w:type="dxa"/>
          </w:tcPr>
          <w:p>
            <w:pPr>
              <w:spacing w:line="276" w:lineRule="auto"/>
              <w:jc w:val="center"/>
              <w:rPr>
                <w:rFonts w:eastAsiaTheme="minorHAnsi" w:cs="Times New Roman"/>
                <w:sz w:val="22"/>
                <w:szCs w:val="22"/>
              </w:rPr>
            </w:pPr>
            <w:r>
              <w:rPr>
                <w:rFonts w:eastAsiaTheme="minorHAnsi" w:cs="Times New Roman"/>
                <w:sz w:val="22"/>
                <w:szCs w:val="22"/>
              </w:rPr>
              <w:t>8</w:t>
            </w:r>
          </w:p>
        </w:tc>
        <w:tc>
          <w:tcPr>
            <w:tcW w:w="1319" w:type="dxa"/>
          </w:tcPr>
          <w:p>
            <w:pPr>
              <w:spacing w:line="276" w:lineRule="auto"/>
              <w:jc w:val="center"/>
              <w:rPr>
                <w:rFonts w:eastAsiaTheme="minorHAnsi" w:cs="Times New Roman"/>
                <w:sz w:val="22"/>
                <w:szCs w:val="22"/>
              </w:rPr>
            </w:pPr>
            <w:r>
              <w:rPr>
                <w:rFonts w:eastAsiaTheme="minorHAnsi" w:cs="Times New Roman"/>
                <w:sz w:val="22"/>
                <w:szCs w:val="22"/>
              </w:rPr>
              <w:t>1,851</w:t>
            </w:r>
          </w:p>
        </w:tc>
        <w:tc>
          <w:tcPr>
            <w:tcW w:w="2449" w:type="dxa"/>
          </w:tcPr>
          <w:p>
            <w:pPr>
              <w:spacing w:line="276" w:lineRule="auto"/>
              <w:jc w:val="right"/>
              <w:rPr>
                <w:rFonts w:eastAsiaTheme="minorHAnsi" w:cs="Times New Roman"/>
                <w:sz w:val="22"/>
                <w:szCs w:val="22"/>
              </w:rPr>
            </w:pPr>
            <w:r>
              <w:rPr>
                <w:rFonts w:eastAsiaTheme="minorHAnsi" w:cs="Times New Roman"/>
                <w:sz w:val="22"/>
                <w:szCs w:val="22"/>
              </w:rPr>
              <w:t>P4,045,355.93</w:t>
            </w:r>
          </w:p>
        </w:tc>
      </w:tr>
      <w:tr>
        <w:trPr>
          <w:trHeight w:hRule="exact" w:val="288"/>
          <w:jc w:val="center"/>
        </w:trPr>
        <w:tc>
          <w:tcPr>
            <w:tcW w:w="2394" w:type="dxa"/>
          </w:tcPr>
          <w:p>
            <w:pPr>
              <w:spacing w:line="276" w:lineRule="auto"/>
              <w:rPr>
                <w:rFonts w:eastAsiaTheme="minorHAnsi" w:cs="Times New Roman"/>
                <w:sz w:val="22"/>
                <w:szCs w:val="22"/>
              </w:rPr>
            </w:pPr>
            <w:r>
              <w:rPr>
                <w:rFonts w:eastAsiaTheme="minorHAnsi" w:cs="Times New Roman"/>
                <w:sz w:val="22"/>
                <w:szCs w:val="22"/>
              </w:rPr>
              <w:t>JANSSEN</w:t>
            </w:r>
          </w:p>
        </w:tc>
        <w:tc>
          <w:tcPr>
            <w:tcW w:w="1096" w:type="dxa"/>
          </w:tcPr>
          <w:p>
            <w:pPr>
              <w:spacing w:line="276" w:lineRule="auto"/>
              <w:jc w:val="center"/>
              <w:rPr>
                <w:rFonts w:eastAsiaTheme="minorHAnsi" w:cs="Times New Roman"/>
                <w:sz w:val="22"/>
                <w:szCs w:val="22"/>
              </w:rPr>
            </w:pPr>
            <w:r>
              <w:rPr>
                <w:rFonts w:eastAsiaTheme="minorHAnsi" w:cs="Times New Roman"/>
                <w:sz w:val="22"/>
                <w:szCs w:val="22"/>
              </w:rPr>
              <w:t>1,919</w:t>
            </w:r>
          </w:p>
        </w:tc>
        <w:tc>
          <w:tcPr>
            <w:tcW w:w="1287" w:type="dxa"/>
          </w:tcPr>
          <w:p>
            <w:pPr>
              <w:spacing w:line="276" w:lineRule="auto"/>
              <w:jc w:val="center"/>
              <w:rPr>
                <w:rFonts w:eastAsiaTheme="minorHAnsi" w:cs="Times New Roman"/>
                <w:sz w:val="22"/>
                <w:szCs w:val="22"/>
              </w:rPr>
            </w:pPr>
            <w:r>
              <w:rPr>
                <w:rFonts w:eastAsiaTheme="minorHAnsi" w:cs="Times New Roman"/>
                <w:sz w:val="22"/>
                <w:szCs w:val="22"/>
              </w:rPr>
              <w:t>2,475</w:t>
            </w:r>
          </w:p>
        </w:tc>
        <w:tc>
          <w:tcPr>
            <w:tcW w:w="1319" w:type="dxa"/>
          </w:tcPr>
          <w:p>
            <w:pPr>
              <w:spacing w:line="276" w:lineRule="auto"/>
              <w:jc w:val="center"/>
              <w:rPr>
                <w:rFonts w:eastAsiaTheme="minorHAnsi" w:cs="Times New Roman"/>
                <w:sz w:val="22"/>
                <w:szCs w:val="22"/>
              </w:rPr>
            </w:pPr>
            <w:r>
              <w:rPr>
                <w:rFonts w:eastAsiaTheme="minorHAnsi" w:cs="Times New Roman"/>
                <w:sz w:val="22"/>
                <w:szCs w:val="22"/>
              </w:rPr>
              <w:t>4,394</w:t>
            </w:r>
          </w:p>
        </w:tc>
        <w:tc>
          <w:tcPr>
            <w:tcW w:w="2449" w:type="dxa"/>
          </w:tcPr>
          <w:p>
            <w:pPr>
              <w:spacing w:line="276" w:lineRule="auto"/>
              <w:jc w:val="right"/>
              <w:rPr>
                <w:rFonts w:eastAsiaTheme="minorHAnsi" w:cs="Times New Roman"/>
                <w:sz w:val="22"/>
                <w:szCs w:val="22"/>
              </w:rPr>
            </w:pPr>
            <w:r>
              <w:rPr>
                <w:rFonts w:eastAsiaTheme="minorHAnsi" w:cs="Times New Roman"/>
                <w:sz w:val="22"/>
                <w:szCs w:val="22"/>
              </w:rPr>
              <w:t>8,795,684.92</w:t>
            </w:r>
          </w:p>
        </w:tc>
      </w:tr>
      <w:tr>
        <w:trPr>
          <w:trHeight w:hRule="exact" w:val="288"/>
          <w:jc w:val="center"/>
        </w:trPr>
        <w:tc>
          <w:tcPr>
            <w:tcW w:w="2394" w:type="dxa"/>
          </w:tcPr>
          <w:p>
            <w:pPr>
              <w:spacing w:line="276" w:lineRule="auto"/>
              <w:rPr>
                <w:rFonts w:eastAsiaTheme="minorHAnsi" w:cs="Times New Roman"/>
                <w:sz w:val="22"/>
                <w:szCs w:val="22"/>
              </w:rPr>
            </w:pPr>
            <w:r>
              <w:rPr>
                <w:rFonts w:eastAsiaTheme="minorHAnsi" w:cs="Times New Roman"/>
                <w:sz w:val="22"/>
                <w:szCs w:val="22"/>
              </w:rPr>
              <w:t>MODERNA</w:t>
            </w:r>
          </w:p>
        </w:tc>
        <w:tc>
          <w:tcPr>
            <w:tcW w:w="1096" w:type="dxa"/>
          </w:tcPr>
          <w:p>
            <w:pPr>
              <w:spacing w:line="276" w:lineRule="auto"/>
              <w:jc w:val="center"/>
              <w:rPr>
                <w:rFonts w:eastAsiaTheme="minorHAnsi" w:cs="Times New Roman"/>
                <w:sz w:val="22"/>
                <w:szCs w:val="22"/>
              </w:rPr>
            </w:pPr>
            <w:r>
              <w:rPr>
                <w:rFonts w:eastAsiaTheme="minorHAnsi" w:cs="Times New Roman"/>
                <w:sz w:val="22"/>
                <w:szCs w:val="22"/>
              </w:rPr>
              <w:t>1,205</w:t>
            </w:r>
          </w:p>
        </w:tc>
        <w:tc>
          <w:tcPr>
            <w:tcW w:w="1287" w:type="dxa"/>
          </w:tcPr>
          <w:p>
            <w:pPr>
              <w:spacing w:line="276" w:lineRule="auto"/>
              <w:jc w:val="center"/>
              <w:rPr>
                <w:rFonts w:eastAsiaTheme="minorHAnsi" w:cs="Times New Roman"/>
                <w:sz w:val="22"/>
                <w:szCs w:val="22"/>
              </w:rPr>
            </w:pPr>
            <w:r>
              <w:rPr>
                <w:rFonts w:eastAsiaTheme="minorHAnsi" w:cs="Times New Roman"/>
                <w:sz w:val="22"/>
                <w:szCs w:val="22"/>
              </w:rPr>
              <w:t>5</w:t>
            </w:r>
          </w:p>
        </w:tc>
        <w:tc>
          <w:tcPr>
            <w:tcW w:w="1319" w:type="dxa"/>
          </w:tcPr>
          <w:p>
            <w:pPr>
              <w:spacing w:line="276" w:lineRule="auto"/>
              <w:jc w:val="center"/>
              <w:rPr>
                <w:rFonts w:eastAsiaTheme="minorHAnsi" w:cs="Times New Roman"/>
                <w:sz w:val="22"/>
                <w:szCs w:val="22"/>
              </w:rPr>
            </w:pPr>
            <w:r>
              <w:rPr>
                <w:rFonts w:eastAsiaTheme="minorHAnsi" w:cs="Times New Roman"/>
                <w:sz w:val="22"/>
                <w:szCs w:val="22"/>
              </w:rPr>
              <w:t>1,210</w:t>
            </w:r>
          </w:p>
        </w:tc>
        <w:tc>
          <w:tcPr>
            <w:tcW w:w="2449" w:type="dxa"/>
          </w:tcPr>
          <w:p>
            <w:pPr>
              <w:spacing w:line="276" w:lineRule="auto"/>
              <w:jc w:val="right"/>
              <w:rPr>
                <w:rFonts w:eastAsiaTheme="minorHAnsi" w:cs="Times New Roman"/>
                <w:sz w:val="22"/>
                <w:szCs w:val="22"/>
              </w:rPr>
            </w:pPr>
            <w:r>
              <w:rPr>
                <w:rFonts w:eastAsiaTheme="minorHAnsi" w:cs="Times New Roman"/>
                <w:sz w:val="22"/>
                <w:szCs w:val="22"/>
              </w:rPr>
              <w:t>2,447,342.34</w:t>
            </w:r>
          </w:p>
        </w:tc>
      </w:tr>
      <w:tr>
        <w:trPr>
          <w:trHeight w:hRule="exact" w:val="288"/>
          <w:jc w:val="center"/>
        </w:trPr>
        <w:tc>
          <w:tcPr>
            <w:tcW w:w="2394" w:type="dxa"/>
          </w:tcPr>
          <w:p>
            <w:pPr>
              <w:spacing w:line="276" w:lineRule="auto"/>
              <w:rPr>
                <w:rFonts w:eastAsiaTheme="minorHAnsi" w:cs="Times New Roman"/>
                <w:sz w:val="22"/>
                <w:szCs w:val="22"/>
              </w:rPr>
            </w:pPr>
            <w:r>
              <w:rPr>
                <w:rFonts w:eastAsiaTheme="minorHAnsi" w:cs="Times New Roman"/>
                <w:sz w:val="22"/>
                <w:szCs w:val="22"/>
              </w:rPr>
              <w:t>PFIZER</w:t>
            </w:r>
          </w:p>
        </w:tc>
        <w:tc>
          <w:tcPr>
            <w:tcW w:w="1096" w:type="dxa"/>
          </w:tcPr>
          <w:p>
            <w:pPr>
              <w:spacing w:line="276" w:lineRule="auto"/>
              <w:jc w:val="center"/>
              <w:rPr>
                <w:rFonts w:eastAsiaTheme="minorHAnsi" w:cs="Times New Roman"/>
                <w:sz w:val="22"/>
                <w:szCs w:val="22"/>
              </w:rPr>
            </w:pPr>
            <w:r>
              <w:rPr>
                <w:rFonts w:eastAsiaTheme="minorHAnsi" w:cs="Times New Roman"/>
                <w:sz w:val="22"/>
                <w:szCs w:val="22"/>
              </w:rPr>
              <w:t>9,150</w:t>
            </w:r>
          </w:p>
        </w:tc>
        <w:tc>
          <w:tcPr>
            <w:tcW w:w="1287" w:type="dxa"/>
          </w:tcPr>
          <w:p>
            <w:pPr>
              <w:spacing w:line="276" w:lineRule="auto"/>
              <w:jc w:val="center"/>
              <w:rPr>
                <w:rFonts w:eastAsiaTheme="minorHAnsi" w:cs="Times New Roman"/>
                <w:sz w:val="22"/>
                <w:szCs w:val="22"/>
              </w:rPr>
            </w:pPr>
            <w:r>
              <w:rPr>
                <w:rFonts w:eastAsiaTheme="minorHAnsi" w:cs="Times New Roman"/>
                <w:sz w:val="22"/>
                <w:szCs w:val="22"/>
              </w:rPr>
              <w:t>806</w:t>
            </w:r>
          </w:p>
        </w:tc>
        <w:tc>
          <w:tcPr>
            <w:tcW w:w="1319" w:type="dxa"/>
          </w:tcPr>
          <w:p>
            <w:pPr>
              <w:spacing w:line="276" w:lineRule="auto"/>
              <w:jc w:val="center"/>
              <w:rPr>
                <w:rFonts w:eastAsiaTheme="minorHAnsi" w:cs="Times New Roman"/>
                <w:sz w:val="22"/>
                <w:szCs w:val="22"/>
              </w:rPr>
            </w:pPr>
            <w:r>
              <w:rPr>
                <w:rFonts w:eastAsiaTheme="minorHAnsi" w:cs="Times New Roman"/>
                <w:sz w:val="22"/>
                <w:szCs w:val="22"/>
              </w:rPr>
              <w:t>9,956</w:t>
            </w:r>
          </w:p>
        </w:tc>
        <w:tc>
          <w:tcPr>
            <w:tcW w:w="2449" w:type="dxa"/>
          </w:tcPr>
          <w:p>
            <w:pPr>
              <w:spacing w:line="276" w:lineRule="auto"/>
              <w:jc w:val="right"/>
              <w:rPr>
                <w:rFonts w:eastAsiaTheme="minorHAnsi" w:cs="Times New Roman"/>
                <w:sz w:val="22"/>
                <w:szCs w:val="22"/>
              </w:rPr>
            </w:pPr>
            <w:r>
              <w:rPr>
                <w:rFonts w:eastAsiaTheme="minorHAnsi" w:cs="Times New Roman"/>
                <w:sz w:val="22"/>
                <w:szCs w:val="22"/>
              </w:rPr>
              <w:t>20,940,849.31</w:t>
            </w:r>
          </w:p>
        </w:tc>
      </w:tr>
      <w:tr>
        <w:trPr>
          <w:trHeight w:hRule="exact" w:val="288"/>
          <w:jc w:val="center"/>
        </w:trPr>
        <w:tc>
          <w:tcPr>
            <w:tcW w:w="2394" w:type="dxa"/>
          </w:tcPr>
          <w:p>
            <w:pPr>
              <w:spacing w:line="276" w:lineRule="auto"/>
              <w:rPr>
                <w:rFonts w:eastAsiaTheme="minorHAnsi" w:cs="Times New Roman"/>
                <w:sz w:val="22"/>
                <w:szCs w:val="22"/>
              </w:rPr>
            </w:pPr>
            <w:r>
              <w:rPr>
                <w:rFonts w:eastAsiaTheme="minorHAnsi" w:cs="Times New Roman"/>
                <w:sz w:val="22"/>
                <w:szCs w:val="22"/>
              </w:rPr>
              <w:t>SINOPHARM</w:t>
            </w:r>
          </w:p>
        </w:tc>
        <w:tc>
          <w:tcPr>
            <w:tcW w:w="1096" w:type="dxa"/>
          </w:tcPr>
          <w:p>
            <w:pPr>
              <w:spacing w:line="276" w:lineRule="auto"/>
              <w:jc w:val="center"/>
              <w:rPr>
                <w:rFonts w:eastAsiaTheme="minorHAnsi" w:cs="Times New Roman"/>
                <w:sz w:val="22"/>
                <w:szCs w:val="22"/>
              </w:rPr>
            </w:pPr>
            <w:r>
              <w:rPr>
                <w:rFonts w:eastAsiaTheme="minorHAnsi" w:cs="Times New Roman"/>
                <w:sz w:val="22"/>
                <w:szCs w:val="22"/>
              </w:rPr>
              <w:t>148</w:t>
            </w:r>
          </w:p>
        </w:tc>
        <w:tc>
          <w:tcPr>
            <w:tcW w:w="1287" w:type="dxa"/>
          </w:tcPr>
          <w:p>
            <w:pPr>
              <w:spacing w:line="276" w:lineRule="auto"/>
              <w:jc w:val="center"/>
              <w:rPr>
                <w:rFonts w:eastAsiaTheme="minorHAnsi" w:cs="Times New Roman"/>
                <w:sz w:val="22"/>
                <w:szCs w:val="22"/>
              </w:rPr>
            </w:pPr>
            <w:r>
              <w:rPr>
                <w:rFonts w:eastAsiaTheme="minorHAnsi" w:cs="Times New Roman"/>
                <w:sz w:val="22"/>
                <w:szCs w:val="22"/>
              </w:rPr>
              <w:t>12</w:t>
            </w:r>
          </w:p>
        </w:tc>
        <w:tc>
          <w:tcPr>
            <w:tcW w:w="1319" w:type="dxa"/>
          </w:tcPr>
          <w:p>
            <w:pPr>
              <w:spacing w:line="276" w:lineRule="auto"/>
              <w:jc w:val="center"/>
              <w:rPr>
                <w:rFonts w:eastAsiaTheme="minorHAnsi" w:cs="Times New Roman"/>
                <w:sz w:val="22"/>
                <w:szCs w:val="22"/>
              </w:rPr>
            </w:pPr>
            <w:r>
              <w:rPr>
                <w:rFonts w:eastAsiaTheme="minorHAnsi" w:cs="Times New Roman"/>
                <w:sz w:val="22"/>
                <w:szCs w:val="22"/>
              </w:rPr>
              <w:t>160</w:t>
            </w:r>
          </w:p>
        </w:tc>
        <w:tc>
          <w:tcPr>
            <w:tcW w:w="2449" w:type="dxa"/>
          </w:tcPr>
          <w:p>
            <w:pPr>
              <w:spacing w:line="276" w:lineRule="auto"/>
              <w:jc w:val="right"/>
              <w:rPr>
                <w:rFonts w:eastAsiaTheme="minorHAnsi" w:cs="Times New Roman"/>
                <w:sz w:val="22"/>
                <w:szCs w:val="22"/>
              </w:rPr>
            </w:pPr>
            <w:r>
              <w:rPr>
                <w:rFonts w:eastAsiaTheme="minorHAnsi" w:cs="Times New Roman"/>
                <w:sz w:val="22"/>
                <w:szCs w:val="22"/>
              </w:rPr>
              <w:t>483,609.60</w:t>
            </w:r>
          </w:p>
        </w:tc>
      </w:tr>
      <w:tr>
        <w:trPr>
          <w:trHeight w:hRule="exact" w:val="288"/>
          <w:jc w:val="center"/>
        </w:trPr>
        <w:tc>
          <w:tcPr>
            <w:tcW w:w="2394" w:type="dxa"/>
          </w:tcPr>
          <w:p>
            <w:pPr>
              <w:spacing w:line="276" w:lineRule="auto"/>
              <w:rPr>
                <w:rFonts w:eastAsiaTheme="minorHAnsi" w:cs="Times New Roman"/>
                <w:sz w:val="22"/>
                <w:szCs w:val="22"/>
              </w:rPr>
            </w:pPr>
            <w:r>
              <w:rPr>
                <w:rFonts w:eastAsiaTheme="minorHAnsi" w:cs="Times New Roman"/>
                <w:sz w:val="22"/>
                <w:szCs w:val="22"/>
              </w:rPr>
              <w:t>SINOVAC</w:t>
            </w:r>
          </w:p>
        </w:tc>
        <w:tc>
          <w:tcPr>
            <w:tcW w:w="1096" w:type="dxa"/>
          </w:tcPr>
          <w:p>
            <w:pPr>
              <w:spacing w:line="276" w:lineRule="auto"/>
              <w:jc w:val="center"/>
              <w:rPr>
                <w:rFonts w:eastAsiaTheme="minorHAnsi" w:cs="Times New Roman"/>
                <w:sz w:val="22"/>
                <w:szCs w:val="22"/>
              </w:rPr>
            </w:pPr>
            <w:r>
              <w:rPr>
                <w:rFonts w:eastAsiaTheme="minorHAnsi" w:cs="Times New Roman"/>
                <w:sz w:val="22"/>
                <w:szCs w:val="22"/>
              </w:rPr>
              <w:t>7,540</w:t>
            </w:r>
          </w:p>
        </w:tc>
        <w:tc>
          <w:tcPr>
            <w:tcW w:w="1287" w:type="dxa"/>
          </w:tcPr>
          <w:p>
            <w:pPr>
              <w:spacing w:line="276" w:lineRule="auto"/>
              <w:jc w:val="center"/>
              <w:rPr>
                <w:rFonts w:eastAsiaTheme="minorHAnsi" w:cs="Times New Roman"/>
                <w:sz w:val="22"/>
                <w:szCs w:val="22"/>
              </w:rPr>
            </w:pPr>
            <w:r>
              <w:rPr>
                <w:rFonts w:eastAsiaTheme="minorHAnsi" w:cs="Times New Roman"/>
                <w:sz w:val="22"/>
                <w:szCs w:val="22"/>
              </w:rPr>
              <w:t>2,197</w:t>
            </w:r>
          </w:p>
        </w:tc>
        <w:tc>
          <w:tcPr>
            <w:tcW w:w="1319" w:type="dxa"/>
          </w:tcPr>
          <w:p>
            <w:pPr>
              <w:spacing w:line="276" w:lineRule="auto"/>
              <w:jc w:val="center"/>
              <w:rPr>
                <w:rFonts w:eastAsiaTheme="minorHAnsi" w:cs="Times New Roman"/>
                <w:sz w:val="22"/>
                <w:szCs w:val="22"/>
              </w:rPr>
            </w:pPr>
            <w:r>
              <w:rPr>
                <w:rFonts w:eastAsiaTheme="minorHAnsi" w:cs="Times New Roman"/>
                <w:sz w:val="22"/>
                <w:szCs w:val="22"/>
              </w:rPr>
              <w:t>9,737</w:t>
            </w:r>
          </w:p>
        </w:tc>
        <w:tc>
          <w:tcPr>
            <w:tcW w:w="2449" w:type="dxa"/>
          </w:tcPr>
          <w:p>
            <w:pPr>
              <w:spacing w:line="276" w:lineRule="auto"/>
              <w:jc w:val="right"/>
              <w:rPr>
                <w:rFonts w:eastAsiaTheme="minorHAnsi" w:cs="Times New Roman"/>
                <w:sz w:val="22"/>
                <w:szCs w:val="22"/>
              </w:rPr>
            </w:pPr>
            <w:r>
              <w:rPr>
                <w:rFonts w:eastAsiaTheme="minorHAnsi" w:cs="Times New Roman"/>
                <w:sz w:val="22"/>
                <w:szCs w:val="22"/>
              </w:rPr>
              <w:t>4,664,390.08</w:t>
            </w:r>
          </w:p>
        </w:tc>
      </w:tr>
      <w:tr>
        <w:trPr>
          <w:trHeight w:hRule="exact" w:val="288"/>
          <w:jc w:val="center"/>
        </w:trPr>
        <w:tc>
          <w:tcPr>
            <w:tcW w:w="2394" w:type="dxa"/>
          </w:tcPr>
          <w:p>
            <w:pPr>
              <w:spacing w:line="276" w:lineRule="auto"/>
              <w:rPr>
                <w:rFonts w:eastAsiaTheme="minorHAnsi" w:cs="Times New Roman"/>
                <w:b/>
                <w:sz w:val="22"/>
                <w:szCs w:val="22"/>
              </w:rPr>
            </w:pPr>
            <w:r>
              <w:rPr>
                <w:rFonts w:eastAsiaTheme="minorHAnsi" w:cs="Times New Roman"/>
                <w:b/>
                <w:sz w:val="22"/>
                <w:szCs w:val="22"/>
              </w:rPr>
              <w:t>TOTAL</w:t>
            </w:r>
          </w:p>
        </w:tc>
        <w:tc>
          <w:tcPr>
            <w:tcW w:w="1096" w:type="dxa"/>
          </w:tcPr>
          <w:p>
            <w:pPr>
              <w:spacing w:line="276" w:lineRule="auto"/>
              <w:jc w:val="center"/>
              <w:rPr>
                <w:rFonts w:eastAsiaTheme="minorHAnsi" w:cs="Times New Roman"/>
                <w:b/>
                <w:sz w:val="22"/>
                <w:szCs w:val="22"/>
              </w:rPr>
            </w:pPr>
            <w:r>
              <w:rPr>
                <w:rFonts w:eastAsiaTheme="minorHAnsi" w:cs="Times New Roman"/>
                <w:b/>
                <w:sz w:val="22"/>
                <w:szCs w:val="22"/>
              </w:rPr>
              <w:t>21,805</w:t>
            </w:r>
          </w:p>
        </w:tc>
        <w:tc>
          <w:tcPr>
            <w:tcW w:w="1287" w:type="dxa"/>
          </w:tcPr>
          <w:p>
            <w:pPr>
              <w:spacing w:line="276" w:lineRule="auto"/>
              <w:jc w:val="center"/>
              <w:rPr>
                <w:rFonts w:eastAsiaTheme="minorHAnsi" w:cs="Times New Roman"/>
                <w:b/>
                <w:sz w:val="22"/>
                <w:szCs w:val="22"/>
              </w:rPr>
            </w:pPr>
            <w:r>
              <w:rPr>
                <w:rFonts w:eastAsiaTheme="minorHAnsi" w:cs="Times New Roman"/>
                <w:b/>
                <w:sz w:val="22"/>
                <w:szCs w:val="22"/>
              </w:rPr>
              <w:t>5,503</w:t>
            </w:r>
          </w:p>
        </w:tc>
        <w:tc>
          <w:tcPr>
            <w:tcW w:w="1319" w:type="dxa"/>
          </w:tcPr>
          <w:p>
            <w:pPr>
              <w:spacing w:line="276" w:lineRule="auto"/>
              <w:jc w:val="center"/>
              <w:rPr>
                <w:rFonts w:eastAsiaTheme="minorHAnsi" w:cs="Times New Roman"/>
                <w:b/>
                <w:sz w:val="22"/>
                <w:szCs w:val="22"/>
              </w:rPr>
            </w:pPr>
            <w:r>
              <w:rPr>
                <w:rFonts w:eastAsiaTheme="minorHAnsi" w:cs="Times New Roman"/>
                <w:b/>
                <w:sz w:val="22"/>
                <w:szCs w:val="22"/>
              </w:rPr>
              <w:t>27,308</w:t>
            </w:r>
          </w:p>
        </w:tc>
        <w:tc>
          <w:tcPr>
            <w:tcW w:w="2449" w:type="dxa"/>
          </w:tcPr>
          <w:p>
            <w:pPr>
              <w:spacing w:line="276" w:lineRule="auto"/>
              <w:jc w:val="right"/>
              <w:rPr>
                <w:rFonts w:eastAsiaTheme="minorHAnsi" w:cs="Times New Roman"/>
                <w:b/>
                <w:sz w:val="22"/>
                <w:szCs w:val="22"/>
              </w:rPr>
            </w:pPr>
            <w:r>
              <w:rPr>
                <w:rFonts w:eastAsiaTheme="minorHAnsi" w:cs="Times New Roman"/>
                <w:b/>
                <w:sz w:val="22"/>
                <w:szCs w:val="22"/>
              </w:rPr>
              <w:t>P41,377,232.18</w:t>
            </w:r>
          </w:p>
        </w:tc>
      </w:tr>
    </w:tbl>
    <w:p>
      <w:pPr>
        <w:spacing w:line="276" w:lineRule="auto"/>
        <w:ind w:left="709"/>
        <w:jc w:val="both"/>
        <w:rPr>
          <w:rFonts w:eastAsiaTheme="minorHAnsi"/>
          <w:i/>
          <w:lang w:val="en-PH"/>
        </w:rPr>
      </w:pPr>
    </w:p>
    <w:p>
      <w:pPr>
        <w:spacing w:line="276" w:lineRule="auto"/>
        <w:jc w:val="both"/>
        <w:rPr>
          <w:rFonts w:eastAsiaTheme="minorHAnsi"/>
          <w:lang w:val="en-PH"/>
        </w:rPr>
      </w:pPr>
      <w:r>
        <w:rPr>
          <w:rFonts w:eastAsiaTheme="minorHAnsi"/>
          <w:lang w:val="en-PH"/>
        </w:rPr>
        <w:t>Out of the 27,302 vials of vaccines used, 5,503 or 20.03% (see Figure 4) of the vaccines were considered as wastage. According to CHO, the vaccines are considered a waste when the temperature of the vaccines reaches beyond the required temperature range. This condition occurs when vaccines are fully utilized at the end of vaccination day due to few clients who availed the immunization. Another case is when the vaccines reach its expiry date.</w:t>
      </w:r>
    </w:p>
    <w:p>
      <w:pPr>
        <w:spacing w:line="276" w:lineRule="auto"/>
        <w:ind w:firstLine="720"/>
        <w:jc w:val="both"/>
        <w:rPr>
          <w:rFonts w:eastAsiaTheme="minorHAnsi"/>
          <w:lang w:val="en-PH"/>
        </w:rPr>
      </w:pPr>
    </w:p>
    <w:p>
      <w:pPr>
        <w:spacing w:line="276" w:lineRule="auto"/>
        <w:jc w:val="both"/>
        <w:rPr>
          <w:rFonts w:eastAsiaTheme="minorHAnsi"/>
          <w:lang w:val="en-PH"/>
        </w:rPr>
      </w:pPr>
      <w:r>
        <w:rPr>
          <w:rFonts w:eastAsiaTheme="minorHAnsi"/>
          <w:lang w:val="en-PH"/>
        </w:rPr>
        <w:t xml:space="preserve">It has also been observed that there were instances when vaccines are received less than a week before its expiry dates. The CHO explained that this happens because when others LGUs see that the vaccines will not be used due to low participation of the public in the </w:t>
      </w:r>
      <w:r>
        <w:rPr>
          <w:rFonts w:eastAsiaTheme="minorHAnsi"/>
          <w:lang w:val="en-PH"/>
        </w:rPr>
        <w:lastRenderedPageBreak/>
        <w:t>vaccination program, they transfer the vaccines with nearing expiry dates to LGUs with higher public participation in the vaccination program or those LGUs with low supply of vaccines to lessen wastage.</w:t>
      </w:r>
    </w:p>
    <w:p>
      <w:pPr>
        <w:spacing w:line="276" w:lineRule="auto"/>
        <w:jc w:val="both"/>
        <w:rPr>
          <w:rFonts w:eastAsiaTheme="minorHAnsi"/>
          <w:i/>
          <w:lang w:val="en-PH"/>
        </w:rPr>
      </w:pPr>
    </w:p>
    <w:p>
      <w:pPr>
        <w:spacing w:line="276" w:lineRule="auto"/>
        <w:jc w:val="both"/>
        <w:rPr>
          <w:rFonts w:eastAsiaTheme="minorHAnsi"/>
          <w:i/>
          <w:lang w:val="en-PH"/>
        </w:rPr>
      </w:pPr>
      <w:r>
        <w:rPr>
          <w:rFonts w:eastAsiaTheme="minorHAnsi"/>
          <w:i/>
          <w:lang w:val="en-PH"/>
        </w:rPr>
        <w:t>Figure 4. Percentage of utilized and wastage COVID-19 vaccines</w:t>
      </w:r>
    </w:p>
    <w:p>
      <w:pPr>
        <w:spacing w:line="276" w:lineRule="auto"/>
        <w:jc w:val="both"/>
        <w:rPr>
          <w:rFonts w:eastAsiaTheme="minorHAnsi"/>
          <w:lang w:val="en-PH"/>
        </w:rPr>
      </w:pPr>
      <w:r>
        <w:rPr>
          <w:rFonts w:eastAsiaTheme="minorHAnsi"/>
          <w:noProof/>
          <w:lang w:val="en-PH" w:eastAsia="en-PH"/>
        </w:rPr>
        <w:drawing>
          <wp:anchor distT="0" distB="0" distL="114300" distR="114300" simplePos="0" relativeHeight="251659264" behindDoc="1" locked="0" layoutInCell="1" allowOverlap="1">
            <wp:simplePos x="0" y="0"/>
            <wp:positionH relativeFrom="margin">
              <wp:align>right</wp:align>
            </wp:positionH>
            <wp:positionV relativeFrom="paragraph">
              <wp:posOffset>4445</wp:posOffset>
            </wp:positionV>
            <wp:extent cx="5470497" cy="2083242"/>
            <wp:effectExtent l="0" t="0" r="16510" b="12700"/>
            <wp:wrapNone/>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pPr>
        <w:tabs>
          <w:tab w:val="left" w:pos="5172"/>
        </w:tabs>
        <w:spacing w:line="276" w:lineRule="auto"/>
        <w:jc w:val="both"/>
        <w:rPr>
          <w:rFonts w:eastAsiaTheme="minorHAnsi"/>
          <w:lang w:val="en-PH"/>
        </w:rPr>
      </w:pPr>
      <w:r>
        <w:rPr>
          <w:rFonts w:eastAsiaTheme="minorHAnsi"/>
          <w:lang w:val="en-PH"/>
        </w:rPr>
        <w:tab/>
      </w:r>
    </w:p>
    <w:p>
      <w:pPr>
        <w:spacing w:line="276" w:lineRule="auto"/>
        <w:jc w:val="both"/>
        <w:rPr>
          <w:rFonts w:eastAsiaTheme="minorHAnsi"/>
          <w:lang w:val="en-PH"/>
        </w:rPr>
      </w:pPr>
    </w:p>
    <w:p>
      <w:pPr>
        <w:spacing w:line="276" w:lineRule="auto"/>
        <w:jc w:val="both"/>
        <w:rPr>
          <w:rFonts w:eastAsiaTheme="minorHAnsi"/>
          <w:lang w:val="en-PH"/>
        </w:rPr>
      </w:pPr>
    </w:p>
    <w:p>
      <w:pPr>
        <w:spacing w:line="276" w:lineRule="auto"/>
        <w:jc w:val="both"/>
        <w:rPr>
          <w:rFonts w:eastAsiaTheme="minorHAnsi"/>
          <w:lang w:val="en-PH"/>
        </w:rPr>
      </w:pPr>
    </w:p>
    <w:p>
      <w:pPr>
        <w:spacing w:line="276" w:lineRule="auto"/>
        <w:jc w:val="center"/>
        <w:rPr>
          <w:rFonts w:eastAsiaTheme="minorHAnsi"/>
          <w:lang w:val="en-PH"/>
        </w:rPr>
      </w:pPr>
    </w:p>
    <w:p>
      <w:pPr>
        <w:tabs>
          <w:tab w:val="left" w:pos="3564"/>
        </w:tabs>
        <w:spacing w:line="276" w:lineRule="auto"/>
        <w:jc w:val="both"/>
        <w:rPr>
          <w:rFonts w:eastAsiaTheme="minorHAnsi"/>
          <w:lang w:val="en-PH"/>
        </w:rPr>
      </w:pPr>
      <w:r>
        <w:rPr>
          <w:rFonts w:eastAsiaTheme="minorHAnsi"/>
          <w:lang w:val="en-PH"/>
        </w:rPr>
        <w:tab/>
      </w:r>
    </w:p>
    <w:p>
      <w:pPr>
        <w:tabs>
          <w:tab w:val="left" w:pos="3384"/>
          <w:tab w:val="left" w:pos="3672"/>
        </w:tabs>
        <w:spacing w:line="276" w:lineRule="auto"/>
        <w:jc w:val="both"/>
        <w:rPr>
          <w:rFonts w:eastAsiaTheme="minorHAnsi"/>
          <w:lang w:val="en-PH"/>
        </w:rPr>
      </w:pPr>
      <w:r>
        <w:rPr>
          <w:rFonts w:eastAsiaTheme="minorHAnsi"/>
          <w:lang w:val="en-PH"/>
        </w:rPr>
        <w:tab/>
      </w:r>
      <w:r>
        <w:rPr>
          <w:rFonts w:eastAsiaTheme="minorHAnsi"/>
          <w:lang w:val="en-PH"/>
        </w:rPr>
        <w:tab/>
      </w:r>
    </w:p>
    <w:p>
      <w:pPr>
        <w:tabs>
          <w:tab w:val="left" w:pos="5664"/>
        </w:tabs>
        <w:spacing w:line="276" w:lineRule="auto"/>
        <w:jc w:val="both"/>
        <w:rPr>
          <w:rFonts w:eastAsiaTheme="minorHAnsi"/>
          <w:lang w:val="en-PH"/>
        </w:rPr>
      </w:pPr>
      <w:r>
        <w:rPr>
          <w:rFonts w:eastAsiaTheme="minorHAnsi"/>
          <w:lang w:val="en-PH"/>
        </w:rPr>
        <w:tab/>
      </w:r>
    </w:p>
    <w:p>
      <w:pPr>
        <w:tabs>
          <w:tab w:val="left" w:pos="5604"/>
          <w:tab w:val="left" w:pos="7728"/>
        </w:tabs>
        <w:spacing w:line="276" w:lineRule="auto"/>
        <w:jc w:val="both"/>
        <w:rPr>
          <w:rFonts w:eastAsiaTheme="minorHAnsi"/>
          <w:lang w:val="en-PH"/>
        </w:rPr>
      </w:pPr>
      <w:r>
        <w:rPr>
          <w:rFonts w:eastAsiaTheme="minorHAnsi"/>
          <w:lang w:val="en-PH"/>
        </w:rPr>
        <w:tab/>
      </w:r>
      <w:r>
        <w:rPr>
          <w:rFonts w:eastAsiaTheme="minorHAnsi"/>
          <w:lang w:val="en-PH"/>
        </w:rPr>
        <w:tab/>
      </w:r>
    </w:p>
    <w:p>
      <w:pPr>
        <w:spacing w:line="276" w:lineRule="auto"/>
        <w:jc w:val="both"/>
        <w:rPr>
          <w:rFonts w:eastAsiaTheme="minorHAnsi"/>
          <w:lang w:val="en-PH"/>
        </w:rPr>
      </w:pPr>
    </w:p>
    <w:p>
      <w:pPr>
        <w:spacing w:line="276" w:lineRule="auto"/>
        <w:jc w:val="both"/>
        <w:rPr>
          <w:rFonts w:eastAsiaTheme="minorHAnsi"/>
          <w:lang w:val="en-PH"/>
        </w:rPr>
      </w:pPr>
    </w:p>
    <w:p>
      <w:pPr>
        <w:spacing w:line="276" w:lineRule="auto"/>
        <w:jc w:val="both"/>
        <w:rPr>
          <w:rFonts w:eastAsiaTheme="minorHAnsi"/>
          <w:lang w:val="en-PH"/>
        </w:rPr>
      </w:pPr>
      <w:r>
        <w:rPr>
          <w:rFonts w:eastAsiaTheme="minorHAnsi"/>
          <w:lang w:val="en-PH"/>
        </w:rPr>
        <w:t>Although issuances and utilization of COVID-19 vaccines and its ancillary supplies were properly documented by the CHO, no utilization reports/documents were submitted to the CAO for recording of the utilization in the books.</w:t>
      </w:r>
    </w:p>
    <w:p>
      <w:pPr>
        <w:spacing w:line="276" w:lineRule="auto"/>
        <w:ind w:left="426"/>
        <w:jc w:val="both"/>
        <w:rPr>
          <w:rFonts w:eastAsiaTheme="minorHAnsi"/>
          <w:lang w:val="en-PH"/>
        </w:rPr>
      </w:pPr>
    </w:p>
    <w:p>
      <w:pPr>
        <w:spacing w:line="276" w:lineRule="auto"/>
        <w:jc w:val="both"/>
        <w:rPr>
          <w:rFonts w:eastAsiaTheme="minorHAnsi"/>
          <w:lang w:val="en-PH"/>
        </w:rPr>
      </w:pPr>
      <w:r>
        <w:rPr>
          <w:rFonts w:eastAsiaTheme="minorHAnsi"/>
          <w:lang w:val="en-PH"/>
        </w:rPr>
        <w:t>International Public Sector Accounting Standard (IPSAS) 12, “Inventories”, prescribed the accounting treatment for inventories and provides guidance on the determination of costs and its subsequent recognition as an expense.</w:t>
      </w:r>
    </w:p>
    <w:p>
      <w:pPr>
        <w:spacing w:line="276" w:lineRule="auto"/>
        <w:jc w:val="both"/>
        <w:rPr>
          <w:rFonts w:eastAsiaTheme="minorHAnsi"/>
          <w:lang w:val="en-PH"/>
        </w:rPr>
      </w:pPr>
    </w:p>
    <w:p>
      <w:pPr>
        <w:spacing w:line="276" w:lineRule="auto"/>
        <w:jc w:val="both"/>
        <w:rPr>
          <w:rFonts w:eastAsiaTheme="minorHAnsi"/>
          <w:lang w:val="en-PH"/>
        </w:rPr>
      </w:pPr>
      <w:r>
        <w:rPr>
          <w:rFonts w:eastAsiaTheme="minorHAnsi"/>
          <w:lang w:val="en-PH"/>
        </w:rPr>
        <w:t>Paragraph 35 of the same standard states:</w:t>
      </w:r>
    </w:p>
    <w:p>
      <w:pPr>
        <w:spacing w:line="276" w:lineRule="auto"/>
        <w:jc w:val="both"/>
        <w:rPr>
          <w:rFonts w:eastAsiaTheme="minorHAnsi"/>
          <w:lang w:val="en-PH"/>
        </w:rPr>
      </w:pPr>
    </w:p>
    <w:p>
      <w:pPr>
        <w:spacing w:line="276" w:lineRule="auto"/>
        <w:ind w:left="720" w:right="702" w:hanging="706"/>
        <w:jc w:val="both"/>
        <w:rPr>
          <w:rFonts w:eastAsiaTheme="minorHAnsi"/>
          <w:lang w:val="en-PH"/>
        </w:rPr>
      </w:pPr>
      <w:r>
        <w:rPr>
          <w:rFonts w:eastAsiaTheme="minorHAnsi"/>
          <w:lang w:val="en-PH"/>
        </w:rPr>
        <w:tab/>
        <w:t>The cost of inventories, other than those dealt with in paragraph 32, shall be assigned by using the first-in, first-out (FIFO) or weighted average cost formulas. An entity shall use the same cost formula for all inventories having a similar nature and use to the entity. For INVENTORIES IPSAS 12 380 inventories with a different nature or use, different cost formulas may be justified.</w:t>
      </w:r>
    </w:p>
    <w:p>
      <w:pPr>
        <w:spacing w:line="276" w:lineRule="auto"/>
        <w:jc w:val="both"/>
        <w:rPr>
          <w:rFonts w:eastAsiaTheme="minorHAnsi"/>
          <w:lang w:val="en-PH"/>
        </w:rPr>
      </w:pPr>
    </w:p>
    <w:p>
      <w:pPr>
        <w:spacing w:line="276" w:lineRule="auto"/>
        <w:jc w:val="both"/>
        <w:rPr>
          <w:rFonts w:eastAsiaTheme="minorHAnsi"/>
          <w:lang w:val="en-PH"/>
        </w:rPr>
      </w:pPr>
      <w:r>
        <w:rPr>
          <w:rFonts w:eastAsiaTheme="minorHAnsi"/>
          <w:lang w:val="en-PH"/>
        </w:rPr>
        <w:t>Moreover, paragraph 37 of the said Standard, in pertinent part, provides:</w:t>
      </w:r>
    </w:p>
    <w:p>
      <w:pPr>
        <w:spacing w:line="276" w:lineRule="auto"/>
        <w:jc w:val="both"/>
        <w:rPr>
          <w:rFonts w:eastAsiaTheme="minorHAnsi"/>
          <w:lang w:val="en-PH"/>
        </w:rPr>
      </w:pPr>
    </w:p>
    <w:p>
      <w:pPr>
        <w:spacing w:line="276" w:lineRule="auto"/>
        <w:ind w:left="720" w:right="288"/>
        <w:jc w:val="both"/>
        <w:rPr>
          <w:rFonts w:eastAsiaTheme="minorHAnsi"/>
          <w:lang w:val="en-PH"/>
        </w:rPr>
      </w:pPr>
      <w:r>
        <w:rPr>
          <w:rFonts w:eastAsiaTheme="minorHAnsi"/>
          <w:lang w:val="en-PH"/>
        </w:rPr>
        <w:t xml:space="preserve">The FIFO formula assumes that the items of inventory that were purchased first are sold first, and consequently the items remaining in inventory at the end of the period are those most recently purchased or produced. Under the weighted average cost formula, the cost of each item is determined from the </w:t>
      </w:r>
      <w:r>
        <w:rPr>
          <w:rFonts w:eastAsiaTheme="minorHAnsi"/>
          <w:lang w:val="en-PH"/>
        </w:rPr>
        <w:lastRenderedPageBreak/>
        <w:t>weighted average of the cost of similar items at the beginning of a period, and the cost of similar items purchased or produced during the period. The average may be calculated on a periodic basis, or as each additional shipment is received, depending upon the circumstances of the entity.</w:t>
      </w:r>
    </w:p>
    <w:p>
      <w:pPr>
        <w:spacing w:line="276" w:lineRule="auto"/>
        <w:ind w:firstLine="709"/>
        <w:jc w:val="both"/>
        <w:rPr>
          <w:rFonts w:eastAsiaTheme="minorHAnsi"/>
          <w:lang w:val="en-PH"/>
        </w:rPr>
      </w:pPr>
    </w:p>
    <w:p>
      <w:pPr>
        <w:spacing w:line="276" w:lineRule="auto"/>
        <w:jc w:val="both"/>
        <w:rPr>
          <w:rFonts w:eastAsiaTheme="minorHAnsi"/>
          <w:lang w:val="en-PH"/>
        </w:rPr>
      </w:pPr>
      <w:r>
        <w:rPr>
          <w:rFonts w:eastAsiaTheme="minorHAnsi"/>
          <w:lang w:val="en-PH"/>
        </w:rPr>
        <w:t xml:space="preserve">The Report on the Physical Count Inventories (RPCI) of COVID-19 vaccines submitted by the City Health Office (CHO) were reviewed and disclosed that the ending balances </w:t>
      </w:r>
      <w:proofErr w:type="spellStart"/>
      <w:r>
        <w:rPr>
          <w:rFonts w:eastAsiaTheme="minorHAnsi"/>
          <w:lang w:val="en-PH"/>
        </w:rPr>
        <w:t>totalling</w:t>
      </w:r>
      <w:proofErr w:type="spellEnd"/>
      <w:r>
        <w:rPr>
          <w:rFonts w:eastAsiaTheme="minorHAnsi"/>
          <w:lang w:val="en-PH"/>
        </w:rPr>
        <w:t xml:space="preserve"> 8,001 vials of vaccines were not recorded in the inventories account at year-end. Using the weighted moving average method, the </w:t>
      </w:r>
      <w:proofErr w:type="gramStart"/>
      <w:r>
        <w:rPr>
          <w:rFonts w:eastAsiaTheme="minorHAnsi"/>
          <w:lang w:val="en-PH"/>
        </w:rPr>
        <w:t>amount</w:t>
      </w:r>
      <w:proofErr w:type="gramEnd"/>
      <w:r>
        <w:rPr>
          <w:rFonts w:eastAsiaTheme="minorHAnsi"/>
          <w:lang w:val="en-PH"/>
        </w:rPr>
        <w:t xml:space="preserve"> of inventories </w:t>
      </w:r>
      <w:proofErr w:type="spellStart"/>
      <w:r>
        <w:rPr>
          <w:rFonts w:eastAsiaTheme="minorHAnsi"/>
          <w:lang w:val="en-PH"/>
        </w:rPr>
        <w:t>totalling</w:t>
      </w:r>
      <w:proofErr w:type="spellEnd"/>
      <w:r>
        <w:rPr>
          <w:rFonts w:eastAsiaTheme="minorHAnsi"/>
          <w:lang w:val="en-PH"/>
        </w:rPr>
        <w:t xml:space="preserve"> P4,596,712.47 (see Table 10.4) was recorded only when the audit team informed the matter to the City Accounting Office.</w:t>
      </w:r>
    </w:p>
    <w:p>
      <w:pPr>
        <w:spacing w:line="276" w:lineRule="auto"/>
        <w:jc w:val="both"/>
        <w:rPr>
          <w:rFonts w:eastAsiaTheme="minorHAnsi"/>
          <w:i/>
          <w:lang w:val="en-PH"/>
        </w:rPr>
      </w:pPr>
    </w:p>
    <w:p>
      <w:pPr>
        <w:spacing w:line="276" w:lineRule="auto"/>
        <w:jc w:val="both"/>
        <w:rPr>
          <w:rFonts w:eastAsiaTheme="minorHAnsi"/>
          <w:i/>
          <w:lang w:val="en-PH"/>
        </w:rPr>
      </w:pPr>
      <w:r>
        <w:rPr>
          <w:rFonts w:eastAsiaTheme="minorHAnsi"/>
          <w:i/>
          <w:lang w:val="en-PH"/>
        </w:rPr>
        <w:t>Table 10.4. Summary of actual ending inventory of COVID-19 vaccines</w:t>
      </w:r>
    </w:p>
    <w:tbl>
      <w:tblPr>
        <w:tblStyle w:val="TableGrid35"/>
        <w:tblW w:w="8831" w:type="dxa"/>
        <w:jc w:val="center"/>
        <w:tblLook w:val="04A0" w:firstRow="1" w:lastRow="0" w:firstColumn="1" w:lastColumn="0" w:noHBand="0" w:noVBand="1"/>
      </w:tblPr>
      <w:tblGrid>
        <w:gridCol w:w="1291"/>
        <w:gridCol w:w="1170"/>
        <w:gridCol w:w="1071"/>
        <w:gridCol w:w="821"/>
        <w:gridCol w:w="1023"/>
        <w:gridCol w:w="962"/>
        <w:gridCol w:w="986"/>
        <w:gridCol w:w="1507"/>
      </w:tblGrid>
      <w:tr>
        <w:trPr>
          <w:tblHeader/>
          <w:jc w:val="center"/>
        </w:trPr>
        <w:tc>
          <w:tcPr>
            <w:tcW w:w="1291" w:type="dxa"/>
            <w:vMerge w:val="restart"/>
            <w:vAlign w:val="center"/>
          </w:tcPr>
          <w:p>
            <w:pPr>
              <w:spacing w:line="276" w:lineRule="auto"/>
              <w:jc w:val="center"/>
              <w:rPr>
                <w:rFonts w:eastAsiaTheme="minorHAnsi" w:cs="Times New Roman"/>
                <w:b/>
                <w:sz w:val="22"/>
                <w:szCs w:val="22"/>
              </w:rPr>
            </w:pPr>
            <w:r>
              <w:rPr>
                <w:rFonts w:eastAsiaTheme="minorHAnsi" w:cs="Times New Roman"/>
                <w:b/>
                <w:sz w:val="22"/>
                <w:szCs w:val="22"/>
              </w:rPr>
              <w:t>Vaccine Brand</w:t>
            </w:r>
          </w:p>
        </w:tc>
        <w:tc>
          <w:tcPr>
            <w:tcW w:w="5047" w:type="dxa"/>
            <w:gridSpan w:val="5"/>
          </w:tcPr>
          <w:p>
            <w:pPr>
              <w:spacing w:line="276" w:lineRule="auto"/>
              <w:jc w:val="center"/>
              <w:rPr>
                <w:rFonts w:eastAsiaTheme="minorHAnsi" w:cs="Times New Roman"/>
                <w:b/>
                <w:sz w:val="22"/>
                <w:szCs w:val="22"/>
              </w:rPr>
            </w:pPr>
            <w:r>
              <w:rPr>
                <w:rFonts w:eastAsiaTheme="minorHAnsi" w:cs="Times New Roman"/>
                <w:b/>
                <w:sz w:val="22"/>
                <w:szCs w:val="22"/>
              </w:rPr>
              <w:t>Quantity per Audit</w:t>
            </w:r>
          </w:p>
        </w:tc>
        <w:tc>
          <w:tcPr>
            <w:tcW w:w="986" w:type="dxa"/>
            <w:vMerge w:val="restart"/>
          </w:tcPr>
          <w:p>
            <w:pPr>
              <w:spacing w:line="276" w:lineRule="auto"/>
              <w:jc w:val="center"/>
              <w:rPr>
                <w:rFonts w:eastAsiaTheme="minorHAnsi" w:cs="Times New Roman"/>
                <w:b/>
                <w:sz w:val="22"/>
                <w:szCs w:val="22"/>
              </w:rPr>
            </w:pPr>
            <w:r>
              <w:rPr>
                <w:rFonts w:eastAsiaTheme="minorHAnsi" w:cs="Times New Roman"/>
                <w:b/>
                <w:sz w:val="22"/>
                <w:szCs w:val="22"/>
              </w:rPr>
              <w:t>Unit Price</w:t>
            </w:r>
          </w:p>
        </w:tc>
        <w:tc>
          <w:tcPr>
            <w:tcW w:w="1507" w:type="dxa"/>
            <w:vMerge w:val="restart"/>
          </w:tcPr>
          <w:p>
            <w:pPr>
              <w:spacing w:line="276" w:lineRule="auto"/>
              <w:jc w:val="center"/>
              <w:rPr>
                <w:rFonts w:eastAsiaTheme="minorHAnsi" w:cs="Times New Roman"/>
                <w:b/>
                <w:sz w:val="22"/>
                <w:szCs w:val="22"/>
              </w:rPr>
            </w:pPr>
          </w:p>
          <w:p>
            <w:pPr>
              <w:spacing w:line="276" w:lineRule="auto"/>
              <w:jc w:val="center"/>
              <w:rPr>
                <w:rFonts w:eastAsiaTheme="minorHAnsi" w:cs="Times New Roman"/>
                <w:b/>
                <w:sz w:val="22"/>
                <w:szCs w:val="22"/>
              </w:rPr>
            </w:pPr>
            <w:r>
              <w:rPr>
                <w:rFonts w:eastAsiaTheme="minorHAnsi" w:cs="Times New Roman"/>
                <w:b/>
                <w:sz w:val="22"/>
                <w:szCs w:val="22"/>
              </w:rPr>
              <w:t>Amount</w:t>
            </w:r>
          </w:p>
        </w:tc>
      </w:tr>
      <w:tr>
        <w:trPr>
          <w:tblHeader/>
          <w:jc w:val="center"/>
        </w:trPr>
        <w:tc>
          <w:tcPr>
            <w:tcW w:w="1291" w:type="dxa"/>
            <w:vMerge/>
          </w:tcPr>
          <w:p>
            <w:pPr>
              <w:spacing w:line="276" w:lineRule="auto"/>
              <w:jc w:val="both"/>
              <w:rPr>
                <w:rFonts w:eastAsiaTheme="minorHAnsi" w:cs="Times New Roman"/>
                <w:sz w:val="22"/>
                <w:szCs w:val="22"/>
              </w:rPr>
            </w:pPr>
          </w:p>
        </w:tc>
        <w:tc>
          <w:tcPr>
            <w:tcW w:w="1170" w:type="dxa"/>
          </w:tcPr>
          <w:p>
            <w:pPr>
              <w:spacing w:line="276" w:lineRule="auto"/>
              <w:jc w:val="center"/>
              <w:rPr>
                <w:rFonts w:eastAsiaTheme="minorHAnsi" w:cs="Times New Roman"/>
                <w:b/>
                <w:sz w:val="22"/>
                <w:szCs w:val="22"/>
              </w:rPr>
            </w:pPr>
            <w:r>
              <w:rPr>
                <w:rFonts w:eastAsiaTheme="minorHAnsi" w:cs="Times New Roman"/>
                <w:b/>
                <w:sz w:val="22"/>
                <w:szCs w:val="22"/>
              </w:rPr>
              <w:t>Beginning Balance</w:t>
            </w:r>
          </w:p>
        </w:tc>
        <w:tc>
          <w:tcPr>
            <w:tcW w:w="1071" w:type="dxa"/>
          </w:tcPr>
          <w:p>
            <w:pPr>
              <w:spacing w:line="276" w:lineRule="auto"/>
              <w:jc w:val="center"/>
              <w:rPr>
                <w:rFonts w:eastAsiaTheme="minorHAnsi" w:cs="Times New Roman"/>
                <w:b/>
                <w:sz w:val="22"/>
                <w:szCs w:val="22"/>
              </w:rPr>
            </w:pPr>
            <w:r>
              <w:rPr>
                <w:rFonts w:eastAsiaTheme="minorHAnsi" w:cs="Times New Roman"/>
                <w:b/>
                <w:sz w:val="22"/>
                <w:szCs w:val="22"/>
              </w:rPr>
              <w:t>Received</w:t>
            </w:r>
          </w:p>
        </w:tc>
        <w:tc>
          <w:tcPr>
            <w:tcW w:w="821" w:type="dxa"/>
          </w:tcPr>
          <w:p>
            <w:pPr>
              <w:spacing w:line="276" w:lineRule="auto"/>
              <w:jc w:val="center"/>
              <w:rPr>
                <w:rFonts w:eastAsiaTheme="minorHAnsi" w:cs="Times New Roman"/>
                <w:b/>
                <w:sz w:val="22"/>
                <w:szCs w:val="22"/>
              </w:rPr>
            </w:pPr>
            <w:r>
              <w:rPr>
                <w:rFonts w:eastAsiaTheme="minorHAnsi" w:cs="Times New Roman"/>
                <w:b/>
                <w:sz w:val="22"/>
                <w:szCs w:val="22"/>
              </w:rPr>
              <w:t>Issued</w:t>
            </w:r>
          </w:p>
        </w:tc>
        <w:tc>
          <w:tcPr>
            <w:tcW w:w="1023" w:type="dxa"/>
          </w:tcPr>
          <w:p>
            <w:pPr>
              <w:spacing w:line="276" w:lineRule="auto"/>
              <w:jc w:val="center"/>
              <w:rPr>
                <w:rFonts w:eastAsiaTheme="minorHAnsi" w:cs="Times New Roman"/>
                <w:b/>
                <w:sz w:val="22"/>
                <w:szCs w:val="22"/>
              </w:rPr>
            </w:pPr>
            <w:r>
              <w:rPr>
                <w:rFonts w:eastAsiaTheme="minorHAnsi" w:cs="Times New Roman"/>
                <w:b/>
                <w:sz w:val="22"/>
                <w:szCs w:val="22"/>
              </w:rPr>
              <w:t>Wastage</w:t>
            </w:r>
          </w:p>
        </w:tc>
        <w:tc>
          <w:tcPr>
            <w:tcW w:w="962" w:type="dxa"/>
          </w:tcPr>
          <w:p>
            <w:pPr>
              <w:spacing w:line="276" w:lineRule="auto"/>
              <w:jc w:val="center"/>
              <w:rPr>
                <w:rFonts w:eastAsiaTheme="minorHAnsi" w:cs="Times New Roman"/>
                <w:b/>
                <w:sz w:val="22"/>
                <w:szCs w:val="22"/>
              </w:rPr>
            </w:pPr>
            <w:r>
              <w:rPr>
                <w:rFonts w:eastAsiaTheme="minorHAnsi" w:cs="Times New Roman"/>
                <w:b/>
                <w:sz w:val="22"/>
                <w:szCs w:val="22"/>
              </w:rPr>
              <w:t>Ending Balance</w:t>
            </w:r>
          </w:p>
        </w:tc>
        <w:tc>
          <w:tcPr>
            <w:tcW w:w="986" w:type="dxa"/>
            <w:vMerge/>
          </w:tcPr>
          <w:p>
            <w:pPr>
              <w:spacing w:line="276" w:lineRule="auto"/>
              <w:jc w:val="both"/>
              <w:rPr>
                <w:rFonts w:eastAsiaTheme="minorHAnsi" w:cs="Times New Roman"/>
                <w:sz w:val="22"/>
                <w:szCs w:val="22"/>
              </w:rPr>
            </w:pPr>
          </w:p>
        </w:tc>
        <w:tc>
          <w:tcPr>
            <w:tcW w:w="1507" w:type="dxa"/>
            <w:vMerge/>
          </w:tcPr>
          <w:p>
            <w:pPr>
              <w:spacing w:line="276" w:lineRule="auto"/>
              <w:jc w:val="both"/>
              <w:rPr>
                <w:rFonts w:eastAsiaTheme="minorHAnsi" w:cs="Times New Roman"/>
                <w:sz w:val="22"/>
                <w:szCs w:val="22"/>
              </w:rPr>
            </w:pPr>
          </w:p>
        </w:tc>
      </w:tr>
      <w:tr>
        <w:trPr>
          <w:jc w:val="center"/>
        </w:trPr>
        <w:tc>
          <w:tcPr>
            <w:tcW w:w="1291" w:type="dxa"/>
          </w:tcPr>
          <w:p>
            <w:pPr>
              <w:spacing w:line="276" w:lineRule="auto"/>
              <w:jc w:val="both"/>
              <w:rPr>
                <w:rFonts w:eastAsiaTheme="minorHAnsi" w:cs="Times New Roman"/>
                <w:sz w:val="22"/>
                <w:szCs w:val="22"/>
              </w:rPr>
            </w:pPr>
            <w:r>
              <w:rPr>
                <w:rFonts w:eastAsiaTheme="minorHAnsi" w:cs="Times New Roman"/>
                <w:sz w:val="22"/>
                <w:szCs w:val="22"/>
              </w:rPr>
              <w:t>Sinovac</w:t>
            </w:r>
          </w:p>
        </w:tc>
        <w:tc>
          <w:tcPr>
            <w:tcW w:w="1170" w:type="dxa"/>
          </w:tcPr>
          <w:p>
            <w:pPr>
              <w:spacing w:line="276" w:lineRule="auto"/>
              <w:jc w:val="center"/>
              <w:rPr>
                <w:rFonts w:eastAsiaTheme="minorHAnsi" w:cs="Times New Roman"/>
                <w:sz w:val="22"/>
                <w:szCs w:val="22"/>
              </w:rPr>
            </w:pPr>
            <w:r>
              <w:rPr>
                <w:rFonts w:eastAsiaTheme="minorHAnsi" w:cs="Times New Roman"/>
                <w:sz w:val="22"/>
                <w:szCs w:val="22"/>
              </w:rPr>
              <w:t>6,550</w:t>
            </w:r>
          </w:p>
        </w:tc>
        <w:tc>
          <w:tcPr>
            <w:tcW w:w="1071" w:type="dxa"/>
          </w:tcPr>
          <w:p>
            <w:pPr>
              <w:spacing w:line="276" w:lineRule="auto"/>
              <w:jc w:val="center"/>
              <w:rPr>
                <w:rFonts w:eastAsiaTheme="minorHAnsi" w:cs="Times New Roman"/>
                <w:sz w:val="22"/>
                <w:szCs w:val="22"/>
              </w:rPr>
            </w:pPr>
            <w:r>
              <w:rPr>
                <w:rFonts w:eastAsiaTheme="minorHAnsi" w:cs="Times New Roman"/>
                <w:sz w:val="22"/>
                <w:szCs w:val="22"/>
              </w:rPr>
              <w:t>11,062</w:t>
            </w:r>
          </w:p>
        </w:tc>
        <w:tc>
          <w:tcPr>
            <w:tcW w:w="821" w:type="dxa"/>
          </w:tcPr>
          <w:p>
            <w:pPr>
              <w:spacing w:line="276" w:lineRule="auto"/>
              <w:jc w:val="center"/>
              <w:rPr>
                <w:rFonts w:eastAsiaTheme="minorHAnsi" w:cs="Times New Roman"/>
                <w:sz w:val="22"/>
                <w:szCs w:val="22"/>
              </w:rPr>
            </w:pPr>
            <w:r>
              <w:rPr>
                <w:rFonts w:eastAsiaTheme="minorHAnsi" w:cs="Times New Roman"/>
                <w:sz w:val="22"/>
                <w:szCs w:val="22"/>
              </w:rPr>
              <w:t>7,540</w:t>
            </w:r>
          </w:p>
        </w:tc>
        <w:tc>
          <w:tcPr>
            <w:tcW w:w="1023" w:type="dxa"/>
          </w:tcPr>
          <w:p>
            <w:pPr>
              <w:spacing w:line="276" w:lineRule="auto"/>
              <w:jc w:val="center"/>
              <w:rPr>
                <w:rFonts w:eastAsiaTheme="minorHAnsi" w:cs="Times New Roman"/>
                <w:sz w:val="22"/>
                <w:szCs w:val="22"/>
              </w:rPr>
            </w:pPr>
            <w:r>
              <w:rPr>
                <w:rFonts w:eastAsiaTheme="minorHAnsi" w:cs="Times New Roman"/>
                <w:sz w:val="22"/>
                <w:szCs w:val="22"/>
              </w:rPr>
              <w:t>2,197</w:t>
            </w:r>
          </w:p>
        </w:tc>
        <w:tc>
          <w:tcPr>
            <w:tcW w:w="962" w:type="dxa"/>
          </w:tcPr>
          <w:p>
            <w:pPr>
              <w:spacing w:line="276" w:lineRule="auto"/>
              <w:jc w:val="center"/>
              <w:rPr>
                <w:rFonts w:eastAsiaTheme="minorHAnsi" w:cs="Times New Roman"/>
                <w:sz w:val="22"/>
                <w:szCs w:val="22"/>
              </w:rPr>
            </w:pPr>
            <w:r>
              <w:rPr>
                <w:rFonts w:eastAsiaTheme="minorHAnsi" w:cs="Times New Roman"/>
                <w:sz w:val="22"/>
                <w:szCs w:val="22"/>
              </w:rPr>
              <w:t>7,875</w:t>
            </w:r>
          </w:p>
        </w:tc>
        <w:tc>
          <w:tcPr>
            <w:tcW w:w="986" w:type="dxa"/>
          </w:tcPr>
          <w:p>
            <w:pPr>
              <w:spacing w:line="276" w:lineRule="auto"/>
              <w:jc w:val="center"/>
              <w:rPr>
                <w:rFonts w:eastAsiaTheme="minorHAnsi" w:cs="Times New Roman"/>
                <w:sz w:val="22"/>
                <w:szCs w:val="22"/>
              </w:rPr>
            </w:pPr>
            <w:r>
              <w:rPr>
                <w:rFonts w:eastAsiaTheme="minorHAnsi" w:cs="Times New Roman"/>
                <w:sz w:val="22"/>
                <w:szCs w:val="22"/>
              </w:rPr>
              <w:t>P550.39</w:t>
            </w:r>
          </w:p>
        </w:tc>
        <w:tc>
          <w:tcPr>
            <w:tcW w:w="1507" w:type="dxa"/>
          </w:tcPr>
          <w:p>
            <w:pPr>
              <w:spacing w:line="276" w:lineRule="auto"/>
              <w:jc w:val="right"/>
              <w:rPr>
                <w:rFonts w:eastAsiaTheme="minorHAnsi" w:cs="Times New Roman"/>
                <w:sz w:val="22"/>
                <w:szCs w:val="22"/>
              </w:rPr>
            </w:pPr>
            <w:r>
              <w:rPr>
                <w:rFonts w:eastAsiaTheme="minorHAnsi" w:cs="Times New Roman"/>
                <w:sz w:val="22"/>
                <w:szCs w:val="22"/>
              </w:rPr>
              <w:t>P4,334,321.25</w:t>
            </w:r>
          </w:p>
        </w:tc>
      </w:tr>
      <w:tr>
        <w:trPr>
          <w:jc w:val="center"/>
        </w:trPr>
        <w:tc>
          <w:tcPr>
            <w:tcW w:w="1291" w:type="dxa"/>
          </w:tcPr>
          <w:p>
            <w:pPr>
              <w:spacing w:line="276" w:lineRule="auto"/>
              <w:jc w:val="both"/>
              <w:rPr>
                <w:rFonts w:eastAsiaTheme="minorHAnsi" w:cs="Times New Roman"/>
                <w:sz w:val="22"/>
                <w:szCs w:val="22"/>
              </w:rPr>
            </w:pPr>
            <w:r>
              <w:rPr>
                <w:rFonts w:eastAsiaTheme="minorHAnsi" w:cs="Times New Roman"/>
                <w:sz w:val="22"/>
                <w:szCs w:val="22"/>
              </w:rPr>
              <w:t>Janssen</w:t>
            </w:r>
          </w:p>
        </w:tc>
        <w:tc>
          <w:tcPr>
            <w:tcW w:w="1170" w:type="dxa"/>
          </w:tcPr>
          <w:p>
            <w:pPr>
              <w:spacing w:line="276" w:lineRule="auto"/>
              <w:jc w:val="center"/>
              <w:rPr>
                <w:rFonts w:eastAsiaTheme="minorHAnsi" w:cs="Times New Roman"/>
                <w:sz w:val="22"/>
                <w:szCs w:val="22"/>
              </w:rPr>
            </w:pPr>
            <w:r>
              <w:rPr>
                <w:rFonts w:eastAsiaTheme="minorHAnsi" w:cs="Times New Roman"/>
                <w:sz w:val="22"/>
                <w:szCs w:val="22"/>
              </w:rPr>
              <w:t>994</w:t>
            </w:r>
          </w:p>
        </w:tc>
        <w:tc>
          <w:tcPr>
            <w:tcW w:w="1071" w:type="dxa"/>
          </w:tcPr>
          <w:p>
            <w:pPr>
              <w:spacing w:line="276" w:lineRule="auto"/>
              <w:jc w:val="center"/>
              <w:rPr>
                <w:rFonts w:eastAsiaTheme="minorHAnsi" w:cs="Times New Roman"/>
                <w:sz w:val="22"/>
                <w:szCs w:val="22"/>
              </w:rPr>
            </w:pPr>
            <w:r>
              <w:rPr>
                <w:rFonts w:eastAsiaTheme="minorHAnsi" w:cs="Times New Roman"/>
                <w:sz w:val="22"/>
                <w:szCs w:val="22"/>
              </w:rPr>
              <w:t>3,400</w:t>
            </w:r>
          </w:p>
        </w:tc>
        <w:tc>
          <w:tcPr>
            <w:tcW w:w="821" w:type="dxa"/>
          </w:tcPr>
          <w:p>
            <w:pPr>
              <w:spacing w:line="276" w:lineRule="auto"/>
              <w:jc w:val="center"/>
              <w:rPr>
                <w:rFonts w:eastAsiaTheme="minorHAnsi" w:cs="Times New Roman"/>
                <w:sz w:val="22"/>
                <w:szCs w:val="22"/>
              </w:rPr>
            </w:pPr>
            <w:r>
              <w:rPr>
                <w:rFonts w:eastAsiaTheme="minorHAnsi" w:cs="Times New Roman"/>
                <w:sz w:val="22"/>
                <w:szCs w:val="22"/>
              </w:rPr>
              <w:t>1,919</w:t>
            </w:r>
          </w:p>
        </w:tc>
        <w:tc>
          <w:tcPr>
            <w:tcW w:w="1023" w:type="dxa"/>
          </w:tcPr>
          <w:p>
            <w:pPr>
              <w:spacing w:line="276" w:lineRule="auto"/>
              <w:jc w:val="center"/>
              <w:rPr>
                <w:rFonts w:eastAsiaTheme="minorHAnsi" w:cs="Times New Roman"/>
                <w:sz w:val="22"/>
                <w:szCs w:val="22"/>
              </w:rPr>
            </w:pPr>
            <w:r>
              <w:rPr>
                <w:rFonts w:eastAsiaTheme="minorHAnsi" w:cs="Times New Roman"/>
                <w:sz w:val="22"/>
                <w:szCs w:val="22"/>
              </w:rPr>
              <w:t>2,475</w:t>
            </w:r>
          </w:p>
        </w:tc>
        <w:tc>
          <w:tcPr>
            <w:tcW w:w="962" w:type="dxa"/>
          </w:tcPr>
          <w:p>
            <w:pPr>
              <w:spacing w:line="276" w:lineRule="auto"/>
              <w:jc w:val="center"/>
              <w:rPr>
                <w:rFonts w:eastAsiaTheme="minorHAnsi" w:cs="Times New Roman"/>
                <w:sz w:val="22"/>
                <w:szCs w:val="22"/>
              </w:rPr>
            </w:pPr>
            <w:r>
              <w:rPr>
                <w:rFonts w:eastAsiaTheme="minorHAnsi" w:cs="Times New Roman"/>
                <w:sz w:val="22"/>
                <w:szCs w:val="22"/>
              </w:rPr>
              <w:t>-0-</w:t>
            </w:r>
          </w:p>
        </w:tc>
        <w:tc>
          <w:tcPr>
            <w:tcW w:w="986" w:type="dxa"/>
          </w:tcPr>
          <w:p>
            <w:pPr>
              <w:spacing w:line="276" w:lineRule="auto"/>
              <w:jc w:val="center"/>
              <w:rPr>
                <w:rFonts w:eastAsiaTheme="minorHAnsi" w:cs="Times New Roman"/>
                <w:sz w:val="22"/>
                <w:szCs w:val="22"/>
              </w:rPr>
            </w:pPr>
          </w:p>
        </w:tc>
        <w:tc>
          <w:tcPr>
            <w:tcW w:w="1507" w:type="dxa"/>
          </w:tcPr>
          <w:p>
            <w:pPr>
              <w:spacing w:line="276" w:lineRule="auto"/>
              <w:jc w:val="right"/>
              <w:rPr>
                <w:rFonts w:eastAsiaTheme="minorHAnsi" w:cs="Times New Roman"/>
                <w:sz w:val="22"/>
                <w:szCs w:val="22"/>
              </w:rPr>
            </w:pPr>
            <w:r>
              <w:rPr>
                <w:rFonts w:eastAsiaTheme="minorHAnsi" w:cs="Times New Roman"/>
                <w:sz w:val="22"/>
                <w:szCs w:val="22"/>
              </w:rPr>
              <w:t>-0.00-</w:t>
            </w:r>
          </w:p>
        </w:tc>
      </w:tr>
      <w:tr>
        <w:trPr>
          <w:jc w:val="center"/>
        </w:trPr>
        <w:tc>
          <w:tcPr>
            <w:tcW w:w="1291" w:type="dxa"/>
          </w:tcPr>
          <w:p>
            <w:pPr>
              <w:spacing w:line="276" w:lineRule="auto"/>
              <w:jc w:val="both"/>
              <w:rPr>
                <w:rFonts w:eastAsiaTheme="minorHAnsi" w:cs="Times New Roman"/>
                <w:sz w:val="22"/>
                <w:szCs w:val="22"/>
              </w:rPr>
            </w:pPr>
            <w:r>
              <w:rPr>
                <w:rFonts w:eastAsiaTheme="minorHAnsi" w:cs="Times New Roman"/>
                <w:sz w:val="22"/>
                <w:szCs w:val="22"/>
              </w:rPr>
              <w:t>Pfizer</w:t>
            </w:r>
          </w:p>
        </w:tc>
        <w:tc>
          <w:tcPr>
            <w:tcW w:w="1170" w:type="dxa"/>
          </w:tcPr>
          <w:p>
            <w:pPr>
              <w:spacing w:line="276" w:lineRule="auto"/>
              <w:jc w:val="center"/>
              <w:rPr>
                <w:rFonts w:eastAsiaTheme="minorHAnsi" w:cs="Times New Roman"/>
                <w:sz w:val="22"/>
                <w:szCs w:val="22"/>
              </w:rPr>
            </w:pPr>
            <w:r>
              <w:rPr>
                <w:rFonts w:eastAsiaTheme="minorHAnsi" w:cs="Times New Roman"/>
                <w:sz w:val="22"/>
                <w:szCs w:val="22"/>
              </w:rPr>
              <w:t>193</w:t>
            </w:r>
          </w:p>
        </w:tc>
        <w:tc>
          <w:tcPr>
            <w:tcW w:w="1071" w:type="dxa"/>
          </w:tcPr>
          <w:p>
            <w:pPr>
              <w:spacing w:line="276" w:lineRule="auto"/>
              <w:jc w:val="center"/>
              <w:rPr>
                <w:rFonts w:eastAsiaTheme="minorHAnsi" w:cs="Times New Roman"/>
                <w:sz w:val="22"/>
                <w:szCs w:val="22"/>
              </w:rPr>
            </w:pPr>
            <w:r>
              <w:rPr>
                <w:rFonts w:eastAsiaTheme="minorHAnsi" w:cs="Times New Roman"/>
                <w:sz w:val="22"/>
                <w:szCs w:val="22"/>
              </w:rPr>
              <w:t>9,889</w:t>
            </w:r>
          </w:p>
        </w:tc>
        <w:tc>
          <w:tcPr>
            <w:tcW w:w="821" w:type="dxa"/>
          </w:tcPr>
          <w:p>
            <w:pPr>
              <w:spacing w:line="276" w:lineRule="auto"/>
              <w:jc w:val="center"/>
              <w:rPr>
                <w:rFonts w:eastAsiaTheme="minorHAnsi" w:cs="Times New Roman"/>
                <w:sz w:val="22"/>
                <w:szCs w:val="22"/>
              </w:rPr>
            </w:pPr>
            <w:r>
              <w:rPr>
                <w:rFonts w:eastAsiaTheme="minorHAnsi" w:cs="Times New Roman"/>
                <w:sz w:val="22"/>
                <w:szCs w:val="22"/>
              </w:rPr>
              <w:t>9,150</w:t>
            </w:r>
          </w:p>
        </w:tc>
        <w:tc>
          <w:tcPr>
            <w:tcW w:w="1023" w:type="dxa"/>
          </w:tcPr>
          <w:p>
            <w:pPr>
              <w:spacing w:line="276" w:lineRule="auto"/>
              <w:jc w:val="center"/>
              <w:rPr>
                <w:rFonts w:eastAsiaTheme="minorHAnsi" w:cs="Times New Roman"/>
                <w:sz w:val="22"/>
                <w:szCs w:val="22"/>
              </w:rPr>
            </w:pPr>
            <w:r>
              <w:rPr>
                <w:rFonts w:eastAsiaTheme="minorHAnsi" w:cs="Times New Roman"/>
                <w:sz w:val="22"/>
                <w:szCs w:val="22"/>
              </w:rPr>
              <w:t>806</w:t>
            </w:r>
          </w:p>
        </w:tc>
        <w:tc>
          <w:tcPr>
            <w:tcW w:w="962" w:type="dxa"/>
          </w:tcPr>
          <w:p>
            <w:pPr>
              <w:spacing w:line="276" w:lineRule="auto"/>
              <w:jc w:val="center"/>
              <w:rPr>
                <w:rFonts w:eastAsiaTheme="minorHAnsi" w:cs="Times New Roman"/>
                <w:sz w:val="22"/>
                <w:szCs w:val="22"/>
              </w:rPr>
            </w:pPr>
            <w:r>
              <w:rPr>
                <w:rFonts w:eastAsiaTheme="minorHAnsi" w:cs="Times New Roman"/>
                <w:sz w:val="22"/>
                <w:szCs w:val="22"/>
              </w:rPr>
              <w:t>126</w:t>
            </w:r>
          </w:p>
        </w:tc>
        <w:tc>
          <w:tcPr>
            <w:tcW w:w="986" w:type="dxa"/>
          </w:tcPr>
          <w:p>
            <w:pPr>
              <w:spacing w:line="276" w:lineRule="auto"/>
              <w:jc w:val="center"/>
              <w:rPr>
                <w:rFonts w:eastAsiaTheme="minorHAnsi" w:cs="Times New Roman"/>
                <w:sz w:val="22"/>
                <w:szCs w:val="22"/>
              </w:rPr>
            </w:pPr>
            <w:r>
              <w:rPr>
                <w:rFonts w:eastAsiaTheme="minorHAnsi" w:cs="Times New Roman"/>
                <w:sz w:val="22"/>
                <w:szCs w:val="22"/>
              </w:rPr>
              <w:t>2,082.47</w:t>
            </w:r>
          </w:p>
        </w:tc>
        <w:tc>
          <w:tcPr>
            <w:tcW w:w="1507" w:type="dxa"/>
          </w:tcPr>
          <w:p>
            <w:pPr>
              <w:spacing w:line="276" w:lineRule="auto"/>
              <w:jc w:val="right"/>
              <w:rPr>
                <w:rFonts w:eastAsiaTheme="minorHAnsi" w:cs="Times New Roman"/>
                <w:sz w:val="22"/>
                <w:szCs w:val="22"/>
              </w:rPr>
            </w:pPr>
            <w:r>
              <w:rPr>
                <w:rFonts w:eastAsiaTheme="minorHAnsi" w:cs="Times New Roman"/>
                <w:sz w:val="22"/>
                <w:szCs w:val="22"/>
              </w:rPr>
              <w:t>262,391.22</w:t>
            </w:r>
          </w:p>
        </w:tc>
      </w:tr>
      <w:tr>
        <w:trPr>
          <w:jc w:val="center"/>
        </w:trPr>
        <w:tc>
          <w:tcPr>
            <w:tcW w:w="1291" w:type="dxa"/>
          </w:tcPr>
          <w:p>
            <w:pPr>
              <w:spacing w:line="276" w:lineRule="auto"/>
              <w:jc w:val="both"/>
              <w:rPr>
                <w:rFonts w:eastAsiaTheme="minorHAnsi" w:cs="Times New Roman"/>
                <w:sz w:val="22"/>
                <w:szCs w:val="22"/>
              </w:rPr>
            </w:pPr>
            <w:proofErr w:type="spellStart"/>
            <w:r>
              <w:rPr>
                <w:rFonts w:eastAsiaTheme="minorHAnsi" w:cs="Times New Roman"/>
                <w:sz w:val="22"/>
                <w:szCs w:val="22"/>
              </w:rPr>
              <w:t>Astrazeneca</w:t>
            </w:r>
            <w:proofErr w:type="spellEnd"/>
          </w:p>
        </w:tc>
        <w:tc>
          <w:tcPr>
            <w:tcW w:w="1170" w:type="dxa"/>
          </w:tcPr>
          <w:p>
            <w:pPr>
              <w:spacing w:line="276" w:lineRule="auto"/>
              <w:jc w:val="center"/>
              <w:rPr>
                <w:rFonts w:eastAsiaTheme="minorHAnsi" w:cs="Times New Roman"/>
                <w:sz w:val="22"/>
                <w:szCs w:val="22"/>
              </w:rPr>
            </w:pPr>
            <w:r>
              <w:rPr>
                <w:rFonts w:eastAsiaTheme="minorHAnsi" w:cs="Times New Roman"/>
                <w:sz w:val="22"/>
                <w:szCs w:val="22"/>
              </w:rPr>
              <w:t>88</w:t>
            </w:r>
          </w:p>
        </w:tc>
        <w:tc>
          <w:tcPr>
            <w:tcW w:w="1071" w:type="dxa"/>
          </w:tcPr>
          <w:p>
            <w:pPr>
              <w:spacing w:line="276" w:lineRule="auto"/>
              <w:jc w:val="center"/>
              <w:rPr>
                <w:rFonts w:eastAsiaTheme="minorHAnsi" w:cs="Times New Roman"/>
                <w:sz w:val="22"/>
                <w:szCs w:val="22"/>
              </w:rPr>
            </w:pPr>
            <w:r>
              <w:rPr>
                <w:rFonts w:eastAsiaTheme="minorHAnsi" w:cs="Times New Roman"/>
                <w:sz w:val="22"/>
                <w:szCs w:val="22"/>
              </w:rPr>
              <w:t>1,763</w:t>
            </w:r>
          </w:p>
        </w:tc>
        <w:tc>
          <w:tcPr>
            <w:tcW w:w="821" w:type="dxa"/>
          </w:tcPr>
          <w:p>
            <w:pPr>
              <w:spacing w:line="276" w:lineRule="auto"/>
              <w:jc w:val="center"/>
              <w:rPr>
                <w:rFonts w:eastAsiaTheme="minorHAnsi" w:cs="Times New Roman"/>
                <w:sz w:val="22"/>
                <w:szCs w:val="22"/>
              </w:rPr>
            </w:pPr>
            <w:r>
              <w:rPr>
                <w:rFonts w:eastAsiaTheme="minorHAnsi" w:cs="Times New Roman"/>
                <w:sz w:val="22"/>
                <w:szCs w:val="22"/>
              </w:rPr>
              <w:t>1,843</w:t>
            </w:r>
          </w:p>
        </w:tc>
        <w:tc>
          <w:tcPr>
            <w:tcW w:w="1023" w:type="dxa"/>
          </w:tcPr>
          <w:p>
            <w:pPr>
              <w:spacing w:line="276" w:lineRule="auto"/>
              <w:jc w:val="center"/>
              <w:rPr>
                <w:rFonts w:eastAsiaTheme="minorHAnsi" w:cs="Times New Roman"/>
                <w:sz w:val="22"/>
                <w:szCs w:val="22"/>
              </w:rPr>
            </w:pPr>
            <w:r>
              <w:rPr>
                <w:rFonts w:eastAsiaTheme="minorHAnsi" w:cs="Times New Roman"/>
                <w:sz w:val="22"/>
                <w:szCs w:val="22"/>
              </w:rPr>
              <w:t>8</w:t>
            </w:r>
          </w:p>
        </w:tc>
        <w:tc>
          <w:tcPr>
            <w:tcW w:w="962" w:type="dxa"/>
          </w:tcPr>
          <w:p>
            <w:pPr>
              <w:spacing w:line="276" w:lineRule="auto"/>
              <w:jc w:val="center"/>
              <w:rPr>
                <w:rFonts w:eastAsiaTheme="minorHAnsi" w:cs="Times New Roman"/>
                <w:sz w:val="22"/>
                <w:szCs w:val="22"/>
              </w:rPr>
            </w:pPr>
            <w:r>
              <w:rPr>
                <w:rFonts w:eastAsiaTheme="minorHAnsi" w:cs="Times New Roman"/>
                <w:sz w:val="22"/>
                <w:szCs w:val="22"/>
              </w:rPr>
              <w:t>-0-</w:t>
            </w:r>
          </w:p>
        </w:tc>
        <w:tc>
          <w:tcPr>
            <w:tcW w:w="986" w:type="dxa"/>
          </w:tcPr>
          <w:p>
            <w:pPr>
              <w:spacing w:line="276" w:lineRule="auto"/>
              <w:jc w:val="both"/>
              <w:rPr>
                <w:rFonts w:eastAsiaTheme="minorHAnsi" w:cs="Times New Roman"/>
                <w:sz w:val="22"/>
                <w:szCs w:val="22"/>
              </w:rPr>
            </w:pPr>
          </w:p>
        </w:tc>
        <w:tc>
          <w:tcPr>
            <w:tcW w:w="1507" w:type="dxa"/>
          </w:tcPr>
          <w:p>
            <w:pPr>
              <w:spacing w:line="276" w:lineRule="auto"/>
              <w:jc w:val="right"/>
              <w:rPr>
                <w:rFonts w:eastAsiaTheme="minorHAnsi" w:cs="Times New Roman"/>
                <w:sz w:val="22"/>
                <w:szCs w:val="22"/>
              </w:rPr>
            </w:pPr>
            <w:r>
              <w:rPr>
                <w:rFonts w:eastAsiaTheme="minorHAnsi" w:cs="Times New Roman"/>
                <w:sz w:val="22"/>
                <w:szCs w:val="22"/>
              </w:rPr>
              <w:t>-0.00-</w:t>
            </w:r>
          </w:p>
        </w:tc>
      </w:tr>
      <w:tr>
        <w:trPr>
          <w:jc w:val="center"/>
        </w:trPr>
        <w:tc>
          <w:tcPr>
            <w:tcW w:w="1291" w:type="dxa"/>
          </w:tcPr>
          <w:p>
            <w:pPr>
              <w:spacing w:line="276" w:lineRule="auto"/>
              <w:jc w:val="both"/>
              <w:rPr>
                <w:rFonts w:eastAsiaTheme="minorHAnsi" w:cs="Times New Roman"/>
                <w:sz w:val="22"/>
                <w:szCs w:val="22"/>
              </w:rPr>
            </w:pPr>
            <w:r>
              <w:rPr>
                <w:rFonts w:eastAsiaTheme="minorHAnsi" w:cs="Times New Roman"/>
                <w:sz w:val="22"/>
                <w:szCs w:val="22"/>
              </w:rPr>
              <w:t>Moderna</w:t>
            </w:r>
          </w:p>
        </w:tc>
        <w:tc>
          <w:tcPr>
            <w:tcW w:w="1170" w:type="dxa"/>
          </w:tcPr>
          <w:p>
            <w:pPr>
              <w:spacing w:line="276" w:lineRule="auto"/>
              <w:jc w:val="center"/>
              <w:rPr>
                <w:rFonts w:eastAsiaTheme="minorHAnsi" w:cs="Times New Roman"/>
                <w:sz w:val="22"/>
                <w:szCs w:val="22"/>
              </w:rPr>
            </w:pPr>
            <w:r>
              <w:rPr>
                <w:rFonts w:eastAsiaTheme="minorHAnsi" w:cs="Times New Roman"/>
                <w:sz w:val="22"/>
                <w:szCs w:val="22"/>
              </w:rPr>
              <w:t>6</w:t>
            </w:r>
          </w:p>
        </w:tc>
        <w:tc>
          <w:tcPr>
            <w:tcW w:w="1071" w:type="dxa"/>
          </w:tcPr>
          <w:p>
            <w:pPr>
              <w:spacing w:line="276" w:lineRule="auto"/>
              <w:jc w:val="center"/>
              <w:rPr>
                <w:rFonts w:eastAsiaTheme="minorHAnsi" w:cs="Times New Roman"/>
                <w:sz w:val="22"/>
                <w:szCs w:val="22"/>
              </w:rPr>
            </w:pPr>
            <w:r>
              <w:rPr>
                <w:rFonts w:eastAsiaTheme="minorHAnsi" w:cs="Times New Roman"/>
                <w:sz w:val="22"/>
                <w:szCs w:val="22"/>
              </w:rPr>
              <w:t>1,204</w:t>
            </w:r>
          </w:p>
        </w:tc>
        <w:tc>
          <w:tcPr>
            <w:tcW w:w="821" w:type="dxa"/>
          </w:tcPr>
          <w:p>
            <w:pPr>
              <w:spacing w:line="276" w:lineRule="auto"/>
              <w:jc w:val="center"/>
              <w:rPr>
                <w:rFonts w:eastAsiaTheme="minorHAnsi" w:cs="Times New Roman"/>
                <w:sz w:val="22"/>
                <w:szCs w:val="22"/>
              </w:rPr>
            </w:pPr>
            <w:r>
              <w:rPr>
                <w:rFonts w:eastAsiaTheme="minorHAnsi" w:cs="Times New Roman"/>
                <w:sz w:val="22"/>
                <w:szCs w:val="22"/>
              </w:rPr>
              <w:t>1,205</w:t>
            </w:r>
          </w:p>
        </w:tc>
        <w:tc>
          <w:tcPr>
            <w:tcW w:w="1023" w:type="dxa"/>
          </w:tcPr>
          <w:p>
            <w:pPr>
              <w:spacing w:line="276" w:lineRule="auto"/>
              <w:jc w:val="center"/>
              <w:rPr>
                <w:rFonts w:eastAsiaTheme="minorHAnsi" w:cs="Times New Roman"/>
                <w:sz w:val="22"/>
                <w:szCs w:val="22"/>
              </w:rPr>
            </w:pPr>
            <w:r>
              <w:rPr>
                <w:rFonts w:eastAsiaTheme="minorHAnsi" w:cs="Times New Roman"/>
                <w:sz w:val="22"/>
                <w:szCs w:val="22"/>
              </w:rPr>
              <w:t>5</w:t>
            </w:r>
          </w:p>
        </w:tc>
        <w:tc>
          <w:tcPr>
            <w:tcW w:w="962" w:type="dxa"/>
          </w:tcPr>
          <w:p>
            <w:pPr>
              <w:spacing w:line="276" w:lineRule="auto"/>
              <w:jc w:val="center"/>
              <w:rPr>
                <w:rFonts w:eastAsiaTheme="minorHAnsi" w:cs="Times New Roman"/>
                <w:sz w:val="22"/>
                <w:szCs w:val="22"/>
              </w:rPr>
            </w:pPr>
            <w:r>
              <w:rPr>
                <w:rFonts w:eastAsiaTheme="minorHAnsi" w:cs="Times New Roman"/>
                <w:sz w:val="22"/>
                <w:szCs w:val="22"/>
              </w:rPr>
              <w:t>-0-</w:t>
            </w:r>
          </w:p>
        </w:tc>
        <w:tc>
          <w:tcPr>
            <w:tcW w:w="986" w:type="dxa"/>
          </w:tcPr>
          <w:p>
            <w:pPr>
              <w:spacing w:line="276" w:lineRule="auto"/>
              <w:jc w:val="both"/>
              <w:rPr>
                <w:rFonts w:eastAsiaTheme="minorHAnsi" w:cs="Times New Roman"/>
                <w:sz w:val="22"/>
                <w:szCs w:val="22"/>
              </w:rPr>
            </w:pPr>
          </w:p>
        </w:tc>
        <w:tc>
          <w:tcPr>
            <w:tcW w:w="1507" w:type="dxa"/>
          </w:tcPr>
          <w:p>
            <w:pPr>
              <w:spacing w:line="276" w:lineRule="auto"/>
              <w:jc w:val="right"/>
              <w:rPr>
                <w:rFonts w:eastAsiaTheme="minorHAnsi" w:cs="Times New Roman"/>
                <w:sz w:val="22"/>
                <w:szCs w:val="22"/>
              </w:rPr>
            </w:pPr>
            <w:r>
              <w:rPr>
                <w:rFonts w:eastAsiaTheme="minorHAnsi" w:cs="Times New Roman"/>
                <w:sz w:val="22"/>
                <w:szCs w:val="22"/>
              </w:rPr>
              <w:t>-0.00-</w:t>
            </w:r>
          </w:p>
        </w:tc>
      </w:tr>
      <w:tr>
        <w:trPr>
          <w:jc w:val="center"/>
        </w:trPr>
        <w:tc>
          <w:tcPr>
            <w:tcW w:w="1291" w:type="dxa"/>
          </w:tcPr>
          <w:p>
            <w:pPr>
              <w:spacing w:line="276" w:lineRule="auto"/>
              <w:jc w:val="both"/>
              <w:rPr>
                <w:rFonts w:eastAsiaTheme="minorHAnsi" w:cs="Times New Roman"/>
                <w:sz w:val="22"/>
                <w:szCs w:val="22"/>
              </w:rPr>
            </w:pPr>
            <w:r>
              <w:rPr>
                <w:rFonts w:eastAsiaTheme="minorHAnsi" w:cs="Times New Roman"/>
                <w:sz w:val="22"/>
                <w:szCs w:val="22"/>
              </w:rPr>
              <w:t>Sinopharm</w:t>
            </w:r>
          </w:p>
        </w:tc>
        <w:tc>
          <w:tcPr>
            <w:tcW w:w="1170" w:type="dxa"/>
          </w:tcPr>
          <w:p>
            <w:pPr>
              <w:spacing w:line="276" w:lineRule="auto"/>
              <w:jc w:val="center"/>
              <w:rPr>
                <w:rFonts w:eastAsiaTheme="minorHAnsi" w:cs="Times New Roman"/>
                <w:sz w:val="22"/>
                <w:szCs w:val="22"/>
              </w:rPr>
            </w:pPr>
            <w:r>
              <w:rPr>
                <w:rFonts w:eastAsiaTheme="minorHAnsi" w:cs="Times New Roman"/>
                <w:sz w:val="22"/>
                <w:szCs w:val="22"/>
              </w:rPr>
              <w:t>-0-</w:t>
            </w:r>
          </w:p>
        </w:tc>
        <w:tc>
          <w:tcPr>
            <w:tcW w:w="1071" w:type="dxa"/>
          </w:tcPr>
          <w:p>
            <w:pPr>
              <w:spacing w:line="276" w:lineRule="auto"/>
              <w:jc w:val="center"/>
              <w:rPr>
                <w:rFonts w:eastAsiaTheme="minorHAnsi" w:cs="Times New Roman"/>
                <w:sz w:val="22"/>
                <w:szCs w:val="22"/>
              </w:rPr>
            </w:pPr>
            <w:r>
              <w:rPr>
                <w:rFonts w:eastAsiaTheme="minorHAnsi" w:cs="Times New Roman"/>
                <w:sz w:val="22"/>
                <w:szCs w:val="22"/>
              </w:rPr>
              <w:t>160</w:t>
            </w:r>
          </w:p>
        </w:tc>
        <w:tc>
          <w:tcPr>
            <w:tcW w:w="821" w:type="dxa"/>
          </w:tcPr>
          <w:p>
            <w:pPr>
              <w:spacing w:line="276" w:lineRule="auto"/>
              <w:jc w:val="center"/>
              <w:rPr>
                <w:rFonts w:eastAsiaTheme="minorHAnsi" w:cs="Times New Roman"/>
                <w:sz w:val="22"/>
                <w:szCs w:val="22"/>
              </w:rPr>
            </w:pPr>
            <w:r>
              <w:rPr>
                <w:rFonts w:eastAsiaTheme="minorHAnsi" w:cs="Times New Roman"/>
                <w:sz w:val="22"/>
                <w:szCs w:val="22"/>
              </w:rPr>
              <w:t>148</w:t>
            </w:r>
          </w:p>
        </w:tc>
        <w:tc>
          <w:tcPr>
            <w:tcW w:w="1023" w:type="dxa"/>
          </w:tcPr>
          <w:p>
            <w:pPr>
              <w:spacing w:line="276" w:lineRule="auto"/>
              <w:jc w:val="center"/>
              <w:rPr>
                <w:rFonts w:eastAsiaTheme="minorHAnsi" w:cs="Times New Roman"/>
                <w:sz w:val="22"/>
                <w:szCs w:val="22"/>
              </w:rPr>
            </w:pPr>
            <w:r>
              <w:rPr>
                <w:rFonts w:eastAsiaTheme="minorHAnsi" w:cs="Times New Roman"/>
                <w:sz w:val="22"/>
                <w:szCs w:val="22"/>
              </w:rPr>
              <w:t>12</w:t>
            </w:r>
          </w:p>
        </w:tc>
        <w:tc>
          <w:tcPr>
            <w:tcW w:w="962" w:type="dxa"/>
          </w:tcPr>
          <w:p>
            <w:pPr>
              <w:spacing w:line="276" w:lineRule="auto"/>
              <w:jc w:val="center"/>
              <w:rPr>
                <w:rFonts w:eastAsiaTheme="minorHAnsi" w:cs="Times New Roman"/>
                <w:sz w:val="22"/>
                <w:szCs w:val="22"/>
              </w:rPr>
            </w:pPr>
            <w:r>
              <w:rPr>
                <w:rFonts w:eastAsiaTheme="minorHAnsi" w:cs="Times New Roman"/>
                <w:sz w:val="22"/>
                <w:szCs w:val="22"/>
              </w:rPr>
              <w:t>-0-</w:t>
            </w:r>
          </w:p>
        </w:tc>
        <w:tc>
          <w:tcPr>
            <w:tcW w:w="986" w:type="dxa"/>
          </w:tcPr>
          <w:p>
            <w:pPr>
              <w:spacing w:line="276" w:lineRule="auto"/>
              <w:jc w:val="both"/>
              <w:rPr>
                <w:rFonts w:eastAsiaTheme="minorHAnsi" w:cs="Times New Roman"/>
                <w:sz w:val="22"/>
                <w:szCs w:val="22"/>
              </w:rPr>
            </w:pPr>
          </w:p>
        </w:tc>
        <w:tc>
          <w:tcPr>
            <w:tcW w:w="1507" w:type="dxa"/>
          </w:tcPr>
          <w:p>
            <w:pPr>
              <w:spacing w:line="276" w:lineRule="auto"/>
              <w:jc w:val="right"/>
              <w:rPr>
                <w:rFonts w:eastAsiaTheme="minorHAnsi" w:cs="Times New Roman"/>
                <w:sz w:val="22"/>
                <w:szCs w:val="22"/>
              </w:rPr>
            </w:pPr>
            <w:r>
              <w:rPr>
                <w:rFonts w:eastAsiaTheme="minorHAnsi" w:cs="Times New Roman"/>
                <w:sz w:val="22"/>
                <w:szCs w:val="22"/>
              </w:rPr>
              <w:t>-0.00-</w:t>
            </w:r>
          </w:p>
        </w:tc>
      </w:tr>
      <w:tr>
        <w:trPr>
          <w:jc w:val="center"/>
        </w:trPr>
        <w:tc>
          <w:tcPr>
            <w:tcW w:w="1291" w:type="dxa"/>
          </w:tcPr>
          <w:p>
            <w:pPr>
              <w:spacing w:line="276" w:lineRule="auto"/>
              <w:jc w:val="both"/>
              <w:rPr>
                <w:rFonts w:eastAsiaTheme="minorHAnsi" w:cs="Times New Roman"/>
                <w:b/>
                <w:sz w:val="22"/>
                <w:szCs w:val="22"/>
              </w:rPr>
            </w:pPr>
            <w:r>
              <w:rPr>
                <w:rFonts w:eastAsiaTheme="minorHAnsi" w:cs="Times New Roman"/>
                <w:b/>
                <w:sz w:val="22"/>
                <w:szCs w:val="22"/>
              </w:rPr>
              <w:t>TOTAL</w:t>
            </w:r>
          </w:p>
        </w:tc>
        <w:tc>
          <w:tcPr>
            <w:tcW w:w="1170" w:type="dxa"/>
          </w:tcPr>
          <w:p>
            <w:pPr>
              <w:spacing w:line="276" w:lineRule="auto"/>
              <w:jc w:val="center"/>
              <w:rPr>
                <w:rFonts w:eastAsiaTheme="minorHAnsi" w:cs="Times New Roman"/>
                <w:b/>
                <w:sz w:val="22"/>
                <w:szCs w:val="22"/>
              </w:rPr>
            </w:pPr>
            <w:r>
              <w:rPr>
                <w:rFonts w:eastAsiaTheme="minorHAnsi" w:cs="Times New Roman"/>
                <w:b/>
                <w:sz w:val="22"/>
                <w:szCs w:val="22"/>
              </w:rPr>
              <w:t>7,831</w:t>
            </w:r>
          </w:p>
        </w:tc>
        <w:tc>
          <w:tcPr>
            <w:tcW w:w="1071" w:type="dxa"/>
          </w:tcPr>
          <w:p>
            <w:pPr>
              <w:spacing w:line="276" w:lineRule="auto"/>
              <w:jc w:val="center"/>
              <w:rPr>
                <w:rFonts w:eastAsiaTheme="minorHAnsi" w:cs="Times New Roman"/>
                <w:b/>
                <w:sz w:val="22"/>
                <w:szCs w:val="22"/>
              </w:rPr>
            </w:pPr>
            <w:r>
              <w:rPr>
                <w:rFonts w:eastAsiaTheme="minorHAnsi" w:cs="Times New Roman"/>
                <w:b/>
                <w:sz w:val="22"/>
                <w:szCs w:val="22"/>
              </w:rPr>
              <w:t>27,478</w:t>
            </w:r>
          </w:p>
        </w:tc>
        <w:tc>
          <w:tcPr>
            <w:tcW w:w="821" w:type="dxa"/>
          </w:tcPr>
          <w:p>
            <w:pPr>
              <w:spacing w:line="276" w:lineRule="auto"/>
              <w:jc w:val="center"/>
              <w:rPr>
                <w:rFonts w:eastAsiaTheme="minorHAnsi" w:cs="Times New Roman"/>
                <w:b/>
                <w:sz w:val="22"/>
                <w:szCs w:val="22"/>
              </w:rPr>
            </w:pPr>
            <w:r>
              <w:rPr>
                <w:rFonts w:eastAsiaTheme="minorHAnsi" w:cs="Times New Roman"/>
                <w:b/>
                <w:sz w:val="22"/>
                <w:szCs w:val="22"/>
              </w:rPr>
              <w:t>21,805</w:t>
            </w:r>
          </w:p>
        </w:tc>
        <w:tc>
          <w:tcPr>
            <w:tcW w:w="1023" w:type="dxa"/>
          </w:tcPr>
          <w:p>
            <w:pPr>
              <w:spacing w:line="276" w:lineRule="auto"/>
              <w:jc w:val="center"/>
              <w:rPr>
                <w:rFonts w:eastAsiaTheme="minorHAnsi" w:cs="Times New Roman"/>
                <w:b/>
                <w:sz w:val="22"/>
                <w:szCs w:val="22"/>
              </w:rPr>
            </w:pPr>
            <w:r>
              <w:rPr>
                <w:rFonts w:eastAsiaTheme="minorHAnsi" w:cs="Times New Roman"/>
                <w:b/>
                <w:sz w:val="22"/>
                <w:szCs w:val="22"/>
              </w:rPr>
              <w:t>5,503</w:t>
            </w:r>
          </w:p>
        </w:tc>
        <w:tc>
          <w:tcPr>
            <w:tcW w:w="962" w:type="dxa"/>
          </w:tcPr>
          <w:p>
            <w:pPr>
              <w:spacing w:line="276" w:lineRule="auto"/>
              <w:jc w:val="center"/>
              <w:rPr>
                <w:rFonts w:eastAsiaTheme="minorHAnsi" w:cs="Times New Roman"/>
                <w:b/>
                <w:sz w:val="22"/>
                <w:szCs w:val="22"/>
              </w:rPr>
            </w:pPr>
            <w:r>
              <w:rPr>
                <w:rFonts w:eastAsiaTheme="minorHAnsi" w:cs="Times New Roman"/>
                <w:b/>
                <w:sz w:val="22"/>
                <w:szCs w:val="22"/>
              </w:rPr>
              <w:t>8,001</w:t>
            </w:r>
          </w:p>
        </w:tc>
        <w:tc>
          <w:tcPr>
            <w:tcW w:w="986" w:type="dxa"/>
          </w:tcPr>
          <w:p>
            <w:pPr>
              <w:spacing w:line="276" w:lineRule="auto"/>
              <w:jc w:val="both"/>
              <w:rPr>
                <w:rFonts w:eastAsiaTheme="minorHAnsi" w:cs="Times New Roman"/>
                <w:sz w:val="22"/>
                <w:szCs w:val="22"/>
              </w:rPr>
            </w:pPr>
          </w:p>
        </w:tc>
        <w:tc>
          <w:tcPr>
            <w:tcW w:w="1507" w:type="dxa"/>
          </w:tcPr>
          <w:p>
            <w:pPr>
              <w:spacing w:line="276" w:lineRule="auto"/>
              <w:jc w:val="right"/>
              <w:rPr>
                <w:rFonts w:eastAsiaTheme="minorHAnsi" w:cs="Times New Roman"/>
                <w:b/>
                <w:sz w:val="22"/>
                <w:szCs w:val="22"/>
              </w:rPr>
            </w:pPr>
            <w:r>
              <w:rPr>
                <w:rFonts w:eastAsiaTheme="minorHAnsi" w:cs="Times New Roman"/>
                <w:b/>
                <w:sz w:val="22"/>
                <w:szCs w:val="22"/>
              </w:rPr>
              <w:t>P4,596,712.47</w:t>
            </w:r>
          </w:p>
        </w:tc>
      </w:tr>
    </w:tbl>
    <w:p>
      <w:pPr>
        <w:spacing w:line="276" w:lineRule="auto"/>
        <w:jc w:val="both"/>
        <w:rPr>
          <w:rFonts w:eastAsiaTheme="minorHAnsi"/>
          <w:lang w:val="en-PH"/>
        </w:rPr>
      </w:pPr>
    </w:p>
    <w:p>
      <w:pPr>
        <w:spacing w:line="276" w:lineRule="auto"/>
        <w:jc w:val="both"/>
        <w:rPr>
          <w:rFonts w:eastAsiaTheme="minorHAnsi"/>
          <w:lang w:val="en-PH"/>
        </w:rPr>
      </w:pPr>
      <w:r>
        <w:rPr>
          <w:rFonts w:eastAsiaTheme="minorHAnsi"/>
          <w:lang w:val="en-PH"/>
        </w:rPr>
        <w:t xml:space="preserve">The foregoing deficiencies could have been avoided if inventory management control procedures were fully in place. The CHO and CGSO upon receipt of vaccines should have forwarded the PTR and other supporting documents to CAO to record the donations received. Likewise, utilization reports and documents should also </w:t>
      </w:r>
      <w:proofErr w:type="gramStart"/>
      <w:r>
        <w:rPr>
          <w:rFonts w:eastAsiaTheme="minorHAnsi"/>
          <w:lang w:val="en-PH"/>
        </w:rPr>
        <w:t>been</w:t>
      </w:r>
      <w:proofErr w:type="gramEnd"/>
      <w:r>
        <w:rPr>
          <w:rFonts w:eastAsiaTheme="minorHAnsi"/>
          <w:lang w:val="en-PH"/>
        </w:rPr>
        <w:t xml:space="preserve"> regularly submitted to CAO for latter’s proper recording. The same audit observation has been noted in the CY2021 Annual Audit Report, however, the same condition was observed for this year thus this reiteration.</w:t>
      </w:r>
    </w:p>
    <w:p>
      <w:pPr>
        <w:spacing w:line="276" w:lineRule="auto"/>
        <w:jc w:val="both"/>
        <w:rPr>
          <w:rFonts w:eastAsiaTheme="minorHAnsi"/>
          <w:lang w:val="en-PH"/>
        </w:rPr>
      </w:pPr>
    </w:p>
    <w:p>
      <w:pPr>
        <w:spacing w:line="276" w:lineRule="auto"/>
        <w:jc w:val="both"/>
        <w:rPr>
          <w:rFonts w:eastAsiaTheme="minorHAnsi"/>
          <w:lang w:val="en-PH"/>
        </w:rPr>
      </w:pPr>
      <w:r>
        <w:rPr>
          <w:rFonts w:eastAsiaTheme="minorHAnsi"/>
          <w:lang w:val="en-PH"/>
        </w:rPr>
        <w:t xml:space="preserve">While the audit team recognized the valuable and intensified efforts of the City Government of </w:t>
      </w:r>
      <w:proofErr w:type="spellStart"/>
      <w:r>
        <w:rPr>
          <w:rFonts w:eastAsiaTheme="minorHAnsi"/>
          <w:lang w:val="en-PH"/>
        </w:rPr>
        <w:t>Panabo</w:t>
      </w:r>
      <w:proofErr w:type="spellEnd"/>
      <w:r>
        <w:rPr>
          <w:rFonts w:eastAsiaTheme="minorHAnsi"/>
          <w:lang w:val="en-PH"/>
        </w:rPr>
        <w:t xml:space="preserve"> in rendering immediate response for COVID-19 vaccine deployment and vaccination program to curb the transmission of the virus, it is reminded of the proper accounting treatment as well as compliance with the existing laws, rules and regulations in the receipt and issuance of COVID-19 vaccines.</w:t>
      </w:r>
    </w:p>
    <w:p>
      <w:pPr>
        <w:spacing w:line="276" w:lineRule="auto"/>
        <w:jc w:val="both"/>
        <w:rPr>
          <w:b/>
        </w:rPr>
      </w:pPr>
    </w:p>
    <w:p>
      <w:pPr>
        <w:spacing w:line="276" w:lineRule="auto"/>
        <w:jc w:val="both"/>
        <w:rPr>
          <w:b/>
        </w:rPr>
      </w:pPr>
    </w:p>
    <w:p>
      <w:pPr>
        <w:spacing w:line="276" w:lineRule="auto"/>
        <w:jc w:val="both"/>
        <w:rPr>
          <w:b/>
        </w:rPr>
      </w:pPr>
    </w:p>
    <w:p>
      <w:pPr>
        <w:spacing w:line="276" w:lineRule="auto"/>
        <w:jc w:val="both"/>
        <w:rPr>
          <w:b/>
        </w:rPr>
      </w:pPr>
    </w:p>
    <w:p>
      <w:pPr>
        <w:spacing w:line="276" w:lineRule="auto"/>
        <w:jc w:val="both"/>
        <w:rPr>
          <w:b/>
        </w:rPr>
      </w:pPr>
      <w:r>
        <w:rPr>
          <w:b/>
        </w:rPr>
        <w:lastRenderedPageBreak/>
        <w:t>Recommendations:</w:t>
      </w:r>
    </w:p>
    <w:p>
      <w:pPr>
        <w:spacing w:line="276" w:lineRule="auto"/>
        <w:jc w:val="both"/>
      </w:pPr>
    </w:p>
    <w:p>
      <w:pPr>
        <w:spacing w:line="276" w:lineRule="auto"/>
        <w:jc w:val="both"/>
        <w:rPr>
          <w:lang w:val="en-PH"/>
        </w:rPr>
      </w:pPr>
      <w:r>
        <w:rPr>
          <w:lang w:val="en-PH"/>
        </w:rPr>
        <w:t>We recommended the City Mayor to direct the City General Services Office and City Health Office to forward immediately the records and documents pertaining to the receipts and utilization of COVID-19 vaccines and other ancillary supplies acquired from ensuing donations to ensure proper recording and monitoring thereof.</w:t>
      </w:r>
    </w:p>
    <w:p>
      <w:pPr>
        <w:spacing w:line="276" w:lineRule="auto"/>
        <w:jc w:val="both"/>
        <w:rPr>
          <w:b/>
        </w:rPr>
      </w:pPr>
    </w:p>
    <w:p>
      <w:pPr>
        <w:spacing w:line="276" w:lineRule="auto"/>
        <w:ind w:right="162"/>
        <w:jc w:val="both"/>
        <w:rPr>
          <w:b/>
          <w:bCs/>
        </w:rPr>
      </w:pPr>
      <w:r>
        <w:rPr>
          <w:b/>
          <w:bCs/>
        </w:rPr>
        <w:t>Management’s Comments:</w:t>
      </w:r>
    </w:p>
    <w:p>
      <w:pPr>
        <w:spacing w:line="276" w:lineRule="auto"/>
        <w:ind w:right="162"/>
        <w:jc w:val="both"/>
      </w:pPr>
    </w:p>
    <w:p>
      <w:pPr>
        <w:spacing w:line="276" w:lineRule="auto"/>
        <w:jc w:val="both"/>
      </w:pPr>
      <w:r>
        <w:t xml:space="preserve">The management was amenable to the audit observations and recommendations. CAO explained that the non-recording of the receipt and utilization of the inventories was due to the non-submission of documentary requirements to their Office. The same audit observations </w:t>
      </w:r>
      <w:proofErr w:type="gramStart"/>
      <w:r>
        <w:t>was</w:t>
      </w:r>
      <w:proofErr w:type="gramEnd"/>
      <w:r>
        <w:t xml:space="preserve"> issued in CY 2021 that is why CAO properly informed and guided the CHO on the documentary requirements for the processing of donations of vaccines received by the City Government.</w:t>
      </w:r>
    </w:p>
    <w:p>
      <w:pPr>
        <w:spacing w:line="276" w:lineRule="auto"/>
        <w:jc w:val="both"/>
      </w:pPr>
    </w:p>
    <w:p>
      <w:pPr>
        <w:spacing w:line="276" w:lineRule="auto"/>
        <w:jc w:val="both"/>
      </w:pPr>
      <w:r>
        <w:t xml:space="preserve">CGSO, on the other hand, stated that the Property Transfer Report and other pertinent documents related to the COVID-19 vaccines were received by CHO. Furthermore, the vaccines were directly delivered to the CHO since their warehouse lack the standard cooling facility required for proper storage of the vaccines. The said facility is stationed at the </w:t>
      </w:r>
      <w:proofErr w:type="gramStart"/>
      <w:r>
        <w:t>CHO,</w:t>
      </w:r>
      <w:proofErr w:type="gramEnd"/>
      <w:r>
        <w:t xml:space="preserve"> hence, it was directly delivered to the latter for proper handling and storage. The CGSO further added the submission of PTRs and other documents was belatedly submitted to them; thus, they were not able to issue Summary of Supplies and Materials Issued (SSMI) which is the basis of CAO for proper recording in the books of accounts.</w:t>
      </w:r>
    </w:p>
    <w:p>
      <w:pPr>
        <w:spacing w:line="276" w:lineRule="auto"/>
        <w:jc w:val="both"/>
      </w:pPr>
    </w:p>
    <w:p>
      <w:pPr>
        <w:spacing w:line="276" w:lineRule="auto"/>
        <w:jc w:val="both"/>
      </w:pPr>
      <w:r>
        <w:t>As an immediate response to this audit observations, the CHO have submitted the relative supporting documents on the received vaccines to the accounting office. The CAO also informed that the ending balance of Drugs and Medicine Inventory account has been adjusted and reflected in the Financial Statements as at December 31, 2022.</w:t>
      </w:r>
    </w:p>
    <w:p>
      <w:pPr>
        <w:spacing w:line="276" w:lineRule="auto"/>
        <w:ind w:right="270"/>
        <w:jc w:val="both"/>
        <w:rPr>
          <w:i/>
        </w:rPr>
      </w:pPr>
    </w:p>
    <w:p>
      <w:pPr>
        <w:spacing w:line="276" w:lineRule="auto"/>
        <w:ind w:right="270"/>
        <w:jc w:val="both"/>
        <w:rPr>
          <w:i/>
        </w:rPr>
      </w:pPr>
    </w:p>
    <w:p>
      <w:pPr>
        <w:spacing w:line="276" w:lineRule="auto"/>
        <w:ind w:right="270"/>
        <w:jc w:val="both"/>
        <w:rPr>
          <w:b/>
          <w:bCs/>
          <w:i/>
          <w:sz w:val="22"/>
          <w:szCs w:val="22"/>
        </w:rPr>
      </w:pPr>
      <w:r>
        <w:rPr>
          <w:b/>
          <w:bCs/>
          <w:i/>
          <w:sz w:val="22"/>
          <w:szCs w:val="22"/>
        </w:rPr>
        <w:t xml:space="preserve">Fund Transfer – LGSF/SBDP/AC </w:t>
      </w:r>
    </w:p>
    <w:p>
      <w:pPr>
        <w:spacing w:line="276" w:lineRule="auto"/>
        <w:ind w:right="270"/>
        <w:rPr>
          <w:i/>
        </w:rPr>
      </w:pPr>
    </w:p>
    <w:p>
      <w:pPr>
        <w:pStyle w:val="ListParagraph"/>
        <w:numPr>
          <w:ilvl w:val="0"/>
          <w:numId w:val="22"/>
        </w:numPr>
        <w:spacing w:after="0"/>
        <w:ind w:left="0" w:firstLine="0"/>
        <w:jc w:val="both"/>
        <w:rPr>
          <w:rFonts w:ascii="Times New Roman" w:hAnsi="Times New Roman"/>
          <w:b/>
          <w:sz w:val="24"/>
          <w:szCs w:val="24"/>
        </w:rPr>
      </w:pPr>
      <w:r>
        <w:rPr>
          <w:rFonts w:ascii="Times New Roman" w:hAnsi="Times New Roman"/>
          <w:b/>
          <w:sz w:val="24"/>
          <w:szCs w:val="24"/>
        </w:rPr>
        <w:t>Insufficient documentation and various deficiencies were noted in the supporting documents for various infrastructure projects totaling P266,093,900.43 sourced from fund transfers under Local Government Support Fund (LGSF) Support to Barangay Development Program (SBDP) and Assistance to Cities (AC), thus creating doubts on the regularity of the transactions.</w:t>
      </w:r>
    </w:p>
    <w:p>
      <w:pPr>
        <w:autoSpaceDE w:val="0"/>
        <w:autoSpaceDN w:val="0"/>
        <w:adjustRightInd w:val="0"/>
        <w:spacing w:line="276" w:lineRule="auto"/>
        <w:jc w:val="both"/>
        <w:rPr>
          <w:rFonts w:eastAsia="Calibri"/>
          <w:b/>
          <w:lang w:val="en-PH"/>
        </w:rPr>
      </w:pPr>
    </w:p>
    <w:p>
      <w:pPr>
        <w:tabs>
          <w:tab w:val="left" w:pos="540"/>
        </w:tabs>
        <w:spacing w:line="276" w:lineRule="auto"/>
        <w:ind w:right="2"/>
        <w:jc w:val="both"/>
        <w:rPr>
          <w:i/>
          <w:color w:val="202124"/>
          <w:shd w:val="clear" w:color="auto" w:fill="FFFFFF"/>
        </w:rPr>
      </w:pPr>
      <w:r>
        <w:rPr>
          <w:color w:val="202124"/>
          <w:shd w:val="clear" w:color="auto" w:fill="FFFFFF"/>
        </w:rPr>
        <w:t>Section 4(6) of Presidential Decree (PD) No. 1445 otherwise known as the "Government Auditing Code of the Philippines" provides:</w:t>
      </w:r>
    </w:p>
    <w:p>
      <w:pPr>
        <w:tabs>
          <w:tab w:val="left" w:pos="7632"/>
        </w:tabs>
        <w:spacing w:line="276" w:lineRule="auto"/>
        <w:ind w:left="720" w:right="702" w:firstLine="14"/>
        <w:jc w:val="both"/>
        <w:rPr>
          <w:color w:val="202124"/>
          <w:shd w:val="clear" w:color="auto" w:fill="FFFFFF"/>
        </w:rPr>
      </w:pPr>
      <w:r>
        <w:rPr>
          <w:color w:val="202124"/>
          <w:shd w:val="clear" w:color="auto" w:fill="FFFFFF"/>
        </w:rPr>
        <w:lastRenderedPageBreak/>
        <w:t>Claims against government funds shall be supported with complete documentation.</w:t>
      </w:r>
    </w:p>
    <w:p>
      <w:pPr>
        <w:autoSpaceDE w:val="0"/>
        <w:autoSpaceDN w:val="0"/>
        <w:adjustRightInd w:val="0"/>
        <w:spacing w:line="276" w:lineRule="auto"/>
        <w:jc w:val="both"/>
        <w:rPr>
          <w:rFonts w:eastAsia="Calibri"/>
          <w:b/>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On the other hand, Republic Act No. 9184, otherwise known as “The Government Procurement Reform Act” was enacted to provide for the modernization, standardization and regulation of the procurement activities of the government. </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The government procurement law is governed by the principles of transparency, accountability, equity, efficiency and economy. In line with the government’s commitment to promote good governance and to ensure adherence to said principles, the 2016 Revised Implementing Rules and Regulations (IRR) of RA 9184 was, thus, promulgated.</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i/>
          <w:iCs/>
          <w:color w:val="000000"/>
        </w:rPr>
      </w:pPr>
      <w:r>
        <w:rPr>
          <w:rFonts w:eastAsia="Calibri"/>
          <w:bCs/>
          <w:color w:val="000000"/>
        </w:rPr>
        <w:t xml:space="preserve">In addition, Section 10 of the IRR emphasized that </w:t>
      </w:r>
      <w:r>
        <w:rPr>
          <w:rFonts w:eastAsia="Calibri"/>
          <w:bCs/>
          <w:i/>
          <w:iCs/>
          <w:color w:val="000000"/>
        </w:rPr>
        <w:t xml:space="preserve">“all procurement shall be done through public bidding” </w:t>
      </w:r>
      <w:r>
        <w:rPr>
          <w:rFonts w:eastAsia="Calibri"/>
          <w:bCs/>
          <w:color w:val="000000"/>
        </w:rPr>
        <w:t>and</w:t>
      </w:r>
      <w:r>
        <w:rPr>
          <w:rFonts w:eastAsia="Calibri"/>
          <w:bCs/>
          <w:i/>
          <w:iCs/>
          <w:color w:val="000000"/>
        </w:rPr>
        <w:t xml:space="preserve"> </w:t>
      </w:r>
      <w:r>
        <w:rPr>
          <w:rFonts w:eastAsia="Calibri"/>
          <w:bCs/>
          <w:color w:val="000000"/>
        </w:rPr>
        <w:t xml:space="preserve">Section 12.2 of the same IRR provides in part </w:t>
      </w:r>
      <w:r>
        <w:rPr>
          <w:rFonts w:eastAsia="Calibri"/>
          <w:bCs/>
          <w:i/>
          <w:iCs/>
          <w:color w:val="000000"/>
        </w:rPr>
        <w:t>“that the BAC shall be responsible for ensuring that the Procuring Entity abides by the standards set forth by the Act and this IRR.”</w:t>
      </w:r>
    </w:p>
    <w:p>
      <w:pPr>
        <w:autoSpaceDE w:val="0"/>
        <w:autoSpaceDN w:val="0"/>
        <w:adjustRightInd w:val="0"/>
        <w:spacing w:line="276" w:lineRule="auto"/>
        <w:jc w:val="both"/>
        <w:rPr>
          <w:rFonts w:eastAsia="Calibri"/>
          <w:bCs/>
          <w:color w:val="000000"/>
        </w:rPr>
      </w:pPr>
      <w:r>
        <w:rPr>
          <w:rFonts w:eastAsia="Calibri"/>
          <w:bCs/>
          <w:color w:val="000000"/>
        </w:rPr>
        <w:t xml:space="preserve">During CY 2021, the City Government of </w:t>
      </w:r>
      <w:proofErr w:type="spellStart"/>
      <w:r>
        <w:rPr>
          <w:rFonts w:eastAsia="Calibri"/>
          <w:bCs/>
          <w:color w:val="000000"/>
        </w:rPr>
        <w:t>Panabo</w:t>
      </w:r>
      <w:proofErr w:type="spellEnd"/>
      <w:r>
        <w:rPr>
          <w:rFonts w:eastAsia="Calibri"/>
          <w:bCs/>
          <w:color w:val="000000"/>
        </w:rPr>
        <w:t xml:space="preserve"> has been a recipient of fund transfers from Department of Budget and Management (DBM) for its Local Government Support Fund – Support to Barangay Development Program (LGSF-SBDP) of the National Task Force to End Local Communist Armed Conflict (NTF-ELCAC) and Local Government Support Fund – Assistance to Cities (LGSF-AC) program with the following breakdown:</w:t>
      </w:r>
    </w:p>
    <w:p>
      <w:pPr>
        <w:autoSpaceDE w:val="0"/>
        <w:autoSpaceDN w:val="0"/>
        <w:adjustRightInd w:val="0"/>
        <w:spacing w:line="276" w:lineRule="auto"/>
        <w:ind w:firstLine="720"/>
        <w:jc w:val="both"/>
        <w:rPr>
          <w:rFonts w:eastAsia="Calibri"/>
          <w:bCs/>
          <w:color w:val="000000"/>
        </w:rPr>
      </w:pPr>
    </w:p>
    <w:tbl>
      <w:tblPr>
        <w:tblStyle w:val="TableGrid33"/>
        <w:tblW w:w="0" w:type="auto"/>
        <w:tblInd w:w="1548" w:type="dxa"/>
        <w:tblBorders>
          <w:left w:val="none" w:sz="0" w:space="0" w:color="auto"/>
          <w:right w:val="none" w:sz="0" w:space="0" w:color="auto"/>
          <w:insideV w:val="none" w:sz="0" w:space="0" w:color="auto"/>
        </w:tblBorders>
        <w:tblLook w:val="04A0" w:firstRow="1" w:lastRow="0" w:firstColumn="1" w:lastColumn="0" w:noHBand="0" w:noVBand="1"/>
      </w:tblPr>
      <w:tblGrid>
        <w:gridCol w:w="3870"/>
        <w:gridCol w:w="1980"/>
      </w:tblGrid>
      <w:tr>
        <w:tc>
          <w:tcPr>
            <w:tcW w:w="3870" w:type="dxa"/>
            <w:tcBorders>
              <w:bottom w:val="single" w:sz="4" w:space="0" w:color="auto"/>
            </w:tcBorders>
          </w:tcPr>
          <w:p>
            <w:pPr>
              <w:autoSpaceDE w:val="0"/>
              <w:autoSpaceDN w:val="0"/>
              <w:adjustRightInd w:val="0"/>
              <w:spacing w:line="276" w:lineRule="auto"/>
              <w:jc w:val="center"/>
              <w:rPr>
                <w:rFonts w:eastAsia="Calibri"/>
                <w:b/>
                <w:color w:val="000000"/>
              </w:rPr>
            </w:pPr>
            <w:r>
              <w:rPr>
                <w:rFonts w:eastAsia="Calibri"/>
                <w:b/>
                <w:color w:val="000000"/>
              </w:rPr>
              <w:t>Fund Transfer</w:t>
            </w:r>
          </w:p>
        </w:tc>
        <w:tc>
          <w:tcPr>
            <w:tcW w:w="1980" w:type="dxa"/>
            <w:tcBorders>
              <w:bottom w:val="single" w:sz="4" w:space="0" w:color="auto"/>
            </w:tcBorders>
          </w:tcPr>
          <w:p>
            <w:pPr>
              <w:autoSpaceDE w:val="0"/>
              <w:autoSpaceDN w:val="0"/>
              <w:adjustRightInd w:val="0"/>
              <w:spacing w:line="276" w:lineRule="auto"/>
              <w:jc w:val="center"/>
              <w:rPr>
                <w:rFonts w:eastAsia="Calibri"/>
                <w:b/>
                <w:color w:val="000000"/>
              </w:rPr>
            </w:pPr>
            <w:r>
              <w:rPr>
                <w:rFonts w:eastAsia="Calibri"/>
                <w:b/>
                <w:color w:val="000000"/>
              </w:rPr>
              <w:t>Amount</w:t>
            </w:r>
          </w:p>
        </w:tc>
      </w:tr>
      <w:tr>
        <w:tc>
          <w:tcPr>
            <w:tcW w:w="3870" w:type="dxa"/>
            <w:tcBorders>
              <w:bottom w:val="nil"/>
            </w:tcBorders>
          </w:tcPr>
          <w:p>
            <w:pPr>
              <w:numPr>
                <w:ilvl w:val="0"/>
                <w:numId w:val="28"/>
              </w:numPr>
              <w:autoSpaceDE w:val="0"/>
              <w:autoSpaceDN w:val="0"/>
              <w:adjustRightInd w:val="0"/>
              <w:spacing w:line="276" w:lineRule="auto"/>
              <w:ind w:left="295"/>
              <w:jc w:val="both"/>
              <w:rPr>
                <w:rFonts w:eastAsia="Calibri"/>
                <w:bCs/>
                <w:color w:val="000000"/>
              </w:rPr>
            </w:pPr>
            <w:r>
              <w:rPr>
                <w:rFonts w:eastAsia="Calibri"/>
                <w:bCs/>
                <w:color w:val="000000"/>
              </w:rPr>
              <w:t>LGSF-SBDP (NTF-ELCAC)</w:t>
            </w:r>
          </w:p>
          <w:p>
            <w:pPr>
              <w:autoSpaceDE w:val="0"/>
              <w:autoSpaceDN w:val="0"/>
              <w:adjustRightInd w:val="0"/>
              <w:spacing w:line="276" w:lineRule="auto"/>
              <w:ind w:left="1866" w:hanging="1571"/>
              <w:jc w:val="both"/>
              <w:rPr>
                <w:rFonts w:eastAsia="Calibri"/>
                <w:bCs/>
                <w:i/>
                <w:iCs/>
                <w:color w:val="000000"/>
              </w:rPr>
            </w:pPr>
            <w:r>
              <w:rPr>
                <w:rFonts w:eastAsia="Calibri"/>
                <w:bCs/>
                <w:i/>
                <w:iCs/>
                <w:color w:val="000000"/>
              </w:rPr>
              <w:t xml:space="preserve">ADA No: ADA-2021-RO11-0018/ </w:t>
            </w:r>
          </w:p>
          <w:p>
            <w:pPr>
              <w:autoSpaceDE w:val="0"/>
              <w:autoSpaceDN w:val="0"/>
              <w:adjustRightInd w:val="0"/>
              <w:spacing w:line="276" w:lineRule="auto"/>
              <w:ind w:left="1866" w:hanging="1571"/>
              <w:jc w:val="both"/>
              <w:rPr>
                <w:rFonts w:eastAsia="Calibri"/>
                <w:bCs/>
                <w:color w:val="000000"/>
              </w:rPr>
            </w:pPr>
            <w:r>
              <w:rPr>
                <w:rFonts w:eastAsia="Calibri"/>
                <w:bCs/>
                <w:i/>
                <w:iCs/>
                <w:color w:val="000000"/>
              </w:rPr>
              <w:t>Date: 13 March 2021</w:t>
            </w:r>
          </w:p>
        </w:tc>
        <w:tc>
          <w:tcPr>
            <w:tcW w:w="1980" w:type="dxa"/>
            <w:tcBorders>
              <w:bottom w:val="nil"/>
            </w:tcBorders>
          </w:tcPr>
          <w:p>
            <w:pPr>
              <w:autoSpaceDE w:val="0"/>
              <w:autoSpaceDN w:val="0"/>
              <w:adjustRightInd w:val="0"/>
              <w:spacing w:line="276" w:lineRule="auto"/>
              <w:jc w:val="right"/>
              <w:rPr>
                <w:rFonts w:eastAsia="Calibri"/>
                <w:bCs/>
                <w:color w:val="000000"/>
              </w:rPr>
            </w:pPr>
            <w:r>
              <w:rPr>
                <w:rFonts w:eastAsia="Calibri"/>
                <w:bCs/>
                <w:color w:val="000000"/>
              </w:rPr>
              <w:t>400,000,000.00</w:t>
            </w:r>
          </w:p>
        </w:tc>
      </w:tr>
      <w:tr>
        <w:tc>
          <w:tcPr>
            <w:tcW w:w="3870" w:type="dxa"/>
            <w:tcBorders>
              <w:top w:val="nil"/>
            </w:tcBorders>
          </w:tcPr>
          <w:p>
            <w:pPr>
              <w:autoSpaceDE w:val="0"/>
              <w:autoSpaceDN w:val="0"/>
              <w:adjustRightInd w:val="0"/>
              <w:spacing w:line="276" w:lineRule="auto"/>
              <w:jc w:val="both"/>
              <w:rPr>
                <w:rFonts w:eastAsia="Calibri"/>
                <w:bCs/>
                <w:color w:val="000000"/>
              </w:rPr>
            </w:pPr>
          </w:p>
          <w:p>
            <w:pPr>
              <w:numPr>
                <w:ilvl w:val="0"/>
                <w:numId w:val="28"/>
              </w:numPr>
              <w:autoSpaceDE w:val="0"/>
              <w:autoSpaceDN w:val="0"/>
              <w:adjustRightInd w:val="0"/>
              <w:spacing w:line="276" w:lineRule="auto"/>
              <w:ind w:left="295"/>
              <w:jc w:val="both"/>
              <w:rPr>
                <w:rFonts w:eastAsia="Calibri"/>
                <w:bCs/>
                <w:color w:val="000000"/>
              </w:rPr>
            </w:pPr>
            <w:r>
              <w:rPr>
                <w:rFonts w:eastAsia="Calibri"/>
                <w:bCs/>
                <w:color w:val="000000"/>
              </w:rPr>
              <w:t>LGSF-AC</w:t>
            </w:r>
          </w:p>
          <w:p>
            <w:pPr>
              <w:autoSpaceDE w:val="0"/>
              <w:autoSpaceDN w:val="0"/>
              <w:adjustRightInd w:val="0"/>
              <w:spacing w:line="276" w:lineRule="auto"/>
              <w:ind w:left="1866" w:hanging="1571"/>
              <w:jc w:val="both"/>
              <w:rPr>
                <w:rFonts w:eastAsia="Calibri"/>
                <w:bCs/>
                <w:i/>
                <w:iCs/>
                <w:color w:val="000000"/>
              </w:rPr>
            </w:pPr>
            <w:r>
              <w:rPr>
                <w:rFonts w:eastAsia="Calibri"/>
                <w:bCs/>
                <w:i/>
                <w:iCs/>
                <w:color w:val="000000"/>
              </w:rPr>
              <w:t xml:space="preserve">ADA No: ADA-2020-RO11-0043/ </w:t>
            </w:r>
          </w:p>
          <w:p>
            <w:pPr>
              <w:autoSpaceDE w:val="0"/>
              <w:autoSpaceDN w:val="0"/>
              <w:adjustRightInd w:val="0"/>
              <w:spacing w:line="276" w:lineRule="auto"/>
              <w:ind w:left="1866" w:hanging="1571"/>
              <w:jc w:val="both"/>
              <w:rPr>
                <w:rFonts w:eastAsia="Calibri"/>
                <w:bCs/>
                <w:color w:val="000000"/>
              </w:rPr>
            </w:pPr>
            <w:r>
              <w:rPr>
                <w:rFonts w:eastAsia="Calibri"/>
                <w:bCs/>
                <w:i/>
                <w:iCs/>
                <w:color w:val="000000"/>
              </w:rPr>
              <w:t>Date: 19 July 2021</w:t>
            </w:r>
          </w:p>
        </w:tc>
        <w:tc>
          <w:tcPr>
            <w:tcW w:w="1980" w:type="dxa"/>
            <w:tcBorders>
              <w:top w:val="nil"/>
            </w:tcBorders>
          </w:tcPr>
          <w:p>
            <w:pPr>
              <w:autoSpaceDE w:val="0"/>
              <w:autoSpaceDN w:val="0"/>
              <w:adjustRightInd w:val="0"/>
              <w:spacing w:line="276" w:lineRule="auto"/>
              <w:jc w:val="right"/>
              <w:rPr>
                <w:rFonts w:eastAsia="Calibri"/>
                <w:bCs/>
                <w:color w:val="000000"/>
              </w:rPr>
            </w:pPr>
          </w:p>
          <w:p>
            <w:pPr>
              <w:autoSpaceDE w:val="0"/>
              <w:autoSpaceDN w:val="0"/>
              <w:adjustRightInd w:val="0"/>
              <w:spacing w:line="276" w:lineRule="auto"/>
              <w:jc w:val="right"/>
              <w:rPr>
                <w:rFonts w:eastAsia="Calibri"/>
                <w:bCs/>
                <w:color w:val="000000"/>
              </w:rPr>
            </w:pPr>
            <w:r>
              <w:rPr>
                <w:rFonts w:eastAsia="Calibri"/>
                <w:bCs/>
                <w:color w:val="000000"/>
              </w:rPr>
              <w:t>21,071,659.00</w:t>
            </w:r>
          </w:p>
        </w:tc>
      </w:tr>
      <w:tr>
        <w:tc>
          <w:tcPr>
            <w:tcW w:w="3870" w:type="dxa"/>
          </w:tcPr>
          <w:p>
            <w:pPr>
              <w:autoSpaceDE w:val="0"/>
              <w:autoSpaceDN w:val="0"/>
              <w:adjustRightInd w:val="0"/>
              <w:spacing w:line="276" w:lineRule="auto"/>
              <w:jc w:val="both"/>
              <w:rPr>
                <w:rFonts w:eastAsia="Calibri"/>
                <w:b/>
                <w:color w:val="000000"/>
              </w:rPr>
            </w:pPr>
            <w:r>
              <w:rPr>
                <w:rFonts w:eastAsia="Calibri"/>
                <w:b/>
                <w:color w:val="000000"/>
              </w:rPr>
              <w:t>TOTAL</w:t>
            </w:r>
          </w:p>
        </w:tc>
        <w:tc>
          <w:tcPr>
            <w:tcW w:w="1980" w:type="dxa"/>
          </w:tcPr>
          <w:p>
            <w:pPr>
              <w:autoSpaceDE w:val="0"/>
              <w:autoSpaceDN w:val="0"/>
              <w:adjustRightInd w:val="0"/>
              <w:spacing w:line="276" w:lineRule="auto"/>
              <w:jc w:val="right"/>
              <w:rPr>
                <w:rFonts w:eastAsia="Calibri"/>
                <w:b/>
                <w:color w:val="000000"/>
              </w:rPr>
            </w:pPr>
            <w:r>
              <w:rPr>
                <w:rFonts w:eastAsia="Calibri"/>
                <w:b/>
                <w:color w:val="000000"/>
              </w:rPr>
              <w:t>421,071,659.00</w:t>
            </w:r>
          </w:p>
        </w:tc>
      </w:tr>
    </w:tbl>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The funding from LGSF-SBDP is divided into 42 infrastructure projects in 20 different barangays within </w:t>
      </w:r>
      <w:proofErr w:type="spellStart"/>
      <w:r>
        <w:rPr>
          <w:rFonts w:eastAsia="Calibri"/>
          <w:bCs/>
          <w:color w:val="000000"/>
        </w:rPr>
        <w:t>Panabo</w:t>
      </w:r>
      <w:proofErr w:type="spellEnd"/>
      <w:r>
        <w:rPr>
          <w:rFonts w:eastAsia="Calibri"/>
          <w:bCs/>
          <w:color w:val="000000"/>
        </w:rPr>
        <w:t xml:space="preserve"> City. On the other hand, the LGSF-AC funding is for the construction of </w:t>
      </w:r>
      <w:proofErr w:type="spellStart"/>
      <w:r>
        <w:rPr>
          <w:rFonts w:eastAsia="Calibri"/>
          <w:bCs/>
          <w:color w:val="000000"/>
        </w:rPr>
        <w:t>Panabo</w:t>
      </w:r>
      <w:proofErr w:type="spellEnd"/>
      <w:r>
        <w:rPr>
          <w:rFonts w:eastAsia="Calibri"/>
          <w:bCs/>
          <w:color w:val="000000"/>
        </w:rPr>
        <w:t xml:space="preserve"> Mangrove Forest Park at Barangay J.P. Laurel.</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Verification of the submitted contracts and other bidding documents of 16 infrastructure projects with contract cost totaling P266,093,900.43 revealed various deficiencies due to deviations from certain provisions of Republic Act (RA) 9184 and its Implementing </w:t>
      </w:r>
      <w:r>
        <w:rPr>
          <w:rFonts w:eastAsia="Calibri"/>
          <w:bCs/>
          <w:color w:val="000000"/>
        </w:rPr>
        <w:lastRenderedPageBreak/>
        <w:t xml:space="preserve">Rules and Regulations. Table 11.1 presents the summary of the noted deficiencies vis-à-vis the particular provision of RA No. 9184 of which the deficiency is based. The detailed deficiencies per specific project are shown in </w:t>
      </w:r>
      <w:r>
        <w:rPr>
          <w:rFonts w:eastAsia="Calibri"/>
          <w:bCs/>
          <w:i/>
          <w:color w:val="000000"/>
        </w:rPr>
        <w:t>Annex P</w:t>
      </w:r>
      <w:r>
        <w:rPr>
          <w:rFonts w:eastAsia="Calibri"/>
          <w:bCs/>
          <w:color w:val="000000"/>
        </w:rPr>
        <w:t xml:space="preserve">. </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i/>
          <w:color w:val="000000"/>
        </w:rPr>
      </w:pPr>
      <w:r>
        <w:rPr>
          <w:rFonts w:eastAsia="Calibri"/>
          <w:bCs/>
          <w:i/>
          <w:color w:val="000000"/>
        </w:rPr>
        <w:t>Table 11.1. Summary of the deficiencies noted under Local Government Support Fund</w:t>
      </w:r>
    </w:p>
    <w:tbl>
      <w:tblPr>
        <w:tblStyle w:val="TableGrid33"/>
        <w:tblW w:w="8620" w:type="dxa"/>
        <w:jc w:val="center"/>
        <w:tblLook w:val="04A0" w:firstRow="1" w:lastRow="0" w:firstColumn="1" w:lastColumn="0" w:noHBand="0" w:noVBand="1"/>
      </w:tblPr>
      <w:tblGrid>
        <w:gridCol w:w="540"/>
        <w:gridCol w:w="6146"/>
        <w:gridCol w:w="1934"/>
      </w:tblGrid>
      <w:tr>
        <w:trPr>
          <w:cantSplit/>
          <w:trHeight w:val="20"/>
          <w:tblHeader/>
          <w:jc w:val="center"/>
        </w:trPr>
        <w:tc>
          <w:tcPr>
            <w:tcW w:w="445"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No.</w:t>
            </w:r>
          </w:p>
        </w:tc>
        <w:tc>
          <w:tcPr>
            <w:tcW w:w="6225"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Noted Deficiency</w:t>
            </w:r>
          </w:p>
        </w:tc>
        <w:tc>
          <w:tcPr>
            <w:tcW w:w="1950"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Specific Provision</w:t>
            </w:r>
          </w:p>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The Revised IRR of RA 9184</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The Approved Budget for the Contract (ABC) is dated earlier than the POW.</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Item 3(g) and (</w:t>
            </w:r>
            <w:proofErr w:type="spellStart"/>
            <w:r>
              <w:rPr>
                <w:rFonts w:eastAsia="Calibri"/>
                <w:bCs/>
                <w:i/>
                <w:iCs/>
                <w:color w:val="000000"/>
                <w:sz w:val="22"/>
                <w:szCs w:val="22"/>
              </w:rPr>
              <w:t>i</w:t>
            </w:r>
            <w:proofErr w:type="spellEnd"/>
            <w:r>
              <w:rPr>
                <w:rFonts w:eastAsia="Calibri"/>
                <w:bCs/>
                <w:i/>
                <w:iCs/>
                <w:color w:val="000000"/>
                <w:sz w:val="22"/>
                <w:szCs w:val="22"/>
              </w:rPr>
              <w:t>) of Annex A</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2</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 xml:space="preserve">In the pre-procurement conference, </w:t>
            </w:r>
          </w:p>
          <w:p>
            <w:pPr>
              <w:numPr>
                <w:ilvl w:val="0"/>
                <w:numId w:val="27"/>
              </w:num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the invitation to observers did not mention the name of the specific project</w:t>
            </w:r>
          </w:p>
          <w:p>
            <w:pPr>
              <w:numPr>
                <w:ilvl w:val="0"/>
                <w:numId w:val="27"/>
              </w:num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the project was not included in the prepared Minutes</w:t>
            </w:r>
          </w:p>
          <w:p>
            <w:pPr>
              <w:autoSpaceDE w:val="0"/>
              <w:autoSpaceDN w:val="0"/>
              <w:adjustRightInd w:val="0"/>
              <w:spacing w:line="276" w:lineRule="auto"/>
              <w:jc w:val="both"/>
              <w:rPr>
                <w:rFonts w:eastAsia="Calibri"/>
                <w:bCs/>
                <w:color w:val="000000"/>
                <w:sz w:val="22"/>
                <w:szCs w:val="22"/>
              </w:rPr>
            </w:pPr>
          </w:p>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The invitation and Minutes attached for certain projects are for other LGSF-SBDP projects.</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20</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3</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Invitation to three (3) observers for pre-procurement conference and opening of bids was not made at least five (5) CD before the activity</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13.3</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4</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Certifications by the Head of Bids and Awards Committee (BAC) Secretariat and Website Administrator of posting of Invitation to Bid (ITB) in three (3) conspicuous places is dated even before the completion of posting</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21.2 IRR</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5</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Posting of Invitation to Bid in the agency website and conspicuous places was not posted for seven (7) calendar days (CD). Specifically, it was only posted for six (6) CD.</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21.2.1</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6</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In the Net Financial Contracting Capacity (NFCC) submitted by the bidder, the total assets, computation for total liabilities, net worth and net working capital is erroneous and not similar with the amounts in the attached audited financial statements</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23.1</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7</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In the Bid Securing Declaration and Omnibus Sworn Statement, the date of notarization is earlier than the date indicated as signed by the Bidder</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Sections 25 and 27</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8</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In the Bid Form, information pertaining to the commitment of Performance Security is not completely filled out and no percentage of the contract price is provided.</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25</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9</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Abstract of Bids as Read was not signed by the BAC Chairman despite being present in the opening of Bids based on the Minutes</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32.3</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10</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Abstract of Bids as Read was signed by Head of Bids and Awards Committee – Technical Working Group (BAC-TWG) despite not being present in the opening of bids based on the Minutes</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32.3</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lastRenderedPageBreak/>
              <w:t>11</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In the Bid Evaluation Report, there are statements implying that there are multiple bidders (i.e. "bidders/both bidders passed or complied the requirement") yet there is only one bidder being evaluated</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32</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12</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Detailed Financial Evaluation (attachment to the Bid Evaluation Report) is not signed by the Head - BAC Secretariat</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32.2</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13</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Abstract of Bids as Calculated/Detailed Evaluation of Bids was done beyond the required timeline which is within seven (7) CD from the deadline for receipt of proposals</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32.4</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14</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In the Abstract of Bids as Calculated, there are no information provided regarding the bid validity, form of bid security and remarks (if sufficient/complying) for the winning bidder</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32</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15</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The attached invitation to three (3) observers for Post-Qualification did not specify the project to be evaluated. The invitations only contained the word “various”, without determining the specific project.</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13</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16</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 xml:space="preserve">The post-qualification process </w:t>
            </w:r>
            <w:proofErr w:type="gramStart"/>
            <w:r>
              <w:rPr>
                <w:rFonts w:eastAsia="Calibri"/>
                <w:bCs/>
                <w:color w:val="000000"/>
                <w:sz w:val="22"/>
                <w:szCs w:val="22"/>
              </w:rPr>
              <w:t>were</w:t>
            </w:r>
            <w:proofErr w:type="gramEnd"/>
            <w:r>
              <w:rPr>
                <w:rFonts w:eastAsia="Calibri"/>
                <w:bCs/>
                <w:color w:val="000000"/>
                <w:sz w:val="22"/>
                <w:szCs w:val="22"/>
              </w:rPr>
              <w:t xml:space="preserve"> completed beyond the twelve (12) CD from the determination of the Lowest Calculated Bid (LCB)</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34.8</w:t>
            </w:r>
          </w:p>
          <w:p>
            <w:pPr>
              <w:spacing w:line="276" w:lineRule="auto"/>
              <w:jc w:val="center"/>
              <w:rPr>
                <w:rFonts w:eastAsia="Calibri"/>
                <w:sz w:val="22"/>
                <w:szCs w:val="22"/>
              </w:rPr>
            </w:pP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17</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NOA was posted in the agency website and other conspicuous places later than three (3) CD from its issuance.</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37.1.6</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18</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Contract preparation and signing was done later than ten (10) days from the receipt of the winning bidder of the NOA</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37.2.2</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19</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Notice to Proceed (NTP) is dated earlier than the date of perfection of the contract</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37.2</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20</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 xml:space="preserve">NTP is not posted in the </w:t>
            </w:r>
            <w:proofErr w:type="spellStart"/>
            <w:r>
              <w:rPr>
                <w:rFonts w:eastAsia="Calibri"/>
                <w:bCs/>
                <w:color w:val="000000"/>
                <w:sz w:val="22"/>
                <w:szCs w:val="22"/>
              </w:rPr>
              <w:t>PhilGEPS</w:t>
            </w:r>
            <w:proofErr w:type="spellEnd"/>
            <w:r>
              <w:rPr>
                <w:rFonts w:eastAsia="Calibri"/>
                <w:bCs/>
                <w:color w:val="000000"/>
                <w:sz w:val="22"/>
                <w:szCs w:val="22"/>
              </w:rPr>
              <w:t>, agency website and other conspicuous places within fifteen (15) CD from its issuance</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37.4.2</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21</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 xml:space="preserve">The NTP date indicated in the </w:t>
            </w:r>
            <w:proofErr w:type="spellStart"/>
            <w:r>
              <w:rPr>
                <w:rFonts w:eastAsia="Calibri"/>
                <w:bCs/>
                <w:color w:val="000000"/>
                <w:sz w:val="22"/>
                <w:szCs w:val="22"/>
              </w:rPr>
              <w:t>PhilGEPS</w:t>
            </w:r>
            <w:proofErr w:type="spellEnd"/>
            <w:r>
              <w:rPr>
                <w:rFonts w:eastAsia="Calibri"/>
                <w:bCs/>
                <w:color w:val="000000"/>
                <w:sz w:val="22"/>
                <w:szCs w:val="22"/>
              </w:rPr>
              <w:t xml:space="preserve"> is earlier than the date of the actual NTP</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37.4</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22</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The number of days indicated in the Construction schedule and S-curve, manpower schedule, equipment utilization schedule and PERT/CPM is not similar with the target date of completion specified in the ABC and POW</w:t>
            </w:r>
          </w:p>
        </w:tc>
        <w:tc>
          <w:tcPr>
            <w:tcW w:w="1950" w:type="dxa"/>
          </w:tcPr>
          <w:p>
            <w:pPr>
              <w:autoSpaceDE w:val="0"/>
              <w:autoSpaceDN w:val="0"/>
              <w:adjustRightInd w:val="0"/>
              <w:spacing w:line="276" w:lineRule="auto"/>
              <w:jc w:val="center"/>
              <w:rPr>
                <w:rFonts w:eastAsia="Calibri"/>
                <w:bCs/>
                <w:i/>
                <w:iCs/>
                <w:color w:val="000000"/>
                <w:sz w:val="22"/>
                <w:szCs w:val="22"/>
              </w:rPr>
            </w:pPr>
            <w:r>
              <w:rPr>
                <w:rFonts w:eastAsia="Calibri"/>
                <w:bCs/>
                <w:i/>
                <w:iCs/>
                <w:color w:val="000000"/>
                <w:sz w:val="22"/>
                <w:szCs w:val="22"/>
              </w:rPr>
              <w:t>Section 37.2.3</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23</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Erroneous Performance Security indicated in the submitted Bid Form by the bidder. Specifically, the bidder committed a performance security equivalent to 5% of the contract price when it should 10% for infrastructure projects.</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39</w:t>
            </w:r>
          </w:p>
        </w:tc>
      </w:tr>
      <w:tr>
        <w:trPr>
          <w:cantSplit/>
          <w:trHeight w:val="20"/>
          <w:jc w:val="center"/>
        </w:trPr>
        <w:tc>
          <w:tcPr>
            <w:tcW w:w="445"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lastRenderedPageBreak/>
              <w:t>24</w:t>
            </w:r>
          </w:p>
        </w:tc>
        <w:tc>
          <w:tcPr>
            <w:tcW w:w="6225"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Discrepancy of performance security indicated in the submitted bid form versus actual performance security provided by the bidder. Example, in the Bid Form, the committed performance security is 10% of the contract price while in the actual performance security provided (surety bond), the amount is equal to 30% of the contract price.</w:t>
            </w:r>
          </w:p>
        </w:tc>
        <w:tc>
          <w:tcPr>
            <w:tcW w:w="1950" w:type="dxa"/>
          </w:tcPr>
          <w:p>
            <w:pPr>
              <w:autoSpaceDE w:val="0"/>
              <w:autoSpaceDN w:val="0"/>
              <w:adjustRightInd w:val="0"/>
              <w:spacing w:line="276" w:lineRule="auto"/>
              <w:jc w:val="center"/>
              <w:rPr>
                <w:rFonts w:eastAsia="Calibri"/>
                <w:bCs/>
                <w:color w:val="000000"/>
                <w:sz w:val="22"/>
                <w:szCs w:val="22"/>
              </w:rPr>
            </w:pPr>
            <w:r>
              <w:rPr>
                <w:rFonts w:eastAsia="Calibri"/>
                <w:bCs/>
                <w:i/>
                <w:iCs/>
                <w:color w:val="000000"/>
                <w:sz w:val="22"/>
                <w:szCs w:val="22"/>
              </w:rPr>
              <w:t>Section 39</w:t>
            </w:r>
          </w:p>
        </w:tc>
      </w:tr>
    </w:tbl>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In addition, a number of documentary requirement were not attached as supporting documents to various projects as summarized in Table 11.2. The detailed list of lacking documents per specific project is shown in </w:t>
      </w:r>
      <w:r>
        <w:rPr>
          <w:rFonts w:eastAsia="Calibri"/>
          <w:bCs/>
          <w:i/>
          <w:color w:val="000000"/>
        </w:rPr>
        <w:t>Annex P</w:t>
      </w:r>
      <w:r>
        <w:rPr>
          <w:rFonts w:eastAsia="Calibri"/>
          <w:bCs/>
          <w:color w:val="000000"/>
        </w:rPr>
        <w:t>.</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i/>
          <w:color w:val="000000"/>
          <w:sz w:val="22"/>
          <w:szCs w:val="22"/>
        </w:rPr>
      </w:pPr>
      <w:r>
        <w:rPr>
          <w:rFonts w:eastAsia="Calibri"/>
          <w:bCs/>
          <w:i/>
          <w:color w:val="000000"/>
          <w:sz w:val="22"/>
          <w:szCs w:val="22"/>
        </w:rPr>
        <w:t xml:space="preserve">Table 11.2. Summary schedule of lacking documents for transactions charged under LGSF </w:t>
      </w:r>
    </w:p>
    <w:tbl>
      <w:tblPr>
        <w:tblStyle w:val="TableGrid33"/>
        <w:tblW w:w="0" w:type="auto"/>
        <w:jc w:val="center"/>
        <w:tblLook w:val="04A0" w:firstRow="1" w:lastRow="0" w:firstColumn="1" w:lastColumn="0" w:noHBand="0" w:noVBand="1"/>
      </w:tblPr>
      <w:tblGrid>
        <w:gridCol w:w="568"/>
        <w:gridCol w:w="6351"/>
        <w:gridCol w:w="1937"/>
      </w:tblGrid>
      <w:tr>
        <w:trPr>
          <w:cantSplit/>
          <w:tblHeader/>
          <w:jc w:val="center"/>
        </w:trPr>
        <w:tc>
          <w:tcPr>
            <w:tcW w:w="570"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No.</w:t>
            </w:r>
          </w:p>
        </w:tc>
        <w:tc>
          <w:tcPr>
            <w:tcW w:w="6660"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Lacking Documents</w:t>
            </w:r>
          </w:p>
        </w:tc>
        <w:tc>
          <w:tcPr>
            <w:tcW w:w="1980"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Bases for the requirement</w:t>
            </w:r>
          </w:p>
        </w:tc>
      </w:tr>
      <w:tr>
        <w:trPr>
          <w:cantSplit/>
          <w:jc w:val="center"/>
        </w:trPr>
        <w:tc>
          <w:tcPr>
            <w:tcW w:w="570" w:type="dxa"/>
          </w:tcPr>
          <w:p>
            <w:pPr>
              <w:autoSpaceDE w:val="0"/>
              <w:autoSpaceDN w:val="0"/>
              <w:adjustRightInd w:val="0"/>
              <w:spacing w:line="276" w:lineRule="auto"/>
              <w:jc w:val="center"/>
              <w:rPr>
                <w:rFonts w:eastAsia="Calibri"/>
                <w:bCs/>
                <w:sz w:val="22"/>
                <w:szCs w:val="22"/>
              </w:rPr>
            </w:pPr>
            <w:r>
              <w:rPr>
                <w:rFonts w:eastAsia="Calibri"/>
                <w:bCs/>
                <w:sz w:val="22"/>
                <w:szCs w:val="22"/>
              </w:rPr>
              <w:t>1</w:t>
            </w:r>
          </w:p>
        </w:tc>
        <w:tc>
          <w:tcPr>
            <w:tcW w:w="6660" w:type="dxa"/>
          </w:tcPr>
          <w:p>
            <w:pPr>
              <w:autoSpaceDE w:val="0"/>
              <w:autoSpaceDN w:val="0"/>
              <w:adjustRightInd w:val="0"/>
              <w:spacing w:line="276" w:lineRule="auto"/>
              <w:jc w:val="both"/>
              <w:rPr>
                <w:rFonts w:eastAsia="Calibri"/>
                <w:bCs/>
                <w:sz w:val="22"/>
                <w:szCs w:val="22"/>
              </w:rPr>
            </w:pPr>
            <w:r>
              <w:rPr>
                <w:rFonts w:eastAsia="Calibri"/>
                <w:bCs/>
                <w:sz w:val="22"/>
                <w:szCs w:val="22"/>
              </w:rPr>
              <w:t>Detailed Engineering: No attached proposed construction schedule (and estimated cash flow for projects with schedule over six months) and minimum requirements for a Construction Safety and Health Program for the project being considered</w:t>
            </w:r>
          </w:p>
        </w:tc>
        <w:tc>
          <w:tcPr>
            <w:tcW w:w="1980" w:type="dxa"/>
          </w:tcPr>
          <w:p>
            <w:pPr>
              <w:autoSpaceDE w:val="0"/>
              <w:autoSpaceDN w:val="0"/>
              <w:adjustRightInd w:val="0"/>
              <w:spacing w:line="276" w:lineRule="auto"/>
              <w:jc w:val="both"/>
              <w:rPr>
                <w:rFonts w:eastAsia="Calibri"/>
                <w:bCs/>
                <w:iCs/>
                <w:sz w:val="22"/>
                <w:szCs w:val="22"/>
              </w:rPr>
            </w:pPr>
            <w:r>
              <w:rPr>
                <w:rFonts w:eastAsia="Calibri"/>
                <w:bCs/>
                <w:iCs/>
                <w:sz w:val="22"/>
                <w:szCs w:val="22"/>
              </w:rPr>
              <w:t>Items 2(h) and (n) of Annex A of Revised IRR of RA 9184</w:t>
            </w:r>
          </w:p>
        </w:tc>
      </w:tr>
      <w:tr>
        <w:trPr>
          <w:cantSplit/>
          <w:jc w:val="center"/>
        </w:trPr>
        <w:tc>
          <w:tcPr>
            <w:tcW w:w="570" w:type="dxa"/>
          </w:tcPr>
          <w:p>
            <w:pPr>
              <w:autoSpaceDE w:val="0"/>
              <w:autoSpaceDN w:val="0"/>
              <w:adjustRightInd w:val="0"/>
              <w:spacing w:line="276" w:lineRule="auto"/>
              <w:jc w:val="center"/>
              <w:rPr>
                <w:rFonts w:eastAsia="Calibri"/>
                <w:bCs/>
                <w:sz w:val="22"/>
                <w:szCs w:val="22"/>
              </w:rPr>
            </w:pPr>
            <w:r>
              <w:rPr>
                <w:rFonts w:eastAsia="Calibri"/>
                <w:bCs/>
                <w:sz w:val="22"/>
                <w:szCs w:val="22"/>
              </w:rPr>
              <w:t>2</w:t>
            </w:r>
          </w:p>
        </w:tc>
        <w:tc>
          <w:tcPr>
            <w:tcW w:w="6660" w:type="dxa"/>
          </w:tcPr>
          <w:p>
            <w:pPr>
              <w:autoSpaceDE w:val="0"/>
              <w:autoSpaceDN w:val="0"/>
              <w:adjustRightInd w:val="0"/>
              <w:spacing w:line="276" w:lineRule="auto"/>
              <w:jc w:val="both"/>
              <w:rPr>
                <w:rFonts w:eastAsia="Calibri"/>
                <w:bCs/>
                <w:sz w:val="22"/>
                <w:szCs w:val="22"/>
              </w:rPr>
            </w:pPr>
            <w:r>
              <w:rPr>
                <w:rFonts w:eastAsia="Calibri"/>
                <w:bCs/>
                <w:sz w:val="22"/>
                <w:szCs w:val="22"/>
              </w:rPr>
              <w:t>The prepared Program of Work (POW) does not include PERT/CPM of the project activities indicated therein</w:t>
            </w:r>
          </w:p>
        </w:tc>
        <w:tc>
          <w:tcPr>
            <w:tcW w:w="1980" w:type="dxa"/>
          </w:tcPr>
          <w:p>
            <w:pPr>
              <w:autoSpaceDE w:val="0"/>
              <w:autoSpaceDN w:val="0"/>
              <w:adjustRightInd w:val="0"/>
              <w:spacing w:line="276" w:lineRule="auto"/>
              <w:jc w:val="both"/>
              <w:rPr>
                <w:rFonts w:eastAsia="Calibri"/>
                <w:bCs/>
                <w:iCs/>
                <w:sz w:val="22"/>
                <w:szCs w:val="22"/>
              </w:rPr>
            </w:pPr>
            <w:r>
              <w:rPr>
                <w:rFonts w:eastAsia="Calibri"/>
                <w:bCs/>
                <w:iCs/>
                <w:sz w:val="22"/>
                <w:szCs w:val="22"/>
              </w:rPr>
              <w:t>Item 3(</w:t>
            </w:r>
            <w:proofErr w:type="spellStart"/>
            <w:r>
              <w:rPr>
                <w:rFonts w:eastAsia="Calibri"/>
                <w:bCs/>
                <w:iCs/>
                <w:sz w:val="22"/>
                <w:szCs w:val="22"/>
              </w:rPr>
              <w:t>i</w:t>
            </w:r>
            <w:proofErr w:type="spellEnd"/>
            <w:r>
              <w:rPr>
                <w:rFonts w:eastAsia="Calibri"/>
                <w:bCs/>
                <w:iCs/>
                <w:sz w:val="22"/>
                <w:szCs w:val="22"/>
              </w:rPr>
              <w:t>) of Annex A of Revised IRR of RA 9184</w:t>
            </w:r>
          </w:p>
        </w:tc>
      </w:tr>
      <w:tr>
        <w:trPr>
          <w:cantSplit/>
          <w:jc w:val="center"/>
        </w:trPr>
        <w:tc>
          <w:tcPr>
            <w:tcW w:w="570" w:type="dxa"/>
          </w:tcPr>
          <w:p>
            <w:pPr>
              <w:autoSpaceDE w:val="0"/>
              <w:autoSpaceDN w:val="0"/>
              <w:adjustRightInd w:val="0"/>
              <w:spacing w:line="276" w:lineRule="auto"/>
              <w:jc w:val="center"/>
              <w:rPr>
                <w:rFonts w:eastAsia="Calibri"/>
                <w:bCs/>
                <w:sz w:val="22"/>
                <w:szCs w:val="22"/>
              </w:rPr>
            </w:pPr>
            <w:r>
              <w:rPr>
                <w:rFonts w:eastAsia="Calibri"/>
                <w:bCs/>
                <w:sz w:val="22"/>
                <w:szCs w:val="22"/>
              </w:rPr>
              <w:t>3</w:t>
            </w:r>
          </w:p>
        </w:tc>
        <w:tc>
          <w:tcPr>
            <w:tcW w:w="6660" w:type="dxa"/>
          </w:tcPr>
          <w:p>
            <w:pPr>
              <w:autoSpaceDE w:val="0"/>
              <w:autoSpaceDN w:val="0"/>
              <w:adjustRightInd w:val="0"/>
              <w:spacing w:line="276" w:lineRule="auto"/>
              <w:jc w:val="both"/>
              <w:rPr>
                <w:rFonts w:eastAsia="Calibri"/>
                <w:bCs/>
                <w:sz w:val="22"/>
                <w:szCs w:val="22"/>
              </w:rPr>
            </w:pPr>
            <w:r>
              <w:rPr>
                <w:rFonts w:eastAsia="Calibri"/>
                <w:bCs/>
                <w:sz w:val="22"/>
                <w:szCs w:val="22"/>
              </w:rPr>
              <w:t>No notification to the losing bidders of BAC's recommendation on the award of the contract</w:t>
            </w:r>
          </w:p>
        </w:tc>
        <w:tc>
          <w:tcPr>
            <w:tcW w:w="1980" w:type="dxa"/>
          </w:tcPr>
          <w:p>
            <w:pPr>
              <w:autoSpaceDE w:val="0"/>
              <w:autoSpaceDN w:val="0"/>
              <w:adjustRightInd w:val="0"/>
              <w:spacing w:line="276" w:lineRule="auto"/>
              <w:jc w:val="both"/>
              <w:rPr>
                <w:rFonts w:eastAsia="Calibri"/>
                <w:bCs/>
                <w:iCs/>
                <w:sz w:val="22"/>
                <w:szCs w:val="22"/>
              </w:rPr>
            </w:pPr>
            <w:r>
              <w:rPr>
                <w:rFonts w:eastAsia="Calibri"/>
                <w:bCs/>
                <w:iCs/>
                <w:sz w:val="22"/>
                <w:szCs w:val="22"/>
              </w:rPr>
              <w:t>Section 37.1.1 of Revised IRR of RA 9184</w:t>
            </w:r>
          </w:p>
        </w:tc>
      </w:tr>
      <w:tr>
        <w:trPr>
          <w:cantSplit/>
          <w:jc w:val="center"/>
        </w:trPr>
        <w:tc>
          <w:tcPr>
            <w:tcW w:w="570" w:type="dxa"/>
          </w:tcPr>
          <w:p>
            <w:pPr>
              <w:autoSpaceDE w:val="0"/>
              <w:autoSpaceDN w:val="0"/>
              <w:adjustRightInd w:val="0"/>
              <w:spacing w:line="276" w:lineRule="auto"/>
              <w:jc w:val="center"/>
              <w:rPr>
                <w:rFonts w:eastAsia="Calibri"/>
                <w:bCs/>
                <w:sz w:val="22"/>
                <w:szCs w:val="22"/>
              </w:rPr>
            </w:pPr>
            <w:r>
              <w:rPr>
                <w:rFonts w:eastAsia="Calibri"/>
                <w:bCs/>
                <w:sz w:val="22"/>
                <w:szCs w:val="22"/>
              </w:rPr>
              <w:t>4</w:t>
            </w:r>
          </w:p>
        </w:tc>
        <w:tc>
          <w:tcPr>
            <w:tcW w:w="6660" w:type="dxa"/>
          </w:tcPr>
          <w:p>
            <w:pPr>
              <w:autoSpaceDE w:val="0"/>
              <w:autoSpaceDN w:val="0"/>
              <w:adjustRightInd w:val="0"/>
              <w:spacing w:line="276" w:lineRule="auto"/>
              <w:jc w:val="both"/>
              <w:rPr>
                <w:rFonts w:eastAsia="Calibri"/>
                <w:bCs/>
                <w:sz w:val="22"/>
                <w:szCs w:val="22"/>
              </w:rPr>
            </w:pPr>
            <w:r>
              <w:rPr>
                <w:rFonts w:eastAsia="Calibri"/>
                <w:bCs/>
                <w:sz w:val="22"/>
                <w:szCs w:val="22"/>
              </w:rPr>
              <w:t xml:space="preserve">No printout on posting of Notice of Award (NOA) to </w:t>
            </w:r>
            <w:proofErr w:type="spellStart"/>
            <w:r>
              <w:rPr>
                <w:rFonts w:eastAsia="Calibri"/>
                <w:bCs/>
                <w:sz w:val="22"/>
                <w:szCs w:val="22"/>
              </w:rPr>
              <w:t>PhilGEPS</w:t>
            </w:r>
            <w:proofErr w:type="spellEnd"/>
          </w:p>
        </w:tc>
        <w:tc>
          <w:tcPr>
            <w:tcW w:w="1980" w:type="dxa"/>
          </w:tcPr>
          <w:p>
            <w:pPr>
              <w:autoSpaceDE w:val="0"/>
              <w:autoSpaceDN w:val="0"/>
              <w:adjustRightInd w:val="0"/>
              <w:spacing w:line="276" w:lineRule="auto"/>
              <w:jc w:val="both"/>
              <w:rPr>
                <w:rFonts w:eastAsia="Calibri"/>
                <w:bCs/>
                <w:iCs/>
                <w:sz w:val="22"/>
                <w:szCs w:val="22"/>
              </w:rPr>
            </w:pPr>
            <w:r>
              <w:rPr>
                <w:rFonts w:eastAsia="Calibri"/>
                <w:bCs/>
                <w:iCs/>
                <w:sz w:val="22"/>
                <w:szCs w:val="22"/>
              </w:rPr>
              <w:t>Section 37.1.6 of Revised IRR of RA 9184</w:t>
            </w:r>
          </w:p>
        </w:tc>
      </w:tr>
      <w:tr>
        <w:trPr>
          <w:cantSplit/>
          <w:jc w:val="center"/>
        </w:trPr>
        <w:tc>
          <w:tcPr>
            <w:tcW w:w="570" w:type="dxa"/>
            <w:tcBorders>
              <w:bottom w:val="single" w:sz="4" w:space="0" w:color="auto"/>
            </w:tcBorders>
          </w:tcPr>
          <w:p>
            <w:pPr>
              <w:autoSpaceDE w:val="0"/>
              <w:autoSpaceDN w:val="0"/>
              <w:adjustRightInd w:val="0"/>
              <w:spacing w:line="276" w:lineRule="auto"/>
              <w:jc w:val="center"/>
              <w:rPr>
                <w:rFonts w:eastAsia="Calibri"/>
                <w:bCs/>
                <w:sz w:val="22"/>
                <w:szCs w:val="22"/>
              </w:rPr>
            </w:pPr>
            <w:r>
              <w:rPr>
                <w:rFonts w:eastAsia="Calibri"/>
                <w:bCs/>
                <w:sz w:val="22"/>
                <w:szCs w:val="22"/>
              </w:rPr>
              <w:t>5</w:t>
            </w:r>
          </w:p>
        </w:tc>
        <w:tc>
          <w:tcPr>
            <w:tcW w:w="6660" w:type="dxa"/>
            <w:tcBorders>
              <w:bottom w:val="single" w:sz="4" w:space="0" w:color="auto"/>
            </w:tcBorders>
          </w:tcPr>
          <w:p>
            <w:pPr>
              <w:autoSpaceDE w:val="0"/>
              <w:autoSpaceDN w:val="0"/>
              <w:adjustRightInd w:val="0"/>
              <w:spacing w:line="276" w:lineRule="auto"/>
              <w:jc w:val="both"/>
              <w:rPr>
                <w:rFonts w:eastAsia="Calibri"/>
                <w:bCs/>
                <w:sz w:val="22"/>
                <w:szCs w:val="22"/>
              </w:rPr>
            </w:pPr>
            <w:r>
              <w:rPr>
                <w:rFonts w:eastAsia="Calibri"/>
                <w:bCs/>
                <w:sz w:val="22"/>
                <w:szCs w:val="22"/>
              </w:rPr>
              <w:t>The following other contract documents are not submitted by the winning bidder:</w:t>
            </w:r>
          </w:p>
          <w:p>
            <w:pPr>
              <w:numPr>
                <w:ilvl w:val="0"/>
                <w:numId w:val="26"/>
              </w:numPr>
              <w:autoSpaceDE w:val="0"/>
              <w:autoSpaceDN w:val="0"/>
              <w:adjustRightInd w:val="0"/>
              <w:spacing w:line="276" w:lineRule="auto"/>
              <w:jc w:val="both"/>
              <w:rPr>
                <w:rFonts w:eastAsia="Calibri"/>
                <w:bCs/>
                <w:sz w:val="22"/>
                <w:szCs w:val="22"/>
              </w:rPr>
            </w:pPr>
            <w:r>
              <w:rPr>
                <w:rFonts w:eastAsia="Calibri"/>
                <w:bCs/>
                <w:sz w:val="22"/>
                <w:szCs w:val="22"/>
              </w:rPr>
              <w:t>Construction schedule and S-curve</w:t>
            </w:r>
          </w:p>
          <w:p>
            <w:pPr>
              <w:numPr>
                <w:ilvl w:val="0"/>
                <w:numId w:val="26"/>
              </w:numPr>
              <w:autoSpaceDE w:val="0"/>
              <w:autoSpaceDN w:val="0"/>
              <w:adjustRightInd w:val="0"/>
              <w:spacing w:line="276" w:lineRule="auto"/>
              <w:jc w:val="both"/>
              <w:rPr>
                <w:rFonts w:eastAsia="Calibri"/>
                <w:bCs/>
                <w:sz w:val="22"/>
                <w:szCs w:val="22"/>
              </w:rPr>
            </w:pPr>
            <w:r>
              <w:rPr>
                <w:rFonts w:eastAsia="Calibri"/>
                <w:bCs/>
                <w:sz w:val="22"/>
                <w:szCs w:val="22"/>
              </w:rPr>
              <w:t>Manpower Schedule</w:t>
            </w:r>
          </w:p>
          <w:p>
            <w:pPr>
              <w:numPr>
                <w:ilvl w:val="0"/>
                <w:numId w:val="26"/>
              </w:numPr>
              <w:autoSpaceDE w:val="0"/>
              <w:autoSpaceDN w:val="0"/>
              <w:adjustRightInd w:val="0"/>
              <w:spacing w:line="276" w:lineRule="auto"/>
              <w:jc w:val="both"/>
              <w:rPr>
                <w:rFonts w:eastAsia="Calibri"/>
                <w:bCs/>
                <w:sz w:val="22"/>
                <w:szCs w:val="22"/>
              </w:rPr>
            </w:pPr>
            <w:r>
              <w:rPr>
                <w:rFonts w:eastAsia="Calibri"/>
                <w:bCs/>
                <w:sz w:val="22"/>
                <w:szCs w:val="22"/>
              </w:rPr>
              <w:t>Construction Methods</w:t>
            </w:r>
          </w:p>
          <w:p>
            <w:pPr>
              <w:numPr>
                <w:ilvl w:val="0"/>
                <w:numId w:val="26"/>
              </w:numPr>
              <w:autoSpaceDE w:val="0"/>
              <w:autoSpaceDN w:val="0"/>
              <w:adjustRightInd w:val="0"/>
              <w:spacing w:line="276" w:lineRule="auto"/>
              <w:jc w:val="both"/>
              <w:rPr>
                <w:rFonts w:eastAsia="Calibri"/>
                <w:bCs/>
                <w:sz w:val="22"/>
                <w:szCs w:val="22"/>
              </w:rPr>
            </w:pPr>
            <w:r>
              <w:rPr>
                <w:rFonts w:eastAsia="Calibri"/>
                <w:bCs/>
                <w:sz w:val="22"/>
                <w:szCs w:val="22"/>
              </w:rPr>
              <w:t>Equipment Utilization Schedule</w:t>
            </w:r>
          </w:p>
          <w:p>
            <w:pPr>
              <w:numPr>
                <w:ilvl w:val="0"/>
                <w:numId w:val="26"/>
              </w:numPr>
              <w:autoSpaceDE w:val="0"/>
              <w:autoSpaceDN w:val="0"/>
              <w:adjustRightInd w:val="0"/>
              <w:spacing w:line="276" w:lineRule="auto"/>
              <w:jc w:val="both"/>
              <w:rPr>
                <w:rFonts w:eastAsia="Calibri"/>
                <w:bCs/>
                <w:sz w:val="22"/>
                <w:szCs w:val="22"/>
              </w:rPr>
            </w:pPr>
            <w:r>
              <w:rPr>
                <w:rFonts w:eastAsia="Calibri"/>
                <w:bCs/>
                <w:sz w:val="22"/>
                <w:szCs w:val="22"/>
              </w:rPr>
              <w:t>PERT/CPM</w:t>
            </w:r>
          </w:p>
        </w:tc>
        <w:tc>
          <w:tcPr>
            <w:tcW w:w="1980" w:type="dxa"/>
            <w:tcBorders>
              <w:bottom w:val="single" w:sz="4" w:space="0" w:color="auto"/>
            </w:tcBorders>
          </w:tcPr>
          <w:p>
            <w:pPr>
              <w:autoSpaceDE w:val="0"/>
              <w:autoSpaceDN w:val="0"/>
              <w:adjustRightInd w:val="0"/>
              <w:spacing w:line="276" w:lineRule="auto"/>
              <w:jc w:val="both"/>
              <w:rPr>
                <w:rFonts w:eastAsia="Calibri"/>
                <w:bCs/>
                <w:iCs/>
                <w:sz w:val="22"/>
                <w:szCs w:val="22"/>
              </w:rPr>
            </w:pPr>
            <w:r>
              <w:rPr>
                <w:rFonts w:eastAsia="Calibri"/>
                <w:bCs/>
                <w:iCs/>
                <w:sz w:val="22"/>
                <w:szCs w:val="22"/>
              </w:rPr>
              <w:t>Section 37.2.3 of Revised IRR of RA 9184</w:t>
            </w:r>
          </w:p>
        </w:tc>
      </w:tr>
      <w:tr>
        <w:trPr>
          <w:cantSplit/>
          <w:jc w:val="center"/>
        </w:trPr>
        <w:tc>
          <w:tcPr>
            <w:tcW w:w="570" w:type="dxa"/>
            <w:tcBorders>
              <w:bottom w:val="single" w:sz="4" w:space="0" w:color="auto"/>
            </w:tcBorders>
          </w:tcPr>
          <w:p>
            <w:pPr>
              <w:autoSpaceDE w:val="0"/>
              <w:autoSpaceDN w:val="0"/>
              <w:adjustRightInd w:val="0"/>
              <w:spacing w:line="276" w:lineRule="auto"/>
              <w:jc w:val="center"/>
              <w:rPr>
                <w:rFonts w:eastAsia="Calibri"/>
                <w:bCs/>
                <w:sz w:val="22"/>
                <w:szCs w:val="22"/>
              </w:rPr>
            </w:pPr>
            <w:r>
              <w:rPr>
                <w:rFonts w:eastAsia="Calibri"/>
                <w:bCs/>
                <w:sz w:val="22"/>
                <w:szCs w:val="22"/>
              </w:rPr>
              <w:t>6</w:t>
            </w:r>
          </w:p>
        </w:tc>
        <w:tc>
          <w:tcPr>
            <w:tcW w:w="6660" w:type="dxa"/>
            <w:tcBorders>
              <w:bottom w:val="single" w:sz="4" w:space="0" w:color="auto"/>
            </w:tcBorders>
          </w:tcPr>
          <w:p>
            <w:pPr>
              <w:autoSpaceDE w:val="0"/>
              <w:autoSpaceDN w:val="0"/>
              <w:adjustRightInd w:val="0"/>
              <w:spacing w:line="276" w:lineRule="auto"/>
              <w:jc w:val="both"/>
              <w:rPr>
                <w:rFonts w:eastAsia="Calibri"/>
                <w:bCs/>
                <w:sz w:val="22"/>
                <w:szCs w:val="22"/>
              </w:rPr>
            </w:pPr>
            <w:r>
              <w:rPr>
                <w:rFonts w:eastAsia="Calibri"/>
                <w:bCs/>
                <w:sz w:val="22"/>
                <w:szCs w:val="22"/>
              </w:rPr>
              <w:t>No updated POW provided by the winning bidder.</w:t>
            </w:r>
          </w:p>
          <w:p>
            <w:pPr>
              <w:autoSpaceDE w:val="0"/>
              <w:autoSpaceDN w:val="0"/>
              <w:adjustRightInd w:val="0"/>
              <w:spacing w:line="276" w:lineRule="auto"/>
              <w:jc w:val="both"/>
              <w:rPr>
                <w:rFonts w:eastAsia="Calibri"/>
                <w:bCs/>
                <w:sz w:val="22"/>
                <w:szCs w:val="22"/>
              </w:rPr>
            </w:pPr>
          </w:p>
          <w:p>
            <w:pPr>
              <w:autoSpaceDE w:val="0"/>
              <w:autoSpaceDN w:val="0"/>
              <w:adjustRightInd w:val="0"/>
              <w:spacing w:line="276" w:lineRule="auto"/>
              <w:jc w:val="both"/>
              <w:rPr>
                <w:rFonts w:eastAsia="Calibri"/>
                <w:bCs/>
                <w:sz w:val="22"/>
                <w:szCs w:val="22"/>
              </w:rPr>
            </w:pPr>
            <w:r>
              <w:rPr>
                <w:rFonts w:eastAsia="Calibri"/>
                <w:bCs/>
                <w:sz w:val="22"/>
                <w:szCs w:val="22"/>
              </w:rPr>
              <w:t>As specified in the Special Conditions of the Contract, this should be provided within 25 days from the delivery of NOA and a penalty of P10,000.00 is to be imposed for late submission</w:t>
            </w:r>
          </w:p>
        </w:tc>
        <w:tc>
          <w:tcPr>
            <w:tcW w:w="1980" w:type="dxa"/>
            <w:tcBorders>
              <w:bottom w:val="single" w:sz="4" w:space="0" w:color="auto"/>
            </w:tcBorders>
          </w:tcPr>
          <w:p>
            <w:pPr>
              <w:autoSpaceDE w:val="0"/>
              <w:autoSpaceDN w:val="0"/>
              <w:adjustRightInd w:val="0"/>
              <w:spacing w:line="276" w:lineRule="auto"/>
              <w:jc w:val="both"/>
              <w:rPr>
                <w:rFonts w:eastAsia="Calibri"/>
                <w:bCs/>
                <w:i/>
                <w:iCs/>
                <w:sz w:val="22"/>
                <w:szCs w:val="22"/>
              </w:rPr>
            </w:pPr>
            <w:r>
              <w:rPr>
                <w:rFonts w:eastAsia="Calibri"/>
                <w:bCs/>
                <w:sz w:val="22"/>
                <w:szCs w:val="22"/>
              </w:rPr>
              <w:t xml:space="preserve">Special Conditions of the Contract (Bidding Document) </w:t>
            </w:r>
          </w:p>
        </w:tc>
      </w:tr>
    </w:tbl>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lastRenderedPageBreak/>
        <w:t>Moreover, there are some noted differences in the POW and detailed estimates prepared by the City Engineer’s Office (CEO) as attachment to the ABC and those estimates submitted by the bidders, to wit:</w:t>
      </w:r>
    </w:p>
    <w:p>
      <w:pPr>
        <w:autoSpaceDE w:val="0"/>
        <w:autoSpaceDN w:val="0"/>
        <w:adjustRightInd w:val="0"/>
        <w:spacing w:line="276" w:lineRule="auto"/>
        <w:jc w:val="both"/>
        <w:rPr>
          <w:rFonts w:eastAsia="Calibri"/>
          <w:bCs/>
          <w:color w:val="000000"/>
        </w:rPr>
      </w:pPr>
    </w:p>
    <w:p>
      <w:pPr>
        <w:numPr>
          <w:ilvl w:val="0"/>
          <w:numId w:val="29"/>
        </w:numPr>
        <w:autoSpaceDE w:val="0"/>
        <w:autoSpaceDN w:val="0"/>
        <w:adjustRightInd w:val="0"/>
        <w:spacing w:line="276" w:lineRule="auto"/>
        <w:ind w:left="360"/>
        <w:contextualSpacing/>
        <w:jc w:val="both"/>
        <w:rPr>
          <w:rFonts w:eastAsia="Calibri"/>
          <w:bCs/>
          <w:color w:val="000000"/>
        </w:rPr>
      </w:pPr>
      <w:r>
        <w:rPr>
          <w:rFonts w:eastAsia="Calibri"/>
          <w:bCs/>
          <w:color w:val="000000"/>
        </w:rPr>
        <w:t>The submitted detailed estimates of the bidders are shown in lump sum and did not specify the materials to be provided particularly in the following items of the POW:</w:t>
      </w:r>
    </w:p>
    <w:p>
      <w:pPr>
        <w:autoSpaceDE w:val="0"/>
        <w:autoSpaceDN w:val="0"/>
        <w:adjustRightInd w:val="0"/>
        <w:spacing w:line="276" w:lineRule="auto"/>
        <w:ind w:left="360"/>
        <w:contextualSpacing/>
        <w:jc w:val="both"/>
        <w:rPr>
          <w:rFonts w:eastAsia="Calibri"/>
          <w:bCs/>
          <w:color w:val="000000"/>
        </w:rPr>
      </w:pPr>
    </w:p>
    <w:p>
      <w:pPr>
        <w:numPr>
          <w:ilvl w:val="1"/>
          <w:numId w:val="29"/>
        </w:numPr>
        <w:autoSpaceDE w:val="0"/>
        <w:autoSpaceDN w:val="0"/>
        <w:adjustRightInd w:val="0"/>
        <w:spacing w:line="276" w:lineRule="auto"/>
        <w:ind w:left="720"/>
        <w:contextualSpacing/>
        <w:jc w:val="both"/>
        <w:rPr>
          <w:rFonts w:eastAsia="Calibri"/>
          <w:bCs/>
          <w:color w:val="000000"/>
        </w:rPr>
      </w:pPr>
      <w:r>
        <w:rPr>
          <w:rFonts w:eastAsia="Calibri"/>
          <w:bCs/>
          <w:i/>
          <w:color w:val="000000"/>
        </w:rPr>
        <w:t>Field office of the engineer</w:t>
      </w:r>
      <w:r>
        <w:rPr>
          <w:rFonts w:eastAsia="Calibri"/>
          <w:bCs/>
          <w:color w:val="000000"/>
        </w:rPr>
        <w:t xml:space="preserve"> - Stated in lump sum amounts and only provided description such as “labor and materials”, “construction of filed office for the engineer” and/or “field office materials”</w:t>
      </w:r>
    </w:p>
    <w:p>
      <w:pPr>
        <w:autoSpaceDE w:val="0"/>
        <w:autoSpaceDN w:val="0"/>
        <w:adjustRightInd w:val="0"/>
        <w:spacing w:line="276" w:lineRule="auto"/>
        <w:ind w:left="720"/>
        <w:contextualSpacing/>
        <w:jc w:val="both"/>
        <w:rPr>
          <w:rFonts w:eastAsia="Calibri"/>
          <w:bCs/>
          <w:color w:val="000000"/>
        </w:rPr>
      </w:pPr>
    </w:p>
    <w:p>
      <w:pPr>
        <w:numPr>
          <w:ilvl w:val="1"/>
          <w:numId w:val="29"/>
        </w:numPr>
        <w:autoSpaceDE w:val="0"/>
        <w:autoSpaceDN w:val="0"/>
        <w:adjustRightInd w:val="0"/>
        <w:spacing w:line="276" w:lineRule="auto"/>
        <w:ind w:left="720"/>
        <w:contextualSpacing/>
        <w:jc w:val="both"/>
        <w:rPr>
          <w:rFonts w:eastAsia="Calibri"/>
          <w:bCs/>
          <w:color w:val="000000"/>
        </w:rPr>
      </w:pPr>
      <w:r>
        <w:rPr>
          <w:rFonts w:eastAsia="Calibri"/>
          <w:bCs/>
          <w:i/>
          <w:color w:val="000000"/>
        </w:rPr>
        <w:t>Provision of furniture/fixtures, equipment and appliances for the field office the engineer</w:t>
      </w:r>
      <w:r>
        <w:rPr>
          <w:rFonts w:eastAsia="Calibri"/>
          <w:bCs/>
          <w:color w:val="000000"/>
        </w:rPr>
        <w:t xml:space="preserve"> - Presented in lump sum amounts with description such as “materials and delivery cost fee”, “Provision of Furniture/Fixtures, Equipment and Appliances for the field office the Engineer” and/or “labor and materials”</w:t>
      </w:r>
    </w:p>
    <w:p>
      <w:pPr>
        <w:autoSpaceDE w:val="0"/>
        <w:autoSpaceDN w:val="0"/>
        <w:adjustRightInd w:val="0"/>
        <w:spacing w:line="276" w:lineRule="auto"/>
        <w:contextualSpacing/>
        <w:jc w:val="both"/>
        <w:rPr>
          <w:rFonts w:eastAsia="Calibri"/>
          <w:bCs/>
          <w:color w:val="000000"/>
        </w:rPr>
      </w:pPr>
    </w:p>
    <w:p>
      <w:pPr>
        <w:numPr>
          <w:ilvl w:val="1"/>
          <w:numId w:val="29"/>
        </w:numPr>
        <w:autoSpaceDE w:val="0"/>
        <w:autoSpaceDN w:val="0"/>
        <w:adjustRightInd w:val="0"/>
        <w:spacing w:line="276" w:lineRule="auto"/>
        <w:ind w:left="720"/>
        <w:contextualSpacing/>
        <w:jc w:val="both"/>
        <w:rPr>
          <w:rFonts w:eastAsia="Calibri"/>
          <w:bCs/>
          <w:color w:val="000000"/>
        </w:rPr>
      </w:pPr>
      <w:r>
        <w:rPr>
          <w:rFonts w:eastAsia="Calibri"/>
          <w:bCs/>
          <w:i/>
          <w:color w:val="000000"/>
        </w:rPr>
        <w:t>Occupational Safety and Health Program</w:t>
      </w:r>
      <w:r>
        <w:rPr>
          <w:rFonts w:eastAsia="Calibri"/>
          <w:bCs/>
          <w:color w:val="000000"/>
        </w:rPr>
        <w:t xml:space="preserve"> - Presented in lump sum amounts with specification provided as “occupational safety and health” only</w:t>
      </w:r>
    </w:p>
    <w:p>
      <w:pPr>
        <w:autoSpaceDE w:val="0"/>
        <w:autoSpaceDN w:val="0"/>
        <w:adjustRightInd w:val="0"/>
        <w:spacing w:line="276" w:lineRule="auto"/>
        <w:contextualSpacing/>
        <w:jc w:val="both"/>
        <w:rPr>
          <w:rFonts w:eastAsia="Calibri"/>
          <w:bCs/>
          <w:color w:val="000000"/>
        </w:rPr>
      </w:pPr>
    </w:p>
    <w:p>
      <w:pPr>
        <w:numPr>
          <w:ilvl w:val="1"/>
          <w:numId w:val="29"/>
        </w:numPr>
        <w:autoSpaceDE w:val="0"/>
        <w:autoSpaceDN w:val="0"/>
        <w:adjustRightInd w:val="0"/>
        <w:spacing w:line="276" w:lineRule="auto"/>
        <w:ind w:left="720"/>
        <w:contextualSpacing/>
        <w:jc w:val="both"/>
        <w:rPr>
          <w:rFonts w:eastAsia="Calibri"/>
          <w:bCs/>
          <w:color w:val="000000"/>
        </w:rPr>
      </w:pPr>
      <w:r>
        <w:rPr>
          <w:rFonts w:eastAsia="Calibri"/>
          <w:bCs/>
          <w:i/>
          <w:color w:val="000000"/>
        </w:rPr>
        <w:t>Traffic Management</w:t>
      </w:r>
      <w:r>
        <w:rPr>
          <w:rFonts w:eastAsia="Calibri"/>
          <w:bCs/>
          <w:color w:val="000000"/>
        </w:rPr>
        <w:t xml:space="preserve"> - Presented in lump sum amounts with specification provided as “traffic management” only</w:t>
      </w:r>
    </w:p>
    <w:p>
      <w:pPr>
        <w:autoSpaceDE w:val="0"/>
        <w:autoSpaceDN w:val="0"/>
        <w:adjustRightInd w:val="0"/>
        <w:spacing w:line="276" w:lineRule="auto"/>
        <w:ind w:left="1440"/>
        <w:contextualSpacing/>
        <w:jc w:val="both"/>
        <w:rPr>
          <w:rFonts w:eastAsia="Calibri"/>
          <w:bCs/>
          <w:color w:val="000000"/>
        </w:rPr>
      </w:pPr>
    </w:p>
    <w:p>
      <w:pPr>
        <w:numPr>
          <w:ilvl w:val="0"/>
          <w:numId w:val="29"/>
        </w:numPr>
        <w:autoSpaceDE w:val="0"/>
        <w:autoSpaceDN w:val="0"/>
        <w:adjustRightInd w:val="0"/>
        <w:spacing w:line="276" w:lineRule="auto"/>
        <w:ind w:left="360"/>
        <w:contextualSpacing/>
        <w:jc w:val="both"/>
        <w:rPr>
          <w:rFonts w:eastAsia="Calibri"/>
          <w:bCs/>
          <w:color w:val="000000"/>
        </w:rPr>
      </w:pPr>
      <w:r>
        <w:rPr>
          <w:rFonts w:eastAsia="Calibri"/>
          <w:bCs/>
          <w:color w:val="000000"/>
        </w:rPr>
        <w:t>There are projects wherein the construction of field office of the engineer is not included in the plans and drawings attached to the published Bidding Documents. These instances would result in dissimilar items being enumerated by the bidder in their own detailed estimates and those materials desired by the City to be included would actually not be provided. On the other hand, for those projects where the construction of field office of the engineer is attached in the plans, the corresponding furniture/fixtures and appliances identified in the detailed estimates are not drawn/shown.</w:t>
      </w:r>
    </w:p>
    <w:p>
      <w:pPr>
        <w:autoSpaceDE w:val="0"/>
        <w:autoSpaceDN w:val="0"/>
        <w:adjustRightInd w:val="0"/>
        <w:spacing w:line="276" w:lineRule="auto"/>
        <w:ind w:left="360"/>
        <w:contextualSpacing/>
        <w:jc w:val="both"/>
        <w:rPr>
          <w:rFonts w:eastAsia="Calibri"/>
          <w:bCs/>
          <w:color w:val="000000"/>
        </w:rPr>
      </w:pPr>
    </w:p>
    <w:p>
      <w:pPr>
        <w:numPr>
          <w:ilvl w:val="0"/>
          <w:numId w:val="29"/>
        </w:numPr>
        <w:autoSpaceDE w:val="0"/>
        <w:autoSpaceDN w:val="0"/>
        <w:adjustRightInd w:val="0"/>
        <w:spacing w:line="276" w:lineRule="auto"/>
        <w:ind w:left="360"/>
        <w:contextualSpacing/>
        <w:jc w:val="both"/>
        <w:rPr>
          <w:rFonts w:eastAsia="Calibri"/>
          <w:bCs/>
          <w:color w:val="000000"/>
        </w:rPr>
      </w:pPr>
      <w:r>
        <w:rPr>
          <w:rFonts w:eastAsia="Calibri"/>
          <w:bCs/>
          <w:color w:val="000000"/>
        </w:rPr>
        <w:t>For the line item “Occupational Safety and Health Program” in the POW, there are some materials/items (i.e. reflectorized vest, helmet, hard hat) in the detailed estimates prepared by the CEO which is not found in the detailed estimates of the bidder and vice versa. The standard minimum personal protective equipment (PPE) to be worn by/provided to the workers for their safety should be included in the estimates of both CEO and bidders.</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According to the management, the noted discrepancies in the dates and other information 2in the supporting documents were likely due to clerical errors. They also added that the </w:t>
      </w:r>
      <w:r>
        <w:rPr>
          <w:rFonts w:eastAsia="Calibri"/>
          <w:bCs/>
          <w:color w:val="000000"/>
        </w:rPr>
        <w:lastRenderedPageBreak/>
        <w:t>BAC has been methodically following the procurement procedures provided under RA No. 9184 and its Revised IRR. However, due to the increasing volume of procurement projects of the City Government and the limited personnel, it is inevitable to make unintentional error, particularly in the preparation of the documents. Nonetheless, they stated that they will review their records and determine the cause of the noted deficiencies.</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Public bidding aims to protect the public interest by giving the public the best possible advantages through open competition. Another self-evident purpose of public bidding is to avoid or preclude suspicion of favoritism and anomalies in the execution of public contracts. Thus, there is a need to strictly observe the provision of the procurement law to be in harmony with the aforesaid principles. Consequently, the afore-cited deficiencies create doubts on the regularity of the transactions pertaining to the 16 infrastructure projects sourced from fund transfers under Local Government Support Fund (LGSF) Support to Barangay Development Program (SBDP) and Assistance to Cities (AC).</w:t>
      </w:r>
    </w:p>
    <w:p>
      <w:pPr>
        <w:spacing w:line="276" w:lineRule="auto"/>
        <w:jc w:val="both"/>
        <w:rPr>
          <w:b/>
        </w:rPr>
      </w:pPr>
    </w:p>
    <w:p>
      <w:pPr>
        <w:spacing w:line="276" w:lineRule="auto"/>
        <w:jc w:val="both"/>
        <w:rPr>
          <w:b/>
        </w:rPr>
      </w:pPr>
      <w:r>
        <w:rPr>
          <w:b/>
        </w:rPr>
        <w:t>Recommendation:</w:t>
      </w:r>
    </w:p>
    <w:p>
      <w:pPr>
        <w:spacing w:line="276" w:lineRule="auto"/>
        <w:jc w:val="both"/>
      </w:pPr>
    </w:p>
    <w:p>
      <w:pPr>
        <w:spacing w:line="276" w:lineRule="auto"/>
        <w:jc w:val="both"/>
        <w:rPr>
          <w:bCs/>
        </w:rPr>
      </w:pPr>
      <w:r>
        <w:rPr>
          <w:bCs/>
        </w:rPr>
        <w:t>We recommended the City Mayor to direct the Bids and Awards Committee (BAC) to ensure full compliance to the provisions of RA 9184 and its Implementing Rules and Regulations.</w:t>
      </w:r>
    </w:p>
    <w:p>
      <w:pPr>
        <w:spacing w:line="276" w:lineRule="auto"/>
        <w:jc w:val="both"/>
        <w:rPr>
          <w:bCs/>
        </w:rPr>
      </w:pPr>
    </w:p>
    <w:p>
      <w:pPr>
        <w:spacing w:line="276" w:lineRule="auto"/>
        <w:jc w:val="both"/>
        <w:rPr>
          <w:bCs/>
        </w:rPr>
      </w:pPr>
      <w:r>
        <w:rPr>
          <w:bCs/>
        </w:rPr>
        <w:t>We further recommended the BAC and the City Engineer’s Office to submit, as soon as possible but not later than February 28, 2023, the cited lacking documents and written justifications on the noted deficiencies to the Office of the Audit Team</w:t>
      </w:r>
      <w:r>
        <w:t xml:space="preserve"> </w:t>
      </w:r>
      <w:r>
        <w:rPr>
          <w:bCs/>
        </w:rPr>
        <w:t>to complete the evaluation and to enable us to make a decision in audit.</w:t>
      </w:r>
    </w:p>
    <w:p>
      <w:pPr>
        <w:spacing w:line="276" w:lineRule="auto"/>
        <w:jc w:val="both"/>
        <w:rPr>
          <w:b/>
        </w:rPr>
      </w:pPr>
    </w:p>
    <w:p>
      <w:pPr>
        <w:spacing w:line="276" w:lineRule="auto"/>
        <w:ind w:right="162"/>
        <w:jc w:val="both"/>
        <w:rPr>
          <w:b/>
          <w:bCs/>
        </w:rPr>
      </w:pPr>
      <w:r>
        <w:rPr>
          <w:b/>
          <w:bCs/>
        </w:rPr>
        <w:t>Management’s Comments:</w:t>
      </w:r>
    </w:p>
    <w:p>
      <w:pPr>
        <w:spacing w:line="276" w:lineRule="auto"/>
        <w:jc w:val="both"/>
        <w:rPr>
          <w:b/>
        </w:rPr>
      </w:pPr>
    </w:p>
    <w:p>
      <w:pPr>
        <w:spacing w:line="276" w:lineRule="auto"/>
        <w:jc w:val="both"/>
      </w:pPr>
      <w:r>
        <w:t xml:space="preserve">The management was amenable to the audit observations and recommendations. The CEO assured that the Program of Works and Detailed Engineering Designs for projects funded under the LGSF-SBDP are prepared properly since technical review by the DILG is required before the procurement process. They also submitted to the audit team the lacking documents such as the proposed construction schedule, PERT-CPM and S-Curve. </w:t>
      </w:r>
    </w:p>
    <w:p>
      <w:pPr>
        <w:spacing w:line="276" w:lineRule="auto"/>
        <w:jc w:val="both"/>
      </w:pPr>
    </w:p>
    <w:p>
      <w:pPr>
        <w:spacing w:line="276" w:lineRule="auto"/>
        <w:jc w:val="both"/>
      </w:pPr>
      <w:r>
        <w:t xml:space="preserve">Likewise, the BAC took cognizance of the audit observation and submitted their justifications as well the required lacking documents. Considering the volume of the procurement projects facilitated and having to comply the procurement timeline and ensure compliance to the requirements of both public bidding and alternative methods of procurement simultaneously, the BAC disclosed that it is really a tedious and </w:t>
      </w:r>
      <w:r>
        <w:lastRenderedPageBreak/>
        <w:t>overwhelming task/process. Nevertheless, the BAC assured to take more prudence in the evaluation of bid documents and strengthen the workforce and personnel in the BAC to minimize deficiencies.</w:t>
      </w:r>
    </w:p>
    <w:p>
      <w:pPr>
        <w:spacing w:line="276" w:lineRule="auto"/>
        <w:jc w:val="both"/>
        <w:rPr>
          <w:color w:val="FF0000"/>
        </w:rPr>
      </w:pPr>
    </w:p>
    <w:p>
      <w:pPr>
        <w:spacing w:line="276" w:lineRule="auto"/>
        <w:jc w:val="both"/>
        <w:rPr>
          <w:b/>
          <w:bCs/>
        </w:rPr>
      </w:pPr>
      <w:r>
        <w:rPr>
          <w:b/>
          <w:bCs/>
        </w:rPr>
        <w:t>Auditor’s Rejoinder:</w:t>
      </w:r>
    </w:p>
    <w:p>
      <w:pPr>
        <w:spacing w:line="276" w:lineRule="auto"/>
        <w:jc w:val="both"/>
      </w:pPr>
    </w:p>
    <w:p>
      <w:pPr>
        <w:spacing w:line="276" w:lineRule="auto"/>
        <w:ind w:right="270"/>
        <w:jc w:val="both"/>
        <w:rPr>
          <w:color w:val="FF0000"/>
        </w:rPr>
      </w:pPr>
      <w:r>
        <w:t xml:space="preserve">The management’s written reply and other supporting documents were submitted to the Audit Team much later than the date of exit conference. Due to the delay in the submission of the written reply and supporting documents, the verification and evaluation thereof could not be completed within the finalization of this report. Thus, the audit team shall render its decision in audit upon the completion of the verification and evaluation. </w:t>
      </w:r>
    </w:p>
    <w:p>
      <w:pPr>
        <w:spacing w:line="276" w:lineRule="auto"/>
        <w:jc w:val="both"/>
      </w:pPr>
    </w:p>
    <w:p>
      <w:pPr>
        <w:spacing w:line="276" w:lineRule="auto"/>
        <w:jc w:val="both"/>
      </w:pPr>
    </w:p>
    <w:p>
      <w:pPr>
        <w:spacing w:line="276" w:lineRule="auto"/>
        <w:ind w:right="270"/>
        <w:rPr>
          <w:b/>
          <w:bCs/>
          <w:i/>
        </w:rPr>
      </w:pPr>
      <w:r>
        <w:rPr>
          <w:b/>
          <w:bCs/>
          <w:i/>
        </w:rPr>
        <w:t>Unreturned dormant balances of trust receipts</w:t>
      </w:r>
    </w:p>
    <w:p>
      <w:pPr>
        <w:spacing w:line="276" w:lineRule="auto"/>
        <w:ind w:right="270"/>
        <w:rPr>
          <w:b/>
          <w:i/>
        </w:rPr>
      </w:pPr>
    </w:p>
    <w:p>
      <w:pPr>
        <w:pStyle w:val="ListParagraph"/>
        <w:numPr>
          <w:ilvl w:val="0"/>
          <w:numId w:val="22"/>
        </w:numPr>
        <w:ind w:left="0" w:firstLine="0"/>
        <w:jc w:val="both"/>
        <w:rPr>
          <w:b/>
          <w:bCs/>
          <w:color w:val="000000"/>
        </w:rPr>
      </w:pPr>
      <w:r>
        <w:rPr>
          <w:rFonts w:ascii="Times New Roman" w:hAnsi="Times New Roman"/>
          <w:b/>
          <w:bCs/>
          <w:sz w:val="24"/>
          <w:szCs w:val="24"/>
        </w:rPr>
        <w:t>Unused balances which have been dormant for three (3) to fifteen (15) years and recorded under Due to National Government Agencies (NGAs) account totaling P3,251,430.38 were not returned to respective source agencies or to the National Treasury, thereby, depriving the donor agencies/National Government of additional resources to fund other priority projects.</w:t>
      </w:r>
    </w:p>
    <w:p>
      <w:pPr>
        <w:spacing w:line="276" w:lineRule="auto"/>
        <w:ind w:right="-23"/>
        <w:jc w:val="both"/>
      </w:pPr>
      <w:r>
        <w:t>COA Circular No. 94-013 issued on December 13, 1994 provides the rules and regulations in the grant, utilization and liquidation of transferred funds. Section 6 of the Circular provides the duties and responsibilities of the implementing agencies. Among others, it states that the implementing agencies should:</w:t>
      </w:r>
    </w:p>
    <w:p>
      <w:pPr>
        <w:spacing w:line="276" w:lineRule="auto"/>
      </w:pPr>
    </w:p>
    <w:p>
      <w:pPr>
        <w:autoSpaceDE w:val="0"/>
        <w:autoSpaceDN w:val="0"/>
        <w:adjustRightInd w:val="0"/>
        <w:spacing w:line="276" w:lineRule="auto"/>
        <w:ind w:left="567" w:right="702"/>
        <w:jc w:val="both"/>
        <w:rPr>
          <w:rFonts w:eastAsia="Calibri"/>
          <w:bCs/>
          <w:color w:val="000000"/>
        </w:rPr>
      </w:pPr>
      <w:r>
        <w:rPr>
          <w:rFonts w:eastAsia="Calibri"/>
          <w:bCs/>
          <w:color w:val="000000"/>
        </w:rPr>
        <w:t>6.7 return to the SA (source agency) any unused balance and refund of disallowance upon completion of the project”</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In addition, Executive Order (EO) No. 431 dated May 30, 2005 directed the reversion of all dormant accounts, unnecessary special and trust funds to the general fund and for other purpose. Pursuant to the said EO, Joint Circular No. 4-2012 of the Permanent Committee of the Department of Finance, Department of Budget and Management, and the Commission on Audit defines “unnecessary special and trust fund” as:</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ind w:left="720" w:right="702" w:firstLine="14"/>
        <w:jc w:val="both"/>
        <w:rPr>
          <w:rFonts w:eastAsia="Calibri"/>
          <w:bCs/>
          <w:color w:val="000000"/>
        </w:rPr>
      </w:pPr>
      <w:r>
        <w:rPr>
          <w:rFonts w:eastAsia="Calibri"/>
          <w:bCs/>
          <w:color w:val="000000"/>
        </w:rPr>
        <w:t>…authorized special and trust funds maintained by government agencies with AGDBs but which are no longer necessary for the attainment of the purposes for which said funds were established i.e. specific projects/programs, the implementation of which have been completed or abandoned.</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The City Government of </w:t>
      </w:r>
      <w:proofErr w:type="spellStart"/>
      <w:r>
        <w:rPr>
          <w:rFonts w:eastAsia="Calibri"/>
          <w:bCs/>
          <w:color w:val="000000"/>
        </w:rPr>
        <w:t>Panabo</w:t>
      </w:r>
      <w:proofErr w:type="spellEnd"/>
      <w:r>
        <w:rPr>
          <w:rFonts w:eastAsia="Calibri"/>
          <w:bCs/>
          <w:color w:val="000000"/>
        </w:rPr>
        <w:t xml:space="preserve"> has been a recipient of several fund transfers from various NGAs. Such fund transfers are booked as Due to NGAs and are intended for the implementation of various projects which are expected to be liquidated immediately upon completion.</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Review of the balances of Due to NGAs account revealed that as at December 31, 2022, a total of P3,251,451.38 remained recorded in the Trust Fund books of the City which have been dormant for three (3) years to fifteen (15) years. Details of the said funds are shown in Table 12.1.</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Table 12.1. </w:t>
      </w:r>
      <w:r>
        <w:rPr>
          <w:rFonts w:eastAsia="Calibri"/>
          <w:bCs/>
          <w:i/>
          <w:color w:val="000000"/>
        </w:rPr>
        <w:t>List of fund transfers from NGAs with unused balances as at December 31, 2022</w:t>
      </w:r>
    </w:p>
    <w:tbl>
      <w:tblPr>
        <w:tblW w:w="8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3430"/>
        <w:gridCol w:w="1610"/>
        <w:gridCol w:w="1530"/>
        <w:gridCol w:w="980"/>
      </w:tblGrid>
      <w:tr>
        <w:trPr>
          <w:cantSplit/>
          <w:trHeight w:val="310"/>
          <w:tblHeader/>
          <w:jc w:val="center"/>
        </w:trPr>
        <w:tc>
          <w:tcPr>
            <w:tcW w:w="1175" w:type="dxa"/>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val="en-PH" w:eastAsia="en-PH"/>
              </w:rPr>
              <w:t>Source Agency</w:t>
            </w:r>
          </w:p>
        </w:tc>
        <w:tc>
          <w:tcPr>
            <w:tcW w:w="3430" w:type="dxa"/>
            <w:shd w:val="clear" w:color="auto" w:fill="auto"/>
            <w:vAlign w:val="center"/>
            <w:hideMark/>
          </w:tcPr>
          <w:p>
            <w:pPr>
              <w:spacing w:line="276" w:lineRule="auto"/>
              <w:jc w:val="center"/>
              <w:rPr>
                <w:b/>
                <w:bCs/>
                <w:color w:val="000000"/>
                <w:sz w:val="22"/>
                <w:szCs w:val="22"/>
                <w:lang w:val="en-PH" w:eastAsia="en-PH"/>
              </w:rPr>
            </w:pPr>
            <w:r>
              <w:rPr>
                <w:b/>
                <w:bCs/>
                <w:color w:val="000000"/>
                <w:sz w:val="22"/>
                <w:szCs w:val="22"/>
                <w:lang w:val="en-PH" w:eastAsia="en-PH"/>
              </w:rPr>
              <w:t>Name of Project</w:t>
            </w:r>
          </w:p>
        </w:tc>
        <w:tc>
          <w:tcPr>
            <w:tcW w:w="1610" w:type="dxa"/>
            <w:shd w:val="clear" w:color="auto" w:fill="auto"/>
            <w:noWrap/>
            <w:vAlign w:val="center"/>
            <w:hideMark/>
          </w:tcPr>
          <w:p>
            <w:pPr>
              <w:spacing w:line="276" w:lineRule="auto"/>
              <w:jc w:val="center"/>
              <w:rPr>
                <w:b/>
                <w:bCs/>
                <w:color w:val="000000"/>
                <w:sz w:val="22"/>
                <w:szCs w:val="22"/>
                <w:lang w:val="en-PH" w:eastAsia="en-PH"/>
              </w:rPr>
            </w:pPr>
            <w:r>
              <w:rPr>
                <w:b/>
                <w:bCs/>
                <w:color w:val="000000"/>
                <w:sz w:val="22"/>
                <w:szCs w:val="22"/>
                <w:lang w:val="en-PH" w:eastAsia="en-PH"/>
              </w:rPr>
              <w:t>Earliest Transaction per Subsidiary Ledger</w:t>
            </w:r>
          </w:p>
        </w:tc>
        <w:tc>
          <w:tcPr>
            <w:tcW w:w="1530" w:type="dxa"/>
            <w:shd w:val="clear" w:color="auto" w:fill="auto"/>
            <w:noWrap/>
            <w:vAlign w:val="center"/>
            <w:hideMark/>
          </w:tcPr>
          <w:p>
            <w:pPr>
              <w:spacing w:line="276" w:lineRule="auto"/>
              <w:jc w:val="center"/>
              <w:rPr>
                <w:b/>
                <w:bCs/>
                <w:color w:val="000000"/>
                <w:sz w:val="22"/>
                <w:szCs w:val="22"/>
                <w:lang w:val="en-PH" w:eastAsia="en-PH"/>
              </w:rPr>
            </w:pPr>
            <w:r>
              <w:rPr>
                <w:b/>
                <w:bCs/>
                <w:color w:val="000000"/>
                <w:sz w:val="22"/>
                <w:szCs w:val="22"/>
                <w:lang w:val="en-PH" w:eastAsia="en-PH"/>
              </w:rPr>
              <w:t>Total</w:t>
            </w:r>
          </w:p>
        </w:tc>
        <w:tc>
          <w:tcPr>
            <w:tcW w:w="980" w:type="dxa"/>
            <w:vAlign w:val="center"/>
          </w:tcPr>
          <w:p>
            <w:pPr>
              <w:spacing w:line="276" w:lineRule="auto"/>
              <w:jc w:val="center"/>
              <w:rPr>
                <w:b/>
                <w:bCs/>
                <w:color w:val="000000"/>
                <w:sz w:val="22"/>
                <w:szCs w:val="22"/>
                <w:lang w:val="en-PH" w:eastAsia="en-PH"/>
              </w:rPr>
            </w:pPr>
            <w:r>
              <w:rPr>
                <w:b/>
                <w:bCs/>
                <w:color w:val="000000"/>
                <w:sz w:val="22"/>
                <w:szCs w:val="22"/>
                <w:lang w:val="en-PH" w:eastAsia="en-PH"/>
              </w:rPr>
              <w:t xml:space="preserve">No. of years </w:t>
            </w:r>
            <w:r>
              <w:rPr>
                <w:b/>
                <w:bCs/>
                <w:color w:val="000000"/>
                <w:sz w:val="20"/>
                <w:szCs w:val="20"/>
                <w:lang w:val="en-PH" w:eastAsia="en-PH"/>
              </w:rPr>
              <w:t>dormant</w:t>
            </w:r>
          </w:p>
        </w:tc>
      </w:tr>
      <w:tr>
        <w:trPr>
          <w:cantSplit/>
          <w:trHeight w:val="310"/>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DILG</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LGSEF-LAA Projects</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24,610.60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310"/>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DILG</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Aid to Moral Recovery Program*</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01/08/2009</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30,000.00</w:t>
            </w:r>
          </w:p>
        </w:tc>
        <w:tc>
          <w:tcPr>
            <w:tcW w:w="980" w:type="dxa"/>
          </w:tcPr>
          <w:p>
            <w:pPr>
              <w:spacing w:line="276" w:lineRule="auto"/>
              <w:jc w:val="center"/>
              <w:rPr>
                <w:color w:val="000000"/>
                <w:sz w:val="22"/>
                <w:szCs w:val="22"/>
                <w:lang w:val="en-PH" w:eastAsia="en-PH"/>
              </w:rPr>
            </w:pPr>
            <w:r>
              <w:rPr>
                <w:color w:val="000000"/>
                <w:sz w:val="22"/>
                <w:szCs w:val="22"/>
                <w:lang w:val="en-PH" w:eastAsia="en-PH"/>
              </w:rPr>
              <w:t>13</w:t>
            </w:r>
          </w:p>
        </w:tc>
      </w:tr>
      <w:tr>
        <w:trPr>
          <w:cantSplit/>
          <w:trHeight w:val="310"/>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DILG</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SDG-FACES Projects*</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11/03/2017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16,115.00</w:t>
            </w:r>
          </w:p>
        </w:tc>
        <w:tc>
          <w:tcPr>
            <w:tcW w:w="980" w:type="dxa"/>
          </w:tcPr>
          <w:p>
            <w:pPr>
              <w:spacing w:line="276" w:lineRule="auto"/>
              <w:jc w:val="center"/>
              <w:rPr>
                <w:color w:val="000000"/>
                <w:sz w:val="22"/>
                <w:szCs w:val="22"/>
                <w:lang w:val="en-PH" w:eastAsia="en-PH"/>
              </w:rPr>
            </w:pPr>
            <w:r>
              <w:rPr>
                <w:color w:val="000000"/>
                <w:sz w:val="22"/>
                <w:szCs w:val="22"/>
                <w:lang w:val="en-PH" w:eastAsia="en-PH"/>
              </w:rPr>
              <w:t>5</w:t>
            </w:r>
          </w:p>
        </w:tc>
      </w:tr>
      <w:tr>
        <w:trPr>
          <w:cantSplit/>
          <w:trHeight w:val="358"/>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DA</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BUB CY 2015 - sustainable Agri-fishery based livelihood</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11/18/2015</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137,721.00</w:t>
            </w:r>
          </w:p>
        </w:tc>
        <w:tc>
          <w:tcPr>
            <w:tcW w:w="980" w:type="dxa"/>
          </w:tcPr>
          <w:p>
            <w:pPr>
              <w:spacing w:line="276" w:lineRule="auto"/>
              <w:jc w:val="center"/>
              <w:rPr>
                <w:color w:val="000000"/>
                <w:sz w:val="22"/>
                <w:szCs w:val="22"/>
                <w:lang w:val="en-PH" w:eastAsia="en-PH"/>
              </w:rPr>
            </w:pPr>
            <w:r>
              <w:rPr>
                <w:color w:val="000000"/>
                <w:sz w:val="22"/>
                <w:szCs w:val="22"/>
                <w:lang w:val="en-PH" w:eastAsia="en-PH"/>
              </w:rPr>
              <w:t>7</w:t>
            </w:r>
          </w:p>
        </w:tc>
      </w:tr>
      <w:tr>
        <w:trPr>
          <w:cantSplit/>
          <w:trHeight w:val="933"/>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DA</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Department of Agriculture RO XI - Implementation of Projects on Grassroots Participatory Budgeting Process for CY2014</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10/07/2014</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140,249.50</w:t>
            </w:r>
          </w:p>
        </w:tc>
        <w:tc>
          <w:tcPr>
            <w:tcW w:w="980" w:type="dxa"/>
          </w:tcPr>
          <w:p>
            <w:pPr>
              <w:spacing w:line="276" w:lineRule="auto"/>
              <w:jc w:val="center"/>
              <w:rPr>
                <w:color w:val="000000"/>
                <w:sz w:val="22"/>
                <w:szCs w:val="22"/>
                <w:lang w:val="en-PH" w:eastAsia="en-PH"/>
              </w:rPr>
            </w:pPr>
            <w:r>
              <w:rPr>
                <w:color w:val="000000"/>
                <w:sz w:val="22"/>
                <w:szCs w:val="22"/>
                <w:lang w:val="en-PH" w:eastAsia="en-PH"/>
              </w:rPr>
              <w:t>8</w:t>
            </w:r>
          </w:p>
        </w:tc>
      </w:tr>
      <w:tr>
        <w:trPr>
          <w:cantSplit/>
          <w:trHeight w:val="57"/>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DA</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Establishment of FITS*</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08/31/2018</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2,414.00</w:t>
            </w:r>
          </w:p>
        </w:tc>
        <w:tc>
          <w:tcPr>
            <w:tcW w:w="980" w:type="dxa"/>
          </w:tcPr>
          <w:p>
            <w:pPr>
              <w:spacing w:line="276" w:lineRule="auto"/>
              <w:jc w:val="center"/>
              <w:rPr>
                <w:color w:val="000000"/>
                <w:sz w:val="22"/>
                <w:szCs w:val="22"/>
                <w:lang w:val="en-PH" w:eastAsia="en-PH"/>
              </w:rPr>
            </w:pPr>
            <w:r>
              <w:rPr>
                <w:color w:val="000000"/>
                <w:sz w:val="22"/>
                <w:szCs w:val="22"/>
                <w:lang w:val="en-PH" w:eastAsia="en-PH"/>
              </w:rPr>
              <w:t>4</w:t>
            </w:r>
          </w:p>
        </w:tc>
      </w:tr>
      <w:tr>
        <w:trPr>
          <w:cantSplit/>
          <w:trHeight w:val="57"/>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NCCA</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 xml:space="preserve">Enhancement of the Museo </w:t>
            </w:r>
            <w:proofErr w:type="spellStart"/>
            <w:r>
              <w:rPr>
                <w:color w:val="000000"/>
                <w:sz w:val="22"/>
                <w:szCs w:val="22"/>
                <w:lang w:val="en-PH" w:eastAsia="en-PH"/>
              </w:rPr>
              <w:t>Panabo</w:t>
            </w:r>
            <w:proofErr w:type="spellEnd"/>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12/29/2017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21,731.00</w:t>
            </w:r>
          </w:p>
        </w:tc>
        <w:tc>
          <w:tcPr>
            <w:tcW w:w="980" w:type="dxa"/>
          </w:tcPr>
          <w:p>
            <w:pPr>
              <w:spacing w:line="276" w:lineRule="auto"/>
              <w:jc w:val="center"/>
              <w:rPr>
                <w:color w:val="000000"/>
                <w:sz w:val="22"/>
                <w:szCs w:val="22"/>
                <w:lang w:val="en-PH" w:eastAsia="en-PH"/>
              </w:rPr>
            </w:pPr>
            <w:r>
              <w:rPr>
                <w:color w:val="000000"/>
                <w:sz w:val="22"/>
                <w:szCs w:val="22"/>
                <w:lang w:val="en-PH" w:eastAsia="en-PH"/>
              </w:rPr>
              <w:t>5</w:t>
            </w:r>
          </w:p>
        </w:tc>
      </w:tr>
      <w:tr>
        <w:trPr>
          <w:cantSplit/>
          <w:trHeight w:val="124"/>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DENR</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50% Mobilization of Seeding Program*</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20,083.34</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62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DIDP</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FISHERFOLK LIVELIHOOD ENHANCEMENT PROJECT*</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414,870.00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62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DIDP</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Transfer of Fund UFMVP Project Proposal-UPLAND FARMING*</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154,000.00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310"/>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DIDP</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 xml:space="preserve">FMR - </w:t>
            </w:r>
            <w:proofErr w:type="spellStart"/>
            <w:r>
              <w:rPr>
                <w:color w:val="000000"/>
                <w:sz w:val="22"/>
                <w:szCs w:val="22"/>
                <w:lang w:val="en-PH" w:eastAsia="en-PH"/>
              </w:rPr>
              <w:t>Malativas</w:t>
            </w:r>
            <w:proofErr w:type="spellEnd"/>
            <w:r>
              <w:rPr>
                <w:color w:val="000000"/>
                <w:sz w:val="22"/>
                <w:szCs w:val="22"/>
                <w:lang w:val="en-PH" w:eastAsia="en-PH"/>
              </w:rPr>
              <w:t xml:space="preserve"> to San Roque*</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12/09/2010</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31,523.14</w:t>
            </w:r>
          </w:p>
        </w:tc>
        <w:tc>
          <w:tcPr>
            <w:tcW w:w="980" w:type="dxa"/>
          </w:tcPr>
          <w:p>
            <w:pPr>
              <w:spacing w:line="276" w:lineRule="auto"/>
              <w:jc w:val="center"/>
              <w:rPr>
                <w:color w:val="000000"/>
                <w:sz w:val="22"/>
                <w:szCs w:val="22"/>
                <w:lang w:val="en-PH" w:eastAsia="en-PH"/>
              </w:rPr>
            </w:pPr>
            <w:r>
              <w:rPr>
                <w:color w:val="000000"/>
                <w:sz w:val="22"/>
                <w:szCs w:val="22"/>
                <w:lang w:val="en-PH" w:eastAsia="en-PH"/>
              </w:rPr>
              <w:t>12</w:t>
            </w:r>
          </w:p>
        </w:tc>
      </w:tr>
      <w:tr>
        <w:trPr>
          <w:cantSplit/>
          <w:trHeight w:val="62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DOH</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 xml:space="preserve">Cash Assistance/Performance Grant to City of </w:t>
            </w:r>
            <w:proofErr w:type="spellStart"/>
            <w:r>
              <w:rPr>
                <w:color w:val="000000"/>
                <w:sz w:val="22"/>
                <w:szCs w:val="22"/>
                <w:lang w:val="en-PH" w:eastAsia="en-PH"/>
              </w:rPr>
              <w:t>Panabo</w:t>
            </w:r>
            <w:proofErr w:type="spellEnd"/>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12/27/2017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1,625.25</w:t>
            </w:r>
          </w:p>
        </w:tc>
        <w:tc>
          <w:tcPr>
            <w:tcW w:w="980" w:type="dxa"/>
          </w:tcPr>
          <w:p>
            <w:pPr>
              <w:spacing w:line="276" w:lineRule="auto"/>
              <w:jc w:val="center"/>
              <w:rPr>
                <w:color w:val="000000"/>
                <w:sz w:val="22"/>
                <w:szCs w:val="22"/>
                <w:lang w:val="en-PH" w:eastAsia="en-PH"/>
              </w:rPr>
            </w:pPr>
            <w:r>
              <w:rPr>
                <w:color w:val="000000"/>
                <w:sz w:val="22"/>
                <w:szCs w:val="22"/>
                <w:lang w:val="en-PH" w:eastAsia="en-PH"/>
              </w:rPr>
              <w:t>5</w:t>
            </w:r>
          </w:p>
        </w:tc>
      </w:tr>
      <w:tr>
        <w:trPr>
          <w:cantSplit/>
          <w:trHeight w:val="62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DOH</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CASH INCENTIVES TO LGU AWARDEES 2018</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07/10/2019</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100,000.00</w:t>
            </w:r>
          </w:p>
        </w:tc>
        <w:tc>
          <w:tcPr>
            <w:tcW w:w="980" w:type="dxa"/>
          </w:tcPr>
          <w:p>
            <w:pPr>
              <w:spacing w:line="276" w:lineRule="auto"/>
              <w:jc w:val="center"/>
              <w:rPr>
                <w:color w:val="000000"/>
                <w:sz w:val="22"/>
                <w:szCs w:val="22"/>
                <w:lang w:val="en-PH" w:eastAsia="en-PH"/>
              </w:rPr>
            </w:pPr>
            <w:r>
              <w:rPr>
                <w:color w:val="000000"/>
                <w:sz w:val="22"/>
                <w:szCs w:val="22"/>
                <w:lang w:val="en-PH" w:eastAsia="en-PH"/>
              </w:rPr>
              <w:t>3</w:t>
            </w:r>
          </w:p>
        </w:tc>
      </w:tr>
      <w:tr>
        <w:trPr>
          <w:cantSplit/>
          <w:trHeight w:val="331"/>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DOH</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 xml:space="preserve">NVBSP-National </w:t>
            </w:r>
            <w:proofErr w:type="spellStart"/>
            <w:r>
              <w:rPr>
                <w:color w:val="000000"/>
                <w:sz w:val="22"/>
                <w:szCs w:val="22"/>
                <w:lang w:val="en-PH" w:eastAsia="en-PH"/>
              </w:rPr>
              <w:t>Sandugo</w:t>
            </w:r>
            <w:proofErr w:type="spellEnd"/>
            <w:r>
              <w:rPr>
                <w:color w:val="000000"/>
                <w:sz w:val="22"/>
                <w:szCs w:val="22"/>
                <w:lang w:val="en-PH" w:eastAsia="en-PH"/>
              </w:rPr>
              <w:t xml:space="preserve"> Performance Grant</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07/30/2015</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9,754.00</w:t>
            </w:r>
          </w:p>
        </w:tc>
        <w:tc>
          <w:tcPr>
            <w:tcW w:w="980" w:type="dxa"/>
          </w:tcPr>
          <w:p>
            <w:pPr>
              <w:spacing w:line="276" w:lineRule="auto"/>
              <w:jc w:val="center"/>
              <w:rPr>
                <w:color w:val="000000"/>
                <w:sz w:val="22"/>
                <w:szCs w:val="22"/>
                <w:lang w:val="en-PH" w:eastAsia="en-PH"/>
              </w:rPr>
            </w:pPr>
            <w:r>
              <w:rPr>
                <w:color w:val="000000"/>
                <w:sz w:val="22"/>
                <w:szCs w:val="22"/>
                <w:lang w:val="en-PH" w:eastAsia="en-PH"/>
              </w:rPr>
              <w:t>7</w:t>
            </w:r>
          </w:p>
        </w:tc>
      </w:tr>
      <w:tr>
        <w:trPr>
          <w:cantSplit/>
          <w:trHeight w:val="93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lastRenderedPageBreak/>
              <w:t>DOH</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Performance Incentive as LGU Graduate of Municipal Leadership &amp; Governance Program (MLGP) Module IT</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04/06/2015</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250,000.00</w:t>
            </w:r>
          </w:p>
        </w:tc>
        <w:tc>
          <w:tcPr>
            <w:tcW w:w="980" w:type="dxa"/>
          </w:tcPr>
          <w:p>
            <w:pPr>
              <w:spacing w:line="276" w:lineRule="auto"/>
              <w:jc w:val="center"/>
              <w:rPr>
                <w:color w:val="000000"/>
                <w:sz w:val="22"/>
                <w:szCs w:val="22"/>
                <w:lang w:val="en-PH" w:eastAsia="en-PH"/>
              </w:rPr>
            </w:pPr>
            <w:r>
              <w:rPr>
                <w:color w:val="000000"/>
                <w:sz w:val="22"/>
                <w:szCs w:val="22"/>
                <w:lang w:val="en-PH" w:eastAsia="en-PH"/>
              </w:rPr>
              <w:t>7</w:t>
            </w:r>
          </w:p>
        </w:tc>
      </w:tr>
      <w:tr>
        <w:trPr>
          <w:cantSplit/>
          <w:trHeight w:val="62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PHIC</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PHILHEALTH-BHW-Component Project for Indigent</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250.00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310"/>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For Recon</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PDAF - Various Projects</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100,000.00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367"/>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For Recon</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PSF FUND-Construction of School Building</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59,515.65</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57"/>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For Recon</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PHIL.CENTERFORPOLICYSTUDIES-GOFORDEV Fund</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5,600.00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439"/>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For Recon</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 xml:space="preserve">Barangay </w:t>
            </w:r>
            <w:proofErr w:type="spellStart"/>
            <w:r>
              <w:rPr>
                <w:color w:val="000000"/>
                <w:sz w:val="22"/>
                <w:szCs w:val="22"/>
                <w:lang w:val="en-PH" w:eastAsia="en-PH"/>
              </w:rPr>
              <w:t>Kiotoy</w:t>
            </w:r>
            <w:proofErr w:type="spellEnd"/>
            <w:r>
              <w:rPr>
                <w:color w:val="000000"/>
                <w:sz w:val="22"/>
                <w:szCs w:val="22"/>
                <w:lang w:val="en-PH" w:eastAsia="en-PH"/>
              </w:rPr>
              <w:t xml:space="preserve"> (BNB) Reimbursement of MS from IPHC to LGU</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10/24/2008</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7,722.85</w:t>
            </w:r>
          </w:p>
        </w:tc>
        <w:tc>
          <w:tcPr>
            <w:tcW w:w="980" w:type="dxa"/>
          </w:tcPr>
          <w:p>
            <w:pPr>
              <w:spacing w:line="276" w:lineRule="auto"/>
              <w:jc w:val="center"/>
              <w:rPr>
                <w:color w:val="000000"/>
                <w:sz w:val="22"/>
                <w:szCs w:val="22"/>
                <w:lang w:val="en-PH" w:eastAsia="en-PH"/>
              </w:rPr>
            </w:pPr>
            <w:r>
              <w:rPr>
                <w:color w:val="000000"/>
                <w:sz w:val="22"/>
                <w:szCs w:val="22"/>
                <w:lang w:val="en-PH" w:eastAsia="en-PH"/>
              </w:rPr>
              <w:t>14</w:t>
            </w:r>
          </w:p>
        </w:tc>
      </w:tr>
      <w:tr>
        <w:trPr>
          <w:cantSplit/>
          <w:trHeight w:val="394"/>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For Recon</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DALGU Fund-Department of Agriculture</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78,420.00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62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For Recon</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From TOURISM PROMOTION PROGRAM CY 2006, for IT Equipment acquisition</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10,617.00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62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For Recon</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 xml:space="preserve">Local Enhancement &amp; </w:t>
            </w:r>
            <w:proofErr w:type="spellStart"/>
            <w:r>
              <w:rPr>
                <w:color w:val="000000"/>
                <w:sz w:val="22"/>
                <w:szCs w:val="22"/>
                <w:lang w:val="en-PH" w:eastAsia="en-PH"/>
              </w:rPr>
              <w:t>Dev't</w:t>
            </w:r>
            <w:proofErr w:type="spellEnd"/>
            <w:r>
              <w:rPr>
                <w:color w:val="000000"/>
                <w:sz w:val="22"/>
                <w:szCs w:val="22"/>
                <w:lang w:val="en-PH" w:eastAsia="en-PH"/>
              </w:rPr>
              <w:t xml:space="preserve"> for Health (LEAD)</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106,393.45</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310"/>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For Recon</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Council of Women</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46,591.00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62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For Recon</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 xml:space="preserve">Kilos Asenso Program SARO # ROCS-09-03641 </w:t>
            </w:r>
            <w:proofErr w:type="spellStart"/>
            <w:r>
              <w:rPr>
                <w:color w:val="000000"/>
                <w:sz w:val="22"/>
                <w:szCs w:val="22"/>
                <w:lang w:val="en-PH" w:eastAsia="en-PH"/>
              </w:rPr>
              <w:t>dtd</w:t>
            </w:r>
            <w:proofErr w:type="spellEnd"/>
            <w:r>
              <w:rPr>
                <w:color w:val="000000"/>
                <w:sz w:val="22"/>
                <w:szCs w:val="22"/>
                <w:lang w:val="en-PH" w:eastAsia="en-PH"/>
              </w:rPr>
              <w:t xml:space="preserve"> 05-28-09</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10/30/2009</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680,159.00</w:t>
            </w:r>
          </w:p>
        </w:tc>
        <w:tc>
          <w:tcPr>
            <w:tcW w:w="980" w:type="dxa"/>
          </w:tcPr>
          <w:p>
            <w:pPr>
              <w:spacing w:line="276" w:lineRule="auto"/>
              <w:jc w:val="center"/>
              <w:rPr>
                <w:color w:val="000000"/>
                <w:sz w:val="22"/>
                <w:szCs w:val="22"/>
                <w:lang w:val="en-PH" w:eastAsia="en-PH"/>
              </w:rPr>
            </w:pPr>
            <w:r>
              <w:rPr>
                <w:color w:val="000000"/>
                <w:sz w:val="22"/>
                <w:szCs w:val="22"/>
                <w:lang w:val="en-PH" w:eastAsia="en-PH"/>
              </w:rPr>
              <w:t>13</w:t>
            </w:r>
          </w:p>
        </w:tc>
      </w:tr>
      <w:tr>
        <w:trPr>
          <w:cantSplit/>
          <w:trHeight w:val="622"/>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BFAR</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BUB Project entitled Infra-support to Agri and fishery Production motorized Fishing boat</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09/29/2015</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22,304.00</w:t>
            </w:r>
          </w:p>
        </w:tc>
        <w:tc>
          <w:tcPr>
            <w:tcW w:w="980" w:type="dxa"/>
          </w:tcPr>
          <w:p>
            <w:pPr>
              <w:spacing w:line="276" w:lineRule="auto"/>
              <w:jc w:val="center"/>
              <w:rPr>
                <w:color w:val="000000"/>
                <w:sz w:val="22"/>
                <w:szCs w:val="22"/>
                <w:lang w:val="en-PH" w:eastAsia="en-PH"/>
              </w:rPr>
            </w:pPr>
            <w:r>
              <w:rPr>
                <w:color w:val="000000"/>
                <w:sz w:val="22"/>
                <w:szCs w:val="22"/>
                <w:lang w:val="en-PH" w:eastAsia="en-PH"/>
              </w:rPr>
              <w:t>7</w:t>
            </w:r>
          </w:p>
        </w:tc>
      </w:tr>
      <w:tr>
        <w:trPr>
          <w:cantSplit/>
          <w:trHeight w:val="310"/>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DSWD</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ECCD*</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11/14/2007</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374,414.00</w:t>
            </w:r>
          </w:p>
        </w:tc>
        <w:tc>
          <w:tcPr>
            <w:tcW w:w="980" w:type="dxa"/>
          </w:tcPr>
          <w:p>
            <w:pPr>
              <w:spacing w:line="276" w:lineRule="auto"/>
              <w:jc w:val="center"/>
              <w:rPr>
                <w:color w:val="000000"/>
                <w:sz w:val="22"/>
                <w:szCs w:val="22"/>
                <w:lang w:val="en-PH" w:eastAsia="en-PH"/>
              </w:rPr>
            </w:pPr>
            <w:r>
              <w:rPr>
                <w:color w:val="000000"/>
                <w:sz w:val="22"/>
                <w:szCs w:val="22"/>
                <w:lang w:val="en-PH" w:eastAsia="en-PH"/>
              </w:rPr>
              <w:t>15</w:t>
            </w:r>
          </w:p>
        </w:tc>
      </w:tr>
      <w:tr>
        <w:trPr>
          <w:cantSplit/>
          <w:trHeight w:val="310"/>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PCA</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Coconut Re-planting Program</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02/10/2009</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397,730.00</w:t>
            </w:r>
          </w:p>
        </w:tc>
        <w:tc>
          <w:tcPr>
            <w:tcW w:w="980" w:type="dxa"/>
          </w:tcPr>
          <w:p>
            <w:pPr>
              <w:spacing w:line="276" w:lineRule="auto"/>
              <w:jc w:val="center"/>
              <w:rPr>
                <w:color w:val="000000"/>
                <w:sz w:val="22"/>
                <w:szCs w:val="22"/>
                <w:lang w:val="en-PH" w:eastAsia="en-PH"/>
              </w:rPr>
            </w:pPr>
            <w:r>
              <w:rPr>
                <w:color w:val="000000"/>
                <w:sz w:val="22"/>
                <w:szCs w:val="22"/>
                <w:lang w:val="en-PH" w:eastAsia="en-PH"/>
              </w:rPr>
              <w:t>13</w:t>
            </w:r>
          </w:p>
        </w:tc>
      </w:tr>
      <w:tr>
        <w:trPr>
          <w:cantSplit/>
          <w:trHeight w:val="694"/>
          <w:jc w:val="center"/>
        </w:trPr>
        <w:tc>
          <w:tcPr>
            <w:tcW w:w="1175" w:type="dxa"/>
            <w:shd w:val="clear" w:color="auto" w:fill="auto"/>
            <w:noWrap/>
            <w:hideMark/>
          </w:tcPr>
          <w:p>
            <w:pPr>
              <w:spacing w:line="276" w:lineRule="auto"/>
              <w:rPr>
                <w:color w:val="000000"/>
                <w:sz w:val="22"/>
                <w:szCs w:val="22"/>
                <w:lang w:val="en-PH" w:eastAsia="en-PH"/>
              </w:rPr>
            </w:pPr>
            <w:r>
              <w:rPr>
                <w:color w:val="000000"/>
                <w:sz w:val="22"/>
                <w:szCs w:val="22"/>
                <w:lang w:val="en-PH" w:eastAsia="en-PH"/>
              </w:rPr>
              <w:t>POPCOM</w:t>
            </w:r>
          </w:p>
        </w:tc>
        <w:tc>
          <w:tcPr>
            <w:tcW w:w="3430" w:type="dxa"/>
            <w:shd w:val="clear" w:color="auto" w:fill="auto"/>
            <w:vAlign w:val="bottom"/>
            <w:hideMark/>
          </w:tcPr>
          <w:p>
            <w:pPr>
              <w:spacing w:line="276" w:lineRule="auto"/>
              <w:rPr>
                <w:color w:val="000000"/>
                <w:sz w:val="22"/>
                <w:szCs w:val="22"/>
                <w:lang w:val="en-PH" w:eastAsia="en-PH"/>
              </w:rPr>
            </w:pPr>
            <w:r>
              <w:rPr>
                <w:color w:val="000000"/>
                <w:sz w:val="22"/>
                <w:szCs w:val="22"/>
                <w:lang w:val="en-PH" w:eastAsia="en-PH"/>
              </w:rPr>
              <w:t>Cash Prize as Regional I 09-30-2015 I Php 50,000.00 Winner Salas Population &amp; Development Award*</w:t>
            </w:r>
          </w:p>
        </w:tc>
        <w:tc>
          <w:tcPr>
            <w:tcW w:w="1610" w:type="dxa"/>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06/04/2009</w:t>
            </w:r>
          </w:p>
        </w:tc>
        <w:tc>
          <w:tcPr>
            <w:tcW w:w="1530" w:type="dxa"/>
            <w:shd w:val="clear" w:color="auto" w:fill="auto"/>
            <w:noWrap/>
            <w:hideMark/>
          </w:tcPr>
          <w:p>
            <w:pPr>
              <w:spacing w:line="276" w:lineRule="auto"/>
              <w:jc w:val="right"/>
              <w:rPr>
                <w:color w:val="000000"/>
                <w:sz w:val="22"/>
                <w:szCs w:val="22"/>
                <w:lang w:val="en-PH" w:eastAsia="en-PH"/>
              </w:rPr>
            </w:pPr>
            <w:r>
              <w:rPr>
                <w:color w:val="000000"/>
                <w:sz w:val="22"/>
                <w:szCs w:val="22"/>
                <w:lang w:val="en-PH" w:eastAsia="en-PH"/>
              </w:rPr>
              <w:t>7,016.60</w:t>
            </w:r>
          </w:p>
        </w:tc>
        <w:tc>
          <w:tcPr>
            <w:tcW w:w="980" w:type="dxa"/>
          </w:tcPr>
          <w:p>
            <w:pPr>
              <w:spacing w:line="276" w:lineRule="auto"/>
              <w:jc w:val="center"/>
              <w:rPr>
                <w:color w:val="000000"/>
                <w:sz w:val="22"/>
                <w:szCs w:val="22"/>
                <w:lang w:val="en-PH" w:eastAsia="en-PH"/>
              </w:rPr>
            </w:pPr>
            <w:r>
              <w:rPr>
                <w:color w:val="000000"/>
                <w:sz w:val="22"/>
                <w:szCs w:val="22"/>
                <w:lang w:val="en-PH" w:eastAsia="en-PH"/>
              </w:rPr>
              <w:t>13</w:t>
            </w:r>
          </w:p>
        </w:tc>
      </w:tr>
      <w:tr>
        <w:trPr>
          <w:cantSplit/>
          <w:trHeight w:val="125"/>
          <w:jc w:val="center"/>
        </w:trPr>
        <w:tc>
          <w:tcPr>
            <w:tcW w:w="6215" w:type="dxa"/>
            <w:gridSpan w:val="3"/>
            <w:shd w:val="clear" w:color="auto" w:fill="auto"/>
            <w:noWrap/>
            <w:vAlign w:val="bottom"/>
          </w:tcPr>
          <w:p>
            <w:pPr>
              <w:spacing w:line="276" w:lineRule="auto"/>
              <w:rPr>
                <w:b/>
                <w:bCs/>
                <w:color w:val="000000"/>
                <w:sz w:val="22"/>
                <w:szCs w:val="22"/>
                <w:lang w:val="en-PH" w:eastAsia="en-PH"/>
              </w:rPr>
            </w:pPr>
            <w:r>
              <w:rPr>
                <w:b/>
                <w:bCs/>
                <w:color w:val="000000"/>
                <w:sz w:val="22"/>
                <w:szCs w:val="22"/>
                <w:lang w:val="en-PH" w:eastAsia="en-PH"/>
              </w:rPr>
              <w:t>TOTAL</w:t>
            </w:r>
          </w:p>
        </w:tc>
        <w:tc>
          <w:tcPr>
            <w:tcW w:w="1530" w:type="dxa"/>
            <w:shd w:val="clear" w:color="auto" w:fill="auto"/>
            <w:noWrap/>
            <w:vAlign w:val="bottom"/>
          </w:tcPr>
          <w:p>
            <w:pPr>
              <w:spacing w:line="276" w:lineRule="auto"/>
              <w:jc w:val="right"/>
              <w:rPr>
                <w:color w:val="000000"/>
                <w:sz w:val="22"/>
                <w:szCs w:val="22"/>
                <w:lang w:val="en-PH" w:eastAsia="en-PH"/>
              </w:rPr>
            </w:pPr>
            <w:r>
              <w:rPr>
                <w:b/>
                <w:bCs/>
                <w:color w:val="000000"/>
                <w:sz w:val="22"/>
                <w:szCs w:val="22"/>
                <w:lang w:val="en-PH" w:eastAsia="en-PH"/>
              </w:rPr>
              <w:t>3,251,430.38</w:t>
            </w:r>
          </w:p>
        </w:tc>
        <w:tc>
          <w:tcPr>
            <w:tcW w:w="980" w:type="dxa"/>
          </w:tcPr>
          <w:p>
            <w:pPr>
              <w:spacing w:line="276" w:lineRule="auto"/>
              <w:jc w:val="center"/>
              <w:rPr>
                <w:b/>
                <w:bCs/>
                <w:color w:val="000000"/>
                <w:sz w:val="22"/>
                <w:szCs w:val="22"/>
                <w:lang w:val="en-PH" w:eastAsia="en-PH"/>
              </w:rPr>
            </w:pPr>
          </w:p>
        </w:tc>
      </w:tr>
    </w:tbl>
    <w:p>
      <w:pPr>
        <w:autoSpaceDE w:val="0"/>
        <w:autoSpaceDN w:val="0"/>
        <w:adjustRightInd w:val="0"/>
        <w:spacing w:line="276" w:lineRule="auto"/>
        <w:jc w:val="both"/>
        <w:rPr>
          <w:rFonts w:eastAsia="Calibri"/>
          <w:bCs/>
          <w:i/>
          <w:iCs/>
          <w:color w:val="000000"/>
        </w:rPr>
      </w:pPr>
      <w:r>
        <w:rPr>
          <w:rFonts w:eastAsia="Calibri"/>
          <w:bCs/>
          <w:i/>
          <w:iCs/>
          <w:color w:val="000000"/>
        </w:rPr>
        <w:t>*with confirmation letter sent by City Accountant to source agency</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As observed in Table 12.1, most of the accounts have minimal balances and have no transactions for three (3) to fifteen (15) years which would indicate that these are unused funds from the completed/abandoned projects implemented by the City Government. The </w:t>
      </w:r>
      <w:r>
        <w:rPr>
          <w:rFonts w:eastAsia="Calibri"/>
          <w:bCs/>
          <w:color w:val="000000"/>
        </w:rPr>
        <w:lastRenderedPageBreak/>
        <w:t xml:space="preserve">continued keeping of unused balances of fund transfers received from NGAs is contrary to </w:t>
      </w:r>
      <w:r>
        <w:t xml:space="preserve">COA Circular No. 94-013 and </w:t>
      </w:r>
      <w:r>
        <w:rPr>
          <w:rFonts w:eastAsia="Calibri"/>
          <w:bCs/>
          <w:color w:val="000000"/>
        </w:rPr>
        <w:t>EO No. 431 dated May 30, 2005.</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Similar audit observation was included in the Annual Audit Report of CY2016 and in the prior years. We have recommended therein the return of the unused balance to the source agency/National Treasury and to check the existing records, Memorandum of Agreement, and other pertinent documents to correct the unreconciled amounts. However, six (6) years had passed and still the recommendations were not yet fully implemented, thus this reiteration.</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Inquiry with the City Accountant revealed that their Office has been sending confirmation letters to some government agencies regarding the aforesaid balances. Verification of the said confirmation showed that the City Accounting Office sent the letters on August and September 2022 for outstanding fund transfers totaling P1,050,436.08 or 32% of the total balance amounting to P3,251,430.38 as detailed above. However, the remaining 68% or P2,200,994.30 is still subject for confirmation.</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Consequently, the retention of these funds deprived the National Government of additional resources that could be used to fund other priority projects for the benefit of the public.</w:t>
      </w:r>
    </w:p>
    <w:p>
      <w:pPr>
        <w:spacing w:line="276" w:lineRule="auto"/>
        <w:jc w:val="both"/>
        <w:rPr>
          <w:b/>
        </w:rPr>
      </w:pPr>
    </w:p>
    <w:p>
      <w:pPr>
        <w:spacing w:line="276" w:lineRule="auto"/>
        <w:jc w:val="both"/>
        <w:rPr>
          <w:b/>
        </w:rPr>
      </w:pPr>
      <w:r>
        <w:rPr>
          <w:b/>
        </w:rPr>
        <w:t xml:space="preserve">Recommendations: </w:t>
      </w:r>
    </w:p>
    <w:p>
      <w:pPr>
        <w:spacing w:line="276" w:lineRule="auto"/>
        <w:jc w:val="both"/>
        <w:rPr>
          <w:b/>
        </w:rPr>
      </w:pPr>
    </w:p>
    <w:p>
      <w:pPr>
        <w:autoSpaceDE w:val="0"/>
        <w:autoSpaceDN w:val="0"/>
        <w:adjustRightInd w:val="0"/>
        <w:spacing w:line="276" w:lineRule="auto"/>
        <w:jc w:val="both"/>
        <w:rPr>
          <w:rFonts w:eastAsia="Calibri"/>
          <w:bCs/>
        </w:rPr>
      </w:pPr>
      <w:r>
        <w:rPr>
          <w:rFonts w:eastAsia="Calibri"/>
          <w:bCs/>
        </w:rPr>
        <w:t>We recommended the City Mayor to:</w:t>
      </w:r>
    </w:p>
    <w:p>
      <w:pPr>
        <w:autoSpaceDE w:val="0"/>
        <w:autoSpaceDN w:val="0"/>
        <w:adjustRightInd w:val="0"/>
        <w:spacing w:line="276" w:lineRule="auto"/>
        <w:ind w:firstLine="720"/>
        <w:jc w:val="both"/>
        <w:rPr>
          <w:rFonts w:eastAsia="Calibri"/>
          <w:bCs/>
        </w:rPr>
      </w:pPr>
    </w:p>
    <w:p>
      <w:pPr>
        <w:numPr>
          <w:ilvl w:val="0"/>
          <w:numId w:val="30"/>
        </w:numPr>
        <w:autoSpaceDE w:val="0"/>
        <w:autoSpaceDN w:val="0"/>
        <w:adjustRightInd w:val="0"/>
        <w:spacing w:line="276" w:lineRule="auto"/>
        <w:ind w:left="360"/>
        <w:contextualSpacing/>
        <w:jc w:val="both"/>
        <w:rPr>
          <w:rFonts w:eastAsia="Calibri"/>
          <w:bCs/>
        </w:rPr>
      </w:pPr>
      <w:r>
        <w:rPr>
          <w:rFonts w:eastAsia="Calibri"/>
          <w:bCs/>
        </w:rPr>
        <w:t>Direct the City Treasurer and City Accountant to return immediately the unused balances of fund transfers received to its source agencies, and if the source agencies could no longer be identified, the fund should be returned to the Bureau of the Treasury; and</w:t>
      </w:r>
    </w:p>
    <w:p>
      <w:pPr>
        <w:autoSpaceDE w:val="0"/>
        <w:autoSpaceDN w:val="0"/>
        <w:adjustRightInd w:val="0"/>
        <w:spacing w:line="276" w:lineRule="auto"/>
        <w:ind w:left="360"/>
        <w:jc w:val="both"/>
        <w:rPr>
          <w:rFonts w:eastAsia="Calibri"/>
          <w:bCs/>
        </w:rPr>
      </w:pPr>
    </w:p>
    <w:p>
      <w:pPr>
        <w:numPr>
          <w:ilvl w:val="0"/>
          <w:numId w:val="30"/>
        </w:numPr>
        <w:autoSpaceDE w:val="0"/>
        <w:autoSpaceDN w:val="0"/>
        <w:adjustRightInd w:val="0"/>
        <w:spacing w:line="276" w:lineRule="auto"/>
        <w:ind w:left="360"/>
        <w:contextualSpacing/>
        <w:jc w:val="both"/>
        <w:rPr>
          <w:rFonts w:eastAsia="Calibri"/>
          <w:bCs/>
        </w:rPr>
      </w:pPr>
      <w:r>
        <w:rPr>
          <w:rFonts w:eastAsia="Calibri"/>
          <w:bCs/>
        </w:rPr>
        <w:t>Require the City Accounting Office to speed up the reconciliation of the balances in the Due to NGAs account to properly reflect the appropriate balance of the said account.</w:t>
      </w:r>
    </w:p>
    <w:p>
      <w:pPr>
        <w:spacing w:line="276" w:lineRule="auto"/>
        <w:jc w:val="both"/>
      </w:pPr>
    </w:p>
    <w:p>
      <w:pPr>
        <w:spacing w:line="276" w:lineRule="auto"/>
        <w:ind w:right="162"/>
        <w:jc w:val="both"/>
        <w:rPr>
          <w:b/>
          <w:bCs/>
        </w:rPr>
      </w:pPr>
      <w:r>
        <w:rPr>
          <w:b/>
          <w:bCs/>
        </w:rPr>
        <w:t>Management’s Comments:</w:t>
      </w:r>
    </w:p>
    <w:p>
      <w:pPr>
        <w:spacing w:line="276" w:lineRule="auto"/>
        <w:jc w:val="both"/>
        <w:rPr>
          <w:b/>
        </w:rPr>
      </w:pPr>
    </w:p>
    <w:p>
      <w:pPr>
        <w:spacing w:line="276" w:lineRule="auto"/>
        <w:jc w:val="both"/>
      </w:pPr>
      <w:r>
        <w:t xml:space="preserve">The management was amenable to the audit observations and recommendations. CAO explained that the identified unused balances of NGAs are still under reconciliation except for one (1) account that was already returned to the source agency and two (2) accounts scheduled to be returned in February 2023. A notice was also sent to the City </w:t>
      </w:r>
      <w:r>
        <w:lastRenderedPageBreak/>
        <w:t xml:space="preserve">Health Office, as the implementing office, on the status of implementation of various PPAs funded by the NGAs. </w:t>
      </w:r>
    </w:p>
    <w:p>
      <w:pPr>
        <w:spacing w:line="276" w:lineRule="auto"/>
        <w:jc w:val="both"/>
      </w:pPr>
    </w:p>
    <w:p>
      <w:pPr>
        <w:spacing w:line="276" w:lineRule="auto"/>
        <w:jc w:val="both"/>
      </w:pPr>
      <w:r>
        <w:t xml:space="preserve">CAO added that although these funds were long outstanding for several years, the lack of trails and/or evidence led to the uncertainty that the amount are unutilized/unused. During the conduct of the reconciliation and analysis, disbursements that were not yet charged to its corresponding NGA account were uncovered such as PPE acquisitions and inventory purchases. The accountant stated that liquidation reports which reflect the actual utilizations were also not available during her assumption of duty in the City of </w:t>
      </w:r>
      <w:proofErr w:type="spellStart"/>
      <w:r>
        <w:t>Panabo</w:t>
      </w:r>
      <w:proofErr w:type="spellEnd"/>
      <w:r>
        <w:t xml:space="preserve"> in the 4</w:t>
      </w:r>
      <w:r>
        <w:rPr>
          <w:vertAlign w:val="superscript"/>
        </w:rPr>
        <w:t>th</w:t>
      </w:r>
      <w:r>
        <w:t xml:space="preserve"> quarter of CY 2014.</w:t>
      </w:r>
    </w:p>
    <w:p>
      <w:pPr>
        <w:spacing w:line="276" w:lineRule="auto"/>
        <w:jc w:val="both"/>
      </w:pPr>
    </w:p>
    <w:p>
      <w:pPr>
        <w:spacing w:line="276" w:lineRule="auto"/>
        <w:jc w:val="both"/>
      </w:pPr>
      <w:r>
        <w:t>CAO was amenable that balances should have been monitored, reconciled and returned to NGAs within the period of time that purposes of these funds were still on-going until its accomplishments. Nonetheless, as part of the management’s actions toward these dormant accounts, confirmations of the correctness of the remaining balances were sent to source NGAs. CAO committed to continue the confirmation of the balances and exhaust all the means of verification in CY 2023 before returning the funds to source agencies. This is to avoid the return of funds for PPAs already implemented but not yet charged to source account and to ensure that the funds being returned are indeed unutilized so as not to affect the funds of other NGAs.</w:t>
      </w:r>
    </w:p>
    <w:p>
      <w:pPr>
        <w:spacing w:line="276" w:lineRule="auto"/>
        <w:jc w:val="both"/>
      </w:pPr>
    </w:p>
    <w:p>
      <w:pPr>
        <w:spacing w:line="276" w:lineRule="auto"/>
        <w:jc w:val="both"/>
      </w:pPr>
      <w:r>
        <w:t>The CAO further stated that their office is fully aware of the status of NGAs account even before the issuance of the noted observations. However, reconciliation was process slowed down due to lack of technical personnel and to give priority to daily tasks and regular operations. The CAO expressed the urgent need for CPAs in their office to conduct the said accounting analysis and reconciliation. However, assurance is given that the recently downloaded funds from NGAs are properly monitored, liquidated and remitted to source agencies for any unexpended balance.</w:t>
      </w:r>
    </w:p>
    <w:p>
      <w:pPr>
        <w:spacing w:line="276" w:lineRule="auto"/>
        <w:jc w:val="both"/>
      </w:pPr>
    </w:p>
    <w:p>
      <w:pPr>
        <w:spacing w:line="276" w:lineRule="auto"/>
        <w:jc w:val="both"/>
      </w:pPr>
      <w:r>
        <w:t>On the other hand, CTO pledged to coordinate with the CAO to avoid occurrence of the same oversight. They also expressed gratefulness for the recommendations given and committed to act upon towards a better performance and compliance on the existing rules and laws.</w:t>
      </w:r>
    </w:p>
    <w:p>
      <w:pPr>
        <w:spacing w:line="276" w:lineRule="auto"/>
        <w:jc w:val="both"/>
      </w:pPr>
    </w:p>
    <w:p>
      <w:pPr>
        <w:spacing w:line="276" w:lineRule="auto"/>
        <w:jc w:val="both"/>
      </w:pPr>
      <w:r>
        <w:rPr>
          <w:b/>
        </w:rPr>
        <w:t>A</w:t>
      </w:r>
      <w:r>
        <w:rPr>
          <w:b/>
          <w:bCs/>
        </w:rPr>
        <w:t>uditor’s Rejoinder:</w:t>
      </w:r>
    </w:p>
    <w:p>
      <w:pPr>
        <w:spacing w:line="276" w:lineRule="auto"/>
        <w:ind w:firstLine="720"/>
        <w:jc w:val="both"/>
      </w:pPr>
    </w:p>
    <w:p>
      <w:pPr>
        <w:spacing w:line="276" w:lineRule="auto"/>
        <w:jc w:val="both"/>
      </w:pPr>
      <w:r>
        <w:t xml:space="preserve">This audit observation is a reiteration from prior years’ Annual Audit Reports. Thus, it is suggested that the management should prioritize in addressing this concern. The audit team recognizes the efforts exerted by the accounting office, however, it is emphasized that reconciliations should not be delayed in order to avoid the piling of </w:t>
      </w:r>
      <w:r>
        <w:lastRenderedPageBreak/>
        <w:t>errors/misstatements in the balances of the accounts. Since the lack of personnel with technical expertise has been identified as one of the major factors for the deficiencies in the financial records, management should hire additional CPAs, if found necessary and subject to the budgetary requirements, and ensure that personnel with accounting-related courses be assigned to perform these technical tasks and responsibilities.</w:t>
      </w:r>
    </w:p>
    <w:p>
      <w:pPr>
        <w:spacing w:line="276" w:lineRule="auto"/>
        <w:jc w:val="both"/>
        <w:rPr>
          <w:i/>
        </w:rPr>
      </w:pPr>
    </w:p>
    <w:p>
      <w:pPr>
        <w:spacing w:line="276" w:lineRule="auto"/>
        <w:jc w:val="both"/>
        <w:rPr>
          <w:i/>
        </w:rPr>
      </w:pPr>
    </w:p>
    <w:p>
      <w:pPr>
        <w:spacing w:line="276" w:lineRule="auto"/>
        <w:ind w:right="270"/>
        <w:rPr>
          <w:b/>
          <w:bCs/>
          <w:i/>
        </w:rPr>
      </w:pPr>
      <w:r>
        <w:rPr>
          <w:b/>
          <w:bCs/>
          <w:i/>
        </w:rPr>
        <w:t>Unremitted share to the National Meat Inspection Service</w:t>
      </w:r>
    </w:p>
    <w:p>
      <w:pPr>
        <w:spacing w:line="276" w:lineRule="auto"/>
        <w:ind w:right="270"/>
        <w:rPr>
          <w:i/>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Non-compliance with the provisions of Section 7(b) of Executive Order No. 137 dated November 28, 1993 and Rule 11.2 of Implementing Rules and Regulations (IRR) of RA 9296 known as the Meat Inspection Code of the Philippines resulted to the accumulation of unremitted share to National Meat Inspection Service (NMIS) amounting to P1,107,161.44 recorded under the Due to NGAs account, thereby depriving the said agency of additional funds to support the implementation of various programs and activities in line with their mandate.</w:t>
      </w:r>
    </w:p>
    <w:p>
      <w:pPr>
        <w:autoSpaceDE w:val="0"/>
        <w:autoSpaceDN w:val="0"/>
        <w:adjustRightInd w:val="0"/>
        <w:spacing w:line="276" w:lineRule="auto"/>
        <w:jc w:val="both"/>
        <w:rPr>
          <w:rFonts w:eastAsia="Calibri"/>
          <w:b/>
          <w:bCs/>
          <w:color w:val="000000"/>
        </w:rPr>
      </w:pPr>
    </w:p>
    <w:p>
      <w:pPr>
        <w:autoSpaceDE w:val="0"/>
        <w:autoSpaceDN w:val="0"/>
        <w:adjustRightInd w:val="0"/>
        <w:spacing w:line="276" w:lineRule="auto"/>
        <w:jc w:val="both"/>
        <w:rPr>
          <w:rFonts w:eastAsia="Calibri"/>
          <w:bCs/>
          <w:color w:val="000000"/>
        </w:rPr>
      </w:pPr>
      <w:r>
        <w:rPr>
          <w:rFonts w:eastAsia="Calibri"/>
          <w:bCs/>
          <w:color w:val="000000"/>
        </w:rPr>
        <w:t>Section 7(b) of Executive Order No. 137 which provides for the implementing rules and regulations governing the devolution of certain powers and functions of the national meat inspection commission to the local government units, states:</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ind w:left="709" w:right="702"/>
        <w:jc w:val="both"/>
        <w:rPr>
          <w:rFonts w:eastAsia="Calibri"/>
          <w:bCs/>
          <w:iCs/>
          <w:color w:val="000000"/>
        </w:rPr>
      </w:pPr>
      <w:r>
        <w:rPr>
          <w:rFonts w:eastAsia="Calibri"/>
          <w:bCs/>
          <w:iCs/>
          <w:color w:val="000000"/>
        </w:rPr>
        <w:t xml:space="preserve"> (b) The </w:t>
      </w:r>
      <w:proofErr w:type="gramStart"/>
      <w:r>
        <w:rPr>
          <w:rFonts w:eastAsia="Calibri"/>
          <w:bCs/>
          <w:iCs/>
          <w:color w:val="000000"/>
        </w:rPr>
        <w:t>twenty five</w:t>
      </w:r>
      <w:proofErr w:type="gramEnd"/>
      <w:r>
        <w:rPr>
          <w:rFonts w:eastAsia="Calibri"/>
          <w:bCs/>
          <w:iCs/>
          <w:color w:val="000000"/>
        </w:rPr>
        <w:t xml:space="preserve"> (25) per cent of the veterinary inspection fees (ante and post mortem) collected by the city and municipalities in class “AAA” shall be shared and remitted by the city and municipal treasurer to the NMIC on a quarterly basis but not beyond five (5) days after the end of each quarter. As in the case of class “AA”, the same shall accrue to whoever is directly supervising the inspection service as mentioned in Section 3 of this Order.</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In addition, the above-stated provision is emphasized in Rule 11.2 Implementing Rules and Regulations (IRR) of RA 9296 known as the Meat Inspection Code of the Philippines, to wit:</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ind w:left="709" w:right="702"/>
        <w:jc w:val="both"/>
        <w:rPr>
          <w:rFonts w:eastAsia="Calibri"/>
          <w:bCs/>
          <w:iCs/>
          <w:color w:val="000000"/>
        </w:rPr>
      </w:pPr>
      <w:r>
        <w:rPr>
          <w:rFonts w:eastAsia="Calibri"/>
          <w:bCs/>
          <w:iCs/>
          <w:color w:val="000000"/>
        </w:rPr>
        <w:t>Rule 11.2 Ante and post-mortem inspection fees shall be shared by the national government and LGUs as provided under Executive Order 137.</w:t>
      </w:r>
    </w:p>
    <w:p>
      <w:pPr>
        <w:spacing w:line="276" w:lineRule="auto"/>
        <w:ind w:right="-23"/>
        <w:jc w:val="both"/>
      </w:pPr>
    </w:p>
    <w:p>
      <w:pPr>
        <w:autoSpaceDE w:val="0"/>
        <w:autoSpaceDN w:val="0"/>
        <w:adjustRightInd w:val="0"/>
        <w:spacing w:line="276" w:lineRule="auto"/>
        <w:jc w:val="both"/>
        <w:rPr>
          <w:rFonts w:eastAsia="Calibri"/>
          <w:bCs/>
          <w:color w:val="000000"/>
        </w:rPr>
      </w:pPr>
      <w:r>
        <w:rPr>
          <w:rFonts w:eastAsia="Calibri"/>
          <w:bCs/>
          <w:color w:val="000000"/>
        </w:rPr>
        <w:t xml:space="preserve">Review of the subsidiary ledgers under the Due to NGAs account for General Fund showed an accumulated balance of P1,108,012.06 wherein a total of P1,107,161.44 or 99.92% represents the City’s payable to National Meat Inspection Service as its share for veterinary/meat inspection fees (ante and post mortem). Moreover, shown in the </w:t>
      </w:r>
      <w:r>
        <w:rPr>
          <w:rFonts w:eastAsia="Calibri"/>
          <w:bCs/>
          <w:color w:val="000000"/>
        </w:rPr>
        <w:lastRenderedPageBreak/>
        <w:t>following table are the quarterly collections of the City from CY 2020 to CY 2022 pertaining to the said activity:</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ind w:firstLine="720"/>
        <w:jc w:val="both"/>
        <w:rPr>
          <w:rFonts w:eastAsia="Calibri"/>
          <w:bCs/>
          <w:i/>
          <w:color w:val="000000"/>
        </w:rPr>
      </w:pPr>
      <w:r>
        <w:rPr>
          <w:rFonts w:eastAsia="Calibri"/>
          <w:bCs/>
          <w:i/>
          <w:color w:val="000000"/>
        </w:rPr>
        <w:t>Table 13.1. Quarterly collections of the City from CY 2020 to CY 2022</w:t>
      </w:r>
    </w:p>
    <w:tbl>
      <w:tblPr>
        <w:tblW w:w="7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000"/>
        <w:gridCol w:w="1840"/>
        <w:gridCol w:w="1730"/>
      </w:tblGrid>
      <w:tr>
        <w:trPr>
          <w:trHeight w:val="312"/>
          <w:tblHeader/>
          <w:jc w:val="center"/>
        </w:trPr>
        <w:tc>
          <w:tcPr>
            <w:tcW w:w="1600" w:type="dxa"/>
            <w:shd w:val="clear" w:color="auto" w:fill="auto"/>
            <w:noWrap/>
            <w:vAlign w:val="bottom"/>
            <w:hideMark/>
          </w:tcPr>
          <w:p>
            <w:pPr>
              <w:spacing w:line="276" w:lineRule="auto"/>
              <w:jc w:val="right"/>
              <w:rPr>
                <w:sz w:val="22"/>
                <w:szCs w:val="22"/>
                <w:lang w:val="en-PH" w:eastAsia="en-PH"/>
              </w:rPr>
            </w:pPr>
          </w:p>
        </w:tc>
        <w:tc>
          <w:tcPr>
            <w:tcW w:w="2000" w:type="dxa"/>
            <w:shd w:val="clear" w:color="auto" w:fill="auto"/>
            <w:noWrap/>
            <w:vAlign w:val="bottom"/>
            <w:hideMark/>
          </w:tcPr>
          <w:p>
            <w:pPr>
              <w:spacing w:line="276" w:lineRule="auto"/>
              <w:jc w:val="center"/>
              <w:rPr>
                <w:b/>
                <w:bCs/>
                <w:color w:val="000000"/>
                <w:sz w:val="22"/>
                <w:szCs w:val="22"/>
                <w:lang w:val="en-PH" w:eastAsia="en-PH"/>
              </w:rPr>
            </w:pPr>
            <w:r>
              <w:rPr>
                <w:b/>
                <w:bCs/>
                <w:color w:val="000000"/>
                <w:sz w:val="22"/>
                <w:szCs w:val="22"/>
                <w:lang w:val="en-PH" w:eastAsia="en-PH"/>
              </w:rPr>
              <w:t>Ante Mortem</w:t>
            </w:r>
          </w:p>
        </w:tc>
        <w:tc>
          <w:tcPr>
            <w:tcW w:w="1840" w:type="dxa"/>
            <w:shd w:val="clear" w:color="auto" w:fill="auto"/>
            <w:noWrap/>
            <w:vAlign w:val="bottom"/>
            <w:hideMark/>
          </w:tcPr>
          <w:p>
            <w:pPr>
              <w:spacing w:line="276" w:lineRule="auto"/>
              <w:jc w:val="center"/>
              <w:rPr>
                <w:b/>
                <w:bCs/>
                <w:color w:val="000000"/>
                <w:sz w:val="22"/>
                <w:szCs w:val="22"/>
                <w:lang w:val="en-PH" w:eastAsia="en-PH"/>
              </w:rPr>
            </w:pPr>
            <w:r>
              <w:rPr>
                <w:b/>
                <w:bCs/>
                <w:color w:val="000000"/>
                <w:sz w:val="22"/>
                <w:szCs w:val="22"/>
                <w:lang w:val="en-PH" w:eastAsia="en-PH"/>
              </w:rPr>
              <w:t>Post Mortem</w:t>
            </w:r>
          </w:p>
        </w:tc>
        <w:tc>
          <w:tcPr>
            <w:tcW w:w="1730" w:type="dxa"/>
            <w:vAlign w:val="bottom"/>
          </w:tcPr>
          <w:p>
            <w:pPr>
              <w:spacing w:line="276" w:lineRule="auto"/>
              <w:jc w:val="center"/>
              <w:rPr>
                <w:b/>
                <w:bCs/>
                <w:color w:val="000000"/>
                <w:sz w:val="22"/>
                <w:szCs w:val="22"/>
                <w:lang w:val="en-PH" w:eastAsia="en-PH"/>
              </w:rPr>
            </w:pPr>
            <w:r>
              <w:rPr>
                <w:b/>
                <w:bCs/>
                <w:sz w:val="22"/>
                <w:szCs w:val="22"/>
              </w:rPr>
              <w:t>Total</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1st </w:t>
            </w:r>
            <w:proofErr w:type="spellStart"/>
            <w:r>
              <w:rPr>
                <w:color w:val="000000"/>
                <w:sz w:val="22"/>
                <w:szCs w:val="22"/>
                <w:lang w:val="en-PH" w:eastAsia="en-PH"/>
              </w:rPr>
              <w:t>Qtr</w:t>
            </w:r>
            <w:proofErr w:type="spellEnd"/>
            <w:r>
              <w:rPr>
                <w:color w:val="000000"/>
                <w:sz w:val="22"/>
                <w:szCs w:val="22"/>
                <w:lang w:val="en-PH" w:eastAsia="en-PH"/>
              </w:rPr>
              <w:t xml:space="preserve"> 2020</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10,701.25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50,357.50 </w:t>
            </w:r>
          </w:p>
        </w:tc>
        <w:tc>
          <w:tcPr>
            <w:tcW w:w="1730" w:type="dxa"/>
            <w:vAlign w:val="bottom"/>
          </w:tcPr>
          <w:p>
            <w:pPr>
              <w:spacing w:line="276" w:lineRule="auto"/>
              <w:jc w:val="right"/>
              <w:rPr>
                <w:color w:val="000000"/>
                <w:sz w:val="22"/>
                <w:szCs w:val="22"/>
                <w:lang w:val="en-PH" w:eastAsia="en-PH"/>
              </w:rPr>
            </w:pPr>
            <w:r>
              <w:rPr>
                <w:sz w:val="22"/>
                <w:szCs w:val="22"/>
              </w:rPr>
              <w:t xml:space="preserve"> 61,058.75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2nd </w:t>
            </w:r>
            <w:proofErr w:type="spellStart"/>
            <w:r>
              <w:rPr>
                <w:color w:val="000000"/>
                <w:sz w:val="22"/>
                <w:szCs w:val="22"/>
                <w:lang w:val="en-PH" w:eastAsia="en-PH"/>
              </w:rPr>
              <w:t>Qtr</w:t>
            </w:r>
            <w:proofErr w:type="spellEnd"/>
            <w:r>
              <w:rPr>
                <w:color w:val="000000"/>
                <w:sz w:val="22"/>
                <w:szCs w:val="22"/>
                <w:lang w:val="en-PH" w:eastAsia="en-PH"/>
              </w:rPr>
              <w:t xml:space="preserve"> 2020</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10,885.00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40,728.75 </w:t>
            </w:r>
          </w:p>
        </w:tc>
        <w:tc>
          <w:tcPr>
            <w:tcW w:w="1730" w:type="dxa"/>
            <w:vAlign w:val="bottom"/>
          </w:tcPr>
          <w:p>
            <w:pPr>
              <w:spacing w:line="276" w:lineRule="auto"/>
              <w:jc w:val="right"/>
              <w:rPr>
                <w:color w:val="000000"/>
                <w:sz w:val="22"/>
                <w:szCs w:val="22"/>
                <w:lang w:val="en-PH" w:eastAsia="en-PH"/>
              </w:rPr>
            </w:pPr>
            <w:r>
              <w:rPr>
                <w:sz w:val="22"/>
                <w:szCs w:val="22"/>
              </w:rPr>
              <w:t xml:space="preserve"> 51,613.75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3rd </w:t>
            </w:r>
            <w:proofErr w:type="spellStart"/>
            <w:r>
              <w:rPr>
                <w:color w:val="000000"/>
                <w:sz w:val="22"/>
                <w:szCs w:val="22"/>
                <w:lang w:val="en-PH" w:eastAsia="en-PH"/>
              </w:rPr>
              <w:t>Qtr</w:t>
            </w:r>
            <w:proofErr w:type="spellEnd"/>
            <w:r>
              <w:rPr>
                <w:color w:val="000000"/>
                <w:sz w:val="22"/>
                <w:szCs w:val="22"/>
                <w:lang w:val="en-PH" w:eastAsia="en-PH"/>
              </w:rPr>
              <w:t xml:space="preserve"> 2020</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12,957.50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58,015.00 </w:t>
            </w:r>
          </w:p>
        </w:tc>
        <w:tc>
          <w:tcPr>
            <w:tcW w:w="1730" w:type="dxa"/>
            <w:vAlign w:val="bottom"/>
          </w:tcPr>
          <w:p>
            <w:pPr>
              <w:spacing w:line="276" w:lineRule="auto"/>
              <w:jc w:val="right"/>
              <w:rPr>
                <w:color w:val="000000"/>
                <w:sz w:val="22"/>
                <w:szCs w:val="22"/>
                <w:lang w:val="en-PH" w:eastAsia="en-PH"/>
              </w:rPr>
            </w:pPr>
            <w:r>
              <w:rPr>
                <w:sz w:val="22"/>
                <w:szCs w:val="22"/>
              </w:rPr>
              <w:t xml:space="preserve"> 70,972.50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4th </w:t>
            </w:r>
            <w:proofErr w:type="spellStart"/>
            <w:r>
              <w:rPr>
                <w:color w:val="000000"/>
                <w:sz w:val="22"/>
                <w:szCs w:val="22"/>
                <w:lang w:val="en-PH" w:eastAsia="en-PH"/>
              </w:rPr>
              <w:t>Qtr</w:t>
            </w:r>
            <w:proofErr w:type="spellEnd"/>
            <w:r>
              <w:rPr>
                <w:color w:val="000000"/>
                <w:sz w:val="22"/>
                <w:szCs w:val="22"/>
                <w:lang w:val="en-PH" w:eastAsia="en-PH"/>
              </w:rPr>
              <w:t xml:space="preserve"> 2020</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14,758.75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65,636.25 </w:t>
            </w:r>
          </w:p>
        </w:tc>
        <w:tc>
          <w:tcPr>
            <w:tcW w:w="1730" w:type="dxa"/>
            <w:vAlign w:val="bottom"/>
          </w:tcPr>
          <w:p>
            <w:pPr>
              <w:spacing w:line="276" w:lineRule="auto"/>
              <w:jc w:val="right"/>
              <w:rPr>
                <w:color w:val="000000"/>
                <w:sz w:val="22"/>
                <w:szCs w:val="22"/>
                <w:lang w:val="en-PH" w:eastAsia="en-PH"/>
              </w:rPr>
            </w:pPr>
            <w:r>
              <w:rPr>
                <w:sz w:val="22"/>
                <w:szCs w:val="22"/>
              </w:rPr>
              <w:t xml:space="preserve"> 80,395.00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1st </w:t>
            </w:r>
            <w:proofErr w:type="spellStart"/>
            <w:r>
              <w:rPr>
                <w:color w:val="000000"/>
                <w:sz w:val="22"/>
                <w:szCs w:val="22"/>
                <w:lang w:val="en-PH" w:eastAsia="en-PH"/>
              </w:rPr>
              <w:t>Qtr</w:t>
            </w:r>
            <w:proofErr w:type="spellEnd"/>
            <w:r>
              <w:rPr>
                <w:color w:val="000000"/>
                <w:sz w:val="22"/>
                <w:szCs w:val="22"/>
                <w:lang w:val="en-PH" w:eastAsia="en-PH"/>
              </w:rPr>
              <w:t xml:space="preserve"> 2021</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12,337.50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55,245.00 </w:t>
            </w:r>
          </w:p>
        </w:tc>
        <w:tc>
          <w:tcPr>
            <w:tcW w:w="1730" w:type="dxa"/>
            <w:vAlign w:val="bottom"/>
          </w:tcPr>
          <w:p>
            <w:pPr>
              <w:spacing w:line="276" w:lineRule="auto"/>
              <w:jc w:val="right"/>
              <w:rPr>
                <w:color w:val="000000"/>
                <w:sz w:val="22"/>
                <w:szCs w:val="22"/>
                <w:lang w:val="en-PH" w:eastAsia="en-PH"/>
              </w:rPr>
            </w:pPr>
            <w:r>
              <w:rPr>
                <w:sz w:val="22"/>
                <w:szCs w:val="22"/>
              </w:rPr>
              <w:t xml:space="preserve"> 67,582.50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2nd </w:t>
            </w:r>
            <w:proofErr w:type="spellStart"/>
            <w:r>
              <w:rPr>
                <w:color w:val="000000"/>
                <w:sz w:val="22"/>
                <w:szCs w:val="22"/>
                <w:lang w:val="en-PH" w:eastAsia="en-PH"/>
              </w:rPr>
              <w:t>Qtr</w:t>
            </w:r>
            <w:proofErr w:type="spellEnd"/>
            <w:r>
              <w:rPr>
                <w:color w:val="000000"/>
                <w:sz w:val="22"/>
                <w:szCs w:val="22"/>
                <w:lang w:val="en-PH" w:eastAsia="en-PH"/>
              </w:rPr>
              <w:t xml:space="preserve"> 2021</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10,998.75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48,840.00 </w:t>
            </w:r>
          </w:p>
        </w:tc>
        <w:tc>
          <w:tcPr>
            <w:tcW w:w="1730" w:type="dxa"/>
            <w:vAlign w:val="bottom"/>
          </w:tcPr>
          <w:p>
            <w:pPr>
              <w:spacing w:line="276" w:lineRule="auto"/>
              <w:jc w:val="right"/>
              <w:rPr>
                <w:color w:val="000000"/>
                <w:sz w:val="22"/>
                <w:szCs w:val="22"/>
                <w:lang w:val="en-PH" w:eastAsia="en-PH"/>
              </w:rPr>
            </w:pPr>
            <w:r>
              <w:rPr>
                <w:sz w:val="22"/>
                <w:szCs w:val="22"/>
              </w:rPr>
              <w:t xml:space="preserve"> 59,838.75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3rd </w:t>
            </w:r>
            <w:proofErr w:type="spellStart"/>
            <w:r>
              <w:rPr>
                <w:color w:val="000000"/>
                <w:sz w:val="22"/>
                <w:szCs w:val="22"/>
                <w:lang w:val="en-PH" w:eastAsia="en-PH"/>
              </w:rPr>
              <w:t>Qtr</w:t>
            </w:r>
            <w:proofErr w:type="spellEnd"/>
            <w:r>
              <w:rPr>
                <w:color w:val="000000"/>
                <w:sz w:val="22"/>
                <w:szCs w:val="22"/>
                <w:lang w:val="en-PH" w:eastAsia="en-PH"/>
              </w:rPr>
              <w:t xml:space="preserve"> 2021</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10,281.25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46,021.25 </w:t>
            </w:r>
          </w:p>
        </w:tc>
        <w:tc>
          <w:tcPr>
            <w:tcW w:w="1730" w:type="dxa"/>
            <w:vAlign w:val="bottom"/>
          </w:tcPr>
          <w:p>
            <w:pPr>
              <w:spacing w:line="276" w:lineRule="auto"/>
              <w:jc w:val="right"/>
              <w:rPr>
                <w:color w:val="000000"/>
                <w:sz w:val="22"/>
                <w:szCs w:val="22"/>
                <w:lang w:val="en-PH" w:eastAsia="en-PH"/>
              </w:rPr>
            </w:pPr>
            <w:r>
              <w:rPr>
                <w:sz w:val="22"/>
                <w:szCs w:val="22"/>
              </w:rPr>
              <w:t xml:space="preserve"> 56,302.50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4th </w:t>
            </w:r>
            <w:proofErr w:type="spellStart"/>
            <w:r>
              <w:rPr>
                <w:color w:val="000000"/>
                <w:sz w:val="22"/>
                <w:szCs w:val="22"/>
                <w:lang w:val="en-PH" w:eastAsia="en-PH"/>
              </w:rPr>
              <w:t>Qtr</w:t>
            </w:r>
            <w:proofErr w:type="spellEnd"/>
            <w:r>
              <w:rPr>
                <w:color w:val="000000"/>
                <w:sz w:val="22"/>
                <w:szCs w:val="22"/>
                <w:lang w:val="en-PH" w:eastAsia="en-PH"/>
              </w:rPr>
              <w:t xml:space="preserve"> 2021</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13,967.50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61,795.00 </w:t>
            </w:r>
          </w:p>
        </w:tc>
        <w:tc>
          <w:tcPr>
            <w:tcW w:w="1730" w:type="dxa"/>
            <w:vAlign w:val="bottom"/>
          </w:tcPr>
          <w:p>
            <w:pPr>
              <w:spacing w:line="276" w:lineRule="auto"/>
              <w:jc w:val="right"/>
              <w:rPr>
                <w:color w:val="000000"/>
                <w:sz w:val="22"/>
                <w:szCs w:val="22"/>
                <w:lang w:val="en-PH" w:eastAsia="en-PH"/>
              </w:rPr>
            </w:pPr>
            <w:r>
              <w:rPr>
                <w:sz w:val="22"/>
                <w:szCs w:val="22"/>
              </w:rPr>
              <w:t xml:space="preserve"> 75,762.50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1st </w:t>
            </w:r>
            <w:proofErr w:type="spellStart"/>
            <w:r>
              <w:rPr>
                <w:color w:val="000000"/>
                <w:sz w:val="22"/>
                <w:szCs w:val="22"/>
                <w:lang w:val="en-PH" w:eastAsia="en-PH"/>
              </w:rPr>
              <w:t>Qtr</w:t>
            </w:r>
            <w:proofErr w:type="spellEnd"/>
            <w:r>
              <w:rPr>
                <w:color w:val="000000"/>
                <w:sz w:val="22"/>
                <w:szCs w:val="22"/>
                <w:lang w:val="en-PH" w:eastAsia="en-PH"/>
              </w:rPr>
              <w:t xml:space="preserve"> 2022</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11,663.13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52,661.87 </w:t>
            </w:r>
          </w:p>
        </w:tc>
        <w:tc>
          <w:tcPr>
            <w:tcW w:w="1730" w:type="dxa"/>
            <w:vAlign w:val="bottom"/>
          </w:tcPr>
          <w:p>
            <w:pPr>
              <w:spacing w:line="276" w:lineRule="auto"/>
              <w:jc w:val="right"/>
              <w:rPr>
                <w:color w:val="000000"/>
                <w:sz w:val="22"/>
                <w:szCs w:val="22"/>
                <w:lang w:val="en-PH" w:eastAsia="en-PH"/>
              </w:rPr>
            </w:pPr>
            <w:r>
              <w:rPr>
                <w:sz w:val="22"/>
                <w:szCs w:val="22"/>
              </w:rPr>
              <w:t xml:space="preserve"> 64,325.00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2nd </w:t>
            </w:r>
            <w:proofErr w:type="spellStart"/>
            <w:r>
              <w:rPr>
                <w:color w:val="000000"/>
                <w:sz w:val="22"/>
                <w:szCs w:val="22"/>
                <w:lang w:val="en-PH" w:eastAsia="en-PH"/>
              </w:rPr>
              <w:t>Qtr</w:t>
            </w:r>
            <w:proofErr w:type="spellEnd"/>
            <w:r>
              <w:rPr>
                <w:color w:val="000000"/>
                <w:sz w:val="22"/>
                <w:szCs w:val="22"/>
                <w:lang w:val="en-PH" w:eastAsia="en-PH"/>
              </w:rPr>
              <w:t xml:space="preserve"> 2022</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12,707.50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56,010.00 </w:t>
            </w:r>
          </w:p>
        </w:tc>
        <w:tc>
          <w:tcPr>
            <w:tcW w:w="1730" w:type="dxa"/>
            <w:vAlign w:val="bottom"/>
          </w:tcPr>
          <w:p>
            <w:pPr>
              <w:spacing w:line="276" w:lineRule="auto"/>
              <w:jc w:val="right"/>
              <w:rPr>
                <w:color w:val="000000"/>
                <w:sz w:val="22"/>
                <w:szCs w:val="22"/>
                <w:lang w:val="en-PH" w:eastAsia="en-PH"/>
              </w:rPr>
            </w:pPr>
            <w:r>
              <w:rPr>
                <w:sz w:val="22"/>
                <w:szCs w:val="22"/>
              </w:rPr>
              <w:t xml:space="preserve"> 68,717.50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3rd </w:t>
            </w:r>
            <w:proofErr w:type="spellStart"/>
            <w:r>
              <w:rPr>
                <w:color w:val="000000"/>
                <w:sz w:val="22"/>
                <w:szCs w:val="22"/>
                <w:lang w:val="en-PH" w:eastAsia="en-PH"/>
              </w:rPr>
              <w:t>Qtr</w:t>
            </w:r>
            <w:proofErr w:type="spellEnd"/>
            <w:r>
              <w:rPr>
                <w:color w:val="000000"/>
                <w:sz w:val="22"/>
                <w:szCs w:val="22"/>
                <w:lang w:val="en-PH" w:eastAsia="en-PH"/>
              </w:rPr>
              <w:t xml:space="preserve"> 2022</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164,910.72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206,300.72 </w:t>
            </w:r>
          </w:p>
        </w:tc>
        <w:tc>
          <w:tcPr>
            <w:tcW w:w="1730" w:type="dxa"/>
            <w:vAlign w:val="bottom"/>
          </w:tcPr>
          <w:p>
            <w:pPr>
              <w:spacing w:line="276" w:lineRule="auto"/>
              <w:jc w:val="right"/>
              <w:rPr>
                <w:color w:val="000000"/>
                <w:sz w:val="22"/>
                <w:szCs w:val="22"/>
                <w:lang w:val="en-PH" w:eastAsia="en-PH"/>
              </w:rPr>
            </w:pPr>
            <w:r>
              <w:rPr>
                <w:sz w:val="22"/>
                <w:szCs w:val="22"/>
              </w:rPr>
              <w:t xml:space="preserve"> 371,211.44 </w:t>
            </w:r>
          </w:p>
        </w:tc>
      </w:tr>
      <w:tr>
        <w:trPr>
          <w:trHeight w:val="312"/>
          <w:jc w:val="center"/>
        </w:trPr>
        <w:tc>
          <w:tcPr>
            <w:tcW w:w="1600" w:type="dxa"/>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4th </w:t>
            </w:r>
            <w:proofErr w:type="spellStart"/>
            <w:r>
              <w:rPr>
                <w:color w:val="000000"/>
                <w:sz w:val="22"/>
                <w:szCs w:val="22"/>
                <w:lang w:val="en-PH" w:eastAsia="en-PH"/>
              </w:rPr>
              <w:t>Qtr</w:t>
            </w:r>
            <w:proofErr w:type="spellEnd"/>
            <w:r>
              <w:rPr>
                <w:color w:val="000000"/>
                <w:sz w:val="22"/>
                <w:szCs w:val="22"/>
                <w:lang w:val="en-PH" w:eastAsia="en-PH"/>
              </w:rPr>
              <w:t xml:space="preserve"> 2022</w:t>
            </w:r>
          </w:p>
        </w:tc>
        <w:tc>
          <w:tcPr>
            <w:tcW w:w="200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14,601.25 </w:t>
            </w:r>
          </w:p>
        </w:tc>
        <w:tc>
          <w:tcPr>
            <w:tcW w:w="1840" w:type="dxa"/>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64,780.00 </w:t>
            </w:r>
          </w:p>
        </w:tc>
        <w:tc>
          <w:tcPr>
            <w:tcW w:w="1730" w:type="dxa"/>
            <w:vAlign w:val="bottom"/>
          </w:tcPr>
          <w:p>
            <w:pPr>
              <w:spacing w:line="276" w:lineRule="auto"/>
              <w:jc w:val="right"/>
              <w:rPr>
                <w:color w:val="000000"/>
                <w:sz w:val="22"/>
                <w:szCs w:val="22"/>
                <w:lang w:val="en-PH" w:eastAsia="en-PH"/>
              </w:rPr>
            </w:pPr>
            <w:r>
              <w:rPr>
                <w:sz w:val="22"/>
                <w:szCs w:val="22"/>
              </w:rPr>
              <w:t xml:space="preserve"> 79,381.25 </w:t>
            </w:r>
          </w:p>
        </w:tc>
      </w:tr>
      <w:tr>
        <w:trPr>
          <w:trHeight w:val="312"/>
          <w:jc w:val="center"/>
        </w:trPr>
        <w:tc>
          <w:tcPr>
            <w:tcW w:w="1600" w:type="dxa"/>
            <w:shd w:val="clear" w:color="auto" w:fill="auto"/>
            <w:noWrap/>
            <w:vAlign w:val="bottom"/>
            <w:hideMark/>
          </w:tcPr>
          <w:p>
            <w:pPr>
              <w:spacing w:line="276" w:lineRule="auto"/>
              <w:rPr>
                <w:b/>
                <w:bCs/>
                <w:color w:val="000000"/>
                <w:sz w:val="22"/>
                <w:szCs w:val="22"/>
                <w:lang w:val="en-PH" w:eastAsia="en-PH"/>
              </w:rPr>
            </w:pPr>
            <w:r>
              <w:rPr>
                <w:b/>
                <w:bCs/>
                <w:color w:val="000000"/>
                <w:sz w:val="22"/>
                <w:szCs w:val="22"/>
                <w:lang w:val="en-PH" w:eastAsia="en-PH"/>
              </w:rPr>
              <w:t>TOTAL</w:t>
            </w:r>
          </w:p>
        </w:tc>
        <w:tc>
          <w:tcPr>
            <w:tcW w:w="2000" w:type="dxa"/>
            <w:shd w:val="clear" w:color="auto" w:fill="auto"/>
            <w:noWrap/>
            <w:vAlign w:val="bottom"/>
            <w:hideMark/>
          </w:tcPr>
          <w:p>
            <w:pPr>
              <w:spacing w:line="276" w:lineRule="auto"/>
              <w:jc w:val="right"/>
              <w:rPr>
                <w:b/>
                <w:bCs/>
                <w:color w:val="000000"/>
                <w:sz w:val="22"/>
                <w:szCs w:val="22"/>
                <w:lang w:val="en-PH" w:eastAsia="en-PH"/>
              </w:rPr>
            </w:pPr>
            <w:r>
              <w:rPr>
                <w:b/>
                <w:bCs/>
                <w:color w:val="000000"/>
                <w:sz w:val="22"/>
                <w:szCs w:val="22"/>
                <w:lang w:val="en-PH" w:eastAsia="en-PH"/>
              </w:rPr>
              <w:t xml:space="preserve">300,770.10 </w:t>
            </w:r>
          </w:p>
        </w:tc>
        <w:tc>
          <w:tcPr>
            <w:tcW w:w="1840" w:type="dxa"/>
            <w:shd w:val="clear" w:color="auto" w:fill="auto"/>
            <w:noWrap/>
            <w:vAlign w:val="bottom"/>
            <w:hideMark/>
          </w:tcPr>
          <w:p>
            <w:pPr>
              <w:spacing w:line="276" w:lineRule="auto"/>
              <w:jc w:val="right"/>
              <w:rPr>
                <w:b/>
                <w:bCs/>
                <w:color w:val="000000"/>
                <w:sz w:val="22"/>
                <w:szCs w:val="22"/>
                <w:lang w:val="en-PH" w:eastAsia="en-PH"/>
              </w:rPr>
            </w:pPr>
            <w:r>
              <w:rPr>
                <w:b/>
                <w:bCs/>
                <w:color w:val="000000"/>
                <w:sz w:val="22"/>
                <w:szCs w:val="22"/>
                <w:lang w:val="en-PH" w:eastAsia="en-PH"/>
              </w:rPr>
              <w:t xml:space="preserve">806,391.34 </w:t>
            </w:r>
          </w:p>
        </w:tc>
        <w:tc>
          <w:tcPr>
            <w:tcW w:w="1730" w:type="dxa"/>
            <w:vAlign w:val="bottom"/>
          </w:tcPr>
          <w:p>
            <w:pPr>
              <w:spacing w:line="276" w:lineRule="auto"/>
              <w:jc w:val="right"/>
              <w:rPr>
                <w:b/>
                <w:bCs/>
                <w:color w:val="000000"/>
                <w:sz w:val="22"/>
                <w:szCs w:val="22"/>
                <w:lang w:val="en-PH" w:eastAsia="en-PH"/>
              </w:rPr>
            </w:pPr>
            <w:r>
              <w:rPr>
                <w:b/>
                <w:bCs/>
                <w:sz w:val="22"/>
                <w:szCs w:val="22"/>
              </w:rPr>
              <w:t xml:space="preserve"> 1,107,161.44 </w:t>
            </w:r>
          </w:p>
        </w:tc>
      </w:tr>
    </w:tbl>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Further verification of the subsidiary ledgers under Due to NGAs account for General Fund showed that the City started recording the NMIS share (ante and post mortem) on January 2020. However, no remittance has been made to the NMIS for such shares ever since which resulted to unremitted balance totaling P1,107,161.44. </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Inquiry with the City Accountant revealed that such amount is still indeed for remittance and personnel from City Treasurer’s Office (CTO) also confirmed that their Office has not made any remittance to NMIS regarding the abovementioned collections.</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The non-remittance by the City is in violation of the aforesaid provisions which requires the City Treasurer to remit the 25% share of NMIS on a quarterly basis. More so, the inability of the City to perform such duty has deprived the NMIS of additional resources to fund its priority programs and projects aligned with its mandate.</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
          <w:color w:val="000000"/>
        </w:rPr>
      </w:pPr>
      <w:r>
        <w:rPr>
          <w:rFonts w:eastAsia="Calibri"/>
          <w:b/>
          <w:color w:val="000000"/>
        </w:rPr>
        <w:t xml:space="preserve">Recommendations: </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 xml:space="preserve">We recommended the City Mayor to: </w:t>
      </w:r>
    </w:p>
    <w:p>
      <w:pPr>
        <w:autoSpaceDE w:val="0"/>
        <w:autoSpaceDN w:val="0"/>
        <w:adjustRightInd w:val="0"/>
        <w:spacing w:line="276" w:lineRule="auto"/>
        <w:ind w:firstLine="720"/>
        <w:jc w:val="both"/>
        <w:rPr>
          <w:rFonts w:eastAsia="Calibri"/>
          <w:bCs/>
        </w:rPr>
      </w:pPr>
    </w:p>
    <w:p>
      <w:pPr>
        <w:numPr>
          <w:ilvl w:val="0"/>
          <w:numId w:val="46"/>
        </w:numPr>
        <w:autoSpaceDE w:val="0"/>
        <w:autoSpaceDN w:val="0"/>
        <w:adjustRightInd w:val="0"/>
        <w:spacing w:line="276" w:lineRule="auto"/>
        <w:ind w:left="360"/>
        <w:contextualSpacing/>
        <w:jc w:val="both"/>
        <w:rPr>
          <w:rFonts w:eastAsia="Calibri"/>
          <w:bCs/>
          <w:color w:val="000000"/>
        </w:rPr>
      </w:pPr>
      <w:r>
        <w:rPr>
          <w:rFonts w:eastAsia="Calibri"/>
          <w:bCs/>
        </w:rPr>
        <w:t xml:space="preserve">Direct the City Treasurer to immediately remit the unremitted balance to NMIS and to ensure that future collections are timely remitted in accordance with the provisions </w:t>
      </w:r>
      <w:r>
        <w:rPr>
          <w:rFonts w:eastAsia="Calibri"/>
          <w:bCs/>
        </w:rPr>
        <w:lastRenderedPageBreak/>
        <w:t xml:space="preserve">of Section 7(b) of </w:t>
      </w:r>
      <w:r>
        <w:rPr>
          <w:rFonts w:eastAsia="Calibri"/>
          <w:bCs/>
          <w:color w:val="000000"/>
        </w:rPr>
        <w:t>Executive Order No. 137 and Rule 11.2 of Implementing Rules and Regulations (IRR) of RA 9296; and</w:t>
      </w:r>
    </w:p>
    <w:p>
      <w:pPr>
        <w:autoSpaceDE w:val="0"/>
        <w:autoSpaceDN w:val="0"/>
        <w:adjustRightInd w:val="0"/>
        <w:spacing w:line="276" w:lineRule="auto"/>
        <w:ind w:left="360" w:firstLine="720"/>
        <w:jc w:val="both"/>
        <w:rPr>
          <w:rFonts w:eastAsia="Calibri"/>
          <w:bCs/>
        </w:rPr>
      </w:pPr>
    </w:p>
    <w:p>
      <w:pPr>
        <w:numPr>
          <w:ilvl w:val="0"/>
          <w:numId w:val="46"/>
        </w:numPr>
        <w:autoSpaceDE w:val="0"/>
        <w:autoSpaceDN w:val="0"/>
        <w:adjustRightInd w:val="0"/>
        <w:spacing w:line="276" w:lineRule="auto"/>
        <w:ind w:left="360"/>
        <w:contextualSpacing/>
        <w:jc w:val="both"/>
        <w:rPr>
          <w:rFonts w:eastAsia="Calibri"/>
          <w:bCs/>
        </w:rPr>
      </w:pPr>
      <w:r>
        <w:rPr>
          <w:rFonts w:eastAsia="Calibri"/>
          <w:bCs/>
        </w:rPr>
        <w:t>Direct the City Accountant to record in the books of accounts once the remittance of NMIS share is made.</w:t>
      </w:r>
    </w:p>
    <w:p>
      <w:pPr>
        <w:spacing w:line="276" w:lineRule="auto"/>
        <w:ind w:right="270"/>
        <w:rPr>
          <w:b/>
        </w:rPr>
      </w:pPr>
    </w:p>
    <w:p>
      <w:pPr>
        <w:spacing w:line="276" w:lineRule="auto"/>
        <w:ind w:right="162"/>
        <w:jc w:val="both"/>
        <w:rPr>
          <w:b/>
          <w:bCs/>
        </w:rPr>
      </w:pPr>
      <w:r>
        <w:rPr>
          <w:b/>
          <w:bCs/>
        </w:rPr>
        <w:t>Management’s Comment:</w:t>
      </w:r>
    </w:p>
    <w:p>
      <w:pPr>
        <w:spacing w:line="276" w:lineRule="auto"/>
        <w:jc w:val="both"/>
        <w:rPr>
          <w:b/>
        </w:rPr>
      </w:pPr>
    </w:p>
    <w:p>
      <w:pPr>
        <w:spacing w:line="276" w:lineRule="auto"/>
        <w:jc w:val="both"/>
      </w:pPr>
      <w:r>
        <w:t>The management was amenable to the audit observations and recommendations. CTO and CAO have swiftly acted on the implementation of the audit recommendations. As proof thereto, they have submitted a copy of the Disbursement Voucher and Check No. 1534562 dated February 14, 2023 amounting to P1,107,161.44 to facilitate the remittance of inspection fee to NMIS.</w:t>
      </w:r>
    </w:p>
    <w:p>
      <w:pPr>
        <w:spacing w:line="276" w:lineRule="auto"/>
        <w:jc w:val="both"/>
        <w:rPr>
          <w:i/>
        </w:rPr>
      </w:pPr>
    </w:p>
    <w:p>
      <w:pPr>
        <w:spacing w:line="276" w:lineRule="auto"/>
        <w:jc w:val="both"/>
        <w:rPr>
          <w:i/>
        </w:rPr>
      </w:pPr>
    </w:p>
    <w:p>
      <w:pPr>
        <w:spacing w:line="276" w:lineRule="auto"/>
        <w:jc w:val="both"/>
        <w:rPr>
          <w:b/>
          <w:bCs/>
          <w:i/>
        </w:rPr>
      </w:pPr>
      <w:r>
        <w:rPr>
          <w:b/>
          <w:bCs/>
          <w:i/>
        </w:rPr>
        <w:t>Audit of Revenue - collection of unpaid real property taxes</w:t>
      </w:r>
    </w:p>
    <w:p>
      <w:pPr>
        <w:spacing w:line="276" w:lineRule="auto"/>
        <w:ind w:right="270"/>
        <w:rPr>
          <w:b/>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Procedures and remedies allowed under The Local Government Code to enforce collection were not fully enforced causing accumulation of unpaid real property taxes and penalties amounting to P205,256,756.64 which could have been sourced by the city government to support its various programs and projects, thus depriving its constituents of the benefits had the said funds been promptly and expeditiously collected instead of being allowed to accumulate over the years.</w:t>
      </w:r>
    </w:p>
    <w:p>
      <w:pPr>
        <w:spacing w:line="276" w:lineRule="auto"/>
        <w:jc w:val="both"/>
      </w:pPr>
    </w:p>
    <w:p>
      <w:pPr>
        <w:spacing w:line="276" w:lineRule="auto"/>
        <w:jc w:val="both"/>
      </w:pPr>
      <w:r>
        <w:t>Chapter 6 – Collection of Real Property Tax of Republic Act No. 7160 provides for the following pertinent provisions for effective collection of taxes, pertinent sections thereof is quoted hereunder:</w:t>
      </w:r>
    </w:p>
    <w:p>
      <w:pPr>
        <w:spacing w:line="276" w:lineRule="auto"/>
        <w:ind w:left="720"/>
        <w:contextualSpacing/>
        <w:jc w:val="both"/>
      </w:pPr>
    </w:p>
    <w:p>
      <w:pPr>
        <w:spacing w:line="276" w:lineRule="auto"/>
        <w:ind w:left="720" w:right="702"/>
        <w:contextualSpacing/>
        <w:jc w:val="both"/>
      </w:pPr>
      <w:r>
        <w:t>SECTION 247. Collection of Tax. - The collection of the real property tax with interest thereon and related expenses, and the enforcement of the remedies provided for in this Title or any applicable laws, shall be the responsibility of the city or municipal treasurer concerned…xxx…</w:t>
      </w:r>
    </w:p>
    <w:p>
      <w:pPr>
        <w:spacing w:line="276" w:lineRule="auto"/>
        <w:ind w:left="720" w:right="-18"/>
        <w:contextualSpacing/>
        <w:jc w:val="both"/>
      </w:pPr>
    </w:p>
    <w:p>
      <w:pPr>
        <w:spacing w:line="276" w:lineRule="auto"/>
        <w:ind w:left="720" w:right="702"/>
        <w:contextualSpacing/>
        <w:jc w:val="both"/>
      </w:pPr>
      <w:r>
        <w:t xml:space="preserve">SECTION 254. Notice of Delinquency in the Payment of the Real Property Tax. - (a) When the real property tax or any other tax imposed under this Title becomes delinquent, the provincial, city or municipal treasurer shall immediately </w:t>
      </w:r>
      <w:r>
        <w:rPr>
          <w:bCs/>
        </w:rPr>
        <w:t>cause a notice of the delinquency</w:t>
      </w:r>
      <w:r>
        <w:t xml:space="preserve"> </w:t>
      </w:r>
      <w:r>
        <w:rPr>
          <w:bCs/>
        </w:rPr>
        <w:t>to be posted</w:t>
      </w:r>
      <w:r>
        <w:t xml:space="preserve"> at the main entrance of the provincial </w:t>
      </w:r>
      <w:proofErr w:type="spellStart"/>
      <w:r>
        <w:t>capitol</w:t>
      </w:r>
      <w:proofErr w:type="spellEnd"/>
      <w:r>
        <w:t xml:space="preserve">, or city or municipal hall and in a publicly accessible and conspicuous place in each barangay of the local government unit concerned. The notice of delinquency shall also be </w:t>
      </w:r>
      <w:r>
        <w:lastRenderedPageBreak/>
        <w:t>published once a week for two (2) consecutive weeks, in a newspaper of general circulation in the province, city, or municipality.</w:t>
      </w:r>
    </w:p>
    <w:p>
      <w:pPr>
        <w:spacing w:line="276" w:lineRule="auto"/>
        <w:ind w:left="567" w:right="-18"/>
        <w:contextualSpacing/>
        <w:jc w:val="center"/>
      </w:pPr>
      <w:r>
        <w:t>xxx</w:t>
      </w:r>
    </w:p>
    <w:p>
      <w:pPr>
        <w:spacing w:line="276" w:lineRule="auto"/>
        <w:ind w:left="1137" w:right="702" w:hanging="331"/>
        <w:contextualSpacing/>
        <w:jc w:val="both"/>
      </w:pPr>
      <w:r>
        <w:t>(b) Such notice shall specify the date upon which the tax became delinquent and shall state that personal property may be distrained to effect payment. It shall likewise state that at any time before the distraint of personal property, payment of the tax with surcharges, interests and penalties may be made in accordance with the next following section, and unless the tax, surcharges and penalties are paid before the expiration of the year for which the tax is due, except when the notice of assessment or special levy is contested administratively or judicially pursuant to the provisions of Chapter 3, Title II, Book II of this Code, the delinquent real property will be sold at public auction, and the title to the property will be vested in the purchaser, subject, however, to the right of the delinquent owner of the property or any person having legal interest therein to redeem the property within one (1) year from the date of sale…xxx…</w:t>
      </w:r>
    </w:p>
    <w:p>
      <w:pPr>
        <w:spacing w:line="276" w:lineRule="auto"/>
        <w:ind w:left="1134" w:right="-18" w:hanging="425"/>
        <w:contextualSpacing/>
        <w:jc w:val="both"/>
      </w:pPr>
    </w:p>
    <w:p>
      <w:pPr>
        <w:spacing w:line="276" w:lineRule="auto"/>
        <w:ind w:left="720" w:right="702"/>
        <w:jc w:val="both"/>
        <w:rPr>
          <w:rFonts w:eastAsia="Calibri"/>
          <w:iCs/>
        </w:rPr>
      </w:pPr>
      <w:r>
        <w:rPr>
          <w:rFonts w:eastAsia="Calibri"/>
        </w:rPr>
        <w:t xml:space="preserve">SECTION 256. Remedies </w:t>
      </w:r>
      <w:proofErr w:type="gramStart"/>
      <w:r>
        <w:rPr>
          <w:rFonts w:eastAsia="Calibri"/>
        </w:rPr>
        <w:t>For</w:t>
      </w:r>
      <w:proofErr w:type="gramEnd"/>
      <w:r>
        <w:rPr>
          <w:rFonts w:eastAsia="Calibri"/>
        </w:rPr>
        <w:t xml:space="preserve"> The Collection Of Real Property Tax. -  For the collection of the basic real property tax and any other tax levied under this Title, the local government unit concerned may avail of the remedies by administrative action thru levy on real property or by judicial action.”</w:t>
      </w:r>
    </w:p>
    <w:p>
      <w:pPr>
        <w:spacing w:line="276" w:lineRule="auto"/>
        <w:ind w:right="-18"/>
        <w:contextualSpacing/>
        <w:jc w:val="both"/>
      </w:pPr>
    </w:p>
    <w:p>
      <w:pPr>
        <w:spacing w:line="276" w:lineRule="auto"/>
        <w:contextualSpacing/>
        <w:jc w:val="both"/>
      </w:pPr>
      <w:r>
        <w:t xml:space="preserve">Review of the revenue-generating activities of the City Government of </w:t>
      </w:r>
      <w:proofErr w:type="spellStart"/>
      <w:r>
        <w:t>Panabo</w:t>
      </w:r>
      <w:proofErr w:type="spellEnd"/>
      <w:r>
        <w:t xml:space="preserve"> particularly on the collection of Real Property Tax (RPT) and Special Education Tax (SET) shows the following comparative figures for CYs 2020-2022, vis-à-vis its targets, derived from the Current Year’s receivables based on the Summary of RPT/SET Receivables certified by City Treasurer’s Office (CTO), Bureau of Local Government and Finance’s  (BLGF) Performance Target, and the Quarterly Report on Real Property Tax Collections submitted by the CTO to the BLGF:</w:t>
      </w:r>
    </w:p>
    <w:p>
      <w:pPr>
        <w:spacing w:line="276" w:lineRule="auto"/>
        <w:contextualSpacing/>
        <w:jc w:val="both"/>
      </w:pPr>
    </w:p>
    <w:p>
      <w:pPr>
        <w:spacing w:line="276" w:lineRule="auto"/>
        <w:contextualSpacing/>
        <w:jc w:val="both"/>
        <w:rPr>
          <w:i/>
          <w:iCs/>
        </w:rPr>
      </w:pPr>
      <w:r>
        <w:rPr>
          <w:i/>
          <w:iCs/>
        </w:rPr>
        <w:t xml:space="preserve"> Table 14.1. Actual Collection vis-à-vis Current Year RPT/SET Receivable and BLGF Target</w:t>
      </w:r>
    </w:p>
    <w:tbl>
      <w:tblPr>
        <w:tblStyle w:val="TableGrid43"/>
        <w:tblW w:w="0" w:type="auto"/>
        <w:jc w:val="center"/>
        <w:tblLook w:val="04A0" w:firstRow="1" w:lastRow="0" w:firstColumn="1" w:lastColumn="0" w:noHBand="0" w:noVBand="1"/>
      </w:tblPr>
      <w:tblGrid>
        <w:gridCol w:w="988"/>
        <w:gridCol w:w="1868"/>
        <w:gridCol w:w="1591"/>
        <w:gridCol w:w="1951"/>
        <w:gridCol w:w="1316"/>
        <w:gridCol w:w="1142"/>
      </w:tblGrid>
      <w:tr>
        <w:trPr>
          <w:jc w:val="center"/>
        </w:trPr>
        <w:tc>
          <w:tcPr>
            <w:tcW w:w="0" w:type="auto"/>
            <w:vAlign w:val="center"/>
          </w:tcPr>
          <w:p>
            <w:pPr>
              <w:spacing w:line="276" w:lineRule="auto"/>
              <w:jc w:val="center"/>
              <w:rPr>
                <w:b/>
                <w:bCs/>
                <w:sz w:val="22"/>
                <w:szCs w:val="22"/>
              </w:rPr>
            </w:pPr>
            <w:r>
              <w:rPr>
                <w:b/>
                <w:bCs/>
                <w:sz w:val="22"/>
                <w:szCs w:val="22"/>
              </w:rPr>
              <w:t>Year</w:t>
            </w:r>
          </w:p>
        </w:tc>
        <w:tc>
          <w:tcPr>
            <w:tcW w:w="0" w:type="auto"/>
            <w:vAlign w:val="center"/>
          </w:tcPr>
          <w:p>
            <w:pPr>
              <w:spacing w:line="276" w:lineRule="auto"/>
              <w:jc w:val="center"/>
              <w:rPr>
                <w:b/>
                <w:bCs/>
                <w:sz w:val="22"/>
                <w:szCs w:val="22"/>
              </w:rPr>
            </w:pPr>
            <w:r>
              <w:rPr>
                <w:b/>
                <w:bCs/>
                <w:sz w:val="22"/>
                <w:szCs w:val="22"/>
              </w:rPr>
              <w:t>Current Year Receivables</w:t>
            </w:r>
          </w:p>
        </w:tc>
        <w:tc>
          <w:tcPr>
            <w:tcW w:w="0" w:type="auto"/>
            <w:vAlign w:val="center"/>
          </w:tcPr>
          <w:p>
            <w:pPr>
              <w:spacing w:line="276" w:lineRule="auto"/>
              <w:jc w:val="center"/>
              <w:rPr>
                <w:b/>
                <w:bCs/>
                <w:sz w:val="22"/>
                <w:szCs w:val="22"/>
              </w:rPr>
            </w:pPr>
            <w:r>
              <w:rPr>
                <w:b/>
                <w:bCs/>
                <w:sz w:val="22"/>
                <w:szCs w:val="22"/>
              </w:rPr>
              <w:t>BLGF Target</w:t>
            </w:r>
          </w:p>
        </w:tc>
        <w:tc>
          <w:tcPr>
            <w:tcW w:w="0" w:type="auto"/>
            <w:vAlign w:val="center"/>
          </w:tcPr>
          <w:p>
            <w:pPr>
              <w:spacing w:line="276" w:lineRule="auto"/>
              <w:jc w:val="center"/>
              <w:rPr>
                <w:b/>
                <w:bCs/>
                <w:sz w:val="22"/>
                <w:szCs w:val="22"/>
              </w:rPr>
            </w:pPr>
            <w:r>
              <w:rPr>
                <w:b/>
                <w:bCs/>
                <w:sz w:val="22"/>
                <w:szCs w:val="22"/>
              </w:rPr>
              <w:t>Gross Collection for the Year</w:t>
            </w:r>
          </w:p>
        </w:tc>
        <w:tc>
          <w:tcPr>
            <w:tcW w:w="0" w:type="auto"/>
            <w:gridSpan w:val="2"/>
            <w:vAlign w:val="center"/>
          </w:tcPr>
          <w:p>
            <w:pPr>
              <w:spacing w:line="276" w:lineRule="auto"/>
              <w:jc w:val="center"/>
              <w:rPr>
                <w:b/>
                <w:bCs/>
                <w:sz w:val="22"/>
                <w:szCs w:val="22"/>
              </w:rPr>
            </w:pPr>
            <w:r>
              <w:rPr>
                <w:b/>
                <w:bCs/>
                <w:sz w:val="22"/>
                <w:szCs w:val="22"/>
              </w:rPr>
              <w:t>% of Actual Collection to:</w:t>
            </w:r>
          </w:p>
        </w:tc>
      </w:tr>
      <w:tr>
        <w:trPr>
          <w:trHeight w:val="555"/>
          <w:jc w:val="center"/>
        </w:trPr>
        <w:tc>
          <w:tcPr>
            <w:tcW w:w="0" w:type="auto"/>
            <w:vAlign w:val="center"/>
          </w:tcPr>
          <w:p>
            <w:pPr>
              <w:spacing w:line="276" w:lineRule="auto"/>
              <w:jc w:val="center"/>
              <w:rPr>
                <w:b/>
                <w:bCs/>
                <w:sz w:val="22"/>
                <w:szCs w:val="22"/>
              </w:rPr>
            </w:pPr>
          </w:p>
        </w:tc>
        <w:tc>
          <w:tcPr>
            <w:tcW w:w="0" w:type="auto"/>
            <w:vAlign w:val="center"/>
          </w:tcPr>
          <w:p>
            <w:pPr>
              <w:spacing w:line="276" w:lineRule="auto"/>
              <w:jc w:val="center"/>
              <w:rPr>
                <w:b/>
                <w:bCs/>
                <w:sz w:val="22"/>
                <w:szCs w:val="22"/>
              </w:rPr>
            </w:pPr>
          </w:p>
        </w:tc>
        <w:tc>
          <w:tcPr>
            <w:tcW w:w="0" w:type="auto"/>
            <w:vAlign w:val="center"/>
          </w:tcPr>
          <w:p>
            <w:pPr>
              <w:spacing w:line="276" w:lineRule="auto"/>
              <w:jc w:val="center"/>
              <w:rPr>
                <w:b/>
                <w:bCs/>
                <w:sz w:val="22"/>
                <w:szCs w:val="22"/>
              </w:rPr>
            </w:pPr>
          </w:p>
        </w:tc>
        <w:tc>
          <w:tcPr>
            <w:tcW w:w="0" w:type="auto"/>
            <w:vAlign w:val="center"/>
          </w:tcPr>
          <w:p>
            <w:pPr>
              <w:spacing w:line="276" w:lineRule="auto"/>
              <w:jc w:val="center"/>
              <w:rPr>
                <w:b/>
                <w:bCs/>
                <w:sz w:val="22"/>
                <w:szCs w:val="22"/>
              </w:rPr>
            </w:pPr>
          </w:p>
        </w:tc>
        <w:tc>
          <w:tcPr>
            <w:tcW w:w="0" w:type="auto"/>
            <w:vAlign w:val="center"/>
          </w:tcPr>
          <w:p>
            <w:pPr>
              <w:spacing w:line="276" w:lineRule="auto"/>
              <w:jc w:val="center"/>
              <w:rPr>
                <w:b/>
                <w:bCs/>
                <w:sz w:val="22"/>
                <w:szCs w:val="22"/>
              </w:rPr>
            </w:pPr>
            <w:r>
              <w:rPr>
                <w:b/>
                <w:bCs/>
                <w:sz w:val="22"/>
                <w:szCs w:val="22"/>
              </w:rPr>
              <w:t>Receivables</w:t>
            </w:r>
          </w:p>
        </w:tc>
        <w:tc>
          <w:tcPr>
            <w:tcW w:w="0" w:type="auto"/>
          </w:tcPr>
          <w:p>
            <w:pPr>
              <w:spacing w:line="276" w:lineRule="auto"/>
              <w:jc w:val="center"/>
              <w:rPr>
                <w:b/>
                <w:bCs/>
                <w:sz w:val="22"/>
                <w:szCs w:val="22"/>
              </w:rPr>
            </w:pPr>
            <w:r>
              <w:rPr>
                <w:b/>
                <w:bCs/>
                <w:sz w:val="22"/>
                <w:szCs w:val="22"/>
              </w:rPr>
              <w:t>BLGF target</w:t>
            </w:r>
          </w:p>
        </w:tc>
      </w:tr>
      <w:tr>
        <w:trPr>
          <w:jc w:val="center"/>
        </w:trPr>
        <w:tc>
          <w:tcPr>
            <w:tcW w:w="0" w:type="auto"/>
          </w:tcPr>
          <w:p>
            <w:pPr>
              <w:spacing w:line="276" w:lineRule="auto"/>
              <w:jc w:val="center"/>
              <w:rPr>
                <w:sz w:val="22"/>
                <w:szCs w:val="22"/>
              </w:rPr>
            </w:pPr>
            <w:r>
              <w:rPr>
                <w:sz w:val="22"/>
                <w:szCs w:val="22"/>
              </w:rPr>
              <w:t>2020</w:t>
            </w:r>
          </w:p>
        </w:tc>
        <w:tc>
          <w:tcPr>
            <w:tcW w:w="0" w:type="auto"/>
            <w:vAlign w:val="center"/>
          </w:tcPr>
          <w:p>
            <w:pPr>
              <w:spacing w:line="276" w:lineRule="auto"/>
              <w:jc w:val="right"/>
              <w:rPr>
                <w:sz w:val="22"/>
                <w:szCs w:val="22"/>
              </w:rPr>
            </w:pPr>
            <w:r>
              <w:rPr>
                <w:sz w:val="22"/>
                <w:szCs w:val="22"/>
              </w:rPr>
              <w:t>107,776,702.80</w:t>
            </w:r>
          </w:p>
        </w:tc>
        <w:tc>
          <w:tcPr>
            <w:tcW w:w="0" w:type="auto"/>
            <w:vAlign w:val="center"/>
          </w:tcPr>
          <w:p>
            <w:pPr>
              <w:spacing w:line="276" w:lineRule="auto"/>
              <w:jc w:val="right"/>
              <w:rPr>
                <w:sz w:val="22"/>
                <w:szCs w:val="22"/>
              </w:rPr>
            </w:pPr>
            <w:r>
              <w:rPr>
                <w:sz w:val="22"/>
                <w:szCs w:val="22"/>
              </w:rPr>
              <w:t>71,076,161.00</w:t>
            </w:r>
          </w:p>
        </w:tc>
        <w:tc>
          <w:tcPr>
            <w:tcW w:w="0" w:type="auto"/>
            <w:vAlign w:val="center"/>
          </w:tcPr>
          <w:p>
            <w:pPr>
              <w:spacing w:line="276" w:lineRule="auto"/>
              <w:jc w:val="right"/>
              <w:rPr>
                <w:sz w:val="22"/>
                <w:szCs w:val="22"/>
              </w:rPr>
            </w:pPr>
            <w:r>
              <w:rPr>
                <w:sz w:val="22"/>
                <w:szCs w:val="22"/>
              </w:rPr>
              <w:t>127,844,883.13</w:t>
            </w:r>
          </w:p>
        </w:tc>
        <w:tc>
          <w:tcPr>
            <w:tcW w:w="0" w:type="auto"/>
            <w:vAlign w:val="center"/>
          </w:tcPr>
          <w:p>
            <w:pPr>
              <w:spacing w:line="276" w:lineRule="auto"/>
              <w:jc w:val="center"/>
              <w:rPr>
                <w:sz w:val="22"/>
                <w:szCs w:val="22"/>
              </w:rPr>
            </w:pPr>
            <w:r>
              <w:rPr>
                <w:sz w:val="22"/>
                <w:szCs w:val="22"/>
              </w:rPr>
              <w:t>118.62%</w:t>
            </w:r>
          </w:p>
        </w:tc>
        <w:tc>
          <w:tcPr>
            <w:tcW w:w="0" w:type="auto"/>
            <w:vAlign w:val="center"/>
          </w:tcPr>
          <w:p>
            <w:pPr>
              <w:spacing w:line="276" w:lineRule="auto"/>
              <w:jc w:val="center"/>
              <w:rPr>
                <w:sz w:val="22"/>
                <w:szCs w:val="22"/>
              </w:rPr>
            </w:pPr>
            <w:r>
              <w:rPr>
                <w:sz w:val="22"/>
                <w:szCs w:val="22"/>
              </w:rPr>
              <w:t>179.87%</w:t>
            </w:r>
          </w:p>
        </w:tc>
      </w:tr>
      <w:tr>
        <w:trPr>
          <w:jc w:val="center"/>
        </w:trPr>
        <w:tc>
          <w:tcPr>
            <w:tcW w:w="0" w:type="auto"/>
          </w:tcPr>
          <w:p>
            <w:pPr>
              <w:spacing w:line="276" w:lineRule="auto"/>
              <w:jc w:val="center"/>
              <w:rPr>
                <w:sz w:val="22"/>
                <w:szCs w:val="22"/>
              </w:rPr>
            </w:pPr>
            <w:r>
              <w:rPr>
                <w:sz w:val="22"/>
                <w:szCs w:val="22"/>
              </w:rPr>
              <w:t>2021</w:t>
            </w:r>
          </w:p>
        </w:tc>
        <w:tc>
          <w:tcPr>
            <w:tcW w:w="0" w:type="auto"/>
            <w:vAlign w:val="center"/>
          </w:tcPr>
          <w:p>
            <w:pPr>
              <w:spacing w:line="276" w:lineRule="auto"/>
              <w:jc w:val="right"/>
              <w:rPr>
                <w:sz w:val="22"/>
                <w:szCs w:val="22"/>
              </w:rPr>
            </w:pPr>
            <w:r>
              <w:rPr>
                <w:sz w:val="22"/>
                <w:szCs w:val="22"/>
              </w:rPr>
              <w:t>143,599,367.60</w:t>
            </w:r>
          </w:p>
        </w:tc>
        <w:tc>
          <w:tcPr>
            <w:tcW w:w="0" w:type="auto"/>
            <w:vAlign w:val="center"/>
          </w:tcPr>
          <w:p>
            <w:pPr>
              <w:spacing w:line="276" w:lineRule="auto"/>
              <w:jc w:val="right"/>
              <w:rPr>
                <w:sz w:val="22"/>
                <w:szCs w:val="22"/>
              </w:rPr>
            </w:pPr>
            <w:r>
              <w:rPr>
                <w:sz w:val="22"/>
                <w:szCs w:val="22"/>
              </w:rPr>
              <w:t>97,978,598.00</w:t>
            </w:r>
          </w:p>
        </w:tc>
        <w:tc>
          <w:tcPr>
            <w:tcW w:w="0" w:type="auto"/>
            <w:vAlign w:val="center"/>
          </w:tcPr>
          <w:p>
            <w:pPr>
              <w:spacing w:line="276" w:lineRule="auto"/>
              <w:jc w:val="right"/>
              <w:rPr>
                <w:sz w:val="22"/>
                <w:szCs w:val="22"/>
              </w:rPr>
            </w:pPr>
            <w:r>
              <w:rPr>
                <w:sz w:val="22"/>
                <w:szCs w:val="22"/>
              </w:rPr>
              <w:t>138,535,133.89</w:t>
            </w:r>
          </w:p>
        </w:tc>
        <w:tc>
          <w:tcPr>
            <w:tcW w:w="0" w:type="auto"/>
            <w:vAlign w:val="center"/>
          </w:tcPr>
          <w:p>
            <w:pPr>
              <w:spacing w:line="276" w:lineRule="auto"/>
              <w:jc w:val="center"/>
              <w:rPr>
                <w:sz w:val="22"/>
                <w:szCs w:val="22"/>
              </w:rPr>
            </w:pPr>
            <w:r>
              <w:rPr>
                <w:sz w:val="22"/>
                <w:szCs w:val="22"/>
              </w:rPr>
              <w:t>96.47%</w:t>
            </w:r>
          </w:p>
        </w:tc>
        <w:tc>
          <w:tcPr>
            <w:tcW w:w="0" w:type="auto"/>
            <w:vAlign w:val="center"/>
          </w:tcPr>
          <w:p>
            <w:pPr>
              <w:spacing w:line="276" w:lineRule="auto"/>
              <w:jc w:val="center"/>
              <w:rPr>
                <w:sz w:val="22"/>
                <w:szCs w:val="22"/>
              </w:rPr>
            </w:pPr>
            <w:r>
              <w:rPr>
                <w:sz w:val="22"/>
                <w:szCs w:val="22"/>
              </w:rPr>
              <w:t>141.39%</w:t>
            </w:r>
          </w:p>
        </w:tc>
      </w:tr>
      <w:tr>
        <w:trPr>
          <w:jc w:val="center"/>
        </w:trPr>
        <w:tc>
          <w:tcPr>
            <w:tcW w:w="0" w:type="auto"/>
          </w:tcPr>
          <w:p>
            <w:pPr>
              <w:spacing w:line="276" w:lineRule="auto"/>
              <w:jc w:val="center"/>
              <w:rPr>
                <w:sz w:val="22"/>
                <w:szCs w:val="22"/>
              </w:rPr>
            </w:pPr>
            <w:r>
              <w:rPr>
                <w:sz w:val="22"/>
                <w:szCs w:val="22"/>
              </w:rPr>
              <w:t>2022</w:t>
            </w:r>
          </w:p>
        </w:tc>
        <w:tc>
          <w:tcPr>
            <w:tcW w:w="0" w:type="auto"/>
            <w:vAlign w:val="center"/>
          </w:tcPr>
          <w:p>
            <w:pPr>
              <w:spacing w:line="276" w:lineRule="auto"/>
              <w:jc w:val="right"/>
              <w:rPr>
                <w:sz w:val="22"/>
                <w:szCs w:val="22"/>
              </w:rPr>
            </w:pPr>
            <w:r>
              <w:rPr>
                <w:sz w:val="22"/>
                <w:szCs w:val="22"/>
              </w:rPr>
              <w:t>160,728,235.40</w:t>
            </w:r>
          </w:p>
        </w:tc>
        <w:tc>
          <w:tcPr>
            <w:tcW w:w="0" w:type="auto"/>
            <w:vAlign w:val="center"/>
          </w:tcPr>
          <w:p>
            <w:pPr>
              <w:spacing w:line="276" w:lineRule="auto"/>
              <w:jc w:val="right"/>
              <w:rPr>
                <w:sz w:val="22"/>
                <w:szCs w:val="22"/>
              </w:rPr>
            </w:pPr>
            <w:r>
              <w:rPr>
                <w:sz w:val="22"/>
                <w:szCs w:val="22"/>
              </w:rPr>
              <w:t>125,580,006.00</w:t>
            </w:r>
          </w:p>
        </w:tc>
        <w:tc>
          <w:tcPr>
            <w:tcW w:w="0" w:type="auto"/>
            <w:vAlign w:val="center"/>
          </w:tcPr>
          <w:p>
            <w:pPr>
              <w:spacing w:line="276" w:lineRule="auto"/>
              <w:jc w:val="right"/>
              <w:rPr>
                <w:sz w:val="22"/>
                <w:szCs w:val="22"/>
              </w:rPr>
            </w:pPr>
            <w:r>
              <w:rPr>
                <w:sz w:val="22"/>
                <w:szCs w:val="22"/>
              </w:rPr>
              <w:t>143,863,620.74</w:t>
            </w:r>
          </w:p>
        </w:tc>
        <w:tc>
          <w:tcPr>
            <w:tcW w:w="0" w:type="auto"/>
            <w:vAlign w:val="center"/>
          </w:tcPr>
          <w:p>
            <w:pPr>
              <w:spacing w:line="276" w:lineRule="auto"/>
              <w:jc w:val="center"/>
              <w:rPr>
                <w:sz w:val="22"/>
                <w:szCs w:val="22"/>
              </w:rPr>
            </w:pPr>
            <w:r>
              <w:rPr>
                <w:sz w:val="22"/>
                <w:szCs w:val="22"/>
              </w:rPr>
              <w:t>89.51%</w:t>
            </w:r>
          </w:p>
        </w:tc>
        <w:tc>
          <w:tcPr>
            <w:tcW w:w="0" w:type="auto"/>
            <w:vAlign w:val="center"/>
          </w:tcPr>
          <w:p>
            <w:pPr>
              <w:spacing w:line="276" w:lineRule="auto"/>
              <w:jc w:val="center"/>
              <w:rPr>
                <w:sz w:val="22"/>
                <w:szCs w:val="22"/>
              </w:rPr>
            </w:pPr>
            <w:r>
              <w:rPr>
                <w:sz w:val="22"/>
                <w:szCs w:val="22"/>
              </w:rPr>
              <w:t>114.56%</w:t>
            </w:r>
          </w:p>
        </w:tc>
      </w:tr>
      <w:tr>
        <w:trPr>
          <w:jc w:val="center"/>
        </w:trPr>
        <w:tc>
          <w:tcPr>
            <w:tcW w:w="0" w:type="auto"/>
          </w:tcPr>
          <w:p>
            <w:pPr>
              <w:spacing w:line="276" w:lineRule="auto"/>
              <w:jc w:val="center"/>
              <w:rPr>
                <w:b/>
                <w:bCs/>
                <w:sz w:val="22"/>
                <w:szCs w:val="22"/>
              </w:rPr>
            </w:pPr>
            <w:r>
              <w:rPr>
                <w:b/>
                <w:bCs/>
                <w:sz w:val="22"/>
                <w:szCs w:val="22"/>
              </w:rPr>
              <w:t>TOTAL</w:t>
            </w:r>
          </w:p>
        </w:tc>
        <w:tc>
          <w:tcPr>
            <w:tcW w:w="0" w:type="auto"/>
            <w:vAlign w:val="center"/>
          </w:tcPr>
          <w:p>
            <w:pPr>
              <w:spacing w:line="276" w:lineRule="auto"/>
              <w:jc w:val="right"/>
              <w:rPr>
                <w:b/>
                <w:bCs/>
                <w:sz w:val="22"/>
                <w:szCs w:val="22"/>
              </w:rPr>
            </w:pPr>
            <w:r>
              <w:rPr>
                <w:b/>
                <w:bCs/>
                <w:sz w:val="22"/>
                <w:szCs w:val="22"/>
              </w:rPr>
              <w:t>412,104,305.80</w:t>
            </w:r>
          </w:p>
        </w:tc>
        <w:tc>
          <w:tcPr>
            <w:tcW w:w="0" w:type="auto"/>
            <w:vAlign w:val="center"/>
          </w:tcPr>
          <w:p>
            <w:pPr>
              <w:spacing w:line="276" w:lineRule="auto"/>
              <w:jc w:val="right"/>
              <w:rPr>
                <w:b/>
                <w:bCs/>
                <w:sz w:val="22"/>
                <w:szCs w:val="22"/>
              </w:rPr>
            </w:pPr>
            <w:r>
              <w:rPr>
                <w:b/>
                <w:bCs/>
                <w:sz w:val="22"/>
                <w:szCs w:val="22"/>
              </w:rPr>
              <w:t>294,634,765.00</w:t>
            </w:r>
          </w:p>
        </w:tc>
        <w:tc>
          <w:tcPr>
            <w:tcW w:w="0" w:type="auto"/>
            <w:vAlign w:val="center"/>
          </w:tcPr>
          <w:p>
            <w:pPr>
              <w:spacing w:line="276" w:lineRule="auto"/>
              <w:jc w:val="right"/>
              <w:rPr>
                <w:b/>
                <w:bCs/>
                <w:sz w:val="22"/>
                <w:szCs w:val="22"/>
              </w:rPr>
            </w:pPr>
            <w:r>
              <w:rPr>
                <w:b/>
                <w:bCs/>
                <w:sz w:val="22"/>
                <w:szCs w:val="22"/>
              </w:rPr>
              <w:t>410,243,637.76</w:t>
            </w:r>
          </w:p>
        </w:tc>
        <w:tc>
          <w:tcPr>
            <w:tcW w:w="0" w:type="auto"/>
            <w:vAlign w:val="center"/>
          </w:tcPr>
          <w:p>
            <w:pPr>
              <w:spacing w:line="276" w:lineRule="auto"/>
              <w:jc w:val="center"/>
              <w:rPr>
                <w:b/>
                <w:bCs/>
                <w:sz w:val="22"/>
                <w:szCs w:val="22"/>
              </w:rPr>
            </w:pPr>
            <w:r>
              <w:rPr>
                <w:b/>
                <w:bCs/>
                <w:sz w:val="22"/>
                <w:szCs w:val="22"/>
              </w:rPr>
              <w:t>99.55%</w:t>
            </w:r>
          </w:p>
        </w:tc>
        <w:tc>
          <w:tcPr>
            <w:tcW w:w="0" w:type="auto"/>
            <w:vAlign w:val="center"/>
          </w:tcPr>
          <w:p>
            <w:pPr>
              <w:spacing w:line="276" w:lineRule="auto"/>
              <w:jc w:val="center"/>
              <w:rPr>
                <w:b/>
                <w:bCs/>
                <w:sz w:val="22"/>
                <w:szCs w:val="22"/>
              </w:rPr>
            </w:pPr>
            <w:r>
              <w:rPr>
                <w:b/>
                <w:bCs/>
                <w:sz w:val="22"/>
                <w:szCs w:val="22"/>
              </w:rPr>
              <w:t>139.24%</w:t>
            </w:r>
          </w:p>
        </w:tc>
      </w:tr>
    </w:tbl>
    <w:p>
      <w:pPr>
        <w:spacing w:line="276" w:lineRule="auto"/>
        <w:contextualSpacing/>
        <w:jc w:val="both"/>
      </w:pPr>
      <w:r>
        <w:lastRenderedPageBreak/>
        <w:t>As shown in Table 14.1, percentages of collection for RPT/SET Receivables have been decreasing from CY 2020 to CY 2022. On the other hand, CTO’s collection for RPT/SET based on the target set by BLGF is more than 100%. However, the percentages of collection are also decreasing. According to the CTO, the reason for the decreasing collection was due to low source of income of its constituents as an effect of the pandemic and the increase in the collection is lesser than the increase in the RPT/SET receivable and the target set by the BLGF.</w:t>
      </w:r>
    </w:p>
    <w:p>
      <w:pPr>
        <w:spacing w:line="276" w:lineRule="auto"/>
        <w:ind w:left="720"/>
        <w:contextualSpacing/>
        <w:jc w:val="both"/>
      </w:pPr>
    </w:p>
    <w:p>
      <w:pPr>
        <w:spacing w:line="276" w:lineRule="auto"/>
        <w:contextualSpacing/>
        <w:jc w:val="both"/>
      </w:pPr>
      <w:r>
        <w:t>Furthermore, verification of the City’s delinquent real property taxes based on the list of taxpayers, generated from Enhanced Tax Revenue Assessment and Collection System (ETRACS) submitted by the CTO, revealed the accumulation of uncollected taxes as presented in Table 14.2.</w:t>
      </w:r>
    </w:p>
    <w:p>
      <w:pPr>
        <w:spacing w:line="276" w:lineRule="auto"/>
        <w:contextualSpacing/>
        <w:jc w:val="both"/>
      </w:pPr>
    </w:p>
    <w:p>
      <w:pPr>
        <w:spacing w:line="276" w:lineRule="auto"/>
        <w:contextualSpacing/>
        <w:jc w:val="both"/>
        <w:rPr>
          <w:i/>
          <w:iCs/>
        </w:rPr>
      </w:pPr>
      <w:r>
        <w:rPr>
          <w:i/>
          <w:iCs/>
        </w:rPr>
        <w:t>Table 14.2. Delinquent Taxes by Barangay as at January 04, 2023</w:t>
      </w:r>
    </w:p>
    <w:tbl>
      <w:tblPr>
        <w:tblStyle w:val="TableGrid43"/>
        <w:tblW w:w="0" w:type="auto"/>
        <w:jc w:val="center"/>
        <w:tblLook w:val="04A0" w:firstRow="1" w:lastRow="0" w:firstColumn="1" w:lastColumn="0" w:noHBand="0" w:noVBand="1"/>
      </w:tblPr>
      <w:tblGrid>
        <w:gridCol w:w="2413"/>
        <w:gridCol w:w="2106"/>
        <w:gridCol w:w="2087"/>
        <w:gridCol w:w="1972"/>
      </w:tblGrid>
      <w:tr>
        <w:trPr>
          <w:tblHeader/>
          <w:jc w:val="center"/>
        </w:trPr>
        <w:tc>
          <w:tcPr>
            <w:tcW w:w="2413" w:type="dxa"/>
            <w:vAlign w:val="center"/>
          </w:tcPr>
          <w:p>
            <w:pPr>
              <w:spacing w:line="276" w:lineRule="auto"/>
              <w:jc w:val="center"/>
              <w:rPr>
                <w:b/>
                <w:sz w:val="21"/>
                <w:szCs w:val="21"/>
              </w:rPr>
            </w:pPr>
            <w:r>
              <w:rPr>
                <w:b/>
                <w:sz w:val="21"/>
                <w:szCs w:val="21"/>
              </w:rPr>
              <w:t>Name of Barangay</w:t>
            </w:r>
          </w:p>
        </w:tc>
        <w:tc>
          <w:tcPr>
            <w:tcW w:w="2106" w:type="dxa"/>
            <w:vAlign w:val="center"/>
          </w:tcPr>
          <w:p>
            <w:pPr>
              <w:spacing w:line="276" w:lineRule="auto"/>
              <w:jc w:val="center"/>
              <w:rPr>
                <w:b/>
                <w:sz w:val="21"/>
                <w:szCs w:val="21"/>
              </w:rPr>
            </w:pPr>
            <w:r>
              <w:rPr>
                <w:b/>
                <w:sz w:val="21"/>
                <w:szCs w:val="21"/>
              </w:rPr>
              <w:t>RPT and SET</w:t>
            </w:r>
          </w:p>
        </w:tc>
        <w:tc>
          <w:tcPr>
            <w:tcW w:w="2087" w:type="dxa"/>
            <w:vAlign w:val="center"/>
          </w:tcPr>
          <w:p>
            <w:pPr>
              <w:spacing w:line="276" w:lineRule="auto"/>
              <w:jc w:val="center"/>
              <w:rPr>
                <w:b/>
                <w:sz w:val="21"/>
                <w:szCs w:val="21"/>
              </w:rPr>
            </w:pPr>
            <w:r>
              <w:rPr>
                <w:b/>
                <w:sz w:val="21"/>
                <w:szCs w:val="21"/>
              </w:rPr>
              <w:t xml:space="preserve">Penalty </w:t>
            </w:r>
          </w:p>
          <w:p>
            <w:pPr>
              <w:spacing w:line="276" w:lineRule="auto"/>
              <w:jc w:val="center"/>
              <w:rPr>
                <w:b/>
                <w:sz w:val="21"/>
                <w:szCs w:val="21"/>
              </w:rPr>
            </w:pPr>
            <w:r>
              <w:rPr>
                <w:b/>
                <w:sz w:val="21"/>
                <w:szCs w:val="21"/>
              </w:rPr>
              <w:t>(Basic + SEF)</w:t>
            </w:r>
          </w:p>
        </w:tc>
        <w:tc>
          <w:tcPr>
            <w:tcW w:w="1972" w:type="dxa"/>
            <w:vAlign w:val="center"/>
          </w:tcPr>
          <w:p>
            <w:pPr>
              <w:spacing w:line="276" w:lineRule="auto"/>
              <w:jc w:val="center"/>
              <w:rPr>
                <w:b/>
                <w:sz w:val="21"/>
                <w:szCs w:val="21"/>
              </w:rPr>
            </w:pPr>
            <w:r>
              <w:rPr>
                <w:b/>
                <w:sz w:val="21"/>
                <w:szCs w:val="21"/>
              </w:rPr>
              <w:t>Total</w:t>
            </w:r>
          </w:p>
        </w:tc>
      </w:tr>
      <w:tr>
        <w:trPr>
          <w:jc w:val="center"/>
        </w:trPr>
        <w:tc>
          <w:tcPr>
            <w:tcW w:w="2413" w:type="dxa"/>
          </w:tcPr>
          <w:p>
            <w:pPr>
              <w:numPr>
                <w:ilvl w:val="0"/>
                <w:numId w:val="58"/>
              </w:numPr>
              <w:spacing w:line="276" w:lineRule="auto"/>
              <w:ind w:left="462"/>
              <w:jc w:val="both"/>
              <w:rPr>
                <w:sz w:val="21"/>
                <w:szCs w:val="21"/>
              </w:rPr>
            </w:pPr>
            <w:r>
              <w:rPr>
                <w:sz w:val="21"/>
                <w:szCs w:val="21"/>
              </w:rPr>
              <w:t>A.O. Floirendo</w:t>
            </w:r>
          </w:p>
        </w:tc>
        <w:tc>
          <w:tcPr>
            <w:tcW w:w="2106" w:type="dxa"/>
          </w:tcPr>
          <w:p>
            <w:pPr>
              <w:spacing w:line="276" w:lineRule="auto"/>
              <w:jc w:val="right"/>
              <w:rPr>
                <w:sz w:val="21"/>
                <w:szCs w:val="21"/>
              </w:rPr>
            </w:pPr>
            <w:r>
              <w:rPr>
                <w:sz w:val="21"/>
                <w:szCs w:val="21"/>
              </w:rPr>
              <w:t xml:space="preserve"> 360,326.80 </w:t>
            </w:r>
          </w:p>
        </w:tc>
        <w:tc>
          <w:tcPr>
            <w:tcW w:w="2087" w:type="dxa"/>
          </w:tcPr>
          <w:p>
            <w:pPr>
              <w:spacing w:line="276" w:lineRule="auto"/>
              <w:jc w:val="right"/>
              <w:rPr>
                <w:sz w:val="21"/>
                <w:szCs w:val="21"/>
              </w:rPr>
            </w:pPr>
            <w:r>
              <w:rPr>
                <w:sz w:val="21"/>
                <w:szCs w:val="21"/>
              </w:rPr>
              <w:t xml:space="preserve"> 233,557.66 </w:t>
            </w:r>
          </w:p>
        </w:tc>
        <w:tc>
          <w:tcPr>
            <w:tcW w:w="1972" w:type="dxa"/>
          </w:tcPr>
          <w:p>
            <w:pPr>
              <w:spacing w:line="276" w:lineRule="auto"/>
              <w:jc w:val="right"/>
              <w:rPr>
                <w:sz w:val="21"/>
                <w:szCs w:val="21"/>
              </w:rPr>
            </w:pPr>
            <w:r>
              <w:rPr>
                <w:sz w:val="21"/>
                <w:szCs w:val="21"/>
              </w:rPr>
              <w:t xml:space="preserve"> 593,884.46 </w:t>
            </w:r>
          </w:p>
        </w:tc>
      </w:tr>
      <w:tr>
        <w:trPr>
          <w:jc w:val="center"/>
        </w:trPr>
        <w:tc>
          <w:tcPr>
            <w:tcW w:w="2413" w:type="dxa"/>
          </w:tcPr>
          <w:p>
            <w:pPr>
              <w:numPr>
                <w:ilvl w:val="0"/>
                <w:numId w:val="58"/>
              </w:numPr>
              <w:spacing w:line="276" w:lineRule="auto"/>
              <w:ind w:left="462"/>
              <w:jc w:val="both"/>
              <w:rPr>
                <w:sz w:val="21"/>
                <w:szCs w:val="21"/>
              </w:rPr>
            </w:pPr>
            <w:r>
              <w:rPr>
                <w:sz w:val="21"/>
                <w:szCs w:val="21"/>
              </w:rPr>
              <w:t>Buenavista</w:t>
            </w:r>
          </w:p>
        </w:tc>
        <w:tc>
          <w:tcPr>
            <w:tcW w:w="2106" w:type="dxa"/>
          </w:tcPr>
          <w:p>
            <w:pPr>
              <w:spacing w:line="276" w:lineRule="auto"/>
              <w:jc w:val="right"/>
              <w:rPr>
                <w:sz w:val="21"/>
                <w:szCs w:val="21"/>
              </w:rPr>
            </w:pPr>
            <w:r>
              <w:rPr>
                <w:sz w:val="21"/>
                <w:szCs w:val="21"/>
              </w:rPr>
              <w:t xml:space="preserve"> 449,888.90 </w:t>
            </w:r>
          </w:p>
        </w:tc>
        <w:tc>
          <w:tcPr>
            <w:tcW w:w="2087" w:type="dxa"/>
          </w:tcPr>
          <w:p>
            <w:pPr>
              <w:spacing w:line="276" w:lineRule="auto"/>
              <w:jc w:val="right"/>
              <w:rPr>
                <w:sz w:val="21"/>
                <w:szCs w:val="21"/>
              </w:rPr>
            </w:pPr>
            <w:r>
              <w:rPr>
                <w:sz w:val="21"/>
                <w:szCs w:val="21"/>
              </w:rPr>
              <w:t xml:space="preserve"> 296,518.10 </w:t>
            </w:r>
          </w:p>
        </w:tc>
        <w:tc>
          <w:tcPr>
            <w:tcW w:w="1972" w:type="dxa"/>
          </w:tcPr>
          <w:p>
            <w:pPr>
              <w:spacing w:line="276" w:lineRule="auto"/>
              <w:jc w:val="right"/>
              <w:rPr>
                <w:sz w:val="21"/>
                <w:szCs w:val="21"/>
              </w:rPr>
            </w:pPr>
            <w:r>
              <w:rPr>
                <w:sz w:val="21"/>
                <w:szCs w:val="21"/>
              </w:rPr>
              <w:t xml:space="preserve"> 746,407.00 </w:t>
            </w:r>
          </w:p>
        </w:tc>
      </w:tr>
      <w:tr>
        <w:trPr>
          <w:jc w:val="center"/>
        </w:trPr>
        <w:tc>
          <w:tcPr>
            <w:tcW w:w="2413" w:type="dxa"/>
          </w:tcPr>
          <w:p>
            <w:pPr>
              <w:numPr>
                <w:ilvl w:val="0"/>
                <w:numId w:val="58"/>
              </w:numPr>
              <w:spacing w:line="276" w:lineRule="auto"/>
              <w:ind w:left="462"/>
              <w:jc w:val="both"/>
              <w:rPr>
                <w:sz w:val="21"/>
                <w:szCs w:val="21"/>
              </w:rPr>
            </w:pPr>
            <w:r>
              <w:rPr>
                <w:sz w:val="21"/>
                <w:szCs w:val="21"/>
              </w:rPr>
              <w:t>Cacao</w:t>
            </w:r>
          </w:p>
        </w:tc>
        <w:tc>
          <w:tcPr>
            <w:tcW w:w="2106" w:type="dxa"/>
          </w:tcPr>
          <w:p>
            <w:pPr>
              <w:spacing w:line="276" w:lineRule="auto"/>
              <w:jc w:val="right"/>
              <w:rPr>
                <w:sz w:val="21"/>
                <w:szCs w:val="21"/>
              </w:rPr>
            </w:pPr>
            <w:r>
              <w:rPr>
                <w:sz w:val="21"/>
                <w:szCs w:val="21"/>
              </w:rPr>
              <w:t xml:space="preserve"> 630,293.40 </w:t>
            </w:r>
          </w:p>
        </w:tc>
        <w:tc>
          <w:tcPr>
            <w:tcW w:w="2087" w:type="dxa"/>
          </w:tcPr>
          <w:p>
            <w:pPr>
              <w:spacing w:line="276" w:lineRule="auto"/>
              <w:jc w:val="right"/>
              <w:rPr>
                <w:sz w:val="21"/>
                <w:szCs w:val="21"/>
              </w:rPr>
            </w:pPr>
            <w:r>
              <w:rPr>
                <w:sz w:val="21"/>
                <w:szCs w:val="21"/>
              </w:rPr>
              <w:t xml:space="preserve"> 354,602.60 </w:t>
            </w:r>
          </w:p>
        </w:tc>
        <w:tc>
          <w:tcPr>
            <w:tcW w:w="1972" w:type="dxa"/>
          </w:tcPr>
          <w:p>
            <w:pPr>
              <w:spacing w:line="276" w:lineRule="auto"/>
              <w:jc w:val="right"/>
              <w:rPr>
                <w:sz w:val="21"/>
                <w:szCs w:val="21"/>
              </w:rPr>
            </w:pPr>
            <w:r>
              <w:rPr>
                <w:sz w:val="21"/>
                <w:szCs w:val="21"/>
              </w:rPr>
              <w:t xml:space="preserve"> 984,896.00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Cagangohan</w:t>
            </w:r>
            <w:proofErr w:type="spellEnd"/>
          </w:p>
        </w:tc>
        <w:tc>
          <w:tcPr>
            <w:tcW w:w="2106" w:type="dxa"/>
          </w:tcPr>
          <w:p>
            <w:pPr>
              <w:spacing w:line="276" w:lineRule="auto"/>
              <w:jc w:val="right"/>
              <w:rPr>
                <w:sz w:val="21"/>
                <w:szCs w:val="21"/>
              </w:rPr>
            </w:pPr>
            <w:r>
              <w:rPr>
                <w:sz w:val="21"/>
                <w:szCs w:val="21"/>
              </w:rPr>
              <w:t xml:space="preserve"> 4,711,478.08 </w:t>
            </w:r>
          </w:p>
        </w:tc>
        <w:tc>
          <w:tcPr>
            <w:tcW w:w="2087" w:type="dxa"/>
          </w:tcPr>
          <w:p>
            <w:pPr>
              <w:spacing w:line="276" w:lineRule="auto"/>
              <w:jc w:val="right"/>
              <w:rPr>
                <w:sz w:val="21"/>
                <w:szCs w:val="21"/>
              </w:rPr>
            </w:pPr>
            <w:r>
              <w:rPr>
                <w:sz w:val="21"/>
                <w:szCs w:val="21"/>
              </w:rPr>
              <w:t xml:space="preserve"> 2,864,427.12 </w:t>
            </w:r>
          </w:p>
        </w:tc>
        <w:tc>
          <w:tcPr>
            <w:tcW w:w="1972" w:type="dxa"/>
          </w:tcPr>
          <w:p>
            <w:pPr>
              <w:spacing w:line="276" w:lineRule="auto"/>
              <w:jc w:val="right"/>
              <w:rPr>
                <w:sz w:val="21"/>
                <w:szCs w:val="21"/>
              </w:rPr>
            </w:pPr>
            <w:r>
              <w:rPr>
                <w:sz w:val="21"/>
                <w:szCs w:val="21"/>
              </w:rPr>
              <w:t xml:space="preserve"> 7,575,905.20 </w:t>
            </w:r>
          </w:p>
        </w:tc>
      </w:tr>
      <w:tr>
        <w:trPr>
          <w:jc w:val="center"/>
        </w:trPr>
        <w:tc>
          <w:tcPr>
            <w:tcW w:w="2413" w:type="dxa"/>
          </w:tcPr>
          <w:p>
            <w:pPr>
              <w:numPr>
                <w:ilvl w:val="0"/>
                <w:numId w:val="58"/>
              </w:numPr>
              <w:spacing w:line="276" w:lineRule="auto"/>
              <w:ind w:left="462"/>
              <w:jc w:val="both"/>
              <w:rPr>
                <w:sz w:val="21"/>
                <w:szCs w:val="21"/>
              </w:rPr>
            </w:pPr>
            <w:r>
              <w:rPr>
                <w:sz w:val="21"/>
                <w:szCs w:val="21"/>
              </w:rPr>
              <w:t>Consolacion</w:t>
            </w:r>
          </w:p>
        </w:tc>
        <w:tc>
          <w:tcPr>
            <w:tcW w:w="2106" w:type="dxa"/>
          </w:tcPr>
          <w:p>
            <w:pPr>
              <w:spacing w:line="276" w:lineRule="auto"/>
              <w:jc w:val="right"/>
              <w:rPr>
                <w:sz w:val="21"/>
                <w:szCs w:val="21"/>
              </w:rPr>
            </w:pPr>
            <w:r>
              <w:rPr>
                <w:sz w:val="21"/>
                <w:szCs w:val="21"/>
              </w:rPr>
              <w:t xml:space="preserve"> 815,313.86 </w:t>
            </w:r>
          </w:p>
        </w:tc>
        <w:tc>
          <w:tcPr>
            <w:tcW w:w="2087" w:type="dxa"/>
          </w:tcPr>
          <w:p>
            <w:pPr>
              <w:spacing w:line="276" w:lineRule="auto"/>
              <w:jc w:val="right"/>
              <w:rPr>
                <w:sz w:val="21"/>
                <w:szCs w:val="21"/>
              </w:rPr>
            </w:pPr>
            <w:r>
              <w:rPr>
                <w:sz w:val="21"/>
                <w:szCs w:val="21"/>
              </w:rPr>
              <w:t xml:space="preserve"> 506,842.16 </w:t>
            </w:r>
          </w:p>
        </w:tc>
        <w:tc>
          <w:tcPr>
            <w:tcW w:w="1972" w:type="dxa"/>
          </w:tcPr>
          <w:p>
            <w:pPr>
              <w:spacing w:line="276" w:lineRule="auto"/>
              <w:jc w:val="right"/>
              <w:rPr>
                <w:sz w:val="21"/>
                <w:szCs w:val="21"/>
              </w:rPr>
            </w:pPr>
            <w:r>
              <w:rPr>
                <w:sz w:val="21"/>
                <w:szCs w:val="21"/>
              </w:rPr>
              <w:t xml:space="preserve"> 1,322,156.02 </w:t>
            </w:r>
          </w:p>
        </w:tc>
      </w:tr>
      <w:tr>
        <w:trPr>
          <w:jc w:val="center"/>
        </w:trPr>
        <w:tc>
          <w:tcPr>
            <w:tcW w:w="2413" w:type="dxa"/>
          </w:tcPr>
          <w:p>
            <w:pPr>
              <w:numPr>
                <w:ilvl w:val="0"/>
                <w:numId w:val="58"/>
              </w:numPr>
              <w:spacing w:line="276" w:lineRule="auto"/>
              <w:ind w:left="462"/>
              <w:jc w:val="both"/>
              <w:rPr>
                <w:sz w:val="21"/>
                <w:szCs w:val="21"/>
              </w:rPr>
            </w:pPr>
            <w:r>
              <w:rPr>
                <w:sz w:val="21"/>
                <w:szCs w:val="21"/>
              </w:rPr>
              <w:t>Dapco</w:t>
            </w:r>
          </w:p>
        </w:tc>
        <w:tc>
          <w:tcPr>
            <w:tcW w:w="2106" w:type="dxa"/>
          </w:tcPr>
          <w:p>
            <w:pPr>
              <w:spacing w:line="276" w:lineRule="auto"/>
              <w:jc w:val="right"/>
              <w:rPr>
                <w:sz w:val="21"/>
                <w:szCs w:val="21"/>
              </w:rPr>
            </w:pPr>
            <w:r>
              <w:rPr>
                <w:sz w:val="21"/>
                <w:szCs w:val="21"/>
              </w:rPr>
              <w:t xml:space="preserve"> 11,090,009.52 </w:t>
            </w:r>
          </w:p>
        </w:tc>
        <w:tc>
          <w:tcPr>
            <w:tcW w:w="2087" w:type="dxa"/>
          </w:tcPr>
          <w:p>
            <w:pPr>
              <w:spacing w:line="276" w:lineRule="auto"/>
              <w:jc w:val="right"/>
              <w:rPr>
                <w:sz w:val="21"/>
                <w:szCs w:val="21"/>
              </w:rPr>
            </w:pPr>
            <w:r>
              <w:rPr>
                <w:sz w:val="21"/>
                <w:szCs w:val="21"/>
              </w:rPr>
              <w:t xml:space="preserve"> 7,378,256.18 </w:t>
            </w:r>
          </w:p>
        </w:tc>
        <w:tc>
          <w:tcPr>
            <w:tcW w:w="1972" w:type="dxa"/>
          </w:tcPr>
          <w:p>
            <w:pPr>
              <w:spacing w:line="276" w:lineRule="auto"/>
              <w:jc w:val="right"/>
              <w:rPr>
                <w:sz w:val="21"/>
                <w:szCs w:val="21"/>
              </w:rPr>
            </w:pPr>
            <w:r>
              <w:rPr>
                <w:sz w:val="21"/>
                <w:szCs w:val="21"/>
              </w:rPr>
              <w:t xml:space="preserve"> 18,468,265.70 </w:t>
            </w:r>
          </w:p>
        </w:tc>
      </w:tr>
      <w:tr>
        <w:trPr>
          <w:jc w:val="center"/>
        </w:trPr>
        <w:tc>
          <w:tcPr>
            <w:tcW w:w="2413" w:type="dxa"/>
          </w:tcPr>
          <w:p>
            <w:pPr>
              <w:numPr>
                <w:ilvl w:val="0"/>
                <w:numId w:val="58"/>
              </w:numPr>
              <w:spacing w:line="276" w:lineRule="auto"/>
              <w:ind w:left="462"/>
              <w:jc w:val="both"/>
              <w:rPr>
                <w:sz w:val="21"/>
                <w:szCs w:val="21"/>
              </w:rPr>
            </w:pPr>
            <w:r>
              <w:rPr>
                <w:sz w:val="21"/>
                <w:szCs w:val="21"/>
              </w:rPr>
              <w:t>Datu Abdul</w:t>
            </w:r>
          </w:p>
        </w:tc>
        <w:tc>
          <w:tcPr>
            <w:tcW w:w="2106" w:type="dxa"/>
          </w:tcPr>
          <w:p>
            <w:pPr>
              <w:spacing w:line="276" w:lineRule="auto"/>
              <w:jc w:val="right"/>
              <w:rPr>
                <w:sz w:val="21"/>
                <w:szCs w:val="21"/>
              </w:rPr>
            </w:pPr>
            <w:r>
              <w:rPr>
                <w:sz w:val="21"/>
                <w:szCs w:val="21"/>
              </w:rPr>
              <w:t xml:space="preserve"> 4,003,286.72 </w:t>
            </w:r>
          </w:p>
        </w:tc>
        <w:tc>
          <w:tcPr>
            <w:tcW w:w="2087" w:type="dxa"/>
          </w:tcPr>
          <w:p>
            <w:pPr>
              <w:spacing w:line="276" w:lineRule="auto"/>
              <w:jc w:val="right"/>
              <w:rPr>
                <w:sz w:val="21"/>
                <w:szCs w:val="21"/>
              </w:rPr>
            </w:pPr>
            <w:r>
              <w:rPr>
                <w:sz w:val="21"/>
                <w:szCs w:val="21"/>
              </w:rPr>
              <w:t xml:space="preserve"> 2,407,305.24 </w:t>
            </w:r>
          </w:p>
        </w:tc>
        <w:tc>
          <w:tcPr>
            <w:tcW w:w="1972" w:type="dxa"/>
          </w:tcPr>
          <w:p>
            <w:pPr>
              <w:spacing w:line="276" w:lineRule="auto"/>
              <w:jc w:val="right"/>
              <w:rPr>
                <w:sz w:val="21"/>
                <w:szCs w:val="21"/>
              </w:rPr>
            </w:pPr>
            <w:r>
              <w:rPr>
                <w:sz w:val="21"/>
                <w:szCs w:val="21"/>
              </w:rPr>
              <w:t xml:space="preserve"> 6,410,591.96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Gredu</w:t>
            </w:r>
            <w:proofErr w:type="spellEnd"/>
          </w:p>
        </w:tc>
        <w:tc>
          <w:tcPr>
            <w:tcW w:w="2106" w:type="dxa"/>
          </w:tcPr>
          <w:p>
            <w:pPr>
              <w:spacing w:line="276" w:lineRule="auto"/>
              <w:jc w:val="right"/>
              <w:rPr>
                <w:sz w:val="21"/>
                <w:szCs w:val="21"/>
              </w:rPr>
            </w:pPr>
            <w:r>
              <w:rPr>
                <w:sz w:val="21"/>
                <w:szCs w:val="21"/>
              </w:rPr>
              <w:t xml:space="preserve"> 6,908,789.44 </w:t>
            </w:r>
          </w:p>
        </w:tc>
        <w:tc>
          <w:tcPr>
            <w:tcW w:w="2087" w:type="dxa"/>
          </w:tcPr>
          <w:p>
            <w:pPr>
              <w:spacing w:line="276" w:lineRule="auto"/>
              <w:jc w:val="right"/>
              <w:rPr>
                <w:sz w:val="21"/>
                <w:szCs w:val="21"/>
              </w:rPr>
            </w:pPr>
            <w:r>
              <w:rPr>
                <w:sz w:val="21"/>
                <w:szCs w:val="21"/>
              </w:rPr>
              <w:t xml:space="preserve"> 4,167,036.08 </w:t>
            </w:r>
          </w:p>
        </w:tc>
        <w:tc>
          <w:tcPr>
            <w:tcW w:w="1972" w:type="dxa"/>
          </w:tcPr>
          <w:p>
            <w:pPr>
              <w:spacing w:line="276" w:lineRule="auto"/>
              <w:jc w:val="right"/>
              <w:rPr>
                <w:sz w:val="21"/>
                <w:szCs w:val="21"/>
              </w:rPr>
            </w:pPr>
            <w:r>
              <w:rPr>
                <w:sz w:val="21"/>
                <w:szCs w:val="21"/>
              </w:rPr>
              <w:t xml:space="preserve"> 11,075,825.52 </w:t>
            </w:r>
          </w:p>
        </w:tc>
      </w:tr>
      <w:tr>
        <w:trPr>
          <w:jc w:val="center"/>
        </w:trPr>
        <w:tc>
          <w:tcPr>
            <w:tcW w:w="2413" w:type="dxa"/>
          </w:tcPr>
          <w:p>
            <w:pPr>
              <w:numPr>
                <w:ilvl w:val="0"/>
                <w:numId w:val="58"/>
              </w:numPr>
              <w:spacing w:line="276" w:lineRule="auto"/>
              <w:ind w:left="462"/>
              <w:jc w:val="both"/>
              <w:rPr>
                <w:sz w:val="21"/>
                <w:szCs w:val="21"/>
              </w:rPr>
            </w:pPr>
            <w:r>
              <w:rPr>
                <w:sz w:val="21"/>
                <w:szCs w:val="21"/>
              </w:rPr>
              <w:t>JP Laurel</w:t>
            </w:r>
          </w:p>
        </w:tc>
        <w:tc>
          <w:tcPr>
            <w:tcW w:w="2106" w:type="dxa"/>
          </w:tcPr>
          <w:p>
            <w:pPr>
              <w:spacing w:line="276" w:lineRule="auto"/>
              <w:jc w:val="right"/>
              <w:rPr>
                <w:sz w:val="21"/>
                <w:szCs w:val="21"/>
              </w:rPr>
            </w:pPr>
            <w:r>
              <w:rPr>
                <w:sz w:val="21"/>
                <w:szCs w:val="21"/>
              </w:rPr>
              <w:t xml:space="preserve"> 4,152,807.36 </w:t>
            </w:r>
          </w:p>
        </w:tc>
        <w:tc>
          <w:tcPr>
            <w:tcW w:w="2087" w:type="dxa"/>
          </w:tcPr>
          <w:p>
            <w:pPr>
              <w:spacing w:line="276" w:lineRule="auto"/>
              <w:jc w:val="right"/>
              <w:rPr>
                <w:sz w:val="21"/>
                <w:szCs w:val="21"/>
              </w:rPr>
            </w:pPr>
            <w:r>
              <w:rPr>
                <w:sz w:val="21"/>
                <w:szCs w:val="21"/>
              </w:rPr>
              <w:t xml:space="preserve"> 2,498,815.46 </w:t>
            </w:r>
          </w:p>
        </w:tc>
        <w:tc>
          <w:tcPr>
            <w:tcW w:w="1972" w:type="dxa"/>
          </w:tcPr>
          <w:p>
            <w:pPr>
              <w:spacing w:line="276" w:lineRule="auto"/>
              <w:jc w:val="right"/>
              <w:rPr>
                <w:sz w:val="21"/>
                <w:szCs w:val="21"/>
              </w:rPr>
            </w:pPr>
            <w:r>
              <w:rPr>
                <w:sz w:val="21"/>
                <w:szCs w:val="21"/>
              </w:rPr>
              <w:t xml:space="preserve"> 6,651,622.82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Kasilak</w:t>
            </w:r>
            <w:proofErr w:type="spellEnd"/>
          </w:p>
        </w:tc>
        <w:tc>
          <w:tcPr>
            <w:tcW w:w="2106" w:type="dxa"/>
          </w:tcPr>
          <w:p>
            <w:pPr>
              <w:spacing w:line="276" w:lineRule="auto"/>
              <w:jc w:val="right"/>
              <w:rPr>
                <w:sz w:val="21"/>
                <w:szCs w:val="21"/>
              </w:rPr>
            </w:pPr>
            <w:r>
              <w:rPr>
                <w:sz w:val="21"/>
                <w:szCs w:val="21"/>
              </w:rPr>
              <w:t xml:space="preserve"> 1,015,627.72 </w:t>
            </w:r>
          </w:p>
        </w:tc>
        <w:tc>
          <w:tcPr>
            <w:tcW w:w="2087" w:type="dxa"/>
          </w:tcPr>
          <w:p>
            <w:pPr>
              <w:spacing w:line="276" w:lineRule="auto"/>
              <w:jc w:val="right"/>
              <w:rPr>
                <w:sz w:val="21"/>
                <w:szCs w:val="21"/>
              </w:rPr>
            </w:pPr>
            <w:r>
              <w:rPr>
                <w:sz w:val="21"/>
                <w:szCs w:val="21"/>
              </w:rPr>
              <w:t xml:space="preserve"> 624,223.20 </w:t>
            </w:r>
          </w:p>
        </w:tc>
        <w:tc>
          <w:tcPr>
            <w:tcW w:w="1972" w:type="dxa"/>
          </w:tcPr>
          <w:p>
            <w:pPr>
              <w:spacing w:line="276" w:lineRule="auto"/>
              <w:jc w:val="right"/>
              <w:rPr>
                <w:sz w:val="21"/>
                <w:szCs w:val="21"/>
              </w:rPr>
            </w:pPr>
            <w:r>
              <w:rPr>
                <w:sz w:val="21"/>
                <w:szCs w:val="21"/>
              </w:rPr>
              <w:t xml:space="preserve"> 1,639,850.92 </w:t>
            </w:r>
          </w:p>
        </w:tc>
      </w:tr>
      <w:tr>
        <w:trPr>
          <w:jc w:val="center"/>
        </w:trPr>
        <w:tc>
          <w:tcPr>
            <w:tcW w:w="2413" w:type="dxa"/>
          </w:tcPr>
          <w:p>
            <w:pPr>
              <w:numPr>
                <w:ilvl w:val="0"/>
                <w:numId w:val="58"/>
              </w:numPr>
              <w:spacing w:line="276" w:lineRule="auto"/>
              <w:ind w:left="462"/>
              <w:jc w:val="both"/>
              <w:rPr>
                <w:sz w:val="21"/>
                <w:szCs w:val="21"/>
              </w:rPr>
            </w:pPr>
            <w:r>
              <w:rPr>
                <w:sz w:val="21"/>
                <w:szCs w:val="21"/>
              </w:rPr>
              <w:t>Katipunan</w:t>
            </w:r>
          </w:p>
        </w:tc>
        <w:tc>
          <w:tcPr>
            <w:tcW w:w="2106" w:type="dxa"/>
          </w:tcPr>
          <w:p>
            <w:pPr>
              <w:spacing w:line="276" w:lineRule="auto"/>
              <w:jc w:val="right"/>
              <w:rPr>
                <w:sz w:val="21"/>
                <w:szCs w:val="21"/>
              </w:rPr>
            </w:pPr>
            <w:r>
              <w:rPr>
                <w:sz w:val="21"/>
                <w:szCs w:val="21"/>
              </w:rPr>
              <w:t xml:space="preserve"> 2,539,373.05 </w:t>
            </w:r>
          </w:p>
        </w:tc>
        <w:tc>
          <w:tcPr>
            <w:tcW w:w="2087" w:type="dxa"/>
          </w:tcPr>
          <w:p>
            <w:pPr>
              <w:spacing w:line="276" w:lineRule="auto"/>
              <w:jc w:val="right"/>
              <w:rPr>
                <w:sz w:val="21"/>
                <w:szCs w:val="21"/>
              </w:rPr>
            </w:pPr>
            <w:r>
              <w:rPr>
                <w:sz w:val="21"/>
                <w:szCs w:val="21"/>
              </w:rPr>
              <w:t xml:space="preserve"> 1,553,198.52 </w:t>
            </w:r>
          </w:p>
        </w:tc>
        <w:tc>
          <w:tcPr>
            <w:tcW w:w="1972" w:type="dxa"/>
          </w:tcPr>
          <w:p>
            <w:pPr>
              <w:spacing w:line="276" w:lineRule="auto"/>
              <w:jc w:val="right"/>
              <w:rPr>
                <w:sz w:val="21"/>
                <w:szCs w:val="21"/>
              </w:rPr>
            </w:pPr>
            <w:r>
              <w:rPr>
                <w:sz w:val="21"/>
                <w:szCs w:val="21"/>
              </w:rPr>
              <w:t xml:space="preserve"> 4,092,571.57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Katualan</w:t>
            </w:r>
            <w:proofErr w:type="spellEnd"/>
          </w:p>
        </w:tc>
        <w:tc>
          <w:tcPr>
            <w:tcW w:w="2106" w:type="dxa"/>
          </w:tcPr>
          <w:p>
            <w:pPr>
              <w:spacing w:line="276" w:lineRule="auto"/>
              <w:jc w:val="right"/>
              <w:rPr>
                <w:sz w:val="21"/>
                <w:szCs w:val="21"/>
              </w:rPr>
            </w:pPr>
            <w:r>
              <w:rPr>
                <w:sz w:val="21"/>
                <w:szCs w:val="21"/>
              </w:rPr>
              <w:t xml:space="preserve"> 249,300.50 </w:t>
            </w:r>
          </w:p>
        </w:tc>
        <w:tc>
          <w:tcPr>
            <w:tcW w:w="2087" w:type="dxa"/>
          </w:tcPr>
          <w:p>
            <w:pPr>
              <w:spacing w:line="276" w:lineRule="auto"/>
              <w:jc w:val="right"/>
              <w:rPr>
                <w:sz w:val="21"/>
                <w:szCs w:val="21"/>
              </w:rPr>
            </w:pPr>
            <w:r>
              <w:rPr>
                <w:sz w:val="21"/>
                <w:szCs w:val="21"/>
              </w:rPr>
              <w:t xml:space="preserve"> 157,769.14 </w:t>
            </w:r>
          </w:p>
        </w:tc>
        <w:tc>
          <w:tcPr>
            <w:tcW w:w="1972" w:type="dxa"/>
          </w:tcPr>
          <w:p>
            <w:pPr>
              <w:spacing w:line="276" w:lineRule="auto"/>
              <w:jc w:val="right"/>
              <w:rPr>
                <w:sz w:val="21"/>
                <w:szCs w:val="21"/>
              </w:rPr>
            </w:pPr>
            <w:r>
              <w:rPr>
                <w:sz w:val="21"/>
                <w:szCs w:val="21"/>
              </w:rPr>
              <w:t xml:space="preserve"> 407,069.64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Kauswagan</w:t>
            </w:r>
            <w:proofErr w:type="spellEnd"/>
          </w:p>
        </w:tc>
        <w:tc>
          <w:tcPr>
            <w:tcW w:w="2106" w:type="dxa"/>
          </w:tcPr>
          <w:p>
            <w:pPr>
              <w:spacing w:line="276" w:lineRule="auto"/>
              <w:jc w:val="right"/>
              <w:rPr>
                <w:sz w:val="21"/>
                <w:szCs w:val="21"/>
              </w:rPr>
            </w:pPr>
            <w:r>
              <w:rPr>
                <w:sz w:val="21"/>
                <w:szCs w:val="21"/>
              </w:rPr>
              <w:t xml:space="preserve"> 1,368,675.60 </w:t>
            </w:r>
          </w:p>
        </w:tc>
        <w:tc>
          <w:tcPr>
            <w:tcW w:w="2087" w:type="dxa"/>
          </w:tcPr>
          <w:p>
            <w:pPr>
              <w:spacing w:line="276" w:lineRule="auto"/>
              <w:jc w:val="right"/>
              <w:rPr>
                <w:sz w:val="21"/>
                <w:szCs w:val="21"/>
              </w:rPr>
            </w:pPr>
            <w:r>
              <w:rPr>
                <w:sz w:val="21"/>
                <w:szCs w:val="21"/>
              </w:rPr>
              <w:t xml:space="preserve"> 845,946.70 </w:t>
            </w:r>
          </w:p>
        </w:tc>
        <w:tc>
          <w:tcPr>
            <w:tcW w:w="1972" w:type="dxa"/>
          </w:tcPr>
          <w:p>
            <w:pPr>
              <w:spacing w:line="276" w:lineRule="auto"/>
              <w:jc w:val="right"/>
              <w:rPr>
                <w:sz w:val="21"/>
                <w:szCs w:val="21"/>
              </w:rPr>
            </w:pPr>
            <w:r>
              <w:rPr>
                <w:sz w:val="21"/>
                <w:szCs w:val="21"/>
              </w:rPr>
              <w:t xml:space="preserve"> 2,214,622.30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Kiotoy</w:t>
            </w:r>
            <w:proofErr w:type="spellEnd"/>
          </w:p>
        </w:tc>
        <w:tc>
          <w:tcPr>
            <w:tcW w:w="2106" w:type="dxa"/>
          </w:tcPr>
          <w:p>
            <w:pPr>
              <w:spacing w:line="276" w:lineRule="auto"/>
              <w:jc w:val="right"/>
              <w:rPr>
                <w:sz w:val="21"/>
                <w:szCs w:val="21"/>
              </w:rPr>
            </w:pPr>
            <w:r>
              <w:rPr>
                <w:sz w:val="21"/>
                <w:szCs w:val="21"/>
              </w:rPr>
              <w:t xml:space="preserve"> 413,353.02 </w:t>
            </w:r>
          </w:p>
        </w:tc>
        <w:tc>
          <w:tcPr>
            <w:tcW w:w="2087" w:type="dxa"/>
          </w:tcPr>
          <w:p>
            <w:pPr>
              <w:spacing w:line="276" w:lineRule="auto"/>
              <w:jc w:val="right"/>
              <w:rPr>
                <w:sz w:val="21"/>
                <w:szCs w:val="21"/>
              </w:rPr>
            </w:pPr>
            <w:r>
              <w:rPr>
                <w:sz w:val="21"/>
                <w:szCs w:val="21"/>
              </w:rPr>
              <w:t xml:space="preserve"> 256,857.60 </w:t>
            </w:r>
          </w:p>
        </w:tc>
        <w:tc>
          <w:tcPr>
            <w:tcW w:w="1972" w:type="dxa"/>
          </w:tcPr>
          <w:p>
            <w:pPr>
              <w:spacing w:line="276" w:lineRule="auto"/>
              <w:jc w:val="right"/>
              <w:rPr>
                <w:sz w:val="21"/>
                <w:szCs w:val="21"/>
              </w:rPr>
            </w:pPr>
            <w:r>
              <w:rPr>
                <w:sz w:val="21"/>
                <w:szCs w:val="21"/>
              </w:rPr>
              <w:t xml:space="preserve"> 670,210.62 </w:t>
            </w:r>
          </w:p>
        </w:tc>
      </w:tr>
      <w:tr>
        <w:trPr>
          <w:jc w:val="center"/>
        </w:trPr>
        <w:tc>
          <w:tcPr>
            <w:tcW w:w="2413" w:type="dxa"/>
          </w:tcPr>
          <w:p>
            <w:pPr>
              <w:numPr>
                <w:ilvl w:val="0"/>
                <w:numId w:val="58"/>
              </w:numPr>
              <w:spacing w:line="276" w:lineRule="auto"/>
              <w:ind w:left="462"/>
              <w:jc w:val="both"/>
              <w:rPr>
                <w:sz w:val="21"/>
                <w:szCs w:val="21"/>
              </w:rPr>
            </w:pPr>
            <w:r>
              <w:rPr>
                <w:sz w:val="21"/>
                <w:szCs w:val="21"/>
              </w:rPr>
              <w:t>Little Panay</w:t>
            </w:r>
          </w:p>
        </w:tc>
        <w:tc>
          <w:tcPr>
            <w:tcW w:w="2106" w:type="dxa"/>
          </w:tcPr>
          <w:p>
            <w:pPr>
              <w:spacing w:line="276" w:lineRule="auto"/>
              <w:jc w:val="right"/>
              <w:rPr>
                <w:sz w:val="21"/>
                <w:szCs w:val="21"/>
              </w:rPr>
            </w:pPr>
            <w:r>
              <w:rPr>
                <w:sz w:val="21"/>
                <w:szCs w:val="21"/>
              </w:rPr>
              <w:t xml:space="preserve"> 1,009,128.10 </w:t>
            </w:r>
          </w:p>
        </w:tc>
        <w:tc>
          <w:tcPr>
            <w:tcW w:w="2087" w:type="dxa"/>
          </w:tcPr>
          <w:p>
            <w:pPr>
              <w:spacing w:line="276" w:lineRule="auto"/>
              <w:jc w:val="right"/>
              <w:rPr>
                <w:sz w:val="21"/>
                <w:szCs w:val="21"/>
              </w:rPr>
            </w:pPr>
            <w:r>
              <w:rPr>
                <w:sz w:val="21"/>
                <w:szCs w:val="21"/>
              </w:rPr>
              <w:t xml:space="preserve"> 568,480.04 </w:t>
            </w:r>
          </w:p>
        </w:tc>
        <w:tc>
          <w:tcPr>
            <w:tcW w:w="1972" w:type="dxa"/>
          </w:tcPr>
          <w:p>
            <w:pPr>
              <w:spacing w:line="276" w:lineRule="auto"/>
              <w:jc w:val="right"/>
              <w:rPr>
                <w:sz w:val="21"/>
                <w:szCs w:val="21"/>
              </w:rPr>
            </w:pPr>
            <w:r>
              <w:rPr>
                <w:sz w:val="21"/>
                <w:szCs w:val="21"/>
              </w:rPr>
              <w:t xml:space="preserve"> 1,577,608.14 </w:t>
            </w:r>
          </w:p>
        </w:tc>
      </w:tr>
      <w:tr>
        <w:trPr>
          <w:jc w:val="center"/>
        </w:trPr>
        <w:tc>
          <w:tcPr>
            <w:tcW w:w="2413" w:type="dxa"/>
          </w:tcPr>
          <w:p>
            <w:pPr>
              <w:numPr>
                <w:ilvl w:val="0"/>
                <w:numId w:val="58"/>
              </w:numPr>
              <w:spacing w:line="276" w:lineRule="auto"/>
              <w:ind w:left="462"/>
              <w:jc w:val="both"/>
              <w:rPr>
                <w:sz w:val="21"/>
                <w:szCs w:val="21"/>
              </w:rPr>
            </w:pPr>
            <w:r>
              <w:rPr>
                <w:sz w:val="21"/>
                <w:szCs w:val="21"/>
              </w:rPr>
              <w:t xml:space="preserve">Lower </w:t>
            </w:r>
            <w:proofErr w:type="spellStart"/>
            <w:r>
              <w:rPr>
                <w:sz w:val="21"/>
                <w:szCs w:val="21"/>
              </w:rPr>
              <w:t>Pnaga</w:t>
            </w:r>
            <w:proofErr w:type="spellEnd"/>
          </w:p>
        </w:tc>
        <w:tc>
          <w:tcPr>
            <w:tcW w:w="2106" w:type="dxa"/>
          </w:tcPr>
          <w:p>
            <w:pPr>
              <w:spacing w:line="276" w:lineRule="auto"/>
              <w:jc w:val="right"/>
              <w:rPr>
                <w:sz w:val="21"/>
                <w:szCs w:val="21"/>
              </w:rPr>
            </w:pPr>
            <w:r>
              <w:rPr>
                <w:sz w:val="21"/>
                <w:szCs w:val="21"/>
              </w:rPr>
              <w:t xml:space="preserve"> 34,141.44 </w:t>
            </w:r>
          </w:p>
        </w:tc>
        <w:tc>
          <w:tcPr>
            <w:tcW w:w="2087" w:type="dxa"/>
          </w:tcPr>
          <w:p>
            <w:pPr>
              <w:spacing w:line="276" w:lineRule="auto"/>
              <w:jc w:val="right"/>
              <w:rPr>
                <w:sz w:val="21"/>
                <w:szCs w:val="21"/>
              </w:rPr>
            </w:pPr>
            <w:r>
              <w:rPr>
                <w:sz w:val="21"/>
                <w:szCs w:val="21"/>
              </w:rPr>
              <w:t xml:space="preserve"> 22,891.38 </w:t>
            </w:r>
          </w:p>
        </w:tc>
        <w:tc>
          <w:tcPr>
            <w:tcW w:w="1972" w:type="dxa"/>
          </w:tcPr>
          <w:p>
            <w:pPr>
              <w:spacing w:line="276" w:lineRule="auto"/>
              <w:jc w:val="right"/>
              <w:rPr>
                <w:sz w:val="21"/>
                <w:szCs w:val="21"/>
              </w:rPr>
            </w:pPr>
            <w:r>
              <w:rPr>
                <w:sz w:val="21"/>
                <w:szCs w:val="21"/>
              </w:rPr>
              <w:t xml:space="preserve"> 57,032.82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Mabunao</w:t>
            </w:r>
            <w:proofErr w:type="spellEnd"/>
          </w:p>
        </w:tc>
        <w:tc>
          <w:tcPr>
            <w:tcW w:w="2106" w:type="dxa"/>
          </w:tcPr>
          <w:p>
            <w:pPr>
              <w:spacing w:line="276" w:lineRule="auto"/>
              <w:jc w:val="right"/>
              <w:rPr>
                <w:sz w:val="21"/>
                <w:szCs w:val="21"/>
              </w:rPr>
            </w:pPr>
            <w:r>
              <w:rPr>
                <w:sz w:val="21"/>
                <w:szCs w:val="21"/>
              </w:rPr>
              <w:t xml:space="preserve"> 766,817.51 </w:t>
            </w:r>
          </w:p>
        </w:tc>
        <w:tc>
          <w:tcPr>
            <w:tcW w:w="2087" w:type="dxa"/>
          </w:tcPr>
          <w:p>
            <w:pPr>
              <w:spacing w:line="276" w:lineRule="auto"/>
              <w:jc w:val="right"/>
              <w:rPr>
                <w:sz w:val="21"/>
                <w:szCs w:val="21"/>
              </w:rPr>
            </w:pPr>
            <w:r>
              <w:rPr>
                <w:sz w:val="21"/>
                <w:szCs w:val="21"/>
              </w:rPr>
              <w:t xml:space="preserve"> 497,658.13 </w:t>
            </w:r>
          </w:p>
        </w:tc>
        <w:tc>
          <w:tcPr>
            <w:tcW w:w="1972" w:type="dxa"/>
          </w:tcPr>
          <w:p>
            <w:pPr>
              <w:spacing w:line="276" w:lineRule="auto"/>
              <w:jc w:val="right"/>
              <w:rPr>
                <w:sz w:val="21"/>
                <w:szCs w:val="21"/>
              </w:rPr>
            </w:pPr>
            <w:r>
              <w:rPr>
                <w:sz w:val="21"/>
                <w:szCs w:val="21"/>
              </w:rPr>
              <w:t xml:space="preserve"> 1,264,475.64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Maduao</w:t>
            </w:r>
            <w:proofErr w:type="spellEnd"/>
          </w:p>
        </w:tc>
        <w:tc>
          <w:tcPr>
            <w:tcW w:w="2106" w:type="dxa"/>
          </w:tcPr>
          <w:p>
            <w:pPr>
              <w:spacing w:line="276" w:lineRule="auto"/>
              <w:jc w:val="right"/>
              <w:rPr>
                <w:sz w:val="21"/>
                <w:szCs w:val="21"/>
              </w:rPr>
            </w:pPr>
            <w:r>
              <w:rPr>
                <w:sz w:val="21"/>
                <w:szCs w:val="21"/>
              </w:rPr>
              <w:t xml:space="preserve"> 1,033,743.88 </w:t>
            </w:r>
          </w:p>
        </w:tc>
        <w:tc>
          <w:tcPr>
            <w:tcW w:w="2087" w:type="dxa"/>
          </w:tcPr>
          <w:p>
            <w:pPr>
              <w:spacing w:line="276" w:lineRule="auto"/>
              <w:jc w:val="right"/>
              <w:rPr>
                <w:sz w:val="21"/>
                <w:szCs w:val="21"/>
              </w:rPr>
            </w:pPr>
            <w:r>
              <w:rPr>
                <w:sz w:val="21"/>
                <w:szCs w:val="21"/>
              </w:rPr>
              <w:t xml:space="preserve"> 620,615.30 </w:t>
            </w:r>
          </w:p>
        </w:tc>
        <w:tc>
          <w:tcPr>
            <w:tcW w:w="1972" w:type="dxa"/>
          </w:tcPr>
          <w:p>
            <w:pPr>
              <w:spacing w:line="276" w:lineRule="auto"/>
              <w:jc w:val="right"/>
              <w:rPr>
                <w:sz w:val="21"/>
                <w:szCs w:val="21"/>
              </w:rPr>
            </w:pPr>
            <w:r>
              <w:rPr>
                <w:sz w:val="21"/>
                <w:szCs w:val="21"/>
              </w:rPr>
              <w:t xml:space="preserve"> 1,654,359.18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Malativas</w:t>
            </w:r>
            <w:proofErr w:type="spellEnd"/>
          </w:p>
        </w:tc>
        <w:tc>
          <w:tcPr>
            <w:tcW w:w="2106" w:type="dxa"/>
          </w:tcPr>
          <w:p>
            <w:pPr>
              <w:spacing w:line="276" w:lineRule="auto"/>
              <w:jc w:val="right"/>
              <w:rPr>
                <w:sz w:val="21"/>
                <w:szCs w:val="21"/>
              </w:rPr>
            </w:pPr>
            <w:r>
              <w:rPr>
                <w:sz w:val="21"/>
                <w:szCs w:val="21"/>
              </w:rPr>
              <w:t xml:space="preserve"> 930,219.81 </w:t>
            </w:r>
          </w:p>
        </w:tc>
        <w:tc>
          <w:tcPr>
            <w:tcW w:w="2087" w:type="dxa"/>
          </w:tcPr>
          <w:p>
            <w:pPr>
              <w:spacing w:line="276" w:lineRule="auto"/>
              <w:jc w:val="right"/>
              <w:rPr>
                <w:sz w:val="21"/>
                <w:szCs w:val="21"/>
              </w:rPr>
            </w:pPr>
            <w:r>
              <w:rPr>
                <w:sz w:val="21"/>
                <w:szCs w:val="21"/>
              </w:rPr>
              <w:t xml:space="preserve"> 587,240.80 </w:t>
            </w:r>
          </w:p>
        </w:tc>
        <w:tc>
          <w:tcPr>
            <w:tcW w:w="1972" w:type="dxa"/>
          </w:tcPr>
          <w:p>
            <w:pPr>
              <w:spacing w:line="276" w:lineRule="auto"/>
              <w:jc w:val="right"/>
              <w:rPr>
                <w:sz w:val="21"/>
                <w:szCs w:val="21"/>
              </w:rPr>
            </w:pPr>
            <w:r>
              <w:rPr>
                <w:sz w:val="21"/>
                <w:szCs w:val="21"/>
              </w:rPr>
              <w:t xml:space="preserve"> 1,517,460.61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Manay</w:t>
            </w:r>
            <w:proofErr w:type="spellEnd"/>
          </w:p>
        </w:tc>
        <w:tc>
          <w:tcPr>
            <w:tcW w:w="2106" w:type="dxa"/>
          </w:tcPr>
          <w:p>
            <w:pPr>
              <w:spacing w:line="276" w:lineRule="auto"/>
              <w:jc w:val="right"/>
              <w:rPr>
                <w:sz w:val="21"/>
                <w:szCs w:val="21"/>
              </w:rPr>
            </w:pPr>
            <w:r>
              <w:rPr>
                <w:sz w:val="21"/>
                <w:szCs w:val="21"/>
              </w:rPr>
              <w:t xml:space="preserve"> 2,011,899.56 </w:t>
            </w:r>
          </w:p>
        </w:tc>
        <w:tc>
          <w:tcPr>
            <w:tcW w:w="2087" w:type="dxa"/>
          </w:tcPr>
          <w:p>
            <w:pPr>
              <w:spacing w:line="276" w:lineRule="auto"/>
              <w:jc w:val="right"/>
              <w:rPr>
                <w:sz w:val="21"/>
                <w:szCs w:val="21"/>
              </w:rPr>
            </w:pPr>
            <w:r>
              <w:rPr>
                <w:sz w:val="21"/>
                <w:szCs w:val="21"/>
              </w:rPr>
              <w:t xml:space="preserve"> 1,222,820.84 </w:t>
            </w:r>
          </w:p>
        </w:tc>
        <w:tc>
          <w:tcPr>
            <w:tcW w:w="1972" w:type="dxa"/>
          </w:tcPr>
          <w:p>
            <w:pPr>
              <w:spacing w:line="276" w:lineRule="auto"/>
              <w:jc w:val="right"/>
              <w:rPr>
                <w:sz w:val="21"/>
                <w:szCs w:val="21"/>
              </w:rPr>
            </w:pPr>
            <w:r>
              <w:rPr>
                <w:sz w:val="21"/>
                <w:szCs w:val="21"/>
              </w:rPr>
              <w:t xml:space="preserve"> 3,234,720.40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Nanyo</w:t>
            </w:r>
            <w:proofErr w:type="spellEnd"/>
          </w:p>
        </w:tc>
        <w:tc>
          <w:tcPr>
            <w:tcW w:w="2106" w:type="dxa"/>
          </w:tcPr>
          <w:p>
            <w:pPr>
              <w:spacing w:line="276" w:lineRule="auto"/>
              <w:jc w:val="right"/>
              <w:rPr>
                <w:sz w:val="21"/>
                <w:szCs w:val="21"/>
              </w:rPr>
            </w:pPr>
            <w:r>
              <w:rPr>
                <w:sz w:val="21"/>
                <w:szCs w:val="21"/>
              </w:rPr>
              <w:t xml:space="preserve"> 1,890,579.88 </w:t>
            </w:r>
          </w:p>
        </w:tc>
        <w:tc>
          <w:tcPr>
            <w:tcW w:w="2087" w:type="dxa"/>
          </w:tcPr>
          <w:p>
            <w:pPr>
              <w:spacing w:line="276" w:lineRule="auto"/>
              <w:jc w:val="right"/>
              <w:rPr>
                <w:sz w:val="21"/>
                <w:szCs w:val="21"/>
              </w:rPr>
            </w:pPr>
            <w:r>
              <w:rPr>
                <w:sz w:val="21"/>
                <w:szCs w:val="21"/>
              </w:rPr>
              <w:t xml:space="preserve"> 1,148,850.62 </w:t>
            </w:r>
          </w:p>
        </w:tc>
        <w:tc>
          <w:tcPr>
            <w:tcW w:w="1972" w:type="dxa"/>
          </w:tcPr>
          <w:p>
            <w:pPr>
              <w:spacing w:line="276" w:lineRule="auto"/>
              <w:jc w:val="right"/>
              <w:rPr>
                <w:sz w:val="21"/>
                <w:szCs w:val="21"/>
              </w:rPr>
            </w:pPr>
            <w:r>
              <w:rPr>
                <w:sz w:val="21"/>
                <w:szCs w:val="21"/>
              </w:rPr>
              <w:t xml:space="preserve"> 3,039,430.50 </w:t>
            </w:r>
          </w:p>
        </w:tc>
      </w:tr>
      <w:tr>
        <w:trPr>
          <w:jc w:val="center"/>
        </w:trPr>
        <w:tc>
          <w:tcPr>
            <w:tcW w:w="2413" w:type="dxa"/>
          </w:tcPr>
          <w:p>
            <w:pPr>
              <w:numPr>
                <w:ilvl w:val="0"/>
                <w:numId w:val="58"/>
              </w:numPr>
              <w:spacing w:line="276" w:lineRule="auto"/>
              <w:ind w:left="462"/>
              <w:jc w:val="both"/>
              <w:rPr>
                <w:sz w:val="21"/>
                <w:szCs w:val="21"/>
              </w:rPr>
            </w:pPr>
            <w:r>
              <w:rPr>
                <w:sz w:val="21"/>
                <w:szCs w:val="21"/>
              </w:rPr>
              <w:t>New Malaga</w:t>
            </w:r>
          </w:p>
        </w:tc>
        <w:tc>
          <w:tcPr>
            <w:tcW w:w="2106" w:type="dxa"/>
          </w:tcPr>
          <w:p>
            <w:pPr>
              <w:spacing w:line="276" w:lineRule="auto"/>
              <w:jc w:val="right"/>
              <w:rPr>
                <w:sz w:val="21"/>
                <w:szCs w:val="21"/>
              </w:rPr>
            </w:pPr>
            <w:r>
              <w:rPr>
                <w:sz w:val="21"/>
                <w:szCs w:val="21"/>
              </w:rPr>
              <w:t xml:space="preserve"> 1,269,463.60 </w:t>
            </w:r>
          </w:p>
        </w:tc>
        <w:tc>
          <w:tcPr>
            <w:tcW w:w="2087" w:type="dxa"/>
          </w:tcPr>
          <w:p>
            <w:pPr>
              <w:spacing w:line="276" w:lineRule="auto"/>
              <w:jc w:val="right"/>
              <w:rPr>
                <w:sz w:val="21"/>
                <w:szCs w:val="21"/>
              </w:rPr>
            </w:pPr>
            <w:r>
              <w:rPr>
                <w:sz w:val="21"/>
                <w:szCs w:val="21"/>
              </w:rPr>
              <w:t xml:space="preserve"> 831,426.58 </w:t>
            </w:r>
          </w:p>
        </w:tc>
        <w:tc>
          <w:tcPr>
            <w:tcW w:w="1972" w:type="dxa"/>
          </w:tcPr>
          <w:p>
            <w:pPr>
              <w:spacing w:line="276" w:lineRule="auto"/>
              <w:jc w:val="right"/>
              <w:rPr>
                <w:sz w:val="21"/>
                <w:szCs w:val="21"/>
              </w:rPr>
            </w:pPr>
            <w:r>
              <w:rPr>
                <w:sz w:val="21"/>
                <w:szCs w:val="21"/>
              </w:rPr>
              <w:t xml:space="preserve"> 2,100,890.18 </w:t>
            </w:r>
          </w:p>
        </w:tc>
      </w:tr>
      <w:tr>
        <w:trPr>
          <w:jc w:val="center"/>
        </w:trPr>
        <w:tc>
          <w:tcPr>
            <w:tcW w:w="2413" w:type="dxa"/>
          </w:tcPr>
          <w:p>
            <w:pPr>
              <w:numPr>
                <w:ilvl w:val="0"/>
                <w:numId w:val="58"/>
              </w:numPr>
              <w:spacing w:line="276" w:lineRule="auto"/>
              <w:ind w:left="462"/>
              <w:jc w:val="both"/>
              <w:rPr>
                <w:sz w:val="21"/>
                <w:szCs w:val="21"/>
              </w:rPr>
            </w:pPr>
            <w:r>
              <w:rPr>
                <w:sz w:val="21"/>
                <w:szCs w:val="21"/>
              </w:rPr>
              <w:t xml:space="preserve">New </w:t>
            </w:r>
            <w:proofErr w:type="spellStart"/>
            <w:r>
              <w:rPr>
                <w:sz w:val="21"/>
                <w:szCs w:val="21"/>
              </w:rPr>
              <w:t>Malitbog</w:t>
            </w:r>
            <w:proofErr w:type="spellEnd"/>
          </w:p>
        </w:tc>
        <w:tc>
          <w:tcPr>
            <w:tcW w:w="2106" w:type="dxa"/>
          </w:tcPr>
          <w:p>
            <w:pPr>
              <w:spacing w:line="276" w:lineRule="auto"/>
              <w:jc w:val="right"/>
              <w:rPr>
                <w:sz w:val="21"/>
                <w:szCs w:val="21"/>
              </w:rPr>
            </w:pPr>
            <w:r>
              <w:rPr>
                <w:sz w:val="21"/>
                <w:szCs w:val="21"/>
              </w:rPr>
              <w:t xml:space="preserve"> 1,856,302.22 </w:t>
            </w:r>
          </w:p>
        </w:tc>
        <w:tc>
          <w:tcPr>
            <w:tcW w:w="2087" w:type="dxa"/>
          </w:tcPr>
          <w:p>
            <w:pPr>
              <w:spacing w:line="276" w:lineRule="auto"/>
              <w:jc w:val="right"/>
              <w:rPr>
                <w:sz w:val="21"/>
                <w:szCs w:val="21"/>
              </w:rPr>
            </w:pPr>
            <w:r>
              <w:rPr>
                <w:sz w:val="21"/>
                <w:szCs w:val="21"/>
              </w:rPr>
              <w:t xml:space="preserve"> 1,008,397.36 </w:t>
            </w:r>
          </w:p>
        </w:tc>
        <w:tc>
          <w:tcPr>
            <w:tcW w:w="1972" w:type="dxa"/>
          </w:tcPr>
          <w:p>
            <w:pPr>
              <w:spacing w:line="276" w:lineRule="auto"/>
              <w:jc w:val="right"/>
              <w:rPr>
                <w:sz w:val="21"/>
                <w:szCs w:val="21"/>
              </w:rPr>
            </w:pPr>
            <w:r>
              <w:rPr>
                <w:sz w:val="21"/>
                <w:szCs w:val="21"/>
              </w:rPr>
              <w:t xml:space="preserve"> 2,864,699.58 </w:t>
            </w:r>
          </w:p>
        </w:tc>
      </w:tr>
      <w:tr>
        <w:trPr>
          <w:jc w:val="center"/>
        </w:trPr>
        <w:tc>
          <w:tcPr>
            <w:tcW w:w="2413" w:type="dxa"/>
          </w:tcPr>
          <w:p>
            <w:pPr>
              <w:numPr>
                <w:ilvl w:val="0"/>
                <w:numId w:val="58"/>
              </w:numPr>
              <w:spacing w:line="276" w:lineRule="auto"/>
              <w:ind w:left="462"/>
              <w:jc w:val="both"/>
              <w:rPr>
                <w:sz w:val="21"/>
                <w:szCs w:val="21"/>
              </w:rPr>
            </w:pPr>
            <w:r>
              <w:rPr>
                <w:sz w:val="21"/>
                <w:szCs w:val="21"/>
              </w:rPr>
              <w:t>New Pandan</w:t>
            </w:r>
          </w:p>
        </w:tc>
        <w:tc>
          <w:tcPr>
            <w:tcW w:w="2106" w:type="dxa"/>
          </w:tcPr>
          <w:p>
            <w:pPr>
              <w:spacing w:line="276" w:lineRule="auto"/>
              <w:jc w:val="right"/>
              <w:rPr>
                <w:sz w:val="21"/>
                <w:szCs w:val="21"/>
              </w:rPr>
            </w:pPr>
            <w:r>
              <w:rPr>
                <w:sz w:val="21"/>
                <w:szCs w:val="21"/>
              </w:rPr>
              <w:t xml:space="preserve"> 4,524,930.28 </w:t>
            </w:r>
          </w:p>
        </w:tc>
        <w:tc>
          <w:tcPr>
            <w:tcW w:w="2087" w:type="dxa"/>
          </w:tcPr>
          <w:p>
            <w:pPr>
              <w:spacing w:line="276" w:lineRule="auto"/>
              <w:jc w:val="right"/>
              <w:rPr>
                <w:sz w:val="21"/>
                <w:szCs w:val="21"/>
              </w:rPr>
            </w:pPr>
            <w:r>
              <w:rPr>
                <w:sz w:val="21"/>
                <w:szCs w:val="21"/>
              </w:rPr>
              <w:t xml:space="preserve"> 2,635,553.22 </w:t>
            </w:r>
          </w:p>
        </w:tc>
        <w:tc>
          <w:tcPr>
            <w:tcW w:w="1972" w:type="dxa"/>
          </w:tcPr>
          <w:p>
            <w:pPr>
              <w:spacing w:line="276" w:lineRule="auto"/>
              <w:jc w:val="right"/>
              <w:rPr>
                <w:sz w:val="21"/>
                <w:szCs w:val="21"/>
              </w:rPr>
            </w:pPr>
            <w:r>
              <w:rPr>
                <w:sz w:val="21"/>
                <w:szCs w:val="21"/>
              </w:rPr>
              <w:t xml:space="preserve"> 7,160,483.50 </w:t>
            </w:r>
          </w:p>
        </w:tc>
      </w:tr>
      <w:tr>
        <w:trPr>
          <w:jc w:val="center"/>
        </w:trPr>
        <w:tc>
          <w:tcPr>
            <w:tcW w:w="2413" w:type="dxa"/>
          </w:tcPr>
          <w:p>
            <w:pPr>
              <w:numPr>
                <w:ilvl w:val="0"/>
                <w:numId w:val="58"/>
              </w:numPr>
              <w:spacing w:line="276" w:lineRule="auto"/>
              <w:ind w:left="462"/>
              <w:jc w:val="both"/>
              <w:rPr>
                <w:sz w:val="21"/>
                <w:szCs w:val="21"/>
              </w:rPr>
            </w:pPr>
            <w:r>
              <w:rPr>
                <w:sz w:val="21"/>
                <w:szCs w:val="21"/>
              </w:rPr>
              <w:t>New Visayas</w:t>
            </w:r>
          </w:p>
        </w:tc>
        <w:tc>
          <w:tcPr>
            <w:tcW w:w="2106" w:type="dxa"/>
          </w:tcPr>
          <w:p>
            <w:pPr>
              <w:spacing w:line="276" w:lineRule="auto"/>
              <w:jc w:val="right"/>
              <w:rPr>
                <w:sz w:val="21"/>
                <w:szCs w:val="21"/>
              </w:rPr>
            </w:pPr>
            <w:r>
              <w:rPr>
                <w:sz w:val="21"/>
                <w:szCs w:val="21"/>
              </w:rPr>
              <w:t xml:space="preserve"> 17,519,303.76 </w:t>
            </w:r>
          </w:p>
        </w:tc>
        <w:tc>
          <w:tcPr>
            <w:tcW w:w="2087" w:type="dxa"/>
          </w:tcPr>
          <w:p>
            <w:pPr>
              <w:spacing w:line="276" w:lineRule="auto"/>
              <w:jc w:val="right"/>
              <w:rPr>
                <w:sz w:val="21"/>
                <w:szCs w:val="21"/>
              </w:rPr>
            </w:pPr>
            <w:r>
              <w:rPr>
                <w:sz w:val="21"/>
                <w:szCs w:val="21"/>
              </w:rPr>
              <w:t xml:space="preserve"> 10,942,096.68 </w:t>
            </w:r>
          </w:p>
        </w:tc>
        <w:tc>
          <w:tcPr>
            <w:tcW w:w="1972" w:type="dxa"/>
          </w:tcPr>
          <w:p>
            <w:pPr>
              <w:spacing w:line="276" w:lineRule="auto"/>
              <w:jc w:val="right"/>
              <w:rPr>
                <w:sz w:val="21"/>
                <w:szCs w:val="21"/>
              </w:rPr>
            </w:pPr>
            <w:r>
              <w:rPr>
                <w:sz w:val="21"/>
                <w:szCs w:val="21"/>
              </w:rPr>
              <w:t xml:space="preserve"> 28,461,400.44 </w:t>
            </w:r>
          </w:p>
        </w:tc>
      </w:tr>
      <w:tr>
        <w:trPr>
          <w:jc w:val="center"/>
        </w:trPr>
        <w:tc>
          <w:tcPr>
            <w:tcW w:w="2413" w:type="dxa"/>
          </w:tcPr>
          <w:p>
            <w:pPr>
              <w:numPr>
                <w:ilvl w:val="0"/>
                <w:numId w:val="58"/>
              </w:numPr>
              <w:spacing w:line="276" w:lineRule="auto"/>
              <w:ind w:left="462"/>
              <w:jc w:val="both"/>
              <w:rPr>
                <w:sz w:val="21"/>
                <w:szCs w:val="21"/>
              </w:rPr>
            </w:pPr>
            <w:r>
              <w:rPr>
                <w:sz w:val="21"/>
                <w:szCs w:val="21"/>
              </w:rPr>
              <w:t xml:space="preserve">Quezon </w:t>
            </w:r>
          </w:p>
        </w:tc>
        <w:tc>
          <w:tcPr>
            <w:tcW w:w="2106" w:type="dxa"/>
          </w:tcPr>
          <w:p>
            <w:pPr>
              <w:spacing w:line="276" w:lineRule="auto"/>
              <w:jc w:val="right"/>
              <w:rPr>
                <w:sz w:val="21"/>
                <w:szCs w:val="21"/>
              </w:rPr>
            </w:pPr>
            <w:r>
              <w:rPr>
                <w:sz w:val="21"/>
                <w:szCs w:val="21"/>
              </w:rPr>
              <w:t xml:space="preserve"> 3,758,244.01 </w:t>
            </w:r>
          </w:p>
        </w:tc>
        <w:tc>
          <w:tcPr>
            <w:tcW w:w="2087" w:type="dxa"/>
          </w:tcPr>
          <w:p>
            <w:pPr>
              <w:spacing w:line="276" w:lineRule="auto"/>
              <w:jc w:val="right"/>
              <w:rPr>
                <w:sz w:val="21"/>
                <w:szCs w:val="21"/>
              </w:rPr>
            </w:pPr>
            <w:r>
              <w:rPr>
                <w:sz w:val="21"/>
                <w:szCs w:val="21"/>
              </w:rPr>
              <w:t xml:space="preserve"> 2,198,996.56 </w:t>
            </w:r>
          </w:p>
        </w:tc>
        <w:tc>
          <w:tcPr>
            <w:tcW w:w="1972" w:type="dxa"/>
          </w:tcPr>
          <w:p>
            <w:pPr>
              <w:spacing w:line="276" w:lineRule="auto"/>
              <w:jc w:val="right"/>
              <w:rPr>
                <w:sz w:val="21"/>
                <w:szCs w:val="21"/>
              </w:rPr>
            </w:pPr>
            <w:r>
              <w:rPr>
                <w:sz w:val="21"/>
                <w:szCs w:val="21"/>
              </w:rPr>
              <w:t xml:space="preserve"> 5,957,240.57 </w:t>
            </w:r>
          </w:p>
        </w:tc>
      </w:tr>
      <w:tr>
        <w:trPr>
          <w:jc w:val="center"/>
        </w:trPr>
        <w:tc>
          <w:tcPr>
            <w:tcW w:w="2413" w:type="dxa"/>
          </w:tcPr>
          <w:p>
            <w:pPr>
              <w:numPr>
                <w:ilvl w:val="0"/>
                <w:numId w:val="58"/>
              </w:numPr>
              <w:spacing w:line="276" w:lineRule="auto"/>
              <w:ind w:left="462"/>
              <w:jc w:val="both"/>
              <w:rPr>
                <w:sz w:val="21"/>
                <w:szCs w:val="21"/>
              </w:rPr>
            </w:pPr>
            <w:r>
              <w:rPr>
                <w:sz w:val="21"/>
                <w:szCs w:val="21"/>
              </w:rPr>
              <w:t>Salvacion</w:t>
            </w:r>
          </w:p>
        </w:tc>
        <w:tc>
          <w:tcPr>
            <w:tcW w:w="2106" w:type="dxa"/>
          </w:tcPr>
          <w:p>
            <w:pPr>
              <w:spacing w:line="276" w:lineRule="auto"/>
              <w:jc w:val="right"/>
              <w:rPr>
                <w:sz w:val="21"/>
                <w:szCs w:val="21"/>
              </w:rPr>
            </w:pPr>
            <w:r>
              <w:rPr>
                <w:sz w:val="21"/>
                <w:szCs w:val="21"/>
              </w:rPr>
              <w:t xml:space="preserve"> 3,838,081.74 </w:t>
            </w:r>
          </w:p>
        </w:tc>
        <w:tc>
          <w:tcPr>
            <w:tcW w:w="2087" w:type="dxa"/>
          </w:tcPr>
          <w:p>
            <w:pPr>
              <w:spacing w:line="276" w:lineRule="auto"/>
              <w:jc w:val="right"/>
              <w:rPr>
                <w:sz w:val="21"/>
                <w:szCs w:val="21"/>
              </w:rPr>
            </w:pPr>
            <w:r>
              <w:rPr>
                <w:sz w:val="21"/>
                <w:szCs w:val="21"/>
              </w:rPr>
              <w:t xml:space="preserve"> 2,224,900.56 </w:t>
            </w:r>
          </w:p>
        </w:tc>
        <w:tc>
          <w:tcPr>
            <w:tcW w:w="1972" w:type="dxa"/>
          </w:tcPr>
          <w:p>
            <w:pPr>
              <w:spacing w:line="276" w:lineRule="auto"/>
              <w:jc w:val="right"/>
              <w:rPr>
                <w:sz w:val="21"/>
                <w:szCs w:val="21"/>
              </w:rPr>
            </w:pPr>
            <w:r>
              <w:rPr>
                <w:sz w:val="21"/>
                <w:szCs w:val="21"/>
              </w:rPr>
              <w:t xml:space="preserve"> 6,062,982.30 </w:t>
            </w:r>
          </w:p>
        </w:tc>
      </w:tr>
      <w:tr>
        <w:trPr>
          <w:jc w:val="center"/>
        </w:trPr>
        <w:tc>
          <w:tcPr>
            <w:tcW w:w="2413" w:type="dxa"/>
          </w:tcPr>
          <w:p>
            <w:pPr>
              <w:numPr>
                <w:ilvl w:val="0"/>
                <w:numId w:val="58"/>
              </w:numPr>
              <w:spacing w:line="276" w:lineRule="auto"/>
              <w:ind w:left="462"/>
              <w:jc w:val="both"/>
              <w:rPr>
                <w:sz w:val="21"/>
                <w:szCs w:val="21"/>
              </w:rPr>
            </w:pPr>
            <w:r>
              <w:rPr>
                <w:sz w:val="21"/>
                <w:szCs w:val="21"/>
              </w:rPr>
              <w:lastRenderedPageBreak/>
              <w:t>San Francisco</w:t>
            </w:r>
          </w:p>
        </w:tc>
        <w:tc>
          <w:tcPr>
            <w:tcW w:w="2106" w:type="dxa"/>
          </w:tcPr>
          <w:p>
            <w:pPr>
              <w:spacing w:line="276" w:lineRule="auto"/>
              <w:jc w:val="right"/>
              <w:rPr>
                <w:sz w:val="21"/>
                <w:szCs w:val="21"/>
              </w:rPr>
            </w:pPr>
            <w:r>
              <w:rPr>
                <w:sz w:val="21"/>
                <w:szCs w:val="21"/>
              </w:rPr>
              <w:t xml:space="preserve"> 11,091,524.82 </w:t>
            </w:r>
          </w:p>
        </w:tc>
        <w:tc>
          <w:tcPr>
            <w:tcW w:w="2087" w:type="dxa"/>
          </w:tcPr>
          <w:p>
            <w:pPr>
              <w:spacing w:line="276" w:lineRule="auto"/>
              <w:jc w:val="right"/>
              <w:rPr>
                <w:sz w:val="21"/>
                <w:szCs w:val="21"/>
              </w:rPr>
            </w:pPr>
            <w:r>
              <w:rPr>
                <w:sz w:val="21"/>
                <w:szCs w:val="21"/>
              </w:rPr>
              <w:t xml:space="preserve"> 6,948,411.92 </w:t>
            </w:r>
          </w:p>
        </w:tc>
        <w:tc>
          <w:tcPr>
            <w:tcW w:w="1972" w:type="dxa"/>
          </w:tcPr>
          <w:p>
            <w:pPr>
              <w:spacing w:line="276" w:lineRule="auto"/>
              <w:jc w:val="right"/>
              <w:rPr>
                <w:sz w:val="21"/>
                <w:szCs w:val="21"/>
              </w:rPr>
            </w:pPr>
            <w:r>
              <w:rPr>
                <w:sz w:val="21"/>
                <w:szCs w:val="21"/>
              </w:rPr>
              <w:t xml:space="preserve"> 18,039,936.74 </w:t>
            </w:r>
          </w:p>
        </w:tc>
      </w:tr>
      <w:tr>
        <w:trPr>
          <w:jc w:val="center"/>
        </w:trPr>
        <w:tc>
          <w:tcPr>
            <w:tcW w:w="2413" w:type="dxa"/>
          </w:tcPr>
          <w:p>
            <w:pPr>
              <w:numPr>
                <w:ilvl w:val="0"/>
                <w:numId w:val="58"/>
              </w:numPr>
              <w:spacing w:line="276" w:lineRule="auto"/>
              <w:ind w:left="462"/>
              <w:jc w:val="both"/>
              <w:rPr>
                <w:sz w:val="21"/>
                <w:szCs w:val="21"/>
              </w:rPr>
            </w:pPr>
            <w:r>
              <w:rPr>
                <w:sz w:val="21"/>
                <w:szCs w:val="21"/>
              </w:rPr>
              <w:t>San Nicolas</w:t>
            </w:r>
          </w:p>
        </w:tc>
        <w:tc>
          <w:tcPr>
            <w:tcW w:w="2106" w:type="dxa"/>
          </w:tcPr>
          <w:p>
            <w:pPr>
              <w:spacing w:line="276" w:lineRule="auto"/>
              <w:jc w:val="right"/>
              <w:rPr>
                <w:sz w:val="21"/>
                <w:szCs w:val="21"/>
              </w:rPr>
            </w:pPr>
            <w:r>
              <w:rPr>
                <w:sz w:val="21"/>
                <w:szCs w:val="21"/>
              </w:rPr>
              <w:t xml:space="preserve"> 3,068,450.46 </w:t>
            </w:r>
          </w:p>
        </w:tc>
        <w:tc>
          <w:tcPr>
            <w:tcW w:w="2087" w:type="dxa"/>
          </w:tcPr>
          <w:p>
            <w:pPr>
              <w:spacing w:line="276" w:lineRule="auto"/>
              <w:jc w:val="right"/>
              <w:rPr>
                <w:sz w:val="21"/>
                <w:szCs w:val="21"/>
              </w:rPr>
            </w:pPr>
            <w:r>
              <w:rPr>
                <w:sz w:val="21"/>
                <w:szCs w:val="21"/>
              </w:rPr>
              <w:t xml:space="preserve"> 1,888,179.12 </w:t>
            </w:r>
          </w:p>
        </w:tc>
        <w:tc>
          <w:tcPr>
            <w:tcW w:w="1972" w:type="dxa"/>
          </w:tcPr>
          <w:p>
            <w:pPr>
              <w:spacing w:line="276" w:lineRule="auto"/>
              <w:jc w:val="right"/>
              <w:rPr>
                <w:sz w:val="21"/>
                <w:szCs w:val="21"/>
              </w:rPr>
            </w:pPr>
            <w:r>
              <w:rPr>
                <w:sz w:val="21"/>
                <w:szCs w:val="21"/>
              </w:rPr>
              <w:t xml:space="preserve"> 4,956,629.58 </w:t>
            </w:r>
          </w:p>
        </w:tc>
      </w:tr>
      <w:tr>
        <w:trPr>
          <w:jc w:val="center"/>
        </w:trPr>
        <w:tc>
          <w:tcPr>
            <w:tcW w:w="2413" w:type="dxa"/>
          </w:tcPr>
          <w:p>
            <w:pPr>
              <w:numPr>
                <w:ilvl w:val="0"/>
                <w:numId w:val="58"/>
              </w:numPr>
              <w:spacing w:line="276" w:lineRule="auto"/>
              <w:ind w:left="462"/>
              <w:jc w:val="both"/>
              <w:rPr>
                <w:sz w:val="21"/>
                <w:szCs w:val="21"/>
              </w:rPr>
            </w:pPr>
            <w:r>
              <w:rPr>
                <w:sz w:val="21"/>
                <w:szCs w:val="21"/>
              </w:rPr>
              <w:t>San Pedro</w:t>
            </w:r>
          </w:p>
        </w:tc>
        <w:tc>
          <w:tcPr>
            <w:tcW w:w="2106" w:type="dxa"/>
          </w:tcPr>
          <w:p>
            <w:pPr>
              <w:spacing w:line="276" w:lineRule="auto"/>
              <w:jc w:val="right"/>
              <w:rPr>
                <w:sz w:val="21"/>
                <w:szCs w:val="21"/>
              </w:rPr>
            </w:pPr>
            <w:r>
              <w:rPr>
                <w:sz w:val="21"/>
                <w:szCs w:val="21"/>
              </w:rPr>
              <w:t xml:space="preserve"> 5,108,061.94 </w:t>
            </w:r>
          </w:p>
        </w:tc>
        <w:tc>
          <w:tcPr>
            <w:tcW w:w="2087" w:type="dxa"/>
          </w:tcPr>
          <w:p>
            <w:pPr>
              <w:spacing w:line="276" w:lineRule="auto"/>
              <w:jc w:val="right"/>
              <w:rPr>
                <w:sz w:val="21"/>
                <w:szCs w:val="21"/>
              </w:rPr>
            </w:pPr>
            <w:r>
              <w:rPr>
                <w:sz w:val="21"/>
                <w:szCs w:val="21"/>
              </w:rPr>
              <w:t xml:space="preserve"> 2,887,216.08 </w:t>
            </w:r>
          </w:p>
        </w:tc>
        <w:tc>
          <w:tcPr>
            <w:tcW w:w="1972" w:type="dxa"/>
          </w:tcPr>
          <w:p>
            <w:pPr>
              <w:spacing w:line="276" w:lineRule="auto"/>
              <w:jc w:val="right"/>
              <w:rPr>
                <w:sz w:val="21"/>
                <w:szCs w:val="21"/>
              </w:rPr>
            </w:pPr>
            <w:r>
              <w:rPr>
                <w:sz w:val="21"/>
                <w:szCs w:val="21"/>
              </w:rPr>
              <w:t xml:space="preserve"> 7,995,278.02 </w:t>
            </w:r>
          </w:p>
        </w:tc>
      </w:tr>
      <w:tr>
        <w:trPr>
          <w:jc w:val="center"/>
        </w:trPr>
        <w:tc>
          <w:tcPr>
            <w:tcW w:w="2413" w:type="dxa"/>
          </w:tcPr>
          <w:p>
            <w:pPr>
              <w:numPr>
                <w:ilvl w:val="0"/>
                <w:numId w:val="58"/>
              </w:numPr>
              <w:spacing w:line="276" w:lineRule="auto"/>
              <w:ind w:left="462"/>
              <w:jc w:val="both"/>
              <w:rPr>
                <w:sz w:val="21"/>
                <w:szCs w:val="21"/>
              </w:rPr>
            </w:pPr>
            <w:r>
              <w:rPr>
                <w:sz w:val="21"/>
                <w:szCs w:val="21"/>
              </w:rPr>
              <w:t>San Roque</w:t>
            </w:r>
          </w:p>
        </w:tc>
        <w:tc>
          <w:tcPr>
            <w:tcW w:w="2106" w:type="dxa"/>
          </w:tcPr>
          <w:p>
            <w:pPr>
              <w:spacing w:line="276" w:lineRule="auto"/>
              <w:jc w:val="right"/>
              <w:rPr>
                <w:sz w:val="21"/>
                <w:szCs w:val="21"/>
              </w:rPr>
            </w:pPr>
            <w:r>
              <w:rPr>
                <w:sz w:val="21"/>
                <w:szCs w:val="21"/>
              </w:rPr>
              <w:t xml:space="preserve"> 478,269.54 </w:t>
            </w:r>
          </w:p>
        </w:tc>
        <w:tc>
          <w:tcPr>
            <w:tcW w:w="2087" w:type="dxa"/>
          </w:tcPr>
          <w:p>
            <w:pPr>
              <w:spacing w:line="276" w:lineRule="auto"/>
              <w:jc w:val="right"/>
              <w:rPr>
                <w:sz w:val="21"/>
                <w:szCs w:val="21"/>
              </w:rPr>
            </w:pPr>
            <w:r>
              <w:rPr>
                <w:sz w:val="21"/>
                <w:szCs w:val="21"/>
              </w:rPr>
              <w:t xml:space="preserve"> 293,840.38 </w:t>
            </w:r>
          </w:p>
        </w:tc>
        <w:tc>
          <w:tcPr>
            <w:tcW w:w="1972" w:type="dxa"/>
          </w:tcPr>
          <w:p>
            <w:pPr>
              <w:spacing w:line="276" w:lineRule="auto"/>
              <w:jc w:val="right"/>
              <w:rPr>
                <w:sz w:val="21"/>
                <w:szCs w:val="21"/>
              </w:rPr>
            </w:pPr>
            <w:r>
              <w:rPr>
                <w:sz w:val="21"/>
                <w:szCs w:val="21"/>
              </w:rPr>
              <w:t xml:space="preserve"> 772,109.92 </w:t>
            </w:r>
          </w:p>
        </w:tc>
      </w:tr>
      <w:tr>
        <w:trPr>
          <w:jc w:val="center"/>
        </w:trPr>
        <w:tc>
          <w:tcPr>
            <w:tcW w:w="2413" w:type="dxa"/>
          </w:tcPr>
          <w:p>
            <w:pPr>
              <w:numPr>
                <w:ilvl w:val="0"/>
                <w:numId w:val="58"/>
              </w:numPr>
              <w:spacing w:line="276" w:lineRule="auto"/>
              <w:ind w:left="462"/>
              <w:jc w:val="both"/>
              <w:rPr>
                <w:sz w:val="21"/>
                <w:szCs w:val="21"/>
              </w:rPr>
            </w:pPr>
            <w:r>
              <w:rPr>
                <w:sz w:val="21"/>
                <w:szCs w:val="21"/>
              </w:rPr>
              <w:t>San Vicente</w:t>
            </w:r>
          </w:p>
        </w:tc>
        <w:tc>
          <w:tcPr>
            <w:tcW w:w="2106" w:type="dxa"/>
          </w:tcPr>
          <w:p>
            <w:pPr>
              <w:spacing w:line="276" w:lineRule="auto"/>
              <w:jc w:val="right"/>
              <w:rPr>
                <w:sz w:val="21"/>
                <w:szCs w:val="21"/>
              </w:rPr>
            </w:pPr>
            <w:r>
              <w:rPr>
                <w:sz w:val="21"/>
                <w:szCs w:val="21"/>
              </w:rPr>
              <w:t xml:space="preserve"> 17,634,028.24 </w:t>
            </w:r>
          </w:p>
        </w:tc>
        <w:tc>
          <w:tcPr>
            <w:tcW w:w="2087" w:type="dxa"/>
          </w:tcPr>
          <w:p>
            <w:pPr>
              <w:spacing w:line="276" w:lineRule="auto"/>
              <w:jc w:val="right"/>
              <w:rPr>
                <w:sz w:val="21"/>
                <w:szCs w:val="21"/>
              </w:rPr>
            </w:pPr>
            <w:r>
              <w:rPr>
                <w:sz w:val="21"/>
                <w:szCs w:val="21"/>
              </w:rPr>
              <w:t xml:space="preserve"> 8,865,605.35 </w:t>
            </w:r>
          </w:p>
        </w:tc>
        <w:tc>
          <w:tcPr>
            <w:tcW w:w="1972" w:type="dxa"/>
          </w:tcPr>
          <w:p>
            <w:pPr>
              <w:spacing w:line="276" w:lineRule="auto"/>
              <w:jc w:val="right"/>
              <w:rPr>
                <w:sz w:val="21"/>
                <w:szCs w:val="21"/>
              </w:rPr>
            </w:pPr>
            <w:r>
              <w:rPr>
                <w:sz w:val="21"/>
                <w:szCs w:val="21"/>
              </w:rPr>
              <w:t xml:space="preserve"> 26,499,633.59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Sindaton</w:t>
            </w:r>
            <w:proofErr w:type="spellEnd"/>
          </w:p>
        </w:tc>
        <w:tc>
          <w:tcPr>
            <w:tcW w:w="2106" w:type="dxa"/>
          </w:tcPr>
          <w:p>
            <w:pPr>
              <w:spacing w:line="276" w:lineRule="auto"/>
              <w:jc w:val="right"/>
              <w:rPr>
                <w:sz w:val="21"/>
                <w:szCs w:val="21"/>
              </w:rPr>
            </w:pPr>
            <w:r>
              <w:rPr>
                <w:sz w:val="21"/>
                <w:szCs w:val="21"/>
              </w:rPr>
              <w:t xml:space="preserve"> 1,212,585.28 </w:t>
            </w:r>
          </w:p>
        </w:tc>
        <w:tc>
          <w:tcPr>
            <w:tcW w:w="2087" w:type="dxa"/>
          </w:tcPr>
          <w:p>
            <w:pPr>
              <w:spacing w:line="276" w:lineRule="auto"/>
              <w:jc w:val="right"/>
              <w:rPr>
                <w:sz w:val="21"/>
                <w:szCs w:val="21"/>
              </w:rPr>
            </w:pPr>
            <w:r>
              <w:rPr>
                <w:sz w:val="21"/>
                <w:szCs w:val="21"/>
              </w:rPr>
              <w:t xml:space="preserve"> 742,061.48 </w:t>
            </w:r>
          </w:p>
        </w:tc>
        <w:tc>
          <w:tcPr>
            <w:tcW w:w="1972" w:type="dxa"/>
          </w:tcPr>
          <w:p>
            <w:pPr>
              <w:spacing w:line="276" w:lineRule="auto"/>
              <w:jc w:val="right"/>
              <w:rPr>
                <w:sz w:val="21"/>
                <w:szCs w:val="21"/>
              </w:rPr>
            </w:pPr>
            <w:r>
              <w:rPr>
                <w:sz w:val="21"/>
                <w:szCs w:val="21"/>
              </w:rPr>
              <w:t xml:space="preserve"> 1,954,646.76 </w:t>
            </w:r>
          </w:p>
        </w:tc>
      </w:tr>
      <w:tr>
        <w:trPr>
          <w:jc w:val="center"/>
        </w:trPr>
        <w:tc>
          <w:tcPr>
            <w:tcW w:w="2413" w:type="dxa"/>
          </w:tcPr>
          <w:p>
            <w:pPr>
              <w:numPr>
                <w:ilvl w:val="0"/>
                <w:numId w:val="58"/>
              </w:numPr>
              <w:spacing w:line="276" w:lineRule="auto"/>
              <w:ind w:left="462"/>
              <w:jc w:val="both"/>
              <w:rPr>
                <w:sz w:val="21"/>
                <w:szCs w:val="21"/>
              </w:rPr>
            </w:pPr>
            <w:r>
              <w:rPr>
                <w:sz w:val="21"/>
                <w:szCs w:val="21"/>
              </w:rPr>
              <w:t>So. Davao</w:t>
            </w:r>
          </w:p>
        </w:tc>
        <w:tc>
          <w:tcPr>
            <w:tcW w:w="2106" w:type="dxa"/>
          </w:tcPr>
          <w:p>
            <w:pPr>
              <w:spacing w:line="276" w:lineRule="auto"/>
              <w:jc w:val="right"/>
              <w:rPr>
                <w:sz w:val="21"/>
                <w:szCs w:val="21"/>
              </w:rPr>
            </w:pPr>
            <w:r>
              <w:rPr>
                <w:sz w:val="21"/>
                <w:szCs w:val="21"/>
              </w:rPr>
              <w:t xml:space="preserve"> 4,836,284.60 </w:t>
            </w:r>
          </w:p>
        </w:tc>
        <w:tc>
          <w:tcPr>
            <w:tcW w:w="2087" w:type="dxa"/>
          </w:tcPr>
          <w:p>
            <w:pPr>
              <w:spacing w:line="276" w:lineRule="auto"/>
              <w:jc w:val="right"/>
              <w:rPr>
                <w:sz w:val="21"/>
                <w:szCs w:val="21"/>
              </w:rPr>
            </w:pPr>
            <w:r>
              <w:rPr>
                <w:sz w:val="21"/>
                <w:szCs w:val="21"/>
              </w:rPr>
              <w:t xml:space="preserve"> 2,721,891.38 </w:t>
            </w:r>
          </w:p>
        </w:tc>
        <w:tc>
          <w:tcPr>
            <w:tcW w:w="1972" w:type="dxa"/>
          </w:tcPr>
          <w:p>
            <w:pPr>
              <w:spacing w:line="276" w:lineRule="auto"/>
              <w:jc w:val="right"/>
              <w:rPr>
                <w:sz w:val="21"/>
                <w:szCs w:val="21"/>
              </w:rPr>
            </w:pPr>
            <w:r>
              <w:rPr>
                <w:sz w:val="21"/>
                <w:szCs w:val="21"/>
              </w:rPr>
              <w:t xml:space="preserve"> 7,558,175.98 </w:t>
            </w:r>
          </w:p>
        </w:tc>
      </w:tr>
      <w:tr>
        <w:trPr>
          <w:jc w:val="center"/>
        </w:trPr>
        <w:tc>
          <w:tcPr>
            <w:tcW w:w="2413" w:type="dxa"/>
          </w:tcPr>
          <w:p>
            <w:pPr>
              <w:numPr>
                <w:ilvl w:val="0"/>
                <w:numId w:val="58"/>
              </w:numPr>
              <w:spacing w:line="276" w:lineRule="auto"/>
              <w:ind w:left="462"/>
              <w:jc w:val="both"/>
              <w:rPr>
                <w:sz w:val="21"/>
                <w:szCs w:val="21"/>
              </w:rPr>
            </w:pPr>
            <w:r>
              <w:rPr>
                <w:sz w:val="21"/>
                <w:szCs w:val="21"/>
              </w:rPr>
              <w:t>Sta. Cruz</w:t>
            </w:r>
          </w:p>
        </w:tc>
        <w:tc>
          <w:tcPr>
            <w:tcW w:w="2106" w:type="dxa"/>
          </w:tcPr>
          <w:p>
            <w:pPr>
              <w:spacing w:line="276" w:lineRule="auto"/>
              <w:jc w:val="right"/>
              <w:rPr>
                <w:sz w:val="21"/>
                <w:szCs w:val="21"/>
              </w:rPr>
            </w:pPr>
            <w:r>
              <w:rPr>
                <w:sz w:val="21"/>
                <w:szCs w:val="21"/>
              </w:rPr>
              <w:t xml:space="preserve"> 374,903.38 </w:t>
            </w:r>
          </w:p>
        </w:tc>
        <w:tc>
          <w:tcPr>
            <w:tcW w:w="2087" w:type="dxa"/>
          </w:tcPr>
          <w:p>
            <w:pPr>
              <w:spacing w:line="276" w:lineRule="auto"/>
              <w:jc w:val="right"/>
              <w:rPr>
                <w:sz w:val="21"/>
                <w:szCs w:val="21"/>
              </w:rPr>
            </w:pPr>
            <w:r>
              <w:rPr>
                <w:sz w:val="21"/>
                <w:szCs w:val="21"/>
              </w:rPr>
              <w:t xml:space="preserve"> 214,304.82 </w:t>
            </w:r>
          </w:p>
        </w:tc>
        <w:tc>
          <w:tcPr>
            <w:tcW w:w="1972" w:type="dxa"/>
          </w:tcPr>
          <w:p>
            <w:pPr>
              <w:spacing w:line="276" w:lineRule="auto"/>
              <w:jc w:val="right"/>
              <w:rPr>
                <w:sz w:val="21"/>
                <w:szCs w:val="21"/>
              </w:rPr>
            </w:pPr>
            <w:r>
              <w:rPr>
                <w:sz w:val="21"/>
                <w:szCs w:val="21"/>
              </w:rPr>
              <w:t xml:space="preserve"> 589,208.20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Sto</w:t>
            </w:r>
            <w:proofErr w:type="spellEnd"/>
            <w:r>
              <w:rPr>
                <w:sz w:val="21"/>
                <w:szCs w:val="21"/>
              </w:rPr>
              <w:t>. Nino</w:t>
            </w:r>
          </w:p>
        </w:tc>
        <w:tc>
          <w:tcPr>
            <w:tcW w:w="2106" w:type="dxa"/>
          </w:tcPr>
          <w:p>
            <w:pPr>
              <w:spacing w:line="276" w:lineRule="auto"/>
              <w:jc w:val="right"/>
              <w:rPr>
                <w:sz w:val="21"/>
                <w:szCs w:val="21"/>
              </w:rPr>
            </w:pPr>
            <w:r>
              <w:rPr>
                <w:sz w:val="21"/>
                <w:szCs w:val="21"/>
              </w:rPr>
              <w:t xml:space="preserve"> 3,269,510.44 </w:t>
            </w:r>
          </w:p>
        </w:tc>
        <w:tc>
          <w:tcPr>
            <w:tcW w:w="2087" w:type="dxa"/>
          </w:tcPr>
          <w:p>
            <w:pPr>
              <w:spacing w:line="276" w:lineRule="auto"/>
              <w:jc w:val="right"/>
              <w:rPr>
                <w:sz w:val="21"/>
                <w:szCs w:val="21"/>
              </w:rPr>
            </w:pPr>
            <w:r>
              <w:rPr>
                <w:sz w:val="21"/>
                <w:szCs w:val="21"/>
              </w:rPr>
              <w:t xml:space="preserve"> 1,935,977.04 </w:t>
            </w:r>
          </w:p>
        </w:tc>
        <w:tc>
          <w:tcPr>
            <w:tcW w:w="1972" w:type="dxa"/>
          </w:tcPr>
          <w:p>
            <w:pPr>
              <w:spacing w:line="276" w:lineRule="auto"/>
              <w:jc w:val="right"/>
              <w:rPr>
                <w:sz w:val="21"/>
                <w:szCs w:val="21"/>
              </w:rPr>
            </w:pPr>
            <w:r>
              <w:rPr>
                <w:sz w:val="21"/>
                <w:szCs w:val="21"/>
              </w:rPr>
              <w:t xml:space="preserve"> 5,205,487.48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Tagpore</w:t>
            </w:r>
            <w:proofErr w:type="spellEnd"/>
          </w:p>
        </w:tc>
        <w:tc>
          <w:tcPr>
            <w:tcW w:w="2106" w:type="dxa"/>
          </w:tcPr>
          <w:p>
            <w:pPr>
              <w:spacing w:line="276" w:lineRule="auto"/>
              <w:jc w:val="right"/>
              <w:rPr>
                <w:sz w:val="21"/>
                <w:szCs w:val="21"/>
              </w:rPr>
            </w:pPr>
            <w:r>
              <w:rPr>
                <w:sz w:val="21"/>
                <w:szCs w:val="21"/>
              </w:rPr>
              <w:t xml:space="preserve"> 378,944.78 </w:t>
            </w:r>
          </w:p>
        </w:tc>
        <w:tc>
          <w:tcPr>
            <w:tcW w:w="2087" w:type="dxa"/>
          </w:tcPr>
          <w:p>
            <w:pPr>
              <w:spacing w:line="276" w:lineRule="auto"/>
              <w:jc w:val="right"/>
              <w:rPr>
                <w:sz w:val="21"/>
                <w:szCs w:val="21"/>
              </w:rPr>
            </w:pPr>
            <w:r>
              <w:rPr>
                <w:sz w:val="21"/>
                <w:szCs w:val="21"/>
              </w:rPr>
              <w:t xml:space="preserve"> 194,213.30 </w:t>
            </w:r>
          </w:p>
        </w:tc>
        <w:tc>
          <w:tcPr>
            <w:tcW w:w="1972" w:type="dxa"/>
          </w:tcPr>
          <w:p>
            <w:pPr>
              <w:spacing w:line="276" w:lineRule="auto"/>
              <w:jc w:val="right"/>
              <w:rPr>
                <w:sz w:val="21"/>
                <w:szCs w:val="21"/>
              </w:rPr>
            </w:pPr>
            <w:r>
              <w:rPr>
                <w:sz w:val="21"/>
                <w:szCs w:val="21"/>
              </w:rPr>
              <w:t xml:space="preserve"> 573,158.08 </w:t>
            </w:r>
          </w:p>
        </w:tc>
      </w:tr>
      <w:tr>
        <w:trPr>
          <w:jc w:val="center"/>
        </w:trPr>
        <w:tc>
          <w:tcPr>
            <w:tcW w:w="2413" w:type="dxa"/>
          </w:tcPr>
          <w:p>
            <w:pPr>
              <w:numPr>
                <w:ilvl w:val="0"/>
                <w:numId w:val="58"/>
              </w:numPr>
              <w:spacing w:line="276" w:lineRule="auto"/>
              <w:ind w:left="462"/>
              <w:jc w:val="both"/>
              <w:rPr>
                <w:sz w:val="21"/>
                <w:szCs w:val="21"/>
              </w:rPr>
            </w:pPr>
            <w:proofErr w:type="spellStart"/>
            <w:r>
              <w:rPr>
                <w:sz w:val="21"/>
                <w:szCs w:val="21"/>
              </w:rPr>
              <w:t>Tibungol</w:t>
            </w:r>
            <w:proofErr w:type="spellEnd"/>
          </w:p>
        </w:tc>
        <w:tc>
          <w:tcPr>
            <w:tcW w:w="2106" w:type="dxa"/>
          </w:tcPr>
          <w:p>
            <w:pPr>
              <w:spacing w:line="276" w:lineRule="auto"/>
              <w:jc w:val="right"/>
              <w:rPr>
                <w:sz w:val="21"/>
                <w:szCs w:val="21"/>
              </w:rPr>
            </w:pPr>
            <w:r>
              <w:rPr>
                <w:sz w:val="21"/>
                <w:szCs w:val="21"/>
              </w:rPr>
              <w:t xml:space="preserve"> 1,021,319.16 </w:t>
            </w:r>
          </w:p>
        </w:tc>
        <w:tc>
          <w:tcPr>
            <w:tcW w:w="2087" w:type="dxa"/>
          </w:tcPr>
          <w:p>
            <w:pPr>
              <w:spacing w:line="276" w:lineRule="auto"/>
              <w:jc w:val="right"/>
              <w:rPr>
                <w:sz w:val="21"/>
                <w:szCs w:val="21"/>
              </w:rPr>
            </w:pPr>
            <w:r>
              <w:rPr>
                <w:sz w:val="21"/>
                <w:szCs w:val="21"/>
              </w:rPr>
              <w:t xml:space="preserve"> 589,258.64 </w:t>
            </w:r>
          </w:p>
        </w:tc>
        <w:tc>
          <w:tcPr>
            <w:tcW w:w="1972" w:type="dxa"/>
          </w:tcPr>
          <w:p>
            <w:pPr>
              <w:spacing w:line="276" w:lineRule="auto"/>
              <w:jc w:val="right"/>
              <w:rPr>
                <w:sz w:val="21"/>
                <w:szCs w:val="21"/>
              </w:rPr>
            </w:pPr>
            <w:r>
              <w:rPr>
                <w:sz w:val="21"/>
                <w:szCs w:val="21"/>
              </w:rPr>
              <w:t xml:space="preserve"> 1,610,577.80 </w:t>
            </w:r>
          </w:p>
        </w:tc>
      </w:tr>
      <w:tr>
        <w:trPr>
          <w:jc w:val="center"/>
        </w:trPr>
        <w:tc>
          <w:tcPr>
            <w:tcW w:w="2413" w:type="dxa"/>
          </w:tcPr>
          <w:p>
            <w:pPr>
              <w:numPr>
                <w:ilvl w:val="0"/>
                <w:numId w:val="58"/>
              </w:numPr>
              <w:spacing w:line="276" w:lineRule="auto"/>
              <w:ind w:left="462"/>
              <w:jc w:val="both"/>
              <w:rPr>
                <w:sz w:val="21"/>
                <w:szCs w:val="21"/>
              </w:rPr>
            </w:pPr>
            <w:r>
              <w:rPr>
                <w:sz w:val="21"/>
                <w:szCs w:val="21"/>
              </w:rPr>
              <w:t xml:space="preserve">Upper </w:t>
            </w:r>
            <w:proofErr w:type="spellStart"/>
            <w:r>
              <w:rPr>
                <w:sz w:val="21"/>
                <w:szCs w:val="21"/>
              </w:rPr>
              <w:t>Licanan</w:t>
            </w:r>
            <w:proofErr w:type="spellEnd"/>
          </w:p>
        </w:tc>
        <w:tc>
          <w:tcPr>
            <w:tcW w:w="2106" w:type="dxa"/>
          </w:tcPr>
          <w:p>
            <w:pPr>
              <w:spacing w:line="276" w:lineRule="auto"/>
              <w:jc w:val="right"/>
              <w:rPr>
                <w:sz w:val="21"/>
                <w:szCs w:val="21"/>
              </w:rPr>
            </w:pPr>
            <w:r>
              <w:rPr>
                <w:sz w:val="21"/>
                <w:szCs w:val="21"/>
              </w:rPr>
              <w:t xml:space="preserve"> 603,468.22 </w:t>
            </w:r>
          </w:p>
        </w:tc>
        <w:tc>
          <w:tcPr>
            <w:tcW w:w="2087" w:type="dxa"/>
          </w:tcPr>
          <w:p>
            <w:pPr>
              <w:spacing w:line="276" w:lineRule="auto"/>
              <w:jc w:val="right"/>
              <w:rPr>
                <w:sz w:val="21"/>
                <w:szCs w:val="21"/>
              </w:rPr>
            </w:pPr>
            <w:r>
              <w:rPr>
                <w:sz w:val="21"/>
                <w:szCs w:val="21"/>
              </w:rPr>
              <w:t xml:space="preserve"> 368,360.16 </w:t>
            </w:r>
          </w:p>
        </w:tc>
        <w:tc>
          <w:tcPr>
            <w:tcW w:w="1972" w:type="dxa"/>
          </w:tcPr>
          <w:p>
            <w:pPr>
              <w:spacing w:line="276" w:lineRule="auto"/>
              <w:jc w:val="right"/>
              <w:rPr>
                <w:sz w:val="21"/>
                <w:szCs w:val="21"/>
              </w:rPr>
            </w:pPr>
            <w:r>
              <w:rPr>
                <w:sz w:val="21"/>
                <w:szCs w:val="21"/>
              </w:rPr>
              <w:t xml:space="preserve"> 971,828.38 </w:t>
            </w:r>
          </w:p>
        </w:tc>
      </w:tr>
      <w:tr>
        <w:trPr>
          <w:jc w:val="center"/>
        </w:trPr>
        <w:tc>
          <w:tcPr>
            <w:tcW w:w="2413" w:type="dxa"/>
          </w:tcPr>
          <w:p>
            <w:pPr>
              <w:numPr>
                <w:ilvl w:val="0"/>
                <w:numId w:val="58"/>
              </w:numPr>
              <w:spacing w:line="276" w:lineRule="auto"/>
              <w:ind w:left="462"/>
              <w:jc w:val="both"/>
              <w:rPr>
                <w:sz w:val="21"/>
                <w:szCs w:val="21"/>
              </w:rPr>
            </w:pPr>
            <w:r>
              <w:rPr>
                <w:sz w:val="21"/>
                <w:szCs w:val="21"/>
              </w:rPr>
              <w:t>Waterfall</w:t>
            </w:r>
          </w:p>
        </w:tc>
        <w:tc>
          <w:tcPr>
            <w:tcW w:w="2106" w:type="dxa"/>
          </w:tcPr>
          <w:p>
            <w:pPr>
              <w:spacing w:line="276" w:lineRule="auto"/>
              <w:jc w:val="right"/>
              <w:rPr>
                <w:sz w:val="21"/>
                <w:szCs w:val="21"/>
              </w:rPr>
            </w:pPr>
            <w:r>
              <w:rPr>
                <w:sz w:val="21"/>
                <w:szCs w:val="21"/>
              </w:rPr>
              <w:t xml:space="preserve"> 427,497.32 </w:t>
            </w:r>
          </w:p>
        </w:tc>
        <w:tc>
          <w:tcPr>
            <w:tcW w:w="2087" w:type="dxa"/>
          </w:tcPr>
          <w:p>
            <w:pPr>
              <w:spacing w:line="276" w:lineRule="auto"/>
              <w:jc w:val="right"/>
              <w:rPr>
                <w:sz w:val="21"/>
                <w:szCs w:val="21"/>
              </w:rPr>
            </w:pPr>
            <w:r>
              <w:rPr>
                <w:sz w:val="21"/>
                <w:szCs w:val="21"/>
              </w:rPr>
              <w:t xml:space="preserve"> 295,925.20 </w:t>
            </w:r>
          </w:p>
        </w:tc>
        <w:tc>
          <w:tcPr>
            <w:tcW w:w="1972" w:type="dxa"/>
          </w:tcPr>
          <w:p>
            <w:pPr>
              <w:spacing w:line="276" w:lineRule="auto"/>
              <w:jc w:val="right"/>
              <w:rPr>
                <w:sz w:val="21"/>
                <w:szCs w:val="21"/>
              </w:rPr>
            </w:pPr>
            <w:r>
              <w:rPr>
                <w:sz w:val="21"/>
                <w:szCs w:val="21"/>
              </w:rPr>
              <w:t xml:space="preserve"> 723,422.52 </w:t>
            </w:r>
          </w:p>
        </w:tc>
      </w:tr>
      <w:tr>
        <w:trPr>
          <w:jc w:val="center"/>
        </w:trPr>
        <w:tc>
          <w:tcPr>
            <w:tcW w:w="2413" w:type="dxa"/>
          </w:tcPr>
          <w:p>
            <w:pPr>
              <w:spacing w:line="276" w:lineRule="auto"/>
              <w:jc w:val="center"/>
              <w:rPr>
                <w:b/>
                <w:sz w:val="21"/>
                <w:szCs w:val="21"/>
              </w:rPr>
            </w:pPr>
            <w:r>
              <w:rPr>
                <w:b/>
                <w:sz w:val="21"/>
                <w:szCs w:val="21"/>
              </w:rPr>
              <w:t>TOTAL</w:t>
            </w:r>
          </w:p>
        </w:tc>
        <w:tc>
          <w:tcPr>
            <w:tcW w:w="2106" w:type="dxa"/>
          </w:tcPr>
          <w:p>
            <w:pPr>
              <w:spacing w:line="276" w:lineRule="auto"/>
              <w:jc w:val="right"/>
              <w:rPr>
                <w:b/>
                <w:bCs/>
                <w:sz w:val="21"/>
                <w:szCs w:val="21"/>
              </w:rPr>
            </w:pPr>
            <w:r>
              <w:rPr>
                <w:b/>
                <w:sz w:val="21"/>
                <w:szCs w:val="21"/>
              </w:rPr>
              <w:t xml:space="preserve"> 128,656,227.94 </w:t>
            </w:r>
          </w:p>
        </w:tc>
        <w:tc>
          <w:tcPr>
            <w:tcW w:w="2087" w:type="dxa"/>
          </w:tcPr>
          <w:p>
            <w:pPr>
              <w:spacing w:line="276" w:lineRule="auto"/>
              <w:jc w:val="right"/>
              <w:rPr>
                <w:b/>
                <w:bCs/>
                <w:sz w:val="21"/>
                <w:szCs w:val="21"/>
              </w:rPr>
            </w:pPr>
            <w:r>
              <w:rPr>
                <w:b/>
                <w:sz w:val="21"/>
                <w:szCs w:val="21"/>
              </w:rPr>
              <w:t xml:space="preserve"> 76,600,528.70 </w:t>
            </w:r>
          </w:p>
        </w:tc>
        <w:tc>
          <w:tcPr>
            <w:tcW w:w="1972" w:type="dxa"/>
          </w:tcPr>
          <w:p>
            <w:pPr>
              <w:spacing w:line="276" w:lineRule="auto"/>
              <w:jc w:val="right"/>
              <w:rPr>
                <w:b/>
                <w:bCs/>
                <w:sz w:val="21"/>
                <w:szCs w:val="21"/>
              </w:rPr>
            </w:pPr>
            <w:r>
              <w:rPr>
                <w:b/>
                <w:sz w:val="21"/>
                <w:szCs w:val="21"/>
              </w:rPr>
              <w:t xml:space="preserve"> 205,256,756.64 </w:t>
            </w:r>
          </w:p>
        </w:tc>
      </w:tr>
    </w:tbl>
    <w:p>
      <w:pPr>
        <w:spacing w:line="276" w:lineRule="auto"/>
        <w:contextualSpacing/>
        <w:jc w:val="both"/>
      </w:pPr>
    </w:p>
    <w:p>
      <w:pPr>
        <w:spacing w:line="276" w:lineRule="auto"/>
        <w:contextualSpacing/>
        <w:jc w:val="both"/>
      </w:pPr>
      <w:r>
        <w:t xml:space="preserve">As shown in Table 14.2, as at January 4, 2023, uncollected RPT/SET for the 25,386 real property units (RPUs) of the 40 Barangays of </w:t>
      </w:r>
      <w:proofErr w:type="spellStart"/>
      <w:r>
        <w:t>Panabo</w:t>
      </w:r>
      <w:proofErr w:type="spellEnd"/>
      <w:r>
        <w:t xml:space="preserve"> City, Davao del Norte totaled to P205,256,756.64 which is composed of P128,656,227.94 for RPT and SET, and P76,600,528.70 for penalties. </w:t>
      </w:r>
    </w:p>
    <w:p>
      <w:pPr>
        <w:spacing w:line="276" w:lineRule="auto"/>
        <w:contextualSpacing/>
        <w:jc w:val="both"/>
      </w:pPr>
    </w:p>
    <w:p>
      <w:pPr>
        <w:spacing w:line="276" w:lineRule="auto"/>
        <w:contextualSpacing/>
        <w:jc w:val="both"/>
      </w:pPr>
      <w:r>
        <w:t>The listing also included the number of RPUs with delinquent taxes per Barangay and the start and end of the period of the delinquency. We requested CTO for the submission of the aging schedule of the delinquent accounts; however, they cannot submit it due to the error in generating said report in the ETRACS. Using the start and end of the period of the delinquency, we have computed the range of number of years delinquent accounts have been outstanding.</w:t>
      </w:r>
    </w:p>
    <w:p>
      <w:pPr>
        <w:spacing w:line="276" w:lineRule="auto"/>
        <w:contextualSpacing/>
        <w:jc w:val="both"/>
      </w:pPr>
    </w:p>
    <w:p>
      <w:pPr>
        <w:spacing w:line="276" w:lineRule="auto"/>
        <w:contextualSpacing/>
        <w:jc w:val="both"/>
        <w:rPr>
          <w:i/>
          <w:iCs/>
        </w:rPr>
      </w:pPr>
      <w:r>
        <w:rPr>
          <w:i/>
          <w:iCs/>
        </w:rPr>
        <w:t>Table 14.3. No. of RPUs with delinquent taxes by Barangay vis-à-vis period started/ended and years outstanding</w:t>
      </w:r>
    </w:p>
    <w:tbl>
      <w:tblPr>
        <w:tblW w:w="8617" w:type="dxa"/>
        <w:jc w:val="center"/>
        <w:tblLayout w:type="fixed"/>
        <w:tblLook w:val="04A0" w:firstRow="1" w:lastRow="0" w:firstColumn="1" w:lastColumn="0" w:noHBand="0" w:noVBand="1"/>
      </w:tblPr>
      <w:tblGrid>
        <w:gridCol w:w="2699"/>
        <w:gridCol w:w="1095"/>
        <w:gridCol w:w="1607"/>
        <w:gridCol w:w="1608"/>
        <w:gridCol w:w="1608"/>
      </w:tblGrid>
      <w:tr>
        <w:trPr>
          <w:trHeight w:val="686"/>
          <w:tblHeader/>
          <w:jc w:val="center"/>
        </w:trPr>
        <w:tc>
          <w:tcPr>
            <w:tcW w:w="2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spacing w:line="276" w:lineRule="auto"/>
              <w:jc w:val="center"/>
              <w:rPr>
                <w:color w:val="000000"/>
                <w:sz w:val="22"/>
                <w:szCs w:val="22"/>
                <w:lang w:val="en-PH" w:eastAsia="en-PH"/>
              </w:rPr>
            </w:pPr>
            <w:r>
              <w:rPr>
                <w:b/>
                <w:bCs/>
                <w:color w:val="000000"/>
                <w:sz w:val="22"/>
                <w:szCs w:val="22"/>
                <w:lang w:val="en-PH" w:eastAsia="en-PH"/>
              </w:rPr>
              <w:t>Barangay</w:t>
            </w:r>
          </w:p>
        </w:tc>
        <w:tc>
          <w:tcPr>
            <w:tcW w:w="1095" w:type="dxa"/>
            <w:tcBorders>
              <w:top w:val="single" w:sz="4" w:space="0" w:color="auto"/>
              <w:left w:val="nil"/>
              <w:bottom w:val="single" w:sz="4" w:space="0" w:color="auto"/>
              <w:right w:val="single" w:sz="4" w:space="0" w:color="auto"/>
            </w:tcBorders>
            <w:shd w:val="clear" w:color="auto" w:fill="auto"/>
            <w:noWrap/>
            <w:vAlign w:val="center"/>
            <w:hideMark/>
          </w:tcPr>
          <w:p>
            <w:pPr>
              <w:spacing w:line="276" w:lineRule="auto"/>
              <w:jc w:val="center"/>
              <w:rPr>
                <w:color w:val="000000"/>
                <w:sz w:val="22"/>
                <w:szCs w:val="22"/>
                <w:lang w:val="en-PH" w:eastAsia="en-PH"/>
              </w:rPr>
            </w:pPr>
            <w:r>
              <w:rPr>
                <w:b/>
                <w:bCs/>
                <w:color w:val="000000"/>
                <w:sz w:val="22"/>
                <w:szCs w:val="22"/>
                <w:lang w:val="en-PH" w:eastAsia="en-PH"/>
              </w:rPr>
              <w:t>No. of RPUs</w:t>
            </w:r>
          </w:p>
        </w:tc>
        <w:tc>
          <w:tcPr>
            <w:tcW w:w="1607" w:type="dxa"/>
            <w:tcBorders>
              <w:top w:val="single" w:sz="4" w:space="0" w:color="auto"/>
              <w:left w:val="nil"/>
              <w:bottom w:val="single" w:sz="4" w:space="0" w:color="auto"/>
              <w:right w:val="single" w:sz="4" w:space="0" w:color="auto"/>
            </w:tcBorders>
            <w:shd w:val="clear" w:color="auto" w:fill="auto"/>
            <w:noWrap/>
            <w:vAlign w:val="center"/>
          </w:tcPr>
          <w:p>
            <w:pPr>
              <w:spacing w:line="276" w:lineRule="auto"/>
              <w:jc w:val="center"/>
              <w:rPr>
                <w:b/>
                <w:bCs/>
                <w:sz w:val="22"/>
                <w:szCs w:val="22"/>
                <w:lang w:val="en-PH" w:eastAsia="en-PH"/>
              </w:rPr>
            </w:pPr>
            <w:r>
              <w:rPr>
                <w:b/>
                <w:bCs/>
                <w:sz w:val="22"/>
                <w:szCs w:val="22"/>
                <w:lang w:val="en-PH" w:eastAsia="en-PH"/>
              </w:rPr>
              <w:t>Start Year/ Quarter</w:t>
            </w:r>
          </w:p>
        </w:tc>
        <w:tc>
          <w:tcPr>
            <w:tcW w:w="1608" w:type="dxa"/>
            <w:tcBorders>
              <w:top w:val="single" w:sz="4" w:space="0" w:color="auto"/>
              <w:left w:val="nil"/>
              <w:bottom w:val="single" w:sz="4" w:space="0" w:color="auto"/>
              <w:right w:val="single" w:sz="4" w:space="0" w:color="auto"/>
            </w:tcBorders>
            <w:shd w:val="clear" w:color="auto" w:fill="auto"/>
            <w:vAlign w:val="center"/>
          </w:tcPr>
          <w:p>
            <w:pPr>
              <w:spacing w:line="276" w:lineRule="auto"/>
              <w:jc w:val="center"/>
              <w:rPr>
                <w:b/>
                <w:bCs/>
                <w:sz w:val="22"/>
                <w:szCs w:val="22"/>
                <w:lang w:val="en-PH" w:eastAsia="en-PH"/>
              </w:rPr>
            </w:pPr>
            <w:r>
              <w:rPr>
                <w:b/>
                <w:bCs/>
                <w:sz w:val="22"/>
                <w:szCs w:val="22"/>
                <w:lang w:val="en-PH" w:eastAsia="en-PH"/>
              </w:rPr>
              <w:t>End Year/ Quarter</w:t>
            </w:r>
          </w:p>
        </w:tc>
        <w:tc>
          <w:tcPr>
            <w:tcW w:w="1608" w:type="dxa"/>
            <w:tcBorders>
              <w:top w:val="single" w:sz="4" w:space="0" w:color="auto"/>
              <w:left w:val="nil"/>
              <w:bottom w:val="single" w:sz="4" w:space="0" w:color="auto"/>
              <w:right w:val="single" w:sz="4" w:space="0" w:color="auto"/>
            </w:tcBorders>
            <w:vAlign w:val="center"/>
          </w:tcPr>
          <w:p>
            <w:pPr>
              <w:spacing w:line="276" w:lineRule="auto"/>
              <w:jc w:val="center"/>
              <w:rPr>
                <w:b/>
                <w:bCs/>
                <w:sz w:val="22"/>
                <w:szCs w:val="22"/>
                <w:lang w:val="en-PH" w:eastAsia="en-PH"/>
              </w:rPr>
            </w:pPr>
            <w:r>
              <w:rPr>
                <w:b/>
                <w:bCs/>
                <w:sz w:val="22"/>
                <w:szCs w:val="22"/>
                <w:lang w:val="en-PH" w:eastAsia="en-PH"/>
              </w:rPr>
              <w:t>No. of Years Outstanding</w:t>
            </w:r>
          </w:p>
        </w:tc>
      </w:tr>
      <w:tr>
        <w:trPr>
          <w:trHeight w:val="20"/>
          <w:jc w:val="center"/>
        </w:trPr>
        <w:tc>
          <w:tcPr>
            <w:tcW w:w="2699" w:type="dxa"/>
            <w:tcBorders>
              <w:top w:val="single" w:sz="4" w:space="0" w:color="auto"/>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A.O. Floirendo</w:t>
            </w:r>
          </w:p>
        </w:tc>
        <w:tc>
          <w:tcPr>
            <w:tcW w:w="1095" w:type="dxa"/>
            <w:tcBorders>
              <w:top w:val="single" w:sz="4" w:space="0" w:color="auto"/>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13</w:t>
            </w:r>
          </w:p>
        </w:tc>
        <w:tc>
          <w:tcPr>
            <w:tcW w:w="1607" w:type="dxa"/>
            <w:tcBorders>
              <w:top w:val="single" w:sz="4" w:space="0" w:color="auto"/>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2012-1Q</w:t>
            </w:r>
          </w:p>
        </w:tc>
        <w:tc>
          <w:tcPr>
            <w:tcW w:w="1608" w:type="dxa"/>
            <w:tcBorders>
              <w:top w:val="single" w:sz="4" w:space="0" w:color="auto"/>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single" w:sz="4" w:space="0" w:color="auto"/>
              <w:left w:val="nil"/>
              <w:bottom w:val="single" w:sz="4" w:space="0" w:color="auto"/>
              <w:right w:val="single" w:sz="4" w:space="0" w:color="auto"/>
            </w:tcBorders>
          </w:tcPr>
          <w:p>
            <w:pPr>
              <w:spacing w:line="276" w:lineRule="auto"/>
              <w:jc w:val="center"/>
              <w:rPr>
                <w:sz w:val="22"/>
                <w:szCs w:val="22"/>
              </w:rPr>
            </w:pPr>
            <w:r>
              <w:rPr>
                <w:sz w:val="22"/>
                <w:szCs w:val="22"/>
              </w:rPr>
              <w:t>11</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Buenavista</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95</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1989-1Q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34</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Cacao</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154</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1989-1Q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34</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Cagangohan</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1,209</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1985-1Q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38</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Consolacion</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91</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1998-1Q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25</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Dapco</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365</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2014-1Q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Datu Abdul</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973</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1992-1Q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31</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Gredu</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1,929</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JP Laurel</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883</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1985-1Q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38</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lastRenderedPageBreak/>
              <w:t>Kasilak</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262</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2003-1Q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20</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Katipunan</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282</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Katualan</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91</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Kauswagan</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210</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1995-1Q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28</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Kiotoy</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117</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2003-1Q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20</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Little Panay</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229</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2005-1Q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18</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 xml:space="preserve">Lower </w:t>
            </w:r>
            <w:proofErr w:type="spellStart"/>
            <w:r>
              <w:rPr>
                <w:sz w:val="22"/>
                <w:szCs w:val="22"/>
              </w:rPr>
              <w:t>Pnaga</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5</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2005-1Q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18</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Mabunao</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186</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1985-1Q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38</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Maduao</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474</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2000-1Q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23</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Malativas</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254</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Manay</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661</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2003-1Q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20</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Nanyo</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445</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1991-1Q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32</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New Malaga</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108</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1985-1Q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38</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 xml:space="preserve">New </w:t>
            </w:r>
            <w:proofErr w:type="spellStart"/>
            <w:r>
              <w:rPr>
                <w:sz w:val="22"/>
                <w:szCs w:val="22"/>
              </w:rPr>
              <w:t>Malitbog</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351</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1997-1Q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26</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New Pandan</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985</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New Visayas</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4,858</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1990-1Q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33</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 xml:space="preserve">Quezon </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897</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Salvacion</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836</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1989-1Q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34</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San Francisco</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1,935</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1983-1Q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40</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San Nicolas</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311</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2003-1Q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20</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San Pedro</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390</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San Roque</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149</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1989-1Q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34</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San Vicente</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2,876</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Sindaton</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396</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1999-1Q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24</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So. Davao</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1,215</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Sta. Cruz</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95</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1989-1Q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34</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Sto</w:t>
            </w:r>
            <w:proofErr w:type="spellEnd"/>
            <w:r>
              <w:rPr>
                <w:sz w:val="22"/>
                <w:szCs w:val="22"/>
              </w:rPr>
              <w:t>. Nino</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526</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1998-1Q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25</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Tagpore</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150</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1994-1Q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29</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proofErr w:type="spellStart"/>
            <w:r>
              <w:rPr>
                <w:sz w:val="22"/>
                <w:szCs w:val="22"/>
              </w:rPr>
              <w:t>Tibungol</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2013-1Q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10</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 xml:space="preserve">Upper </w:t>
            </w:r>
            <w:proofErr w:type="spellStart"/>
            <w:r>
              <w:rPr>
                <w:sz w:val="22"/>
                <w:szCs w:val="22"/>
              </w:rPr>
              <w:t>Licanan</w:t>
            </w:r>
            <w:proofErr w:type="spellEnd"/>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97</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2003-1Q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20</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tcPr>
          <w:p>
            <w:pPr>
              <w:numPr>
                <w:ilvl w:val="0"/>
                <w:numId w:val="60"/>
              </w:numPr>
              <w:spacing w:line="276" w:lineRule="auto"/>
              <w:ind w:left="484"/>
              <w:contextualSpacing/>
              <w:rPr>
                <w:color w:val="000000"/>
                <w:sz w:val="22"/>
                <w:szCs w:val="22"/>
                <w:lang w:val="en-PH" w:eastAsia="en-PH"/>
              </w:rPr>
            </w:pPr>
            <w:r>
              <w:rPr>
                <w:sz w:val="22"/>
                <w:szCs w:val="22"/>
              </w:rPr>
              <w:t>Waterfall</w:t>
            </w:r>
          </w:p>
        </w:tc>
        <w:tc>
          <w:tcPr>
            <w:tcW w:w="1095"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83</w:t>
            </w:r>
          </w:p>
        </w:tc>
        <w:tc>
          <w:tcPr>
            <w:tcW w:w="1607"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1989-1Q</w:t>
            </w:r>
          </w:p>
        </w:tc>
        <w:tc>
          <w:tcPr>
            <w:tcW w:w="1608" w:type="dxa"/>
            <w:tcBorders>
              <w:top w:val="nil"/>
              <w:left w:val="nil"/>
              <w:bottom w:val="single" w:sz="4" w:space="0" w:color="auto"/>
              <w:right w:val="single" w:sz="4" w:space="0" w:color="auto"/>
            </w:tcBorders>
            <w:shd w:val="clear" w:color="auto" w:fill="auto"/>
            <w:noWrap/>
          </w:tcPr>
          <w:p>
            <w:pPr>
              <w:spacing w:line="276" w:lineRule="auto"/>
              <w:jc w:val="center"/>
              <w:rPr>
                <w:color w:val="000000"/>
                <w:sz w:val="22"/>
                <w:szCs w:val="22"/>
                <w:lang w:val="en-PH" w:eastAsia="en-PH"/>
              </w:rPr>
            </w:pPr>
            <w:r>
              <w:rPr>
                <w:sz w:val="22"/>
                <w:szCs w:val="22"/>
              </w:rPr>
              <w:t>2022-4Q</w:t>
            </w:r>
          </w:p>
        </w:tc>
        <w:tc>
          <w:tcPr>
            <w:tcW w:w="160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34</w:t>
            </w:r>
          </w:p>
        </w:tc>
      </w:tr>
      <w:tr>
        <w:trPr>
          <w:trHeight w:val="20"/>
          <w:jc w:val="center"/>
        </w:trPr>
        <w:tc>
          <w:tcPr>
            <w:tcW w:w="2699" w:type="dxa"/>
            <w:tcBorders>
              <w:top w:val="nil"/>
              <w:left w:val="single" w:sz="4" w:space="0" w:color="auto"/>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b/>
                <w:sz w:val="22"/>
                <w:szCs w:val="22"/>
              </w:rPr>
              <w:t>TOTAL</w:t>
            </w:r>
          </w:p>
        </w:tc>
        <w:tc>
          <w:tcPr>
            <w:tcW w:w="1095" w:type="dxa"/>
            <w:tcBorders>
              <w:top w:val="single" w:sz="4" w:space="0" w:color="auto"/>
              <w:left w:val="nil"/>
              <w:bottom w:val="single" w:sz="4" w:space="0" w:color="auto"/>
              <w:right w:val="single" w:sz="4" w:space="0" w:color="auto"/>
            </w:tcBorders>
            <w:shd w:val="clear" w:color="auto" w:fill="auto"/>
            <w:noWrap/>
          </w:tcPr>
          <w:p>
            <w:pPr>
              <w:spacing w:line="276" w:lineRule="auto"/>
              <w:jc w:val="center"/>
              <w:rPr>
                <w:b/>
                <w:bCs/>
                <w:color w:val="000000"/>
                <w:sz w:val="22"/>
                <w:szCs w:val="22"/>
                <w:lang w:val="en-PH" w:eastAsia="en-PH"/>
              </w:rPr>
            </w:pPr>
            <w:r>
              <w:rPr>
                <w:b/>
                <w:sz w:val="22"/>
                <w:szCs w:val="22"/>
              </w:rPr>
              <w:t>25,386</w:t>
            </w:r>
          </w:p>
        </w:tc>
        <w:tc>
          <w:tcPr>
            <w:tcW w:w="1607" w:type="dxa"/>
            <w:tcBorders>
              <w:top w:val="single" w:sz="4" w:space="0" w:color="auto"/>
              <w:left w:val="nil"/>
            </w:tcBorders>
            <w:shd w:val="clear" w:color="auto" w:fill="auto"/>
            <w:noWrap/>
            <w:vAlign w:val="bottom"/>
          </w:tcPr>
          <w:p>
            <w:pPr>
              <w:spacing w:line="276" w:lineRule="auto"/>
              <w:jc w:val="center"/>
              <w:rPr>
                <w:b/>
                <w:bCs/>
                <w:color w:val="000000"/>
                <w:sz w:val="22"/>
                <w:szCs w:val="22"/>
                <w:lang w:val="en-PH" w:eastAsia="en-PH"/>
              </w:rPr>
            </w:pPr>
          </w:p>
        </w:tc>
        <w:tc>
          <w:tcPr>
            <w:tcW w:w="1608" w:type="dxa"/>
            <w:tcBorders>
              <w:top w:val="single" w:sz="4" w:space="0" w:color="auto"/>
            </w:tcBorders>
            <w:shd w:val="clear" w:color="auto" w:fill="auto"/>
            <w:noWrap/>
            <w:vAlign w:val="bottom"/>
          </w:tcPr>
          <w:p>
            <w:pPr>
              <w:spacing w:line="276" w:lineRule="auto"/>
              <w:jc w:val="center"/>
              <w:rPr>
                <w:b/>
                <w:bCs/>
                <w:color w:val="000000"/>
                <w:sz w:val="22"/>
                <w:szCs w:val="22"/>
                <w:lang w:val="en-PH" w:eastAsia="en-PH"/>
              </w:rPr>
            </w:pPr>
          </w:p>
        </w:tc>
        <w:tc>
          <w:tcPr>
            <w:tcW w:w="1608" w:type="dxa"/>
            <w:tcBorders>
              <w:top w:val="single" w:sz="4" w:space="0" w:color="auto"/>
            </w:tcBorders>
          </w:tcPr>
          <w:p>
            <w:pPr>
              <w:spacing w:line="276" w:lineRule="auto"/>
              <w:jc w:val="center"/>
              <w:rPr>
                <w:b/>
                <w:bCs/>
                <w:color w:val="000000"/>
                <w:sz w:val="22"/>
                <w:szCs w:val="22"/>
                <w:lang w:val="en-PH" w:eastAsia="en-PH"/>
              </w:rPr>
            </w:pPr>
          </w:p>
        </w:tc>
      </w:tr>
    </w:tbl>
    <w:p>
      <w:pPr>
        <w:spacing w:line="276" w:lineRule="auto"/>
        <w:contextualSpacing/>
        <w:jc w:val="both"/>
        <w:rPr>
          <w:color w:val="FF0000"/>
        </w:rPr>
      </w:pPr>
    </w:p>
    <w:p>
      <w:pPr>
        <w:spacing w:line="276" w:lineRule="auto"/>
        <w:contextualSpacing/>
        <w:jc w:val="both"/>
      </w:pPr>
      <w:r>
        <w:t>As presented in Table 14.3, the delinquency started as early as 1st Quarter of the year 1983 until the 4</w:t>
      </w:r>
      <w:r>
        <w:rPr>
          <w:vertAlign w:val="superscript"/>
        </w:rPr>
        <w:t>th</w:t>
      </w:r>
      <w:r>
        <w:t xml:space="preserve"> Quarter of Calendar Year 2022 and lately from 1st Quarter of the year 2014 until the 4</w:t>
      </w:r>
      <w:r>
        <w:rPr>
          <w:vertAlign w:val="superscript"/>
        </w:rPr>
        <w:t>th</w:t>
      </w:r>
      <w:r>
        <w:t xml:space="preserve"> Quarter of Calendar Year 2022. This indicates that the length of years these delinquent accounts have been outstanding ranges from nine (9) years to forty (40) years.</w:t>
      </w:r>
    </w:p>
    <w:p>
      <w:pPr>
        <w:spacing w:line="276" w:lineRule="auto"/>
        <w:contextualSpacing/>
        <w:jc w:val="both"/>
        <w:rPr>
          <w:color w:val="FF0000"/>
        </w:rPr>
      </w:pPr>
    </w:p>
    <w:p>
      <w:pPr>
        <w:spacing w:line="276" w:lineRule="auto"/>
        <w:contextualSpacing/>
        <w:jc w:val="both"/>
      </w:pPr>
      <w:r>
        <w:lastRenderedPageBreak/>
        <w:t>According to the CTO, actions taken to address collections of the delinquent accounts are the annual issuance of Notices of Delinquencies to taxpayers and the conduct of public auction for RPUs with delinquent account. The CTO also provided the following explanation on the reasons for the accumulation of unpaid RPT/SET:</w:t>
      </w:r>
    </w:p>
    <w:p>
      <w:pPr>
        <w:spacing w:line="276" w:lineRule="auto"/>
        <w:contextualSpacing/>
        <w:jc w:val="both"/>
      </w:pPr>
    </w:p>
    <w:p>
      <w:pPr>
        <w:numPr>
          <w:ilvl w:val="0"/>
          <w:numId w:val="59"/>
        </w:numPr>
        <w:spacing w:line="276" w:lineRule="auto"/>
        <w:ind w:left="360"/>
        <w:contextualSpacing/>
        <w:jc w:val="both"/>
      </w:pPr>
      <w:r>
        <w:t>Lack of personnel assigned in monitoring and enforcement of the collection of Real Property Taxes and the sending of Notices of Delinquency (NDs). As of December 31, 2022, under the supervision of the City Treasurer and Assistant Treasurer, only one regular employee was tasked to monitor and enforce collection of RPT and only seven (7) job order personnel are assigned in the sending of NDs around 40 Barangays.</w:t>
      </w:r>
    </w:p>
    <w:p>
      <w:pPr>
        <w:spacing w:line="276" w:lineRule="auto"/>
        <w:ind w:left="360"/>
        <w:contextualSpacing/>
        <w:jc w:val="both"/>
      </w:pPr>
    </w:p>
    <w:p>
      <w:pPr>
        <w:numPr>
          <w:ilvl w:val="0"/>
          <w:numId w:val="59"/>
        </w:numPr>
        <w:spacing w:line="276" w:lineRule="auto"/>
        <w:ind w:left="360"/>
        <w:contextualSpacing/>
        <w:jc w:val="both"/>
      </w:pPr>
      <w:r>
        <w:t>Some of the delinquent taxpayers say that they do not have enough money to pay the tax and penalties due. The RPUs are the only properties the taxpayers have and placing the properties for auction will render the taxpayers’ homeless.</w:t>
      </w:r>
    </w:p>
    <w:p>
      <w:pPr>
        <w:spacing w:line="276" w:lineRule="auto"/>
        <w:ind w:left="360"/>
        <w:jc w:val="both"/>
      </w:pPr>
    </w:p>
    <w:p>
      <w:pPr>
        <w:numPr>
          <w:ilvl w:val="0"/>
          <w:numId w:val="59"/>
        </w:numPr>
        <w:spacing w:line="276" w:lineRule="auto"/>
        <w:ind w:left="360"/>
        <w:contextualSpacing/>
        <w:jc w:val="both"/>
      </w:pPr>
      <w:r>
        <w:t>They cannot place all the delinquent RPUs for auction due to the unavailability of the relevant documents necessary for the procedure; thus, the RPUs placed for public auction are those with complete documentary requirements only.</w:t>
      </w:r>
    </w:p>
    <w:p>
      <w:pPr>
        <w:spacing w:line="276" w:lineRule="auto"/>
        <w:ind w:left="360"/>
        <w:jc w:val="both"/>
      </w:pPr>
    </w:p>
    <w:p>
      <w:pPr>
        <w:numPr>
          <w:ilvl w:val="0"/>
          <w:numId w:val="59"/>
        </w:numPr>
        <w:spacing w:line="276" w:lineRule="auto"/>
        <w:ind w:left="360"/>
        <w:contextualSpacing/>
        <w:jc w:val="both"/>
      </w:pPr>
      <w:r>
        <w:t>RPUs (whole or a portion thereof) covered by Right-of-Way (ROW) due to opening and widening of roads are still subjected to RPT/SET thus included on the Realty Tax Delinquency Listing generated by ETRACS. The landowners of these properties are no longer paying the tax dues on the ground that it has already been claimed by the government under ROW.</w:t>
      </w:r>
    </w:p>
    <w:p>
      <w:pPr>
        <w:spacing w:line="276" w:lineRule="auto"/>
        <w:ind w:left="360"/>
        <w:jc w:val="both"/>
      </w:pPr>
    </w:p>
    <w:p>
      <w:pPr>
        <w:numPr>
          <w:ilvl w:val="0"/>
          <w:numId w:val="59"/>
        </w:numPr>
        <w:spacing w:line="276" w:lineRule="auto"/>
        <w:ind w:left="360"/>
        <w:contextualSpacing/>
        <w:jc w:val="both"/>
      </w:pPr>
      <w:r>
        <w:t>The City Assessor’s Office (CASSO) are maintaining two tax assessment computerized system, namely, the ETRACS and the Real Property Tax Assessment by ECPAC Systems Corporation which causes discrepancies in the City’s Assessment Roll which is the basis in the computation of real property tax due. They stated that the enrollment of new RPUs and updates in the assessments of existing RPUs are done under the ECPAC first and thereafter transferred to ETRACS resulting to a time lag in updating the Assessment Roll in ETRACS.</w:t>
      </w:r>
    </w:p>
    <w:p>
      <w:pPr>
        <w:spacing w:line="276" w:lineRule="auto"/>
        <w:ind w:left="360"/>
        <w:contextualSpacing/>
      </w:pPr>
    </w:p>
    <w:p>
      <w:pPr>
        <w:spacing w:line="276" w:lineRule="auto"/>
        <w:ind w:left="360"/>
        <w:contextualSpacing/>
        <w:jc w:val="both"/>
      </w:pPr>
      <w:r>
        <w:t>As result, there were instances where RPUs with cancelled tax declaration under ECPAC system where still computed with real property tax under ETRACS. The CTO is mainly using ETRACS as basis of the real property tax due per RPUs, thus, the Real Tax Delinquency Listing generated by ETRACS may still include RPUs that no longer needs to be subjected for real property tax.</w:t>
      </w:r>
    </w:p>
    <w:p>
      <w:pPr>
        <w:spacing w:line="276" w:lineRule="auto"/>
        <w:jc w:val="both"/>
      </w:pPr>
    </w:p>
    <w:p>
      <w:pPr>
        <w:spacing w:line="276" w:lineRule="auto"/>
        <w:jc w:val="both"/>
      </w:pPr>
      <w:r>
        <w:lastRenderedPageBreak/>
        <w:t>We asked the CASSO’s comments pertaining to inclusion of RPUs covered by ROW and the maintenance of two RPT tax assessment computerized systems and they provided the following:</w:t>
      </w:r>
    </w:p>
    <w:p>
      <w:pPr>
        <w:spacing w:line="276" w:lineRule="auto"/>
        <w:ind w:left="720"/>
        <w:jc w:val="both"/>
      </w:pPr>
    </w:p>
    <w:p>
      <w:pPr>
        <w:numPr>
          <w:ilvl w:val="0"/>
          <w:numId w:val="61"/>
        </w:numPr>
        <w:spacing w:line="276" w:lineRule="auto"/>
        <w:ind w:left="360"/>
        <w:contextualSpacing/>
        <w:jc w:val="both"/>
      </w:pPr>
      <w:r>
        <w:t>RPUs covered with ROW were not exempted from real property tax because the said properties were not yet formally donated by the landowners to the government, thus ownership of said properties still belonged to the titleholders and without the deed of donations they do not have the legal basis for the exemption.</w:t>
      </w:r>
    </w:p>
    <w:p>
      <w:pPr>
        <w:spacing w:line="276" w:lineRule="auto"/>
        <w:ind w:left="360"/>
        <w:jc w:val="both"/>
      </w:pPr>
    </w:p>
    <w:p>
      <w:pPr>
        <w:numPr>
          <w:ilvl w:val="0"/>
          <w:numId w:val="61"/>
        </w:numPr>
        <w:spacing w:line="276" w:lineRule="auto"/>
        <w:ind w:left="360"/>
        <w:contextualSpacing/>
        <w:jc w:val="both"/>
        <w:rPr>
          <w:color w:val="FF0000"/>
        </w:rPr>
      </w:pPr>
      <w:r>
        <w:t>The maintenance of two RPT tax assessment computerized systems does not materially affect the amount of tax due reported under the Realty Tax Delinquency Listing generated by ETRACS since Assessment Roll in the ECPAC is generally the same with ETRACS. The time lag in the updating of the Assessment Roll in ETRACS from ECPAC does not exceed more than a week.</w:t>
      </w:r>
    </w:p>
    <w:p>
      <w:pPr>
        <w:spacing w:line="276" w:lineRule="auto"/>
        <w:ind w:left="360"/>
        <w:contextualSpacing/>
      </w:pPr>
    </w:p>
    <w:p>
      <w:pPr>
        <w:spacing w:line="276" w:lineRule="auto"/>
        <w:ind w:left="360"/>
        <w:contextualSpacing/>
        <w:jc w:val="both"/>
        <w:rPr>
          <w:color w:val="FF0000"/>
        </w:rPr>
      </w:pPr>
      <w:r>
        <w:t>The continued used of ECPAC System was due to the errors in the generation of reports and glitches while using ETRACS. These system errors hamper the efficiency in the provision of their services particularly in updating tax assessment and in the generation of reports such as tax declaration certificate. They added that troubleshooting of system errors takes time since the office of the developer of ETRACS (Rameses Systems Inc.) is located in Cebu. On the other hand, ECPAC has a satellite office in Davao City and are prompt with their request.</w:t>
      </w:r>
    </w:p>
    <w:p>
      <w:pPr>
        <w:spacing w:line="276" w:lineRule="auto"/>
        <w:contextualSpacing/>
        <w:jc w:val="both"/>
      </w:pPr>
    </w:p>
    <w:p>
      <w:pPr>
        <w:spacing w:line="276" w:lineRule="auto"/>
        <w:contextualSpacing/>
        <w:jc w:val="both"/>
      </w:pPr>
      <w:r>
        <w:t>Further verification of the actions undertaken by the CTO to enforce collection of taxes revealed that:</w:t>
      </w:r>
    </w:p>
    <w:p>
      <w:pPr>
        <w:spacing w:line="276" w:lineRule="auto"/>
        <w:ind w:firstLine="709"/>
        <w:contextualSpacing/>
        <w:jc w:val="both"/>
      </w:pPr>
    </w:p>
    <w:p>
      <w:pPr>
        <w:numPr>
          <w:ilvl w:val="0"/>
          <w:numId w:val="62"/>
        </w:numPr>
        <w:spacing w:line="276" w:lineRule="auto"/>
        <w:ind w:left="360"/>
        <w:contextualSpacing/>
        <w:jc w:val="both"/>
      </w:pPr>
      <w:r>
        <w:t>There is no formal policy providing the specific procedures in the enforcement of remedies for the collection of delinquent taxes.</w:t>
      </w:r>
    </w:p>
    <w:p>
      <w:pPr>
        <w:spacing w:line="276" w:lineRule="auto"/>
        <w:ind w:left="360"/>
        <w:contextualSpacing/>
        <w:jc w:val="both"/>
      </w:pPr>
    </w:p>
    <w:p>
      <w:pPr>
        <w:spacing w:line="276" w:lineRule="auto"/>
        <w:ind w:left="360"/>
        <w:contextualSpacing/>
        <w:jc w:val="both"/>
      </w:pPr>
      <w:r>
        <w:t>Although the Local Government of Code of 1991 provides the remedies available to LGUs for the collection of delinquent real property taxes, the establishment of a formal policy which outlines the specific procedures promotes good internal control in the enforcement of these remedies. It will serve as a clear guide to the concerned offices for the enforcement of remedies and to the taxpayers on how to settle their delinquent accounts.</w:t>
      </w:r>
    </w:p>
    <w:p>
      <w:pPr>
        <w:spacing w:line="276" w:lineRule="auto"/>
        <w:ind w:left="360" w:firstLine="709"/>
        <w:contextualSpacing/>
        <w:jc w:val="both"/>
      </w:pPr>
    </w:p>
    <w:p>
      <w:pPr>
        <w:numPr>
          <w:ilvl w:val="0"/>
          <w:numId w:val="62"/>
        </w:numPr>
        <w:spacing w:line="276" w:lineRule="auto"/>
        <w:ind w:left="360"/>
        <w:contextualSpacing/>
        <w:jc w:val="both"/>
        <w:rPr>
          <w:color w:val="FF0000"/>
        </w:rPr>
      </w:pPr>
      <w:r>
        <w:t>Available remedies in collecting tax delinquencies provided under the law were not fully enforced resulting to its accumulation.</w:t>
      </w:r>
    </w:p>
    <w:p>
      <w:pPr>
        <w:spacing w:line="276" w:lineRule="auto"/>
        <w:ind w:left="360"/>
        <w:contextualSpacing/>
        <w:jc w:val="both"/>
        <w:rPr>
          <w:color w:val="FF0000"/>
        </w:rPr>
      </w:pPr>
    </w:p>
    <w:p>
      <w:pPr>
        <w:spacing w:line="276" w:lineRule="auto"/>
        <w:ind w:left="360"/>
        <w:contextualSpacing/>
        <w:jc w:val="both"/>
        <w:rPr>
          <w:color w:val="FF0000"/>
        </w:rPr>
      </w:pPr>
      <w:r>
        <w:lastRenderedPageBreak/>
        <w:t>Although, the CTO was able to collect more than 100% of the BLGF’s Target collection for RPT/SET and have collected 99.55% of the RPT/SET Receivable for CYs 2020-2022, the total delinquent accounts reported by CTO as of January 04, 2023 amounted to P128,656,227.94 (excluding penalties) which comprises 311.03% of RPT/SET Receivable accounts balance as at December 31, 2023 amounting to P41,364,734.46 (composed of RPT Receivable, P21,430,501.67; and SET Receivable, P19,934,232.79).</w:t>
      </w:r>
    </w:p>
    <w:p>
      <w:pPr>
        <w:spacing w:line="276" w:lineRule="auto"/>
        <w:contextualSpacing/>
        <w:jc w:val="both"/>
      </w:pPr>
    </w:p>
    <w:p>
      <w:pPr>
        <w:spacing w:line="276" w:lineRule="auto"/>
        <w:contextualSpacing/>
        <w:jc w:val="both"/>
      </w:pPr>
      <w:r>
        <w:t xml:space="preserve">The above deficiencies indicate that the City Government of </w:t>
      </w:r>
      <w:proofErr w:type="spellStart"/>
      <w:r>
        <w:t>Panabo</w:t>
      </w:r>
      <w:proofErr w:type="spellEnd"/>
      <w:r>
        <w:t xml:space="preserve"> has lapses in the exercise of its authority to generate and collect revenues from RPT/SET. Had the concerned offices fully imposed the available remedies in collecting annually tax delinquencies in a more stringent and active manner and formulated strategies to improve collections, funds to finance various programs, projects and other activities of the city and its barangays could have been increased.  </w:t>
      </w:r>
    </w:p>
    <w:p>
      <w:pPr>
        <w:spacing w:line="276" w:lineRule="auto"/>
        <w:contextualSpacing/>
        <w:jc w:val="both"/>
      </w:pPr>
    </w:p>
    <w:p>
      <w:pPr>
        <w:spacing w:line="276" w:lineRule="auto"/>
        <w:contextualSpacing/>
        <w:jc w:val="both"/>
        <w:rPr>
          <w:b/>
        </w:rPr>
      </w:pPr>
      <w:r>
        <w:rPr>
          <w:b/>
        </w:rPr>
        <w:t>Recommendations:</w:t>
      </w:r>
    </w:p>
    <w:p>
      <w:pPr>
        <w:spacing w:line="276" w:lineRule="auto"/>
        <w:contextualSpacing/>
        <w:jc w:val="both"/>
      </w:pPr>
    </w:p>
    <w:p>
      <w:pPr>
        <w:spacing w:line="276" w:lineRule="auto"/>
        <w:contextualSpacing/>
        <w:jc w:val="both"/>
      </w:pPr>
      <w:r>
        <w:t>We recommended the City Mayor to direct the City Treasurer’s Office, City Assessor’s Office and other offices concerned to:</w:t>
      </w:r>
    </w:p>
    <w:p>
      <w:pPr>
        <w:spacing w:line="276" w:lineRule="auto"/>
        <w:contextualSpacing/>
        <w:jc w:val="both"/>
      </w:pPr>
    </w:p>
    <w:p>
      <w:pPr>
        <w:numPr>
          <w:ilvl w:val="0"/>
          <w:numId w:val="63"/>
        </w:numPr>
        <w:spacing w:line="276" w:lineRule="auto"/>
        <w:ind w:left="360"/>
        <w:contextualSpacing/>
        <w:jc w:val="both"/>
      </w:pPr>
      <w:r>
        <w:t>Undertake effective, efficient, and aggressive tax collection strategies to improve collection through the establishment of a formal policy outlining the step-by-step procedures in the enforcement of remedies for the collection of delinquent real property taxes and the reinforcement of public information dissemination of the consequences for non-payment of real property taxes;</w:t>
      </w:r>
    </w:p>
    <w:p>
      <w:pPr>
        <w:spacing w:line="276" w:lineRule="auto"/>
        <w:ind w:left="360"/>
        <w:contextualSpacing/>
        <w:jc w:val="both"/>
      </w:pPr>
    </w:p>
    <w:p>
      <w:pPr>
        <w:numPr>
          <w:ilvl w:val="0"/>
          <w:numId w:val="63"/>
        </w:numPr>
        <w:spacing w:line="276" w:lineRule="auto"/>
        <w:ind w:left="360"/>
        <w:contextualSpacing/>
        <w:jc w:val="both"/>
      </w:pPr>
      <w:r>
        <w:t>Facilitate the transfer of properties covered by the Right-of-Way to the concerned government agencies in order that these properties be exempted from real property taxes;</w:t>
      </w:r>
    </w:p>
    <w:p>
      <w:pPr>
        <w:spacing w:line="276" w:lineRule="auto"/>
        <w:ind w:left="360"/>
        <w:contextualSpacing/>
        <w:jc w:val="both"/>
      </w:pPr>
    </w:p>
    <w:p>
      <w:pPr>
        <w:numPr>
          <w:ilvl w:val="0"/>
          <w:numId w:val="63"/>
        </w:numPr>
        <w:spacing w:line="276" w:lineRule="auto"/>
        <w:ind w:left="360"/>
        <w:contextualSpacing/>
        <w:jc w:val="both"/>
      </w:pPr>
      <w:r>
        <w:t>Require Rameses Systems Inc. to troubleshoot and fix the systems errors and update the Enhanced Tax Revenue Assessment and Collection System (ETRACS) of the City Government; and,</w:t>
      </w:r>
    </w:p>
    <w:p>
      <w:pPr>
        <w:spacing w:line="276" w:lineRule="auto"/>
        <w:ind w:left="360"/>
        <w:contextualSpacing/>
      </w:pPr>
    </w:p>
    <w:p>
      <w:pPr>
        <w:numPr>
          <w:ilvl w:val="0"/>
          <w:numId w:val="63"/>
        </w:numPr>
        <w:spacing w:line="276" w:lineRule="auto"/>
        <w:ind w:left="360"/>
        <w:contextualSpacing/>
        <w:jc w:val="both"/>
      </w:pPr>
      <w:r>
        <w:t>For the delinquent real property taxes with Notice of Delinquency already served and not yet auctioned, impose the legal remedies either by administrative auction thru levy on real property or judicial action, following the procedures authorized in the Local Government Code, to enforce collection and to undertake the same expeditiously on a yearly basis to reduce amounts accumulated as receivables for delinquent taxes.</w:t>
      </w:r>
    </w:p>
    <w:p>
      <w:pPr>
        <w:spacing w:line="276" w:lineRule="auto"/>
        <w:jc w:val="both"/>
      </w:pPr>
      <w:r>
        <w:lastRenderedPageBreak/>
        <w:t>We further recommended the City Mayor to address the small personnel complement of the City Treasurer’s Office particularly in the monitoring and enforcement of collection of real property taxes to enhance the City Government’s revenue generation capacity.</w:t>
      </w:r>
    </w:p>
    <w:p>
      <w:pPr>
        <w:spacing w:line="276" w:lineRule="auto"/>
        <w:ind w:right="270"/>
        <w:rPr>
          <w:b/>
        </w:rPr>
      </w:pPr>
    </w:p>
    <w:p>
      <w:pPr>
        <w:spacing w:line="276" w:lineRule="auto"/>
        <w:ind w:right="270"/>
        <w:rPr>
          <w:b/>
        </w:rPr>
      </w:pPr>
      <w:r>
        <w:rPr>
          <w:b/>
        </w:rPr>
        <w:t>Management’s Comments:</w:t>
      </w:r>
    </w:p>
    <w:p>
      <w:pPr>
        <w:spacing w:line="276" w:lineRule="auto"/>
        <w:jc w:val="both"/>
        <w:rPr>
          <w:b/>
        </w:rPr>
      </w:pPr>
    </w:p>
    <w:p>
      <w:pPr>
        <w:spacing w:line="276" w:lineRule="auto"/>
        <w:jc w:val="both"/>
      </w:pPr>
      <w:r>
        <w:t xml:space="preserve">The management was amenable with the audit observation and recommendations. CTO stated that their office </w:t>
      </w:r>
      <w:proofErr w:type="gramStart"/>
      <w:r>
        <w:t>have</w:t>
      </w:r>
      <w:proofErr w:type="gramEnd"/>
      <w:r>
        <w:t xml:space="preserve"> been doing its best effort in the collection of RPT. They have undertaken various tax collection strategies, such as, public auction sale, granting incentive items to up to date RPUs and one raffle ticket for every fully settled RPU, facilitating “Handog </w:t>
      </w:r>
      <w:proofErr w:type="spellStart"/>
      <w:r>
        <w:t>Titulo</w:t>
      </w:r>
      <w:proofErr w:type="spellEnd"/>
      <w:r>
        <w:t xml:space="preserve"> Program”, attendance to “</w:t>
      </w:r>
      <w:proofErr w:type="spellStart"/>
      <w:r>
        <w:t>pulong-pulong</w:t>
      </w:r>
      <w:proofErr w:type="spellEnd"/>
      <w:r>
        <w:t>” or barangay conferences for RPT information dissemination, posting of list of delinquencies and delivery of tax bill and notices directly to the taxpayer, among others. However, despite these strategies, delinquent accounts are still being recorded. The LCE have already issued Executive Order No. 49, series of 2019 for the reconstitution of the public auction committee and secretariat. Remedies for collection such as judicial action was already discussed. With this, the CTO will submit list of RPUs to the City Legal Office which will be subjected for judicial action and the latter will render assistance in the proper procedure or proceedings thereof.</w:t>
      </w:r>
    </w:p>
    <w:p>
      <w:pPr>
        <w:spacing w:line="276" w:lineRule="auto"/>
        <w:jc w:val="both"/>
      </w:pPr>
    </w:p>
    <w:p>
      <w:pPr>
        <w:spacing w:line="276" w:lineRule="auto"/>
        <w:jc w:val="both"/>
      </w:pPr>
      <w:r>
        <w:t xml:space="preserve">The CTO added that they recently came up with other strategies to address the delinquency, such as, publication at local newspapers, distribution of flyers, radio broadcasting and posting in social media platforms the list of delinquent RPUs, the proposed revision of Local Revenue Code of </w:t>
      </w:r>
      <w:proofErr w:type="spellStart"/>
      <w:r>
        <w:t>Panabo</w:t>
      </w:r>
      <w:proofErr w:type="spellEnd"/>
      <w:r>
        <w:t>, and the implementation of online payments.</w:t>
      </w:r>
    </w:p>
    <w:p>
      <w:pPr>
        <w:spacing w:line="276" w:lineRule="auto"/>
        <w:jc w:val="both"/>
      </w:pPr>
    </w:p>
    <w:p>
      <w:pPr>
        <w:spacing w:line="276" w:lineRule="auto"/>
        <w:jc w:val="both"/>
      </w:pPr>
      <w:r>
        <w:t>The City Revenue Application System Management Committee (</w:t>
      </w:r>
      <w:proofErr w:type="spellStart"/>
      <w:r>
        <w:t>CRASMaC</w:t>
      </w:r>
      <w:proofErr w:type="spellEnd"/>
      <w:r>
        <w:t xml:space="preserve">) and Project Management Team (PMT) was also reconstituted through EO No. 44, s. 2019. The committee was tasked to oversee the implementation and monitoring of Enhanced Tax Revenue and Collection System (ETRACS) application of the City. Recently, the team had drafted a proposal for an ordinance pertaining to the adoption of mode for electronic transactions to facilitate online application and payments of Real Property Taxes and other local taxes. It was already enacted by the </w:t>
      </w:r>
      <w:proofErr w:type="spellStart"/>
      <w:r>
        <w:t>Sanggunian</w:t>
      </w:r>
      <w:proofErr w:type="spellEnd"/>
      <w:r>
        <w:t xml:space="preserve"> and </w:t>
      </w:r>
      <w:proofErr w:type="gramStart"/>
      <w:r>
        <w:t>awaiting</w:t>
      </w:r>
      <w:proofErr w:type="gramEnd"/>
      <w:r>
        <w:t xml:space="preserve"> for the approval of the LCE. Upon approval of said ordinance, the team will convene to discuss matters relative to the procedures, issues and concerns and to address the concurrent system application for RPU tax assessment. </w:t>
      </w:r>
    </w:p>
    <w:p>
      <w:pPr>
        <w:spacing w:line="276" w:lineRule="auto"/>
        <w:jc w:val="both"/>
      </w:pPr>
    </w:p>
    <w:p>
      <w:pPr>
        <w:spacing w:line="276" w:lineRule="auto"/>
        <w:jc w:val="both"/>
      </w:pPr>
      <w:r>
        <w:t xml:space="preserve">Furthermore, the office reassessed their existing organizational structure and observed that the number of personnel is inadequate to perform the entirety of the office’s mandated functions. Thus, the City Treasurer proposed and submitted a revised </w:t>
      </w:r>
      <w:r>
        <w:lastRenderedPageBreak/>
        <w:t>organizational structure from forty-nine (49) to seventy (70) positions to enhance the capability, enforcement and maintenance of office operations.</w:t>
      </w:r>
    </w:p>
    <w:p>
      <w:pPr>
        <w:spacing w:line="276" w:lineRule="auto"/>
        <w:jc w:val="both"/>
      </w:pPr>
    </w:p>
    <w:p>
      <w:pPr>
        <w:spacing w:line="276" w:lineRule="auto"/>
        <w:jc w:val="both"/>
      </w:pPr>
      <w:r>
        <w:t xml:space="preserve">On the other hand, CASSO suggested for additional remedies in the collection thereof such as publication of delinquent taxpayers/properties through local newspaper, radio advertisement and social media platforms and posting of delinquents in every barangay. They also noted the undocumented/untitled properties which could not be listed for auction which also caused the high rate of delinquency. The CASSO proposed for its inclusion in the auction and expropriation by the government. </w:t>
      </w:r>
    </w:p>
    <w:p>
      <w:pPr>
        <w:spacing w:line="276" w:lineRule="auto"/>
        <w:ind w:right="270"/>
        <w:jc w:val="both"/>
        <w:rPr>
          <w:b/>
        </w:rPr>
      </w:pPr>
    </w:p>
    <w:p>
      <w:pPr>
        <w:spacing w:line="276" w:lineRule="auto"/>
        <w:ind w:right="270"/>
        <w:jc w:val="both"/>
        <w:rPr>
          <w:b/>
        </w:rPr>
      </w:pPr>
    </w:p>
    <w:p>
      <w:pPr>
        <w:spacing w:line="276" w:lineRule="auto"/>
        <w:jc w:val="both"/>
        <w:rPr>
          <w:b/>
          <w:bCs/>
          <w:i/>
        </w:rPr>
      </w:pPr>
      <w:r>
        <w:rPr>
          <w:b/>
          <w:bCs/>
          <w:i/>
        </w:rPr>
        <w:t>RPT and SET Receivables - Deficiencies/errors in the estimates and records</w:t>
      </w:r>
    </w:p>
    <w:p>
      <w:pPr>
        <w:spacing w:line="276" w:lineRule="auto"/>
        <w:ind w:right="270"/>
        <w:rPr>
          <w:b/>
          <w:i/>
        </w:rPr>
      </w:pPr>
    </w:p>
    <w:p>
      <w:pPr>
        <w:pStyle w:val="ListParagraph"/>
        <w:numPr>
          <w:ilvl w:val="0"/>
          <w:numId w:val="74"/>
        </w:numPr>
        <w:ind w:left="0" w:firstLine="0"/>
        <w:jc w:val="both"/>
        <w:rPr>
          <w:rFonts w:ascii="Times New Roman" w:eastAsia="Times New Roman" w:hAnsi="Times New Roman"/>
          <w:b/>
          <w:bCs/>
          <w:sz w:val="24"/>
          <w:szCs w:val="24"/>
          <w:lang w:val="en-US"/>
        </w:rPr>
      </w:pPr>
      <w:r>
        <w:rPr>
          <w:rFonts w:ascii="Times New Roman" w:eastAsia="Times New Roman" w:hAnsi="Times New Roman"/>
          <w:b/>
          <w:bCs/>
          <w:sz w:val="24"/>
          <w:szCs w:val="24"/>
          <w:lang w:val="en-US"/>
        </w:rPr>
        <w:t xml:space="preserve">Real Property Tax (RPT) and Special Education Tax (SET) Receivables and its corresponding deferred accounts was recorded based on collection estimates by barangay and not by taxpayer while various deficiencies/errors </w:t>
      </w:r>
      <w:proofErr w:type="gramStart"/>
      <w:r>
        <w:rPr>
          <w:rFonts w:ascii="Times New Roman" w:eastAsia="Times New Roman" w:hAnsi="Times New Roman"/>
          <w:b/>
          <w:bCs/>
          <w:sz w:val="24"/>
          <w:szCs w:val="24"/>
          <w:lang w:val="en-US"/>
        </w:rPr>
        <w:t>was</w:t>
      </w:r>
      <w:proofErr w:type="gramEnd"/>
      <w:r>
        <w:rPr>
          <w:rFonts w:ascii="Times New Roman" w:eastAsia="Times New Roman" w:hAnsi="Times New Roman"/>
          <w:b/>
          <w:bCs/>
          <w:sz w:val="24"/>
          <w:szCs w:val="24"/>
          <w:lang w:val="en-US"/>
        </w:rPr>
        <w:t xml:space="preserve"> noted in the recording of RPT and SET Receivables, respectively, thus affecting the reliability and fair presentation of the balances of the accounts in the financial statements as at December 31, 2022.</w:t>
      </w:r>
    </w:p>
    <w:p>
      <w:pPr>
        <w:pStyle w:val="ListParagraph"/>
        <w:spacing w:after="0"/>
        <w:ind w:left="0"/>
        <w:jc w:val="both"/>
        <w:rPr>
          <w:rFonts w:ascii="Times New Roman" w:hAnsi="Times New Roman"/>
          <w:b/>
          <w:sz w:val="24"/>
          <w:szCs w:val="24"/>
        </w:rPr>
      </w:pPr>
    </w:p>
    <w:p>
      <w:pPr>
        <w:numPr>
          <w:ilvl w:val="0"/>
          <w:numId w:val="64"/>
        </w:numPr>
        <w:spacing w:line="276" w:lineRule="auto"/>
        <w:ind w:left="360"/>
        <w:contextualSpacing/>
        <w:jc w:val="both"/>
        <w:rPr>
          <w:rFonts w:eastAsia="Calibri"/>
          <w:b/>
          <w:bCs/>
        </w:rPr>
      </w:pPr>
      <w:r>
        <w:rPr>
          <w:rFonts w:eastAsia="Calibri"/>
          <w:b/>
          <w:bCs/>
        </w:rPr>
        <w:t>Setting-up of receivables for CY 2022 tax due</w:t>
      </w:r>
    </w:p>
    <w:p>
      <w:pPr>
        <w:spacing w:line="276" w:lineRule="auto"/>
        <w:contextualSpacing/>
        <w:jc w:val="both"/>
        <w:rPr>
          <w:rFonts w:eastAsia="Calibri"/>
        </w:rPr>
      </w:pPr>
    </w:p>
    <w:p>
      <w:pPr>
        <w:spacing w:line="276" w:lineRule="auto"/>
        <w:contextualSpacing/>
        <w:jc w:val="both"/>
        <w:rPr>
          <w:rFonts w:eastAsia="Calibri"/>
        </w:rPr>
      </w:pPr>
      <w:r>
        <w:rPr>
          <w:rFonts w:eastAsia="Calibri"/>
        </w:rPr>
        <w:t xml:space="preserve">Verification of the journal entries recognizing the receivables of the City Government from its real property taxes disclosed that the basis of the City Accounting Office (CAO) in recording the receivables from RPT and SET was the Schedule of Real Property Tax Receivable </w:t>
      </w:r>
      <w:r>
        <w:rPr>
          <w:rFonts w:eastAsia="Calibri"/>
          <w:i/>
          <w:iCs/>
        </w:rPr>
        <w:t xml:space="preserve">(schedule for brevity), </w:t>
      </w:r>
      <w:r>
        <w:rPr>
          <w:rFonts w:eastAsia="Calibri"/>
        </w:rPr>
        <w:t xml:space="preserve">which is a summary of the estimated taxes collectible from the real properties located in the forty (40) barangays of </w:t>
      </w:r>
      <w:proofErr w:type="spellStart"/>
      <w:r>
        <w:rPr>
          <w:rFonts w:eastAsia="Calibri"/>
        </w:rPr>
        <w:t>Panabo</w:t>
      </w:r>
      <w:proofErr w:type="spellEnd"/>
      <w:r>
        <w:rPr>
          <w:rFonts w:eastAsia="Calibri"/>
        </w:rPr>
        <w:t xml:space="preserve"> City, Davao del Norte submitted and certified correct by the City Treasurer. The amounts reflected in the schedule were obtained from the Enhanced Tax Revenue Assessment and Collection System (ETRACS).</w:t>
      </w:r>
    </w:p>
    <w:p>
      <w:pPr>
        <w:spacing w:line="276" w:lineRule="auto"/>
        <w:contextualSpacing/>
        <w:jc w:val="both"/>
        <w:rPr>
          <w:rFonts w:eastAsia="Calibri"/>
        </w:rPr>
      </w:pPr>
    </w:p>
    <w:p>
      <w:pPr>
        <w:spacing w:line="276" w:lineRule="auto"/>
        <w:contextualSpacing/>
        <w:jc w:val="both"/>
        <w:rPr>
          <w:rFonts w:eastAsia="Calibri"/>
        </w:rPr>
      </w:pPr>
      <w:r>
        <w:rPr>
          <w:rFonts w:eastAsia="Calibri"/>
        </w:rPr>
        <w:t>For CY 2022, the schedule listed the total receivables totaling P160,728,235.40 composed of P80,364,117.70 for RPT and P80,364,117.70 for SET. The setting of the RPT and SET receivable and the corresponding deferred income account was made through Journal Entry Voucher Nos. 2022-01-0002536 (General Fund) and 2022-01-002536 (Special Education Fund), respectively. However, the certified list was presented by barangay and not by taxpayer. Subsequently, the subsidiary ledgers for the receivables and deferred income accounts recorded and maintained by the CAO are also by barangay and not under the name of the taxpayers or the property owners.</w:t>
      </w:r>
    </w:p>
    <w:p>
      <w:pPr>
        <w:spacing w:line="276" w:lineRule="auto"/>
        <w:contextualSpacing/>
        <w:jc w:val="both"/>
        <w:rPr>
          <w:rFonts w:eastAsia="Calibri"/>
        </w:rPr>
      </w:pPr>
    </w:p>
    <w:p>
      <w:pPr>
        <w:spacing w:line="276" w:lineRule="auto"/>
        <w:contextualSpacing/>
        <w:jc w:val="both"/>
        <w:rPr>
          <w:rFonts w:eastAsia="Calibri"/>
        </w:rPr>
      </w:pPr>
      <w:r>
        <w:rPr>
          <w:rFonts w:eastAsia="Calibri"/>
        </w:rPr>
        <w:lastRenderedPageBreak/>
        <w:t xml:space="preserve">The above-noted deficiencies are clearly not in accordance with the following reporting and accounting rules and regulations, thereby casting doubts on the reliability and completeness of the balances of receivable and deferred income accounts as at year-end. </w:t>
      </w:r>
    </w:p>
    <w:p>
      <w:pPr>
        <w:spacing w:line="276" w:lineRule="auto"/>
        <w:contextualSpacing/>
        <w:jc w:val="both"/>
        <w:rPr>
          <w:rFonts w:eastAsia="Calibri"/>
        </w:rPr>
      </w:pPr>
      <w:r>
        <w:rPr>
          <w:rFonts w:eastAsia="Calibri"/>
        </w:rPr>
        <w:t>Section 111 (1) of the State Audit Code of the Philippines (PD 1445) states that:</w:t>
      </w:r>
    </w:p>
    <w:p>
      <w:pPr>
        <w:spacing w:line="276" w:lineRule="auto"/>
        <w:contextualSpacing/>
        <w:jc w:val="both"/>
        <w:rPr>
          <w:rFonts w:eastAsia="Calibri"/>
        </w:rPr>
      </w:pPr>
    </w:p>
    <w:p>
      <w:pPr>
        <w:spacing w:line="276" w:lineRule="auto"/>
        <w:ind w:left="720" w:right="702"/>
        <w:contextualSpacing/>
        <w:jc w:val="both"/>
        <w:rPr>
          <w:rFonts w:eastAsia="Calibri"/>
        </w:rPr>
      </w:pPr>
      <w:r>
        <w:rPr>
          <w:rFonts w:eastAsia="Calibri"/>
          <w:lang w:val="en-PH"/>
        </w:rPr>
        <w:t>The accounts of an agency shall be kept in such detail as is necessary to meet the needs of the agency and at the same time be adequate to furnish the information needed by fiscal or control agencies of the government.</w:t>
      </w:r>
    </w:p>
    <w:p>
      <w:pPr>
        <w:spacing w:line="276" w:lineRule="auto"/>
        <w:contextualSpacing/>
        <w:jc w:val="both"/>
        <w:rPr>
          <w:rFonts w:eastAsia="Calibri"/>
        </w:rPr>
      </w:pPr>
    </w:p>
    <w:p>
      <w:pPr>
        <w:spacing w:line="276" w:lineRule="auto"/>
        <w:contextualSpacing/>
        <w:jc w:val="both"/>
        <w:rPr>
          <w:rFonts w:eastAsia="Calibri"/>
        </w:rPr>
      </w:pPr>
      <w:r>
        <w:rPr>
          <w:rFonts w:eastAsia="Calibri"/>
        </w:rPr>
        <w:t>Moreover, Section 20, Volume 1 of the Manual on the New Government Accounting System (NGAS) for Local Government Units prescribes the following reporting/ recording procedures:</w:t>
      </w:r>
    </w:p>
    <w:p>
      <w:pPr>
        <w:spacing w:line="276" w:lineRule="auto"/>
        <w:contextualSpacing/>
        <w:jc w:val="both"/>
        <w:rPr>
          <w:rFonts w:eastAsia="Calibri"/>
        </w:rPr>
      </w:pPr>
    </w:p>
    <w:p>
      <w:pPr>
        <w:spacing w:line="276" w:lineRule="auto"/>
        <w:ind w:left="720" w:right="702"/>
        <w:contextualSpacing/>
        <w:jc w:val="both"/>
        <w:rPr>
          <w:rFonts w:eastAsia="Calibri"/>
        </w:rPr>
      </w:pPr>
      <w:r>
        <w:rPr>
          <w:rFonts w:eastAsia="Calibri"/>
        </w:rPr>
        <w:t xml:space="preserve">Basis of Recording Real Property Tax/Special Education Tax. – Real Property Tax Receivables/Special Education Tax Receivables shall be established at the beginning of the year based on Real Property Tax Account Register/Taxpayer’s index card.  At the beginning of the year, the Treasurer shall furnish the Chief Accountant of </w:t>
      </w:r>
      <w:r>
        <w:rPr>
          <w:rFonts w:eastAsia="Calibri"/>
          <w:b/>
          <w:bCs/>
        </w:rPr>
        <w:t>a duly certified list showing the name of taxpayers and the amount due and collectible for the year</w:t>
      </w:r>
      <w:r>
        <w:rPr>
          <w:rFonts w:eastAsia="Calibri"/>
        </w:rPr>
        <w:t xml:space="preserve">.  Based on the list, the Chief Accountant shall draw a Journal Entry Voucher (JEV) to record the debit to Real Property Tax Receivable/Special Education Tax Receivable and crediting to Deferred Real Property Tax Income/Deferred Special Education Tax Income…xxx…” </w:t>
      </w:r>
      <w:r>
        <w:rPr>
          <w:rFonts w:eastAsia="Calibri"/>
          <w:iCs/>
        </w:rPr>
        <w:t>(Emphasis supplied)</w:t>
      </w:r>
    </w:p>
    <w:p>
      <w:pPr>
        <w:spacing w:line="276" w:lineRule="auto"/>
        <w:ind w:left="720" w:right="288"/>
        <w:contextualSpacing/>
        <w:jc w:val="both"/>
        <w:rPr>
          <w:rFonts w:eastAsia="Calibri"/>
        </w:rPr>
      </w:pPr>
    </w:p>
    <w:p>
      <w:pPr>
        <w:spacing w:line="276" w:lineRule="auto"/>
        <w:contextualSpacing/>
        <w:jc w:val="both"/>
        <w:rPr>
          <w:rFonts w:eastAsia="Calibri"/>
        </w:rPr>
      </w:pPr>
      <w:r>
        <w:rPr>
          <w:rFonts w:eastAsia="Calibri"/>
        </w:rPr>
        <w:t>The City Accountant explained that no detailed subsidiary records are maintained per taxpayer since the information submitted by the CTO is by Barangay. She added that although it may take time to establish subsidiary ledger per taxpayer for the 70,000 and more RPUs of the City, it can be done provided that the necessary information and documents will be provided to them by the CTO.</w:t>
      </w:r>
    </w:p>
    <w:p>
      <w:pPr>
        <w:spacing w:line="276" w:lineRule="auto"/>
        <w:contextualSpacing/>
        <w:jc w:val="both"/>
        <w:rPr>
          <w:rFonts w:eastAsia="Calibri"/>
          <w:b/>
        </w:rPr>
      </w:pPr>
    </w:p>
    <w:p>
      <w:pPr>
        <w:numPr>
          <w:ilvl w:val="0"/>
          <w:numId w:val="64"/>
        </w:numPr>
        <w:spacing w:line="276" w:lineRule="auto"/>
        <w:ind w:left="360"/>
        <w:contextualSpacing/>
        <w:jc w:val="both"/>
        <w:rPr>
          <w:rFonts w:eastAsia="Calibri"/>
          <w:b/>
          <w:bCs/>
        </w:rPr>
      </w:pPr>
      <w:r>
        <w:rPr>
          <w:rFonts w:eastAsia="Calibri"/>
          <w:b/>
          <w:bCs/>
        </w:rPr>
        <w:t>Prior Years Receivables</w:t>
      </w:r>
    </w:p>
    <w:p>
      <w:pPr>
        <w:spacing w:line="276" w:lineRule="auto"/>
        <w:contextualSpacing/>
        <w:jc w:val="both"/>
        <w:rPr>
          <w:rFonts w:eastAsia="Calibri"/>
          <w:iCs/>
        </w:rPr>
      </w:pPr>
    </w:p>
    <w:p>
      <w:pPr>
        <w:spacing w:line="276" w:lineRule="auto"/>
        <w:contextualSpacing/>
        <w:jc w:val="both"/>
        <w:rPr>
          <w:rFonts w:eastAsia="Calibri"/>
        </w:rPr>
      </w:pPr>
      <w:r>
        <w:rPr>
          <w:rFonts w:eastAsia="Calibri"/>
        </w:rPr>
        <w:t>Section 27 of the International Public Sector Accounting Standards (IPSAS) 1 also provides that:</w:t>
      </w:r>
    </w:p>
    <w:p>
      <w:pPr>
        <w:spacing w:line="276" w:lineRule="auto"/>
        <w:contextualSpacing/>
        <w:jc w:val="both"/>
        <w:rPr>
          <w:rFonts w:eastAsia="Calibri"/>
        </w:rPr>
      </w:pPr>
    </w:p>
    <w:p>
      <w:pPr>
        <w:spacing w:line="276" w:lineRule="auto"/>
        <w:ind w:left="720" w:right="702"/>
        <w:contextualSpacing/>
        <w:jc w:val="both"/>
        <w:rPr>
          <w:rFonts w:eastAsia="Calibri"/>
        </w:rPr>
      </w:pPr>
      <w:r>
        <w:rPr>
          <w:rFonts w:eastAsia="Calibri"/>
        </w:rPr>
        <w:t xml:space="preserve"> Financial statements shall present fairly the financial position, financial performance and cash flow of an entity. Fair presentation requires that faithful representation of the effects of transactions, other events and </w:t>
      </w:r>
      <w:r>
        <w:rPr>
          <w:rFonts w:eastAsia="Calibri"/>
        </w:rPr>
        <w:lastRenderedPageBreak/>
        <w:t>conditions in accordance with definitions and recognition criteria for assets, liabilities, revenue and expenses set out in IPSASs.</w:t>
      </w:r>
    </w:p>
    <w:p>
      <w:pPr>
        <w:spacing w:line="276" w:lineRule="auto"/>
        <w:contextualSpacing/>
        <w:jc w:val="both"/>
        <w:rPr>
          <w:rFonts w:eastAsia="Calibri"/>
          <w:b/>
          <w:bCs/>
        </w:rPr>
      </w:pPr>
    </w:p>
    <w:p>
      <w:pPr>
        <w:spacing w:line="276" w:lineRule="auto"/>
        <w:contextualSpacing/>
        <w:jc w:val="both"/>
        <w:rPr>
          <w:rFonts w:eastAsia="Calibri"/>
        </w:rPr>
      </w:pPr>
      <w:r>
        <w:rPr>
          <w:rFonts w:eastAsia="Calibri"/>
        </w:rPr>
        <w:t>We compared the total recorded RPT and SET receivable as at December 31, 2022 per books of accounts and per list of delinquent real property taxes based on the list of taxpayers submitted by the CTO as of January 4, 2023 to determine whether or not the reported total delinquent RPT/SET agrees with RPT/SET Receivables reported at year-end. The comparison showed a variance between the total delinquent RPT and RPT receivables amounting to P5,553,921.83and a variance between total delinquent SET and SET receivable amounting to P7,050,466.67. Details are shown in Table 15.1.</w:t>
      </w:r>
    </w:p>
    <w:p>
      <w:pPr>
        <w:spacing w:line="276" w:lineRule="auto"/>
        <w:contextualSpacing/>
        <w:jc w:val="both"/>
        <w:rPr>
          <w:rFonts w:eastAsia="Calibri"/>
        </w:rPr>
      </w:pPr>
    </w:p>
    <w:p>
      <w:pPr>
        <w:spacing w:line="276" w:lineRule="auto"/>
        <w:contextualSpacing/>
        <w:jc w:val="both"/>
        <w:rPr>
          <w:rFonts w:eastAsia="Calibri"/>
          <w:i/>
        </w:rPr>
      </w:pPr>
      <w:r>
        <w:rPr>
          <w:rFonts w:eastAsia="Calibri"/>
          <w:i/>
        </w:rPr>
        <w:t>Table 15.1. Variances noted between the reported delinquent RPT/SET and RPT/SET Receivable</w:t>
      </w:r>
    </w:p>
    <w:tbl>
      <w:tblPr>
        <w:tblStyle w:val="TableGrid28"/>
        <w:tblW w:w="8664" w:type="dxa"/>
        <w:jc w:val="center"/>
        <w:tblLook w:val="04A0" w:firstRow="1" w:lastRow="0" w:firstColumn="1" w:lastColumn="0" w:noHBand="0" w:noVBand="1"/>
      </w:tblPr>
      <w:tblGrid>
        <w:gridCol w:w="4131"/>
        <w:gridCol w:w="2253"/>
        <w:gridCol w:w="2280"/>
      </w:tblGrid>
      <w:tr>
        <w:trPr>
          <w:jc w:val="center"/>
        </w:trPr>
        <w:tc>
          <w:tcPr>
            <w:tcW w:w="4131" w:type="dxa"/>
            <w:vAlign w:val="center"/>
          </w:tcPr>
          <w:p>
            <w:pPr>
              <w:spacing w:line="276" w:lineRule="auto"/>
              <w:jc w:val="center"/>
              <w:rPr>
                <w:rFonts w:eastAsia="Calibri"/>
                <w:b/>
                <w:bCs/>
                <w:sz w:val="22"/>
                <w:szCs w:val="22"/>
              </w:rPr>
            </w:pPr>
            <w:r>
              <w:rPr>
                <w:rFonts w:eastAsia="Calibri"/>
                <w:b/>
                <w:bCs/>
                <w:sz w:val="22"/>
                <w:szCs w:val="22"/>
              </w:rPr>
              <w:t>Particulars</w:t>
            </w:r>
          </w:p>
        </w:tc>
        <w:tc>
          <w:tcPr>
            <w:tcW w:w="2253" w:type="dxa"/>
            <w:vAlign w:val="center"/>
          </w:tcPr>
          <w:p>
            <w:pPr>
              <w:spacing w:line="276" w:lineRule="auto"/>
              <w:jc w:val="center"/>
              <w:rPr>
                <w:rFonts w:eastAsia="Calibri"/>
                <w:b/>
                <w:bCs/>
                <w:sz w:val="22"/>
                <w:szCs w:val="22"/>
              </w:rPr>
            </w:pPr>
            <w:r>
              <w:rPr>
                <w:rFonts w:eastAsia="Calibri"/>
                <w:b/>
                <w:bCs/>
                <w:sz w:val="22"/>
                <w:szCs w:val="22"/>
              </w:rPr>
              <w:t>Delinquent RPT/ RPT Receivable</w:t>
            </w:r>
          </w:p>
        </w:tc>
        <w:tc>
          <w:tcPr>
            <w:tcW w:w="2280" w:type="dxa"/>
            <w:vAlign w:val="center"/>
          </w:tcPr>
          <w:p>
            <w:pPr>
              <w:spacing w:line="276" w:lineRule="auto"/>
              <w:jc w:val="center"/>
              <w:rPr>
                <w:rFonts w:eastAsia="Calibri"/>
                <w:b/>
                <w:bCs/>
                <w:sz w:val="22"/>
                <w:szCs w:val="22"/>
              </w:rPr>
            </w:pPr>
            <w:r>
              <w:rPr>
                <w:rFonts w:eastAsia="Calibri"/>
                <w:b/>
                <w:bCs/>
                <w:sz w:val="22"/>
                <w:szCs w:val="22"/>
              </w:rPr>
              <w:t>Delinquent SET/ SET Receivable</w:t>
            </w:r>
          </w:p>
        </w:tc>
      </w:tr>
      <w:tr>
        <w:trPr>
          <w:jc w:val="center"/>
        </w:trPr>
        <w:tc>
          <w:tcPr>
            <w:tcW w:w="4131" w:type="dxa"/>
          </w:tcPr>
          <w:p>
            <w:pPr>
              <w:spacing w:line="276" w:lineRule="auto"/>
              <w:jc w:val="both"/>
              <w:rPr>
                <w:rFonts w:eastAsia="Calibri"/>
                <w:i/>
                <w:iCs/>
                <w:sz w:val="22"/>
                <w:szCs w:val="22"/>
              </w:rPr>
            </w:pPr>
            <w:r>
              <w:rPr>
                <w:rFonts w:eastAsia="Calibri"/>
                <w:sz w:val="22"/>
                <w:szCs w:val="22"/>
              </w:rPr>
              <w:t>Per Real Tax Delinquency Listing generated by ETRACS provided by the CTO (exclusive of penalties)</w:t>
            </w:r>
          </w:p>
        </w:tc>
        <w:tc>
          <w:tcPr>
            <w:tcW w:w="2253" w:type="dxa"/>
          </w:tcPr>
          <w:p>
            <w:pPr>
              <w:spacing w:line="276" w:lineRule="auto"/>
              <w:jc w:val="right"/>
              <w:rPr>
                <w:rFonts w:eastAsia="Calibri"/>
                <w:sz w:val="22"/>
                <w:szCs w:val="22"/>
              </w:rPr>
            </w:pPr>
            <w:r>
              <w:rPr>
                <w:sz w:val="22"/>
                <w:szCs w:val="22"/>
              </w:rPr>
              <w:t xml:space="preserve">P64,327,975.99 </w:t>
            </w:r>
          </w:p>
        </w:tc>
        <w:tc>
          <w:tcPr>
            <w:tcW w:w="2280" w:type="dxa"/>
          </w:tcPr>
          <w:p>
            <w:pPr>
              <w:spacing w:line="276" w:lineRule="auto"/>
              <w:jc w:val="right"/>
              <w:rPr>
                <w:rFonts w:eastAsia="Calibri"/>
                <w:sz w:val="22"/>
                <w:szCs w:val="22"/>
              </w:rPr>
            </w:pPr>
            <w:r>
              <w:rPr>
                <w:sz w:val="22"/>
                <w:szCs w:val="22"/>
              </w:rPr>
              <w:t xml:space="preserve"> P64,328,251.95 </w:t>
            </w:r>
          </w:p>
        </w:tc>
      </w:tr>
      <w:tr>
        <w:trPr>
          <w:jc w:val="center"/>
        </w:trPr>
        <w:tc>
          <w:tcPr>
            <w:tcW w:w="4131" w:type="dxa"/>
          </w:tcPr>
          <w:p>
            <w:pPr>
              <w:spacing w:line="276" w:lineRule="auto"/>
              <w:jc w:val="both"/>
              <w:rPr>
                <w:rFonts w:eastAsia="Calibri"/>
                <w:sz w:val="22"/>
                <w:szCs w:val="22"/>
              </w:rPr>
            </w:pPr>
            <w:r>
              <w:rPr>
                <w:rFonts w:eastAsia="Calibri"/>
                <w:sz w:val="22"/>
                <w:szCs w:val="22"/>
              </w:rPr>
              <w:t>RPT/SET Receivables</w:t>
            </w:r>
          </w:p>
          <w:p>
            <w:pPr>
              <w:spacing w:line="276" w:lineRule="auto"/>
              <w:jc w:val="both"/>
              <w:rPr>
                <w:rFonts w:eastAsia="Calibri"/>
                <w:sz w:val="22"/>
                <w:szCs w:val="22"/>
              </w:rPr>
            </w:pPr>
            <w:r>
              <w:rPr>
                <w:rFonts w:eastAsia="Calibri"/>
                <w:sz w:val="22"/>
                <w:szCs w:val="22"/>
              </w:rPr>
              <w:t>(as at December 31, 2022)</w:t>
            </w:r>
          </w:p>
        </w:tc>
        <w:tc>
          <w:tcPr>
            <w:tcW w:w="2253" w:type="dxa"/>
          </w:tcPr>
          <w:p>
            <w:pPr>
              <w:spacing w:line="276" w:lineRule="auto"/>
              <w:jc w:val="right"/>
              <w:rPr>
                <w:rFonts w:eastAsia="Calibri"/>
                <w:sz w:val="22"/>
                <w:szCs w:val="22"/>
              </w:rPr>
            </w:pPr>
            <w:r>
              <w:rPr>
                <w:sz w:val="22"/>
                <w:szCs w:val="22"/>
              </w:rPr>
              <w:t>58,774,054.16</w:t>
            </w:r>
          </w:p>
        </w:tc>
        <w:tc>
          <w:tcPr>
            <w:tcW w:w="2280" w:type="dxa"/>
          </w:tcPr>
          <w:p>
            <w:pPr>
              <w:spacing w:line="276" w:lineRule="auto"/>
              <w:jc w:val="right"/>
              <w:rPr>
                <w:rFonts w:eastAsia="Calibri"/>
                <w:sz w:val="22"/>
                <w:szCs w:val="22"/>
              </w:rPr>
            </w:pPr>
            <w:r>
              <w:rPr>
                <w:sz w:val="22"/>
                <w:szCs w:val="22"/>
              </w:rPr>
              <w:t>57,277,785.28</w:t>
            </w:r>
          </w:p>
        </w:tc>
      </w:tr>
      <w:tr>
        <w:trPr>
          <w:jc w:val="center"/>
        </w:trPr>
        <w:tc>
          <w:tcPr>
            <w:tcW w:w="4131" w:type="dxa"/>
          </w:tcPr>
          <w:p>
            <w:pPr>
              <w:spacing w:line="276" w:lineRule="auto"/>
              <w:jc w:val="both"/>
              <w:rPr>
                <w:rFonts w:eastAsia="Calibri"/>
                <w:b/>
                <w:bCs/>
                <w:sz w:val="22"/>
                <w:szCs w:val="22"/>
              </w:rPr>
            </w:pPr>
            <w:r>
              <w:rPr>
                <w:rFonts w:eastAsia="Calibri"/>
                <w:b/>
                <w:bCs/>
                <w:sz w:val="22"/>
                <w:szCs w:val="22"/>
              </w:rPr>
              <w:t>VARIANCE</w:t>
            </w:r>
          </w:p>
        </w:tc>
        <w:tc>
          <w:tcPr>
            <w:tcW w:w="2253" w:type="dxa"/>
          </w:tcPr>
          <w:p>
            <w:pPr>
              <w:spacing w:line="276" w:lineRule="auto"/>
              <w:jc w:val="right"/>
              <w:rPr>
                <w:rFonts w:eastAsia="Calibri"/>
                <w:b/>
                <w:bCs/>
                <w:sz w:val="22"/>
                <w:szCs w:val="22"/>
              </w:rPr>
            </w:pPr>
            <w:r>
              <w:rPr>
                <w:b/>
                <w:sz w:val="22"/>
                <w:szCs w:val="22"/>
              </w:rPr>
              <w:t>P5,553,921.83</w:t>
            </w:r>
          </w:p>
        </w:tc>
        <w:tc>
          <w:tcPr>
            <w:tcW w:w="2280" w:type="dxa"/>
          </w:tcPr>
          <w:p>
            <w:pPr>
              <w:tabs>
                <w:tab w:val="left" w:pos="488"/>
                <w:tab w:val="right" w:pos="2064"/>
              </w:tabs>
              <w:spacing w:line="276" w:lineRule="auto"/>
              <w:rPr>
                <w:rFonts w:eastAsia="Calibri"/>
                <w:b/>
                <w:bCs/>
                <w:sz w:val="22"/>
                <w:szCs w:val="22"/>
              </w:rPr>
            </w:pPr>
            <w:r>
              <w:rPr>
                <w:b/>
                <w:sz w:val="22"/>
                <w:szCs w:val="22"/>
              </w:rPr>
              <w:tab/>
            </w:r>
            <w:r>
              <w:rPr>
                <w:b/>
                <w:sz w:val="22"/>
                <w:szCs w:val="22"/>
              </w:rPr>
              <w:tab/>
              <w:t>P7,050,466.67</w:t>
            </w:r>
          </w:p>
        </w:tc>
      </w:tr>
    </w:tbl>
    <w:p>
      <w:pPr>
        <w:spacing w:line="276" w:lineRule="auto"/>
        <w:contextualSpacing/>
        <w:jc w:val="both"/>
        <w:rPr>
          <w:rFonts w:eastAsia="Calibri"/>
        </w:rPr>
      </w:pPr>
    </w:p>
    <w:p>
      <w:pPr>
        <w:spacing w:line="276" w:lineRule="auto"/>
        <w:contextualSpacing/>
        <w:jc w:val="both"/>
        <w:rPr>
          <w:rFonts w:eastAsia="Calibri"/>
        </w:rPr>
      </w:pPr>
      <w:r>
        <w:rPr>
          <w:rFonts w:eastAsia="Calibri"/>
        </w:rPr>
        <w:t>Further verification of the balances of subsidiary ledgers for RPT and SET Receivables as at December 31, 2022 shows negative balances and unreconciled balances.</w:t>
      </w:r>
    </w:p>
    <w:p>
      <w:pPr>
        <w:spacing w:line="276" w:lineRule="auto"/>
        <w:contextualSpacing/>
        <w:jc w:val="both"/>
        <w:rPr>
          <w:rFonts w:eastAsia="Calibri"/>
        </w:rPr>
      </w:pPr>
    </w:p>
    <w:p>
      <w:pPr>
        <w:spacing w:line="276" w:lineRule="auto"/>
        <w:contextualSpacing/>
        <w:jc w:val="both"/>
        <w:rPr>
          <w:rFonts w:eastAsia="Calibri"/>
        </w:rPr>
      </w:pPr>
      <w:r>
        <w:rPr>
          <w:rFonts w:eastAsia="Calibri"/>
        </w:rPr>
        <w:t>The variance between the records of CTO and CAO as to the unpaid and unearned income for RPT and SET, the negative balances of various SL, and the unreconciled balances cast doubts</w:t>
      </w:r>
      <w:r>
        <w:t xml:space="preserve"> </w:t>
      </w:r>
      <w:r>
        <w:rPr>
          <w:rFonts w:eastAsia="Calibri"/>
        </w:rPr>
        <w:t>on the reliability and fair presentation of the balances RPT / SET receivable and Deferred RPT / SET presented in the financial statements at year-end.</w:t>
      </w:r>
    </w:p>
    <w:p>
      <w:pPr>
        <w:spacing w:line="276" w:lineRule="auto"/>
        <w:contextualSpacing/>
        <w:jc w:val="both"/>
        <w:rPr>
          <w:rFonts w:eastAsia="Calibri"/>
          <w:b/>
        </w:rPr>
      </w:pPr>
    </w:p>
    <w:p>
      <w:pPr>
        <w:spacing w:line="276" w:lineRule="auto"/>
        <w:contextualSpacing/>
        <w:jc w:val="both"/>
        <w:rPr>
          <w:rFonts w:eastAsia="Calibri"/>
          <w:b/>
        </w:rPr>
      </w:pPr>
      <w:r>
        <w:rPr>
          <w:rFonts w:eastAsia="Calibri"/>
          <w:b/>
        </w:rPr>
        <w:t>Recommendation:</w:t>
      </w:r>
    </w:p>
    <w:p>
      <w:pPr>
        <w:spacing w:line="276" w:lineRule="auto"/>
        <w:contextualSpacing/>
        <w:jc w:val="both"/>
        <w:rPr>
          <w:rFonts w:eastAsia="Calibri"/>
          <w:b/>
        </w:rPr>
      </w:pPr>
    </w:p>
    <w:p>
      <w:pPr>
        <w:spacing w:line="276" w:lineRule="auto"/>
        <w:contextualSpacing/>
        <w:jc w:val="both"/>
        <w:rPr>
          <w:rFonts w:eastAsia="Calibri"/>
        </w:rPr>
      </w:pPr>
      <w:r>
        <w:rPr>
          <w:rFonts w:eastAsia="Calibri"/>
        </w:rPr>
        <w:t>We recommended the City Mayor to:</w:t>
      </w:r>
    </w:p>
    <w:p>
      <w:pPr>
        <w:spacing w:line="276" w:lineRule="auto"/>
        <w:contextualSpacing/>
        <w:jc w:val="both"/>
        <w:rPr>
          <w:rFonts w:eastAsia="Calibri"/>
          <w:b/>
          <w:bCs/>
        </w:rPr>
      </w:pPr>
    </w:p>
    <w:p>
      <w:pPr>
        <w:pStyle w:val="ListParagraph"/>
        <w:numPr>
          <w:ilvl w:val="0"/>
          <w:numId w:val="69"/>
        </w:numPr>
        <w:jc w:val="both"/>
        <w:rPr>
          <w:rFonts w:ascii="Times New Roman" w:hAnsi="Times New Roman"/>
          <w:iCs/>
          <w:sz w:val="24"/>
          <w:szCs w:val="24"/>
        </w:rPr>
      </w:pPr>
      <w:r>
        <w:rPr>
          <w:rFonts w:ascii="Times New Roman" w:hAnsi="Times New Roman"/>
          <w:bCs/>
          <w:sz w:val="24"/>
          <w:szCs w:val="24"/>
        </w:rPr>
        <w:t>Instruct the City Treasurer’s Office to furnish the City Accounting Office with</w:t>
      </w:r>
      <w:r>
        <w:rPr>
          <w:rFonts w:ascii="Times New Roman" w:hAnsi="Times New Roman"/>
          <w:bCs/>
          <w:iCs/>
          <w:sz w:val="24"/>
          <w:szCs w:val="24"/>
        </w:rPr>
        <w:t xml:space="preserve"> the</w:t>
      </w:r>
      <w:r>
        <w:rPr>
          <w:rFonts w:ascii="Times New Roman" w:hAnsi="Times New Roman"/>
          <w:bCs/>
          <w:i/>
          <w:sz w:val="24"/>
          <w:szCs w:val="24"/>
        </w:rPr>
        <w:t xml:space="preserve"> </w:t>
      </w:r>
      <w:r>
        <w:rPr>
          <w:rFonts w:ascii="Times New Roman" w:hAnsi="Times New Roman"/>
          <w:bCs/>
          <w:iCs/>
          <w:sz w:val="24"/>
          <w:szCs w:val="24"/>
        </w:rPr>
        <w:t>duly certified list of Real Property Tax Receivables/Special Education Tax Receivables based on Real Property Tax Account Register/Taxpayer’s index card</w:t>
      </w:r>
      <w:r>
        <w:rPr>
          <w:rFonts w:ascii="Times New Roman" w:hAnsi="Times New Roman"/>
          <w:i/>
          <w:sz w:val="24"/>
          <w:szCs w:val="24"/>
        </w:rPr>
        <w:t xml:space="preserve"> </w:t>
      </w:r>
      <w:r>
        <w:rPr>
          <w:rFonts w:ascii="Times New Roman" w:hAnsi="Times New Roman"/>
          <w:bCs/>
          <w:iCs/>
          <w:sz w:val="24"/>
          <w:szCs w:val="24"/>
        </w:rPr>
        <w:t>showing the name of taxpayers and the amount due and collectible for the year and not by barangay only as its basis in recording</w:t>
      </w:r>
      <w:r>
        <w:rPr>
          <w:rFonts w:ascii="Times New Roman" w:hAnsi="Times New Roman"/>
          <w:iCs/>
          <w:sz w:val="24"/>
          <w:szCs w:val="24"/>
        </w:rPr>
        <w:t>;</w:t>
      </w:r>
    </w:p>
    <w:p>
      <w:pPr>
        <w:pStyle w:val="ListParagraph"/>
        <w:jc w:val="both"/>
        <w:rPr>
          <w:rFonts w:ascii="Times New Roman" w:hAnsi="Times New Roman"/>
          <w:iCs/>
          <w:sz w:val="24"/>
          <w:szCs w:val="24"/>
        </w:rPr>
      </w:pPr>
    </w:p>
    <w:p>
      <w:pPr>
        <w:pStyle w:val="ListParagraph"/>
        <w:numPr>
          <w:ilvl w:val="0"/>
          <w:numId w:val="69"/>
        </w:numPr>
        <w:jc w:val="both"/>
        <w:rPr>
          <w:rFonts w:ascii="Times New Roman" w:hAnsi="Times New Roman"/>
          <w:sz w:val="24"/>
          <w:szCs w:val="24"/>
        </w:rPr>
      </w:pPr>
      <w:r>
        <w:rPr>
          <w:rFonts w:ascii="Times New Roman" w:hAnsi="Times New Roman"/>
          <w:sz w:val="24"/>
          <w:szCs w:val="24"/>
        </w:rPr>
        <w:lastRenderedPageBreak/>
        <w:t>Enjoin the City Treasurer’s Office and City Accounting Office to reconcile the variance noted between total unpaid RPT and SET under the Real Tax Delinquency Listing generated by ETRACS and the recorded RPT and SET Receivable in the books of account; and,</w:t>
      </w:r>
    </w:p>
    <w:p>
      <w:pPr>
        <w:pStyle w:val="ListParagraph"/>
        <w:numPr>
          <w:ilvl w:val="0"/>
          <w:numId w:val="69"/>
        </w:numPr>
        <w:jc w:val="both"/>
        <w:rPr>
          <w:rFonts w:ascii="Times New Roman" w:hAnsi="Times New Roman"/>
          <w:sz w:val="24"/>
          <w:szCs w:val="24"/>
        </w:rPr>
      </w:pPr>
      <w:r>
        <w:rPr>
          <w:rFonts w:ascii="Times New Roman" w:hAnsi="Times New Roman"/>
          <w:sz w:val="24"/>
          <w:szCs w:val="24"/>
        </w:rPr>
        <w:t>Direct the City Accounting Office to draw the necessary adjusting entries to correct the negative and unreconciled balances of the subsidiary ledgers under the RPT and SET Receivable and Deferred RPT / SET accounts.</w:t>
      </w:r>
    </w:p>
    <w:p>
      <w:pPr>
        <w:spacing w:line="276" w:lineRule="auto"/>
        <w:jc w:val="both"/>
        <w:rPr>
          <w:b/>
          <w:bCs/>
        </w:rPr>
      </w:pPr>
      <w:r>
        <w:rPr>
          <w:b/>
          <w:bCs/>
        </w:rPr>
        <w:t>Management’s Comments:</w:t>
      </w:r>
    </w:p>
    <w:p>
      <w:pPr>
        <w:spacing w:line="276" w:lineRule="auto"/>
        <w:jc w:val="both"/>
      </w:pPr>
    </w:p>
    <w:p>
      <w:pPr>
        <w:spacing w:line="276" w:lineRule="auto"/>
        <w:jc w:val="both"/>
      </w:pPr>
      <w:r>
        <w:t>The management was amenable to the audit observations and recommendations. The City Treasurer explained that the basis on the computation of RPT / SET Receivables is by individual Real Property Tax Account. However, by mistake, the submitted report was the summary per barangay with the corresponding amount of collectible for the year. Henceforth, the CTO guaranteed to correct and submit the proper presentation of the said report.</w:t>
      </w:r>
    </w:p>
    <w:p>
      <w:pPr>
        <w:spacing w:line="276" w:lineRule="auto"/>
        <w:jc w:val="both"/>
      </w:pPr>
    </w:p>
    <w:p>
      <w:pPr>
        <w:spacing w:line="276" w:lineRule="auto"/>
        <w:jc w:val="both"/>
      </w:pPr>
      <w:r>
        <w:t xml:space="preserve">Moreover, CAO stated that the establishment of RPT and SET Receivables was previously entered per RPU and not per barangay. In 2005, when the CAO started using the e-NGAS Version 1, the RPT Receivable was established per RPU, however, due to the voluminous number of RPUs, it was not sustained. The CAO stated that unless there is an integrated system between the City Assessor, City Treasurer and City Accounting Offices that can cater the said recording, then it might be possible to book the entry per RPUs. In 2022, CAO have upgraded e-NGAS to version 2. However, the feature of booking the RPT Receivable as per RPU was disabled instead the available was per barangay. </w:t>
      </w:r>
    </w:p>
    <w:p>
      <w:pPr>
        <w:spacing w:line="276" w:lineRule="auto"/>
        <w:jc w:val="both"/>
      </w:pPr>
    </w:p>
    <w:p>
      <w:pPr>
        <w:spacing w:line="276" w:lineRule="auto"/>
        <w:jc w:val="both"/>
      </w:pPr>
      <w:r>
        <w:t xml:space="preserve">As to the negative balances of receivables per barangay, the CAO committed to make adjustments in January 2023. For other subsidiary ledgers with negative balances, the CAO will conduct reconciliation and further verification in the ensuing year. </w:t>
      </w:r>
    </w:p>
    <w:p>
      <w:pPr>
        <w:spacing w:line="276" w:lineRule="auto"/>
        <w:jc w:val="both"/>
      </w:pPr>
    </w:p>
    <w:p>
      <w:pPr>
        <w:spacing w:line="276" w:lineRule="auto"/>
        <w:jc w:val="both"/>
      </w:pPr>
      <w:r>
        <w:t>The City Accountant requested the full coordination with their office to be keep informed with any updates and changes and the timely submission of pertinent reports from concerned offices so they may accordingly perform the necessary action and prepare the necessary accounting entries in a timely manner to correct the noted variance and minimize incurrence thereof in the future.</w:t>
      </w:r>
    </w:p>
    <w:p>
      <w:pPr>
        <w:spacing w:line="276" w:lineRule="auto"/>
        <w:jc w:val="both"/>
      </w:pPr>
    </w:p>
    <w:p>
      <w:pPr>
        <w:spacing w:line="276" w:lineRule="auto"/>
        <w:jc w:val="both"/>
        <w:rPr>
          <w:b/>
          <w:bCs/>
        </w:rPr>
      </w:pPr>
      <w:r>
        <w:rPr>
          <w:b/>
          <w:bCs/>
        </w:rPr>
        <w:t>Auditor’s Rejoinder:</w:t>
      </w:r>
    </w:p>
    <w:p>
      <w:pPr>
        <w:spacing w:line="276" w:lineRule="auto"/>
        <w:jc w:val="both"/>
        <w:rPr>
          <w:b/>
          <w:bCs/>
        </w:rPr>
      </w:pPr>
    </w:p>
    <w:p>
      <w:pPr>
        <w:spacing w:line="276" w:lineRule="auto"/>
        <w:jc w:val="both"/>
        <w:rPr>
          <w:bCs/>
        </w:rPr>
      </w:pPr>
      <w:r>
        <w:rPr>
          <w:bCs/>
        </w:rPr>
        <w:t xml:space="preserve">If e-NGAS version 2 does not have a function for maintaining subsidiary ledger for RPT Receivables “by RPUs”, the CAO may use the “by Barangay” function. However, other </w:t>
      </w:r>
      <w:r>
        <w:rPr>
          <w:bCs/>
        </w:rPr>
        <w:lastRenderedPageBreak/>
        <w:t>alternative controls using other computerized system to record RPT Receivables by RPUs should be maintained.</w:t>
      </w:r>
    </w:p>
    <w:p>
      <w:pPr>
        <w:spacing w:line="276" w:lineRule="auto"/>
        <w:jc w:val="both"/>
        <w:rPr>
          <w:i/>
        </w:rPr>
      </w:pPr>
    </w:p>
    <w:p>
      <w:pPr>
        <w:spacing w:line="276" w:lineRule="auto"/>
        <w:jc w:val="both"/>
        <w:rPr>
          <w:i/>
        </w:rPr>
      </w:pPr>
    </w:p>
    <w:p>
      <w:pPr>
        <w:spacing w:line="276" w:lineRule="auto"/>
        <w:jc w:val="both"/>
        <w:rPr>
          <w:b/>
          <w:bCs/>
          <w:i/>
        </w:rPr>
      </w:pPr>
      <w:r>
        <w:rPr>
          <w:b/>
          <w:bCs/>
          <w:i/>
        </w:rPr>
        <w:t>Payment to Casuals, Job Orders, Contractual and Consultant</w:t>
      </w:r>
    </w:p>
    <w:p>
      <w:pPr>
        <w:spacing w:line="276" w:lineRule="auto"/>
        <w:jc w:val="both"/>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Reliability and accuracy of the entries in the Daily Time Records of personnel under Job Order contracts were rendered doubtful due to incomplete documentation and insufficient information inconsistent with Section 4(6) of Presidential Decree (PD) No. 1445.</w:t>
      </w:r>
    </w:p>
    <w:p>
      <w:pPr>
        <w:spacing w:line="276" w:lineRule="auto"/>
      </w:pPr>
    </w:p>
    <w:p>
      <w:pPr>
        <w:spacing w:line="276" w:lineRule="auto"/>
      </w:pPr>
      <w:r>
        <w:t>Section 77 of Republic Act No. 7160, the Local Government Code of 1991, provides the responsibility of the local chief executive for employees or laborers through job orders, to wit:</w:t>
      </w:r>
    </w:p>
    <w:p>
      <w:pPr>
        <w:spacing w:line="276" w:lineRule="auto"/>
      </w:pPr>
    </w:p>
    <w:p>
      <w:pPr>
        <w:spacing w:line="276" w:lineRule="auto"/>
        <w:ind w:left="720" w:right="702"/>
        <w:jc w:val="both"/>
      </w:pPr>
      <w:r>
        <w:t xml:space="preserve">SECTION 77. Responsibility for Human Resources and Development. - The chief executive of every local government unit shall be responsible for human resources and development in his unit and shall take all personnel actions in accordance with the Constitutional provisions on civil service, pertinent laws, and rules and regulations thereon, including such policies, guidelines and standards as the Civil Service Commission may establish: Provided, That the local chief executive may employ emergency or casual employees or laborers paid on a daily wage or piecework basis and hired through job orders for local projects authorized by the </w:t>
      </w:r>
      <w:proofErr w:type="spellStart"/>
      <w:r>
        <w:t>Sanggunian</w:t>
      </w:r>
      <w:proofErr w:type="spellEnd"/>
      <w:r>
        <w:t xml:space="preserve"> concerned, without need of approval or attestation by the Civil Service Commission: Provided, further, That the period of employment of emergency or casual laborers as provided in this Section shall not exceed six (6) months.</w:t>
      </w:r>
    </w:p>
    <w:p>
      <w:pPr>
        <w:spacing w:line="276" w:lineRule="auto"/>
        <w:ind w:right="288" w:firstLine="709"/>
        <w:jc w:val="both"/>
      </w:pPr>
    </w:p>
    <w:p>
      <w:pPr>
        <w:spacing w:line="276" w:lineRule="auto"/>
        <w:ind w:right="4"/>
        <w:jc w:val="both"/>
      </w:pPr>
      <w:r>
        <w:t xml:space="preserve">For CY 2022, the City Government of </w:t>
      </w:r>
      <w:proofErr w:type="spellStart"/>
      <w:r>
        <w:t>Panabo</w:t>
      </w:r>
      <w:proofErr w:type="spellEnd"/>
      <w:r>
        <w:t xml:space="preserve"> employed a total of 1,293 job order personnel assigned across the City Departments and other national government agencies. Table 15.1 presents the ranking of the City Departments based on the number of job order personnel assigned.</w:t>
      </w:r>
    </w:p>
    <w:p>
      <w:pPr>
        <w:spacing w:line="276" w:lineRule="auto"/>
        <w:ind w:right="4"/>
        <w:jc w:val="both"/>
      </w:pPr>
    </w:p>
    <w:p>
      <w:pPr>
        <w:spacing w:line="276" w:lineRule="auto"/>
        <w:ind w:right="4"/>
        <w:jc w:val="both"/>
      </w:pPr>
      <w:r>
        <w:rPr>
          <w:i/>
        </w:rPr>
        <w:t>Table 15.1. Ranking of City Department with most job order personnel assigned.</w:t>
      </w:r>
    </w:p>
    <w:tbl>
      <w:tblPr>
        <w:tblW w:w="7934" w:type="dxa"/>
        <w:jc w:val="center"/>
        <w:tblLook w:val="04A0" w:firstRow="1" w:lastRow="0" w:firstColumn="1" w:lastColumn="0" w:noHBand="0" w:noVBand="1"/>
      </w:tblPr>
      <w:tblGrid>
        <w:gridCol w:w="730"/>
        <w:gridCol w:w="4368"/>
        <w:gridCol w:w="1418"/>
        <w:gridCol w:w="1418"/>
      </w:tblGrid>
      <w:tr>
        <w:trPr>
          <w:trHeight w:val="113"/>
          <w:tblHeader/>
          <w:jc w:val="center"/>
        </w:trPr>
        <w:tc>
          <w:tcPr>
            <w:tcW w:w="7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spacing w:line="276" w:lineRule="auto"/>
              <w:jc w:val="center"/>
              <w:rPr>
                <w:b/>
                <w:bCs/>
                <w:color w:val="000000"/>
                <w:sz w:val="22"/>
                <w:szCs w:val="22"/>
                <w:lang w:val="en-PH" w:eastAsia="en-PH"/>
              </w:rPr>
            </w:pPr>
            <w:r>
              <w:rPr>
                <w:b/>
                <w:bCs/>
                <w:color w:val="000000"/>
                <w:sz w:val="22"/>
                <w:szCs w:val="22"/>
                <w:lang w:val="en-PH" w:eastAsia="en-PH"/>
              </w:rPr>
              <w:t>Rank</w:t>
            </w:r>
          </w:p>
        </w:tc>
        <w:tc>
          <w:tcPr>
            <w:tcW w:w="4368" w:type="dxa"/>
            <w:tcBorders>
              <w:top w:val="single" w:sz="4" w:space="0" w:color="auto"/>
              <w:left w:val="nil"/>
              <w:bottom w:val="single" w:sz="4" w:space="0" w:color="auto"/>
              <w:right w:val="single" w:sz="4" w:space="0" w:color="auto"/>
            </w:tcBorders>
            <w:shd w:val="clear" w:color="auto" w:fill="auto"/>
            <w:noWrap/>
            <w:vAlign w:val="center"/>
            <w:hideMark/>
          </w:tcPr>
          <w:p>
            <w:pPr>
              <w:spacing w:line="276" w:lineRule="auto"/>
              <w:jc w:val="center"/>
              <w:rPr>
                <w:b/>
                <w:bCs/>
                <w:color w:val="000000"/>
                <w:sz w:val="22"/>
                <w:szCs w:val="22"/>
                <w:lang w:val="en-PH" w:eastAsia="en-PH"/>
              </w:rPr>
            </w:pPr>
            <w:r>
              <w:rPr>
                <w:b/>
                <w:bCs/>
                <w:color w:val="000000"/>
                <w:sz w:val="22"/>
                <w:szCs w:val="22"/>
                <w:lang w:val="en-PH" w:eastAsia="en-PH"/>
              </w:rPr>
              <w:t>Department</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pPr>
              <w:spacing w:line="276" w:lineRule="auto"/>
              <w:jc w:val="center"/>
              <w:rPr>
                <w:b/>
                <w:bCs/>
                <w:color w:val="000000"/>
                <w:sz w:val="22"/>
                <w:szCs w:val="22"/>
                <w:lang w:val="en-PH" w:eastAsia="en-PH"/>
              </w:rPr>
            </w:pPr>
            <w:r>
              <w:rPr>
                <w:b/>
                <w:bCs/>
                <w:color w:val="000000"/>
                <w:sz w:val="22"/>
                <w:szCs w:val="22"/>
                <w:lang w:val="en-PH" w:eastAsia="en-PH"/>
              </w:rPr>
              <w:t>Total per Department</w:t>
            </w:r>
          </w:p>
        </w:tc>
        <w:tc>
          <w:tcPr>
            <w:tcW w:w="1418" w:type="dxa"/>
            <w:tcBorders>
              <w:top w:val="single" w:sz="4" w:space="0" w:color="auto"/>
              <w:left w:val="nil"/>
              <w:bottom w:val="single" w:sz="4" w:space="0" w:color="auto"/>
              <w:right w:val="single" w:sz="4" w:space="0" w:color="auto"/>
            </w:tcBorders>
          </w:tcPr>
          <w:p>
            <w:pPr>
              <w:spacing w:line="276" w:lineRule="auto"/>
              <w:jc w:val="center"/>
              <w:rPr>
                <w:b/>
                <w:bCs/>
                <w:color w:val="000000"/>
                <w:sz w:val="22"/>
                <w:szCs w:val="22"/>
                <w:lang w:val="en-PH" w:eastAsia="en-PH"/>
              </w:rPr>
            </w:pPr>
            <w:r>
              <w:rPr>
                <w:b/>
                <w:bCs/>
                <w:color w:val="000000"/>
                <w:sz w:val="22"/>
                <w:szCs w:val="22"/>
                <w:lang w:val="en-PH" w:eastAsia="en-PH"/>
              </w:rPr>
              <w:t>Percentage</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Mayor’s Office (CMO)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521</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40.29%</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2</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Economic Enterprise Management and Development Office (CEEMDO)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150</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11.60%</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3</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 xml:space="preserve">Sangguniang </w:t>
            </w:r>
            <w:proofErr w:type="spellStart"/>
            <w:r>
              <w:rPr>
                <w:color w:val="000000"/>
                <w:sz w:val="22"/>
                <w:szCs w:val="22"/>
                <w:lang w:val="en-PH" w:eastAsia="en-PH"/>
              </w:rPr>
              <w:t>Panlunsod</w:t>
            </w:r>
            <w:proofErr w:type="spellEnd"/>
            <w:r>
              <w:rPr>
                <w:color w:val="000000"/>
                <w:sz w:val="22"/>
                <w:szCs w:val="22"/>
                <w:lang w:val="en-PH" w:eastAsia="en-PH"/>
              </w:rPr>
              <w:t xml:space="preserve"> Office (SPO)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116</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8.97%</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lastRenderedPageBreak/>
              <w:t>4</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Environment and Natural Resources Office (CENRO)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111</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8.58%</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5</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Engineering Office (CEO)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90</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6.96%</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6</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Health Office (CHO)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87</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6.73%</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7</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Agriculturist’s Office (CAGRO)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53</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4.10%</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8</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Social Welfare and Development Office (CSWDO)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31</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2.40%</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9</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Treasurer’s Office (CTO)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26</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2.01%</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10</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Administrator’s Office (CADO)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25</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1.93%</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11</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Legal Office (CLO)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17</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1.31%</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12</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Assessor’s Office (CASSO)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16</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1.24%</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12</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Planning and Development Coordinating Office (CPDCO)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16</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1.24%</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13</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General Services Office (CGSO)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12</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0.93%</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14</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Accounting Office (CAO)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7</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0.54%</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14</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Civil Registration Office (CCRO)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7</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0.54%</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14</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Human Resource Management Office (CHRMO)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7</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0.54%</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15</w:t>
            </w:r>
          </w:p>
        </w:tc>
        <w:tc>
          <w:tcPr>
            <w:tcW w:w="4368" w:type="dxa"/>
            <w:tcBorders>
              <w:top w:val="nil"/>
              <w:left w:val="nil"/>
              <w:bottom w:val="single" w:sz="4" w:space="0" w:color="auto"/>
              <w:right w:val="single" w:sz="4" w:space="0" w:color="auto"/>
            </w:tcBorders>
            <w:shd w:val="clear" w:color="auto" w:fill="auto"/>
            <w:noWrap/>
            <w:hideMark/>
          </w:tcPr>
          <w:p>
            <w:pPr>
              <w:spacing w:line="276" w:lineRule="auto"/>
              <w:rPr>
                <w:color w:val="000000"/>
                <w:sz w:val="22"/>
                <w:szCs w:val="22"/>
                <w:lang w:val="en-PH" w:eastAsia="en-PH"/>
              </w:rPr>
            </w:pPr>
            <w:r>
              <w:rPr>
                <w:color w:val="000000"/>
                <w:sz w:val="22"/>
                <w:szCs w:val="22"/>
                <w:lang w:val="en-PH" w:eastAsia="en-PH"/>
              </w:rPr>
              <w:t>City Budget Office (CBO)</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color w:val="000000"/>
                <w:sz w:val="22"/>
                <w:szCs w:val="22"/>
                <w:lang w:val="en-PH" w:eastAsia="en-PH"/>
              </w:rPr>
            </w:pPr>
            <w:r>
              <w:rPr>
                <w:color w:val="000000"/>
                <w:sz w:val="22"/>
                <w:szCs w:val="22"/>
                <w:lang w:val="en-PH" w:eastAsia="en-PH"/>
              </w:rPr>
              <w:t>1</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0.08%</w:t>
            </w:r>
          </w:p>
        </w:tc>
      </w:tr>
      <w:tr>
        <w:trPr>
          <w:trHeight w:val="113"/>
          <w:jc w:val="center"/>
        </w:trPr>
        <w:tc>
          <w:tcPr>
            <w:tcW w:w="730"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jc w:val="center"/>
              <w:rPr>
                <w:b/>
                <w:bCs/>
                <w:color w:val="000000"/>
                <w:sz w:val="22"/>
                <w:szCs w:val="22"/>
                <w:lang w:val="en-PH" w:eastAsia="en-PH"/>
              </w:rPr>
            </w:pPr>
            <w:r>
              <w:rPr>
                <w:b/>
                <w:bCs/>
                <w:color w:val="000000"/>
                <w:sz w:val="22"/>
                <w:szCs w:val="22"/>
                <w:lang w:val="en-PH" w:eastAsia="en-PH"/>
              </w:rPr>
              <w:t> </w:t>
            </w:r>
          </w:p>
        </w:tc>
        <w:tc>
          <w:tcPr>
            <w:tcW w:w="4368" w:type="dxa"/>
            <w:tcBorders>
              <w:top w:val="nil"/>
              <w:left w:val="nil"/>
              <w:bottom w:val="single" w:sz="4" w:space="0" w:color="auto"/>
              <w:right w:val="single" w:sz="4" w:space="0" w:color="auto"/>
            </w:tcBorders>
            <w:shd w:val="clear" w:color="auto" w:fill="auto"/>
            <w:noWrap/>
            <w:hideMark/>
          </w:tcPr>
          <w:p>
            <w:pPr>
              <w:spacing w:line="276" w:lineRule="auto"/>
              <w:jc w:val="center"/>
              <w:rPr>
                <w:b/>
                <w:bCs/>
                <w:color w:val="000000"/>
                <w:sz w:val="22"/>
                <w:szCs w:val="22"/>
                <w:lang w:val="en-PH" w:eastAsia="en-PH"/>
              </w:rPr>
            </w:pPr>
            <w:r>
              <w:rPr>
                <w:b/>
                <w:bCs/>
                <w:color w:val="000000"/>
                <w:sz w:val="22"/>
                <w:szCs w:val="22"/>
                <w:lang w:val="en-PH" w:eastAsia="en-PH"/>
              </w:rPr>
              <w:t>TOTAL</w:t>
            </w:r>
          </w:p>
        </w:tc>
        <w:tc>
          <w:tcPr>
            <w:tcW w:w="1418" w:type="dxa"/>
            <w:tcBorders>
              <w:top w:val="nil"/>
              <w:left w:val="nil"/>
              <w:bottom w:val="single" w:sz="4" w:space="0" w:color="auto"/>
              <w:right w:val="single" w:sz="4" w:space="0" w:color="auto"/>
            </w:tcBorders>
            <w:shd w:val="clear" w:color="auto" w:fill="auto"/>
            <w:hideMark/>
          </w:tcPr>
          <w:p>
            <w:pPr>
              <w:spacing w:line="276" w:lineRule="auto"/>
              <w:jc w:val="center"/>
              <w:rPr>
                <w:b/>
                <w:bCs/>
                <w:color w:val="000000"/>
                <w:sz w:val="22"/>
                <w:szCs w:val="22"/>
                <w:lang w:val="en-PH" w:eastAsia="en-PH"/>
              </w:rPr>
            </w:pPr>
            <w:r>
              <w:rPr>
                <w:b/>
                <w:bCs/>
                <w:color w:val="000000"/>
                <w:sz w:val="22"/>
                <w:szCs w:val="22"/>
                <w:lang w:val="en-PH" w:eastAsia="en-PH"/>
              </w:rPr>
              <w:t>1,293</w:t>
            </w:r>
          </w:p>
        </w:tc>
        <w:tc>
          <w:tcPr>
            <w:tcW w:w="1418" w:type="dxa"/>
            <w:tcBorders>
              <w:top w:val="nil"/>
              <w:left w:val="nil"/>
              <w:bottom w:val="single" w:sz="4" w:space="0" w:color="auto"/>
              <w:right w:val="single" w:sz="4" w:space="0" w:color="auto"/>
            </w:tcBorders>
          </w:tcPr>
          <w:p>
            <w:pPr>
              <w:spacing w:line="276" w:lineRule="auto"/>
              <w:jc w:val="center"/>
              <w:rPr>
                <w:sz w:val="22"/>
                <w:szCs w:val="22"/>
              </w:rPr>
            </w:pPr>
            <w:r>
              <w:rPr>
                <w:sz w:val="22"/>
                <w:szCs w:val="22"/>
              </w:rPr>
              <w:t>100.00%</w:t>
            </w:r>
          </w:p>
        </w:tc>
      </w:tr>
    </w:tbl>
    <w:p>
      <w:pPr>
        <w:spacing w:line="276" w:lineRule="auto"/>
        <w:ind w:right="288" w:firstLine="709"/>
        <w:jc w:val="both"/>
      </w:pPr>
    </w:p>
    <w:p>
      <w:pPr>
        <w:spacing w:line="276" w:lineRule="auto"/>
        <w:ind w:right="4"/>
        <w:jc w:val="both"/>
      </w:pPr>
      <w:r>
        <w:t xml:space="preserve">As shown in the Table 15.1, the top five (5) City Departments with most job order personnel belongs to City Mayor’s Office, City Economic Enterprise Management and Development Office, Sangguniang </w:t>
      </w:r>
      <w:proofErr w:type="spellStart"/>
      <w:r>
        <w:t>Panlunsod</w:t>
      </w:r>
      <w:proofErr w:type="spellEnd"/>
      <w:r>
        <w:t xml:space="preserve"> Office, </w:t>
      </w:r>
      <w:r>
        <w:rPr>
          <w:color w:val="000000"/>
          <w:lang w:val="en-PH" w:eastAsia="en-PH"/>
        </w:rPr>
        <w:t>City Environment and Natural Resources Office, and City Engineering Office</w:t>
      </w:r>
      <w:r>
        <w:t xml:space="preserve"> which composed the 76.41% of the total job order personnel hired for the year.</w:t>
      </w:r>
    </w:p>
    <w:p>
      <w:pPr>
        <w:spacing w:line="276" w:lineRule="auto"/>
        <w:ind w:right="4" w:firstLine="709"/>
        <w:jc w:val="both"/>
      </w:pPr>
    </w:p>
    <w:p>
      <w:pPr>
        <w:spacing w:line="276" w:lineRule="auto"/>
        <w:ind w:right="4"/>
        <w:jc w:val="both"/>
      </w:pPr>
      <w:r>
        <w:t xml:space="preserve">Under the City Mayor’s Office, job order personnel were further assigned to various sections, offices, councils and boards. Some personnel were also assigned to various national government agencies, judicial courts, and constitutional commissions in </w:t>
      </w:r>
      <w:proofErr w:type="spellStart"/>
      <w:r>
        <w:t>Panabo</w:t>
      </w:r>
      <w:proofErr w:type="spellEnd"/>
      <w:r>
        <w:t xml:space="preserve"> City as presented in Table 15.2.</w:t>
      </w:r>
    </w:p>
    <w:p>
      <w:pPr>
        <w:spacing w:line="276" w:lineRule="auto"/>
        <w:ind w:right="288"/>
        <w:jc w:val="both"/>
      </w:pPr>
    </w:p>
    <w:p>
      <w:pPr>
        <w:spacing w:line="276" w:lineRule="auto"/>
        <w:ind w:right="288"/>
        <w:jc w:val="both"/>
        <w:rPr>
          <w:i/>
        </w:rPr>
      </w:pPr>
      <w:r>
        <w:rPr>
          <w:i/>
        </w:rPr>
        <w:t xml:space="preserve">  Table 15.2. List of offices where job order personnel under the City Mayor’s Office were assigned</w:t>
      </w:r>
    </w:p>
    <w:tbl>
      <w:tblPr>
        <w:tblStyle w:val="TableGrid36"/>
        <w:tblW w:w="0" w:type="auto"/>
        <w:jc w:val="center"/>
        <w:tblLook w:val="04A0" w:firstRow="1" w:lastRow="0" w:firstColumn="1" w:lastColumn="0" w:noHBand="0" w:noVBand="1"/>
      </w:tblPr>
      <w:tblGrid>
        <w:gridCol w:w="5801"/>
        <w:gridCol w:w="1523"/>
        <w:gridCol w:w="1532"/>
      </w:tblGrid>
      <w:tr>
        <w:trPr>
          <w:tblHeader/>
          <w:jc w:val="center"/>
        </w:trPr>
        <w:tc>
          <w:tcPr>
            <w:tcW w:w="6062" w:type="dxa"/>
            <w:vAlign w:val="center"/>
          </w:tcPr>
          <w:p>
            <w:pPr>
              <w:spacing w:line="276" w:lineRule="auto"/>
              <w:jc w:val="center"/>
              <w:rPr>
                <w:b/>
                <w:sz w:val="22"/>
                <w:szCs w:val="22"/>
              </w:rPr>
            </w:pPr>
            <w:r>
              <w:rPr>
                <w:b/>
                <w:sz w:val="22"/>
                <w:szCs w:val="22"/>
              </w:rPr>
              <w:t>Name of Office</w:t>
            </w:r>
          </w:p>
        </w:tc>
        <w:tc>
          <w:tcPr>
            <w:tcW w:w="1559" w:type="dxa"/>
            <w:vAlign w:val="center"/>
          </w:tcPr>
          <w:p>
            <w:pPr>
              <w:spacing w:line="276" w:lineRule="auto"/>
              <w:jc w:val="center"/>
              <w:rPr>
                <w:b/>
                <w:sz w:val="22"/>
                <w:szCs w:val="22"/>
              </w:rPr>
            </w:pPr>
            <w:r>
              <w:rPr>
                <w:b/>
                <w:sz w:val="22"/>
                <w:szCs w:val="22"/>
              </w:rPr>
              <w:t>No. of Personnel</w:t>
            </w:r>
          </w:p>
        </w:tc>
        <w:tc>
          <w:tcPr>
            <w:tcW w:w="1559" w:type="dxa"/>
            <w:vAlign w:val="center"/>
          </w:tcPr>
          <w:p>
            <w:pPr>
              <w:spacing w:line="276" w:lineRule="auto"/>
              <w:jc w:val="center"/>
              <w:rPr>
                <w:b/>
                <w:sz w:val="22"/>
                <w:szCs w:val="22"/>
              </w:rPr>
            </w:pPr>
            <w:r>
              <w:rPr>
                <w:b/>
                <w:sz w:val="22"/>
                <w:szCs w:val="22"/>
              </w:rPr>
              <w:t>Percentage</w:t>
            </w:r>
          </w:p>
        </w:tc>
      </w:tr>
      <w:tr>
        <w:trPr>
          <w:jc w:val="center"/>
        </w:trPr>
        <w:tc>
          <w:tcPr>
            <w:tcW w:w="6062" w:type="dxa"/>
          </w:tcPr>
          <w:p>
            <w:pPr>
              <w:spacing w:line="276" w:lineRule="auto"/>
              <w:rPr>
                <w:sz w:val="22"/>
                <w:szCs w:val="22"/>
              </w:rPr>
            </w:pPr>
            <w:r>
              <w:rPr>
                <w:sz w:val="22"/>
                <w:szCs w:val="22"/>
              </w:rPr>
              <w:t>Civil Security Unit</w:t>
            </w:r>
          </w:p>
        </w:tc>
        <w:tc>
          <w:tcPr>
            <w:tcW w:w="1559" w:type="dxa"/>
          </w:tcPr>
          <w:p>
            <w:pPr>
              <w:spacing w:line="276" w:lineRule="auto"/>
              <w:jc w:val="center"/>
              <w:rPr>
                <w:sz w:val="22"/>
                <w:szCs w:val="22"/>
              </w:rPr>
            </w:pPr>
            <w:r>
              <w:rPr>
                <w:sz w:val="22"/>
                <w:szCs w:val="22"/>
              </w:rPr>
              <w:t>134</w:t>
            </w:r>
          </w:p>
        </w:tc>
        <w:tc>
          <w:tcPr>
            <w:tcW w:w="1559" w:type="dxa"/>
          </w:tcPr>
          <w:p>
            <w:pPr>
              <w:spacing w:line="276" w:lineRule="auto"/>
              <w:jc w:val="center"/>
              <w:rPr>
                <w:sz w:val="22"/>
                <w:szCs w:val="22"/>
              </w:rPr>
            </w:pPr>
            <w:r>
              <w:rPr>
                <w:sz w:val="22"/>
                <w:szCs w:val="22"/>
              </w:rPr>
              <w:t>25.72%</w:t>
            </w:r>
          </w:p>
        </w:tc>
      </w:tr>
      <w:tr>
        <w:trPr>
          <w:jc w:val="center"/>
        </w:trPr>
        <w:tc>
          <w:tcPr>
            <w:tcW w:w="6062" w:type="dxa"/>
          </w:tcPr>
          <w:p>
            <w:pPr>
              <w:spacing w:line="276" w:lineRule="auto"/>
              <w:rPr>
                <w:sz w:val="22"/>
                <w:szCs w:val="22"/>
              </w:rPr>
            </w:pPr>
            <w:r>
              <w:rPr>
                <w:sz w:val="22"/>
                <w:szCs w:val="22"/>
              </w:rPr>
              <w:t>City Mayor's Office*</w:t>
            </w:r>
          </w:p>
        </w:tc>
        <w:tc>
          <w:tcPr>
            <w:tcW w:w="1559" w:type="dxa"/>
          </w:tcPr>
          <w:p>
            <w:pPr>
              <w:spacing w:line="276" w:lineRule="auto"/>
              <w:jc w:val="center"/>
              <w:rPr>
                <w:sz w:val="22"/>
                <w:szCs w:val="22"/>
              </w:rPr>
            </w:pPr>
            <w:r>
              <w:rPr>
                <w:sz w:val="22"/>
                <w:szCs w:val="22"/>
              </w:rPr>
              <w:t>106</w:t>
            </w:r>
          </w:p>
        </w:tc>
        <w:tc>
          <w:tcPr>
            <w:tcW w:w="1559" w:type="dxa"/>
          </w:tcPr>
          <w:p>
            <w:pPr>
              <w:spacing w:line="276" w:lineRule="auto"/>
              <w:jc w:val="center"/>
              <w:rPr>
                <w:sz w:val="22"/>
                <w:szCs w:val="22"/>
              </w:rPr>
            </w:pPr>
            <w:r>
              <w:rPr>
                <w:sz w:val="22"/>
                <w:szCs w:val="22"/>
              </w:rPr>
              <w:t>20.35%</w:t>
            </w:r>
          </w:p>
        </w:tc>
      </w:tr>
      <w:tr>
        <w:trPr>
          <w:jc w:val="center"/>
        </w:trPr>
        <w:tc>
          <w:tcPr>
            <w:tcW w:w="6062" w:type="dxa"/>
          </w:tcPr>
          <w:p>
            <w:pPr>
              <w:spacing w:line="276" w:lineRule="auto"/>
              <w:rPr>
                <w:sz w:val="22"/>
                <w:szCs w:val="22"/>
              </w:rPr>
            </w:pPr>
            <w:r>
              <w:rPr>
                <w:sz w:val="22"/>
                <w:szCs w:val="22"/>
              </w:rPr>
              <w:t>Traffic Management Unit</w:t>
            </w:r>
          </w:p>
        </w:tc>
        <w:tc>
          <w:tcPr>
            <w:tcW w:w="1559" w:type="dxa"/>
          </w:tcPr>
          <w:p>
            <w:pPr>
              <w:spacing w:line="276" w:lineRule="auto"/>
              <w:jc w:val="center"/>
              <w:rPr>
                <w:sz w:val="22"/>
                <w:szCs w:val="22"/>
              </w:rPr>
            </w:pPr>
            <w:r>
              <w:rPr>
                <w:sz w:val="22"/>
                <w:szCs w:val="22"/>
              </w:rPr>
              <w:t>57</w:t>
            </w:r>
          </w:p>
        </w:tc>
        <w:tc>
          <w:tcPr>
            <w:tcW w:w="1559" w:type="dxa"/>
          </w:tcPr>
          <w:p>
            <w:pPr>
              <w:spacing w:line="276" w:lineRule="auto"/>
              <w:jc w:val="center"/>
              <w:rPr>
                <w:sz w:val="22"/>
                <w:szCs w:val="22"/>
              </w:rPr>
            </w:pPr>
            <w:r>
              <w:rPr>
                <w:sz w:val="22"/>
                <w:szCs w:val="22"/>
              </w:rPr>
              <w:t>10.94%</w:t>
            </w:r>
          </w:p>
        </w:tc>
      </w:tr>
      <w:tr>
        <w:trPr>
          <w:jc w:val="center"/>
        </w:trPr>
        <w:tc>
          <w:tcPr>
            <w:tcW w:w="6062" w:type="dxa"/>
          </w:tcPr>
          <w:p>
            <w:pPr>
              <w:spacing w:line="276" w:lineRule="auto"/>
              <w:rPr>
                <w:sz w:val="22"/>
                <w:szCs w:val="22"/>
              </w:rPr>
            </w:pPr>
            <w:r>
              <w:rPr>
                <w:sz w:val="22"/>
                <w:szCs w:val="22"/>
              </w:rPr>
              <w:t>Barangay Administrative Enhancement Program</w:t>
            </w:r>
          </w:p>
        </w:tc>
        <w:tc>
          <w:tcPr>
            <w:tcW w:w="1559" w:type="dxa"/>
          </w:tcPr>
          <w:p>
            <w:pPr>
              <w:spacing w:line="276" w:lineRule="auto"/>
              <w:jc w:val="center"/>
              <w:rPr>
                <w:sz w:val="22"/>
                <w:szCs w:val="22"/>
              </w:rPr>
            </w:pPr>
            <w:r>
              <w:rPr>
                <w:sz w:val="22"/>
                <w:szCs w:val="22"/>
              </w:rPr>
              <w:t>47</w:t>
            </w:r>
          </w:p>
        </w:tc>
        <w:tc>
          <w:tcPr>
            <w:tcW w:w="1559" w:type="dxa"/>
          </w:tcPr>
          <w:p>
            <w:pPr>
              <w:spacing w:line="276" w:lineRule="auto"/>
              <w:jc w:val="center"/>
              <w:rPr>
                <w:sz w:val="22"/>
                <w:szCs w:val="22"/>
              </w:rPr>
            </w:pPr>
            <w:r>
              <w:rPr>
                <w:sz w:val="22"/>
                <w:szCs w:val="22"/>
              </w:rPr>
              <w:t>9.02%</w:t>
            </w:r>
          </w:p>
        </w:tc>
      </w:tr>
      <w:tr>
        <w:trPr>
          <w:jc w:val="center"/>
        </w:trPr>
        <w:tc>
          <w:tcPr>
            <w:tcW w:w="6062" w:type="dxa"/>
          </w:tcPr>
          <w:p>
            <w:pPr>
              <w:spacing w:line="276" w:lineRule="auto"/>
              <w:rPr>
                <w:sz w:val="22"/>
                <w:szCs w:val="22"/>
              </w:rPr>
            </w:pPr>
            <w:r>
              <w:rPr>
                <w:sz w:val="22"/>
                <w:szCs w:val="22"/>
              </w:rPr>
              <w:lastRenderedPageBreak/>
              <w:t>City Disaster Risk Reduction and Management Office</w:t>
            </w:r>
          </w:p>
        </w:tc>
        <w:tc>
          <w:tcPr>
            <w:tcW w:w="1559" w:type="dxa"/>
          </w:tcPr>
          <w:p>
            <w:pPr>
              <w:spacing w:line="276" w:lineRule="auto"/>
              <w:jc w:val="center"/>
              <w:rPr>
                <w:sz w:val="22"/>
                <w:szCs w:val="22"/>
              </w:rPr>
            </w:pPr>
            <w:r>
              <w:rPr>
                <w:sz w:val="22"/>
                <w:szCs w:val="22"/>
              </w:rPr>
              <w:t>32</w:t>
            </w:r>
          </w:p>
        </w:tc>
        <w:tc>
          <w:tcPr>
            <w:tcW w:w="1559" w:type="dxa"/>
          </w:tcPr>
          <w:p>
            <w:pPr>
              <w:spacing w:line="276" w:lineRule="auto"/>
              <w:jc w:val="center"/>
              <w:rPr>
                <w:sz w:val="22"/>
                <w:szCs w:val="22"/>
              </w:rPr>
            </w:pPr>
            <w:r>
              <w:rPr>
                <w:sz w:val="22"/>
                <w:szCs w:val="22"/>
              </w:rPr>
              <w:t>6.14%</w:t>
            </w:r>
          </w:p>
        </w:tc>
      </w:tr>
      <w:tr>
        <w:trPr>
          <w:jc w:val="center"/>
        </w:trPr>
        <w:tc>
          <w:tcPr>
            <w:tcW w:w="6062" w:type="dxa"/>
          </w:tcPr>
          <w:p>
            <w:pPr>
              <w:spacing w:line="276" w:lineRule="auto"/>
              <w:rPr>
                <w:sz w:val="22"/>
                <w:szCs w:val="22"/>
              </w:rPr>
            </w:pPr>
            <w:r>
              <w:rPr>
                <w:sz w:val="22"/>
                <w:szCs w:val="22"/>
              </w:rPr>
              <w:t>Others (</w:t>
            </w:r>
            <w:r>
              <w:rPr>
                <w:i/>
                <w:sz w:val="22"/>
                <w:szCs w:val="22"/>
              </w:rPr>
              <w:t>composed of 14 sections/offices/boards/councils</w:t>
            </w:r>
            <w:r>
              <w:rPr>
                <w:sz w:val="22"/>
                <w:szCs w:val="22"/>
              </w:rPr>
              <w:t>)</w:t>
            </w:r>
          </w:p>
        </w:tc>
        <w:tc>
          <w:tcPr>
            <w:tcW w:w="1559" w:type="dxa"/>
          </w:tcPr>
          <w:p>
            <w:pPr>
              <w:spacing w:line="276" w:lineRule="auto"/>
              <w:jc w:val="center"/>
              <w:rPr>
                <w:sz w:val="22"/>
                <w:szCs w:val="22"/>
              </w:rPr>
            </w:pPr>
            <w:r>
              <w:rPr>
                <w:sz w:val="22"/>
                <w:szCs w:val="22"/>
              </w:rPr>
              <w:t>85</w:t>
            </w:r>
          </w:p>
        </w:tc>
        <w:tc>
          <w:tcPr>
            <w:tcW w:w="1559" w:type="dxa"/>
          </w:tcPr>
          <w:p>
            <w:pPr>
              <w:spacing w:line="276" w:lineRule="auto"/>
              <w:jc w:val="center"/>
              <w:rPr>
                <w:sz w:val="22"/>
                <w:szCs w:val="22"/>
              </w:rPr>
            </w:pPr>
            <w:r>
              <w:rPr>
                <w:sz w:val="22"/>
                <w:szCs w:val="22"/>
              </w:rPr>
              <w:t>16.31%</w:t>
            </w:r>
          </w:p>
        </w:tc>
      </w:tr>
      <w:tr>
        <w:trPr>
          <w:jc w:val="center"/>
        </w:trPr>
        <w:tc>
          <w:tcPr>
            <w:tcW w:w="6062" w:type="dxa"/>
          </w:tcPr>
          <w:p>
            <w:pPr>
              <w:spacing w:line="276" w:lineRule="auto"/>
              <w:rPr>
                <w:sz w:val="22"/>
                <w:szCs w:val="22"/>
              </w:rPr>
            </w:pPr>
            <w:r>
              <w:rPr>
                <w:sz w:val="22"/>
                <w:szCs w:val="22"/>
              </w:rPr>
              <w:t>National Government Agencies</w:t>
            </w:r>
          </w:p>
        </w:tc>
        <w:tc>
          <w:tcPr>
            <w:tcW w:w="1559" w:type="dxa"/>
          </w:tcPr>
          <w:p>
            <w:pPr>
              <w:spacing w:line="276" w:lineRule="auto"/>
              <w:jc w:val="center"/>
              <w:rPr>
                <w:sz w:val="22"/>
                <w:szCs w:val="22"/>
              </w:rPr>
            </w:pPr>
            <w:r>
              <w:rPr>
                <w:sz w:val="22"/>
                <w:szCs w:val="22"/>
              </w:rPr>
              <w:t>47</w:t>
            </w:r>
          </w:p>
        </w:tc>
        <w:tc>
          <w:tcPr>
            <w:tcW w:w="1559" w:type="dxa"/>
          </w:tcPr>
          <w:p>
            <w:pPr>
              <w:spacing w:line="276" w:lineRule="auto"/>
              <w:jc w:val="center"/>
              <w:rPr>
                <w:sz w:val="22"/>
                <w:szCs w:val="22"/>
              </w:rPr>
            </w:pPr>
            <w:r>
              <w:rPr>
                <w:sz w:val="22"/>
                <w:szCs w:val="22"/>
              </w:rPr>
              <w:t>9.02%</w:t>
            </w:r>
          </w:p>
        </w:tc>
      </w:tr>
      <w:tr>
        <w:trPr>
          <w:jc w:val="center"/>
        </w:trPr>
        <w:tc>
          <w:tcPr>
            <w:tcW w:w="6062" w:type="dxa"/>
          </w:tcPr>
          <w:p>
            <w:pPr>
              <w:spacing w:line="276" w:lineRule="auto"/>
              <w:rPr>
                <w:sz w:val="22"/>
                <w:szCs w:val="22"/>
              </w:rPr>
            </w:pPr>
            <w:r>
              <w:rPr>
                <w:sz w:val="22"/>
                <w:szCs w:val="22"/>
              </w:rPr>
              <w:t>Judicial Courts</w:t>
            </w:r>
          </w:p>
        </w:tc>
        <w:tc>
          <w:tcPr>
            <w:tcW w:w="1559" w:type="dxa"/>
          </w:tcPr>
          <w:p>
            <w:pPr>
              <w:spacing w:line="276" w:lineRule="auto"/>
              <w:jc w:val="center"/>
              <w:rPr>
                <w:sz w:val="22"/>
                <w:szCs w:val="22"/>
              </w:rPr>
            </w:pPr>
            <w:r>
              <w:rPr>
                <w:sz w:val="22"/>
                <w:szCs w:val="22"/>
              </w:rPr>
              <w:t>5</w:t>
            </w:r>
          </w:p>
        </w:tc>
        <w:tc>
          <w:tcPr>
            <w:tcW w:w="1559" w:type="dxa"/>
          </w:tcPr>
          <w:p>
            <w:pPr>
              <w:spacing w:line="276" w:lineRule="auto"/>
              <w:jc w:val="center"/>
              <w:rPr>
                <w:sz w:val="22"/>
                <w:szCs w:val="22"/>
              </w:rPr>
            </w:pPr>
            <w:r>
              <w:rPr>
                <w:sz w:val="22"/>
                <w:szCs w:val="22"/>
              </w:rPr>
              <w:t>0.96%</w:t>
            </w:r>
          </w:p>
        </w:tc>
      </w:tr>
      <w:tr>
        <w:trPr>
          <w:jc w:val="center"/>
        </w:trPr>
        <w:tc>
          <w:tcPr>
            <w:tcW w:w="6062" w:type="dxa"/>
          </w:tcPr>
          <w:p>
            <w:pPr>
              <w:spacing w:line="276" w:lineRule="auto"/>
              <w:rPr>
                <w:sz w:val="22"/>
                <w:szCs w:val="22"/>
              </w:rPr>
            </w:pPr>
            <w:r>
              <w:rPr>
                <w:sz w:val="22"/>
                <w:szCs w:val="22"/>
              </w:rPr>
              <w:t>Constitutional Commissions</w:t>
            </w:r>
          </w:p>
        </w:tc>
        <w:tc>
          <w:tcPr>
            <w:tcW w:w="1559" w:type="dxa"/>
          </w:tcPr>
          <w:p>
            <w:pPr>
              <w:spacing w:line="276" w:lineRule="auto"/>
              <w:jc w:val="center"/>
              <w:rPr>
                <w:sz w:val="22"/>
                <w:szCs w:val="22"/>
              </w:rPr>
            </w:pPr>
            <w:r>
              <w:rPr>
                <w:sz w:val="22"/>
                <w:szCs w:val="22"/>
              </w:rPr>
              <w:t>8</w:t>
            </w:r>
          </w:p>
        </w:tc>
        <w:tc>
          <w:tcPr>
            <w:tcW w:w="1559" w:type="dxa"/>
          </w:tcPr>
          <w:p>
            <w:pPr>
              <w:spacing w:line="276" w:lineRule="auto"/>
              <w:jc w:val="center"/>
              <w:rPr>
                <w:sz w:val="22"/>
                <w:szCs w:val="22"/>
              </w:rPr>
            </w:pPr>
            <w:r>
              <w:rPr>
                <w:sz w:val="22"/>
                <w:szCs w:val="22"/>
              </w:rPr>
              <w:t>1.54%</w:t>
            </w:r>
          </w:p>
        </w:tc>
      </w:tr>
      <w:tr>
        <w:trPr>
          <w:jc w:val="center"/>
        </w:trPr>
        <w:tc>
          <w:tcPr>
            <w:tcW w:w="6062" w:type="dxa"/>
          </w:tcPr>
          <w:p>
            <w:pPr>
              <w:spacing w:line="276" w:lineRule="auto"/>
              <w:rPr>
                <w:b/>
                <w:sz w:val="22"/>
                <w:szCs w:val="22"/>
              </w:rPr>
            </w:pPr>
            <w:r>
              <w:rPr>
                <w:b/>
                <w:sz w:val="22"/>
                <w:szCs w:val="22"/>
              </w:rPr>
              <w:t>TOTAL</w:t>
            </w:r>
          </w:p>
        </w:tc>
        <w:tc>
          <w:tcPr>
            <w:tcW w:w="1559" w:type="dxa"/>
          </w:tcPr>
          <w:p>
            <w:pPr>
              <w:spacing w:line="276" w:lineRule="auto"/>
              <w:jc w:val="center"/>
              <w:rPr>
                <w:b/>
                <w:sz w:val="22"/>
                <w:szCs w:val="22"/>
              </w:rPr>
            </w:pPr>
            <w:r>
              <w:rPr>
                <w:b/>
                <w:sz w:val="22"/>
                <w:szCs w:val="22"/>
              </w:rPr>
              <w:t>521</w:t>
            </w:r>
          </w:p>
        </w:tc>
        <w:tc>
          <w:tcPr>
            <w:tcW w:w="1559" w:type="dxa"/>
          </w:tcPr>
          <w:p>
            <w:pPr>
              <w:spacing w:line="276" w:lineRule="auto"/>
              <w:jc w:val="center"/>
              <w:rPr>
                <w:b/>
                <w:sz w:val="22"/>
                <w:szCs w:val="22"/>
              </w:rPr>
            </w:pPr>
            <w:r>
              <w:rPr>
                <w:b/>
                <w:sz w:val="22"/>
                <w:szCs w:val="22"/>
              </w:rPr>
              <w:t>100.00%</w:t>
            </w:r>
          </w:p>
        </w:tc>
      </w:tr>
    </w:tbl>
    <w:p>
      <w:pPr>
        <w:spacing w:line="276" w:lineRule="auto"/>
        <w:rPr>
          <w:i/>
        </w:rPr>
      </w:pPr>
      <w:r>
        <w:rPr>
          <w:i/>
        </w:rPr>
        <w:t xml:space="preserve"> *No specific office/section assignment were indicated in the report submitted by the CHRMO</w:t>
      </w:r>
    </w:p>
    <w:p>
      <w:pPr>
        <w:spacing w:line="276" w:lineRule="auto"/>
        <w:jc w:val="both"/>
      </w:pPr>
      <w:r>
        <w:tab/>
      </w:r>
    </w:p>
    <w:p>
      <w:pPr>
        <w:spacing w:line="276" w:lineRule="auto"/>
        <w:jc w:val="both"/>
      </w:pPr>
      <w:r>
        <w:t>We have examined the Daily Time Records of various job order personnel of the City and found that entries of daily attendance were not supported with complete documentation and sufficient information to show actual service rendered.</w:t>
      </w:r>
    </w:p>
    <w:p>
      <w:pPr>
        <w:spacing w:line="276" w:lineRule="auto"/>
        <w:jc w:val="both"/>
      </w:pPr>
    </w:p>
    <w:p>
      <w:pPr>
        <w:spacing w:line="276" w:lineRule="auto"/>
        <w:jc w:val="both"/>
      </w:pPr>
      <w:r>
        <w:t>Section 4(6) of Presidential Decree (PD) No. 1445 otherwise known as the "Government Auditing Code of the Philippines" provides:</w:t>
      </w:r>
    </w:p>
    <w:p>
      <w:pPr>
        <w:spacing w:line="276" w:lineRule="auto"/>
        <w:ind w:firstLine="720"/>
        <w:jc w:val="both"/>
      </w:pPr>
    </w:p>
    <w:p>
      <w:pPr>
        <w:spacing w:line="276" w:lineRule="auto"/>
        <w:ind w:left="720" w:right="702"/>
        <w:jc w:val="both"/>
      </w:pPr>
      <w:r>
        <w:t>Claims against government funds shall be supported with complete documentation."</w:t>
      </w:r>
    </w:p>
    <w:p>
      <w:pPr>
        <w:spacing w:line="276" w:lineRule="auto"/>
        <w:ind w:firstLine="720"/>
        <w:jc w:val="both"/>
      </w:pPr>
    </w:p>
    <w:p>
      <w:pPr>
        <w:spacing w:line="276" w:lineRule="auto"/>
        <w:jc w:val="both"/>
      </w:pPr>
      <w:r>
        <w:t>Sections 1 to 2, Rule XVII, Omnibus Rules Implementing Book V of Executive Order No. 292 provide:</w:t>
      </w:r>
    </w:p>
    <w:p>
      <w:pPr>
        <w:spacing w:line="276" w:lineRule="auto"/>
        <w:ind w:firstLine="720"/>
        <w:jc w:val="both"/>
      </w:pPr>
    </w:p>
    <w:p>
      <w:pPr>
        <w:tabs>
          <w:tab w:val="left" w:pos="7938"/>
        </w:tabs>
        <w:spacing w:line="276" w:lineRule="auto"/>
        <w:ind w:left="720" w:right="702"/>
        <w:jc w:val="both"/>
      </w:pPr>
      <w:r>
        <w:t>SECTION 1. It shall be the duty of each head of department or agency to require all officers and employees under him to strictly observe the prescribed office hours.</w:t>
      </w:r>
    </w:p>
    <w:p>
      <w:pPr>
        <w:spacing w:line="276" w:lineRule="auto"/>
        <w:ind w:left="720" w:right="288" w:firstLine="720"/>
        <w:jc w:val="both"/>
      </w:pPr>
    </w:p>
    <w:p>
      <w:pPr>
        <w:spacing w:line="276" w:lineRule="auto"/>
        <w:ind w:left="720" w:right="702"/>
        <w:jc w:val="both"/>
      </w:pPr>
      <w:r>
        <w:t xml:space="preserve">SECTION 2. Each head of department or agency shall require a </w:t>
      </w:r>
      <w:proofErr w:type="gramStart"/>
      <w:r>
        <w:t>daily records of attendance</w:t>
      </w:r>
      <w:proofErr w:type="gramEnd"/>
      <w:r>
        <w:t xml:space="preserve"> of all the officers and employees under him </w:t>
      </w:r>
      <w:r>
        <w:rPr>
          <w:u w:val="single"/>
        </w:rPr>
        <w:t>including those servicing in the field</w:t>
      </w:r>
      <w:r>
        <w:t xml:space="preserve">…xxx…, to be kept on the proper form and, whenever possible, registered on the </w:t>
      </w:r>
      <w:proofErr w:type="spellStart"/>
      <w:r>
        <w:t>bundy</w:t>
      </w:r>
      <w:proofErr w:type="spellEnd"/>
      <w:r>
        <w:t xml:space="preserve"> clock.</w:t>
      </w:r>
    </w:p>
    <w:p>
      <w:pPr>
        <w:spacing w:line="276" w:lineRule="auto"/>
        <w:ind w:left="720" w:right="288" w:firstLine="720"/>
        <w:jc w:val="both"/>
      </w:pPr>
    </w:p>
    <w:p>
      <w:pPr>
        <w:spacing w:line="276" w:lineRule="auto"/>
        <w:ind w:left="720" w:right="702"/>
        <w:jc w:val="both"/>
      </w:pPr>
      <w:r>
        <w:t>Service ‘in the field’ shall refer to service rendered outside the office…xxx…which is the usual place of work</w:t>
      </w:r>
      <w:proofErr w:type="gramStart"/>
      <w:r>
        <w:t>.”(</w:t>
      </w:r>
      <w:proofErr w:type="gramEnd"/>
      <w:r>
        <w:t>emphasis supplied)</w:t>
      </w:r>
    </w:p>
    <w:p>
      <w:pPr>
        <w:spacing w:line="276" w:lineRule="auto"/>
        <w:ind w:right="4"/>
        <w:jc w:val="both"/>
      </w:pPr>
    </w:p>
    <w:p>
      <w:pPr>
        <w:spacing w:line="276" w:lineRule="auto"/>
        <w:ind w:right="4"/>
        <w:jc w:val="both"/>
      </w:pPr>
      <w:r>
        <w:t>Based on the existing procedures adopted by City Human Resources and Management Office, payment made to job order personnel are based on the actual time attendance based on the daily time records (DTR) and the actual accomplishments for the period. In addition, the DTR shall be supported by the following:</w:t>
      </w:r>
    </w:p>
    <w:p>
      <w:pPr>
        <w:spacing w:line="276" w:lineRule="auto"/>
        <w:ind w:right="288"/>
        <w:jc w:val="both"/>
      </w:pPr>
    </w:p>
    <w:p>
      <w:pPr>
        <w:numPr>
          <w:ilvl w:val="0"/>
          <w:numId w:val="32"/>
        </w:numPr>
        <w:spacing w:line="276" w:lineRule="auto"/>
        <w:ind w:left="360" w:right="4"/>
        <w:contextualSpacing/>
        <w:jc w:val="both"/>
        <w:rPr>
          <w:lang w:val="en-GB" w:eastAsia="en-GB"/>
        </w:rPr>
      </w:pPr>
      <w:r>
        <w:rPr>
          <w:lang w:val="en-GB" w:eastAsia="en-GB"/>
        </w:rPr>
        <w:lastRenderedPageBreak/>
        <w:t>Time log in and log out in the morning and in the afternoon based on the entries registered in the biometrics time attendance machine.</w:t>
      </w:r>
    </w:p>
    <w:p>
      <w:pPr>
        <w:spacing w:line="276" w:lineRule="auto"/>
        <w:ind w:left="360" w:right="4"/>
        <w:contextualSpacing/>
        <w:jc w:val="both"/>
        <w:rPr>
          <w:lang w:val="en-GB" w:eastAsia="en-GB"/>
        </w:rPr>
      </w:pPr>
    </w:p>
    <w:p>
      <w:pPr>
        <w:numPr>
          <w:ilvl w:val="0"/>
          <w:numId w:val="32"/>
        </w:numPr>
        <w:spacing w:line="276" w:lineRule="auto"/>
        <w:ind w:left="360" w:right="4"/>
        <w:contextualSpacing/>
        <w:jc w:val="both"/>
        <w:rPr>
          <w:lang w:val="en-GB" w:eastAsia="en-GB"/>
        </w:rPr>
      </w:pPr>
      <w:r>
        <w:rPr>
          <w:lang w:val="en-GB" w:eastAsia="en-GB"/>
        </w:rPr>
        <w:t>Entries without log in or log out should be supported by either of the following:</w:t>
      </w:r>
    </w:p>
    <w:p>
      <w:pPr>
        <w:numPr>
          <w:ilvl w:val="1"/>
          <w:numId w:val="32"/>
        </w:numPr>
        <w:spacing w:line="276" w:lineRule="auto"/>
        <w:ind w:left="720" w:right="4"/>
        <w:contextualSpacing/>
        <w:jc w:val="both"/>
        <w:rPr>
          <w:lang w:val="en-GB" w:eastAsia="en-GB"/>
        </w:rPr>
      </w:pPr>
      <w:r>
        <w:rPr>
          <w:lang w:val="en-GB" w:eastAsia="en-GB"/>
        </w:rPr>
        <w:t>Locator Slip duly approved by the head of department concerned</w:t>
      </w:r>
    </w:p>
    <w:p>
      <w:pPr>
        <w:numPr>
          <w:ilvl w:val="1"/>
          <w:numId w:val="32"/>
        </w:numPr>
        <w:spacing w:line="276" w:lineRule="auto"/>
        <w:ind w:left="720" w:right="4"/>
        <w:contextualSpacing/>
        <w:jc w:val="both"/>
        <w:rPr>
          <w:lang w:val="en-GB" w:eastAsia="en-GB"/>
        </w:rPr>
      </w:pPr>
      <w:r>
        <w:rPr>
          <w:lang w:val="en-GB" w:eastAsia="en-GB"/>
        </w:rPr>
        <w:t>Memorandum Order from the City Mayor or the head of department concerned authorizing the travel outside the official station of personnel.</w:t>
      </w:r>
    </w:p>
    <w:p>
      <w:pPr>
        <w:spacing w:line="276" w:lineRule="auto"/>
        <w:ind w:left="720" w:right="4"/>
        <w:contextualSpacing/>
        <w:jc w:val="both"/>
        <w:rPr>
          <w:lang w:val="en-GB" w:eastAsia="en-GB"/>
        </w:rPr>
      </w:pPr>
    </w:p>
    <w:p>
      <w:pPr>
        <w:numPr>
          <w:ilvl w:val="0"/>
          <w:numId w:val="32"/>
        </w:numPr>
        <w:spacing w:line="276" w:lineRule="auto"/>
        <w:ind w:left="360" w:right="4"/>
        <w:contextualSpacing/>
        <w:jc w:val="both"/>
        <w:rPr>
          <w:lang w:val="en-GB" w:eastAsia="en-GB"/>
        </w:rPr>
      </w:pPr>
      <w:r>
        <w:rPr>
          <w:lang w:val="en-GB" w:eastAsia="en-GB"/>
        </w:rPr>
        <w:t>Accomplishment Report prepared by the personnel and duly reviewed/approved by the head of department concerned</w:t>
      </w:r>
    </w:p>
    <w:p>
      <w:pPr>
        <w:spacing w:line="276" w:lineRule="auto"/>
        <w:ind w:right="4"/>
        <w:jc w:val="both"/>
      </w:pPr>
    </w:p>
    <w:p>
      <w:pPr>
        <w:spacing w:line="276" w:lineRule="auto"/>
        <w:ind w:right="4"/>
        <w:jc w:val="both"/>
      </w:pPr>
      <w:r>
        <w:t>We examined the supporting documents, including the information stated therein, of DTRs with entries without log in and/or log out registered in the biometrics time attendance machine and found the following deficiencies:</w:t>
      </w:r>
    </w:p>
    <w:p>
      <w:pPr>
        <w:spacing w:line="276" w:lineRule="auto"/>
        <w:ind w:right="4" w:firstLine="709"/>
        <w:jc w:val="both"/>
      </w:pPr>
    </w:p>
    <w:p>
      <w:pPr>
        <w:numPr>
          <w:ilvl w:val="0"/>
          <w:numId w:val="33"/>
        </w:numPr>
        <w:spacing w:line="276" w:lineRule="auto"/>
        <w:ind w:left="450" w:right="4" w:hanging="450"/>
        <w:contextualSpacing/>
        <w:jc w:val="both"/>
        <w:rPr>
          <w:lang w:val="en-GB" w:eastAsia="en-GB"/>
        </w:rPr>
      </w:pPr>
      <w:r>
        <w:rPr>
          <w:lang w:val="en-GB" w:eastAsia="en-GB"/>
        </w:rPr>
        <w:t>Memorandum Order authorizing the travel outside the official station did not indicate the specific place to be visited. In particular, descriptions of location in the order were stated as “various barangays”, “assigned barangays”, “40 barangays”, etc.</w:t>
      </w:r>
    </w:p>
    <w:p>
      <w:pPr>
        <w:spacing w:line="276" w:lineRule="auto"/>
        <w:ind w:left="450" w:right="4" w:hanging="450"/>
        <w:jc w:val="both"/>
      </w:pPr>
    </w:p>
    <w:p>
      <w:pPr>
        <w:numPr>
          <w:ilvl w:val="0"/>
          <w:numId w:val="33"/>
        </w:numPr>
        <w:spacing w:line="276" w:lineRule="auto"/>
        <w:ind w:left="450" w:right="4" w:hanging="450"/>
        <w:contextualSpacing/>
        <w:jc w:val="both"/>
        <w:rPr>
          <w:lang w:val="en-GB" w:eastAsia="en-GB"/>
        </w:rPr>
      </w:pPr>
      <w:r>
        <w:rPr>
          <w:lang w:val="en-GB" w:eastAsia="en-GB"/>
        </w:rPr>
        <w:t>No Certificate of appearance was attached to prove actual visit of location as authorized in the Memorandum Order.</w:t>
      </w:r>
    </w:p>
    <w:p>
      <w:pPr>
        <w:spacing w:line="276" w:lineRule="auto"/>
        <w:ind w:left="450" w:right="4" w:hanging="450"/>
        <w:jc w:val="both"/>
      </w:pPr>
    </w:p>
    <w:p>
      <w:pPr>
        <w:numPr>
          <w:ilvl w:val="0"/>
          <w:numId w:val="33"/>
        </w:numPr>
        <w:spacing w:line="276" w:lineRule="auto"/>
        <w:ind w:left="450" w:right="4" w:hanging="450"/>
        <w:contextualSpacing/>
        <w:jc w:val="both"/>
        <w:rPr>
          <w:lang w:val="en-GB" w:eastAsia="en-GB"/>
        </w:rPr>
      </w:pPr>
      <w:r>
        <w:rPr>
          <w:lang w:val="en-GB" w:eastAsia="en-GB"/>
        </w:rPr>
        <w:t>Personnel Locator Slip did not include certification of authorized officer/employee of the office/place visited that concerned personnel appeared before them.</w:t>
      </w:r>
    </w:p>
    <w:p>
      <w:pPr>
        <w:spacing w:line="276" w:lineRule="auto"/>
        <w:ind w:left="450" w:hanging="450"/>
        <w:contextualSpacing/>
        <w:rPr>
          <w:lang w:val="en-GB" w:eastAsia="en-GB"/>
        </w:rPr>
      </w:pPr>
    </w:p>
    <w:p>
      <w:pPr>
        <w:numPr>
          <w:ilvl w:val="0"/>
          <w:numId w:val="33"/>
        </w:numPr>
        <w:spacing w:line="276" w:lineRule="auto"/>
        <w:ind w:left="450" w:right="4" w:hanging="450"/>
        <w:contextualSpacing/>
        <w:jc w:val="both"/>
        <w:rPr>
          <w:lang w:val="en-GB" w:eastAsia="en-GB"/>
        </w:rPr>
      </w:pPr>
      <w:r>
        <w:rPr>
          <w:lang w:val="en-GB" w:eastAsia="en-GB"/>
        </w:rPr>
        <w:t>Timesheet with manual log in and log out entries prepared by the job order personnel where attached to the DTR instead of timesheet generated from the biometrics time attendance machine.</w:t>
      </w:r>
    </w:p>
    <w:p>
      <w:pPr>
        <w:spacing w:line="276" w:lineRule="auto"/>
        <w:ind w:right="4" w:firstLine="709"/>
        <w:jc w:val="both"/>
      </w:pPr>
    </w:p>
    <w:p>
      <w:pPr>
        <w:spacing w:line="276" w:lineRule="auto"/>
        <w:ind w:right="4"/>
        <w:jc w:val="both"/>
      </w:pPr>
      <w:r>
        <w:t>The effects for deficiencies I to III cast doubts on whether or not the job order personnel actually visited the place indicated in the Memorandum Order. The non-specification of the place to be visited would be prone to abuse most especially since the duration of duty in the field in various cases are authorized for months. It also prevents verification of the actual visit since the specific barangay/office could not be identified. Moreover, the absence of certification from authorized officer/employee of the office/place visited that concerned personnel appeared before them also increases the risk that the personnel did not actually went and/or have visited other office/place than those authorized in the Memorandum Order or Personnel Locator Slip.</w:t>
      </w:r>
    </w:p>
    <w:p>
      <w:pPr>
        <w:spacing w:line="276" w:lineRule="auto"/>
        <w:ind w:left="720" w:right="4"/>
        <w:jc w:val="both"/>
      </w:pPr>
    </w:p>
    <w:p>
      <w:pPr>
        <w:spacing w:line="276" w:lineRule="auto"/>
        <w:ind w:right="4"/>
        <w:jc w:val="both"/>
      </w:pPr>
      <w:r>
        <w:lastRenderedPageBreak/>
        <w:t>On the other hand, deficiency IV, cast doubts on the truthfulness and correctness of the entries in the Daily Time Records since the timesheet attached were prepared manually by the personnel concerned and not the timesheet generated by the biometrics machine. According to the management, this practice only applies to offices outside of City Hall where biometrics machines were not installed because it is impractical to do so. This practice should not be continued since it is prone to manipulation since it can be prepared by the personnel in one-time basis. The proper alternative control to this condition should be the attachment of a certified copy of the logbook of attendance (with pre-numbered pages) were all personnel assigned to the office concerned entry their login and log out in a chronological order based on the time they arrived/leave on a daily basis. It should be noted that the best control to reduce the risk in manipulation of time log in and log out is still the use of biometric time attendance machine. However, daily logbooks should also be maintained as backup control.</w:t>
      </w:r>
    </w:p>
    <w:p>
      <w:pPr>
        <w:spacing w:line="276" w:lineRule="auto"/>
        <w:ind w:left="1800" w:right="288"/>
        <w:contextualSpacing/>
        <w:jc w:val="both"/>
        <w:rPr>
          <w:lang w:val="en-GB" w:eastAsia="en-GB"/>
        </w:rPr>
      </w:pPr>
    </w:p>
    <w:p>
      <w:pPr>
        <w:spacing w:line="276" w:lineRule="auto"/>
        <w:jc w:val="both"/>
        <w:rPr>
          <w:b/>
        </w:rPr>
      </w:pPr>
      <w:r>
        <w:rPr>
          <w:b/>
        </w:rPr>
        <w:t>Recommendations:</w:t>
      </w:r>
    </w:p>
    <w:p>
      <w:pPr>
        <w:spacing w:line="276" w:lineRule="auto"/>
        <w:jc w:val="both"/>
      </w:pPr>
    </w:p>
    <w:p>
      <w:pPr>
        <w:spacing w:line="276" w:lineRule="auto"/>
        <w:jc w:val="both"/>
      </w:pPr>
      <w:r>
        <w:t>We recommended the City Mayor to:</w:t>
      </w:r>
    </w:p>
    <w:p>
      <w:pPr>
        <w:spacing w:line="276" w:lineRule="auto"/>
        <w:jc w:val="both"/>
      </w:pPr>
    </w:p>
    <w:p>
      <w:pPr>
        <w:numPr>
          <w:ilvl w:val="0"/>
          <w:numId w:val="34"/>
        </w:numPr>
        <w:spacing w:line="276" w:lineRule="auto"/>
        <w:ind w:left="360"/>
        <w:contextualSpacing/>
        <w:jc w:val="both"/>
        <w:rPr>
          <w:lang w:val="en-GB" w:eastAsia="en-GB"/>
        </w:rPr>
      </w:pPr>
      <w:r>
        <w:rPr>
          <w:lang w:val="en-GB" w:eastAsia="en-GB"/>
        </w:rPr>
        <w:t>Direct the Department Heads to ensure that Memorandum Orders pertaining to travels and activities/operations outside the official stations indicate with specific description the offices and places to be visited by the personnel concerned</w:t>
      </w:r>
    </w:p>
    <w:p>
      <w:pPr>
        <w:spacing w:line="276" w:lineRule="auto"/>
        <w:ind w:left="360"/>
        <w:contextualSpacing/>
        <w:jc w:val="both"/>
        <w:rPr>
          <w:lang w:val="en-GB" w:eastAsia="en-GB"/>
        </w:rPr>
      </w:pPr>
    </w:p>
    <w:p>
      <w:pPr>
        <w:numPr>
          <w:ilvl w:val="0"/>
          <w:numId w:val="34"/>
        </w:numPr>
        <w:spacing w:line="276" w:lineRule="auto"/>
        <w:ind w:left="360"/>
        <w:contextualSpacing/>
        <w:jc w:val="both"/>
        <w:rPr>
          <w:lang w:val="en-GB" w:eastAsia="en-GB"/>
        </w:rPr>
      </w:pPr>
      <w:r>
        <w:rPr>
          <w:lang w:val="en-GB" w:eastAsia="en-GB"/>
        </w:rPr>
        <w:t>Enjoin the City Human Resources Management Office to:</w:t>
      </w:r>
    </w:p>
    <w:p>
      <w:pPr>
        <w:spacing w:line="276" w:lineRule="auto"/>
        <w:jc w:val="both"/>
      </w:pPr>
    </w:p>
    <w:p>
      <w:pPr>
        <w:numPr>
          <w:ilvl w:val="1"/>
          <w:numId w:val="34"/>
        </w:numPr>
        <w:spacing w:line="276" w:lineRule="auto"/>
        <w:ind w:left="720"/>
        <w:contextualSpacing/>
        <w:jc w:val="both"/>
        <w:rPr>
          <w:lang w:val="en-GB" w:eastAsia="en-GB"/>
        </w:rPr>
      </w:pPr>
      <w:r>
        <w:rPr>
          <w:lang w:val="en-GB" w:eastAsia="en-GB"/>
        </w:rPr>
        <w:t>Require attachment of Certificate of Appearance from authorized office/person of the place visited as indicated in the Memorandum Order;</w:t>
      </w:r>
    </w:p>
    <w:p>
      <w:pPr>
        <w:spacing w:line="276" w:lineRule="auto"/>
        <w:ind w:left="720"/>
        <w:contextualSpacing/>
        <w:jc w:val="both"/>
        <w:rPr>
          <w:lang w:val="en-GB" w:eastAsia="en-GB"/>
        </w:rPr>
      </w:pPr>
    </w:p>
    <w:p>
      <w:pPr>
        <w:numPr>
          <w:ilvl w:val="1"/>
          <w:numId w:val="34"/>
        </w:numPr>
        <w:spacing w:line="276" w:lineRule="auto"/>
        <w:ind w:left="720"/>
        <w:contextualSpacing/>
        <w:jc w:val="both"/>
        <w:rPr>
          <w:lang w:val="en-GB" w:eastAsia="en-GB"/>
        </w:rPr>
      </w:pPr>
      <w:r>
        <w:rPr>
          <w:lang w:val="en-GB" w:eastAsia="en-GB"/>
        </w:rPr>
        <w:t>Include in the Personnel Locator Slip form a portion were the authorized officer/employee of the place visited can certify the personnel’s appearance at the place, date, and time as authorized therein; and,</w:t>
      </w:r>
    </w:p>
    <w:p>
      <w:pPr>
        <w:spacing w:line="276" w:lineRule="auto"/>
        <w:ind w:left="720"/>
        <w:contextualSpacing/>
        <w:rPr>
          <w:lang w:val="en-GB" w:eastAsia="en-GB"/>
        </w:rPr>
      </w:pPr>
    </w:p>
    <w:p>
      <w:pPr>
        <w:numPr>
          <w:ilvl w:val="1"/>
          <w:numId w:val="34"/>
        </w:numPr>
        <w:spacing w:line="276" w:lineRule="auto"/>
        <w:ind w:left="720"/>
        <w:contextualSpacing/>
        <w:jc w:val="both"/>
        <w:rPr>
          <w:lang w:val="en-GB" w:eastAsia="en-GB"/>
        </w:rPr>
      </w:pPr>
      <w:r>
        <w:rPr>
          <w:lang w:val="en-GB" w:eastAsia="en-GB"/>
        </w:rPr>
        <w:t>Require a certified copy of logbook of attendance (with pre-numbered pages) were all personnel assigned to the office concerned entry their login and log-out in a chronological order based on the time they arrived/leave on a daily basis in cases where entries registered in biometric time attendance machine are not available.</w:t>
      </w:r>
    </w:p>
    <w:p>
      <w:pPr>
        <w:spacing w:line="276" w:lineRule="auto"/>
        <w:ind w:right="162"/>
        <w:jc w:val="both"/>
        <w:rPr>
          <w:b/>
          <w:bCs/>
        </w:rPr>
      </w:pPr>
    </w:p>
    <w:p>
      <w:pPr>
        <w:spacing w:line="276" w:lineRule="auto"/>
        <w:ind w:right="162"/>
        <w:jc w:val="both"/>
        <w:rPr>
          <w:b/>
          <w:bCs/>
        </w:rPr>
      </w:pPr>
    </w:p>
    <w:p>
      <w:pPr>
        <w:spacing w:line="276" w:lineRule="auto"/>
        <w:ind w:right="162"/>
        <w:jc w:val="both"/>
        <w:rPr>
          <w:b/>
          <w:bCs/>
        </w:rPr>
      </w:pPr>
    </w:p>
    <w:p>
      <w:pPr>
        <w:spacing w:line="276" w:lineRule="auto"/>
        <w:ind w:right="162"/>
        <w:jc w:val="both"/>
        <w:rPr>
          <w:b/>
          <w:bCs/>
        </w:rPr>
      </w:pPr>
    </w:p>
    <w:p>
      <w:pPr>
        <w:spacing w:line="276" w:lineRule="auto"/>
        <w:ind w:right="162"/>
        <w:jc w:val="both"/>
        <w:rPr>
          <w:b/>
          <w:bCs/>
        </w:rPr>
      </w:pPr>
      <w:r>
        <w:rPr>
          <w:b/>
          <w:bCs/>
        </w:rPr>
        <w:lastRenderedPageBreak/>
        <w:t>Management’s Comments:</w:t>
      </w:r>
    </w:p>
    <w:p>
      <w:pPr>
        <w:spacing w:line="276" w:lineRule="auto"/>
        <w:jc w:val="both"/>
      </w:pPr>
    </w:p>
    <w:p>
      <w:pPr>
        <w:spacing w:line="276" w:lineRule="auto"/>
        <w:jc w:val="both"/>
      </w:pPr>
      <w:r>
        <w:t>The CHRMO acknowledged the audit observation as it highlighted what needs to be addressed by the City for proper governance. The Office assured the enhancement of relevant policies and expressed commitment in the provision and improvement of service delivery towards the employees and personnel of the City.</w:t>
      </w:r>
    </w:p>
    <w:p>
      <w:pPr>
        <w:spacing w:line="276" w:lineRule="auto"/>
        <w:jc w:val="both"/>
      </w:pPr>
      <w:r>
        <w:t xml:space="preserve"> </w:t>
      </w:r>
    </w:p>
    <w:p>
      <w:pPr>
        <w:spacing w:line="276" w:lineRule="auto"/>
        <w:jc w:val="both"/>
      </w:pPr>
      <w:r>
        <w:t xml:space="preserve">As part of the actions taken, CHRMO stated that the City Government is currently enforcing internal policies and guidelines governing human resource management as evidenced by Memorandum Orders issued. All orders and other official forms implementing the said human resource policies are under the direct oversight and discretion of the Department Heads recommending approval to the City Mayor. Furthermore, the CHRMO informed that they are proactively coordinating with all concerned offices to continually review the systems and processes with the aim to improve internal controls for optimum service delivery. </w:t>
      </w:r>
    </w:p>
    <w:p>
      <w:pPr>
        <w:spacing w:line="276" w:lineRule="auto"/>
        <w:jc w:val="both"/>
        <w:rPr>
          <w:i/>
        </w:rPr>
      </w:pPr>
    </w:p>
    <w:p>
      <w:pPr>
        <w:spacing w:line="276" w:lineRule="auto"/>
        <w:jc w:val="both"/>
        <w:rPr>
          <w:i/>
        </w:rPr>
      </w:pPr>
    </w:p>
    <w:p>
      <w:pPr>
        <w:spacing w:line="276" w:lineRule="auto"/>
        <w:jc w:val="both"/>
        <w:rPr>
          <w:b/>
          <w:bCs/>
          <w:i/>
        </w:rPr>
      </w:pPr>
      <w:r>
        <w:rPr>
          <w:b/>
          <w:bCs/>
          <w:i/>
        </w:rPr>
        <w:t>Deficiencies in the documentation on the distribution of welfare goods</w:t>
      </w:r>
    </w:p>
    <w:p>
      <w:pPr>
        <w:spacing w:line="276" w:lineRule="auto"/>
        <w:ind w:right="270"/>
        <w:rPr>
          <w:b/>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Rice assistance costing P9,250,000.00 could not be accounted for due to deficiencies in the documentation to supports its proper distribution, thereby casting doubt on the completeness of the goods delivered to its intended recipients.</w:t>
      </w:r>
    </w:p>
    <w:p>
      <w:pPr>
        <w:tabs>
          <w:tab w:val="left" w:pos="540"/>
        </w:tabs>
        <w:spacing w:line="276" w:lineRule="auto"/>
        <w:ind w:right="2"/>
        <w:jc w:val="both"/>
        <w:rPr>
          <w:rFonts w:eastAsia="Calibri"/>
          <w:b/>
          <w:lang w:val="en-PH"/>
        </w:rPr>
      </w:pPr>
    </w:p>
    <w:p>
      <w:pPr>
        <w:tabs>
          <w:tab w:val="left" w:pos="540"/>
        </w:tabs>
        <w:spacing w:line="276" w:lineRule="auto"/>
        <w:ind w:right="2"/>
        <w:jc w:val="both"/>
        <w:rPr>
          <w:color w:val="202124"/>
          <w:shd w:val="clear" w:color="auto" w:fill="FFFFFF"/>
        </w:rPr>
      </w:pPr>
      <w:r>
        <w:rPr>
          <w:color w:val="202124"/>
          <w:shd w:val="clear" w:color="auto" w:fill="FFFFFF"/>
        </w:rPr>
        <w:t xml:space="preserve">Sections 2 of Presidential Decree (PD) No. 1445 also known as the </w:t>
      </w:r>
      <w:r>
        <w:rPr>
          <w:i/>
          <w:color w:val="202124"/>
          <w:shd w:val="clear" w:color="auto" w:fill="FFFFFF"/>
        </w:rPr>
        <w:t>"Government Auditing Code of the Philippines"</w:t>
      </w:r>
      <w:r>
        <w:rPr>
          <w:color w:val="202124"/>
          <w:shd w:val="clear" w:color="auto" w:fill="FFFFFF"/>
        </w:rPr>
        <w:t xml:space="preserve"> provides:</w:t>
      </w:r>
    </w:p>
    <w:p>
      <w:pPr>
        <w:tabs>
          <w:tab w:val="left" w:pos="540"/>
        </w:tabs>
        <w:spacing w:line="276" w:lineRule="auto"/>
        <w:ind w:right="2" w:firstLine="720"/>
        <w:jc w:val="both"/>
        <w:rPr>
          <w:color w:val="202124"/>
          <w:shd w:val="clear" w:color="auto" w:fill="FFFFFF"/>
        </w:rPr>
      </w:pPr>
    </w:p>
    <w:p>
      <w:pPr>
        <w:tabs>
          <w:tab w:val="left" w:pos="540"/>
        </w:tabs>
        <w:spacing w:line="276" w:lineRule="auto"/>
        <w:ind w:left="778" w:right="702" w:hanging="58"/>
        <w:jc w:val="both"/>
        <w:rPr>
          <w:iCs/>
          <w:color w:val="202124"/>
          <w:shd w:val="clear" w:color="auto" w:fill="FFFFFF"/>
        </w:rPr>
      </w:pPr>
      <w:r>
        <w:rPr>
          <w:b/>
          <w:bCs/>
          <w:iCs/>
          <w:color w:val="202124"/>
          <w:shd w:val="clear" w:color="auto" w:fill="FFFFFF"/>
        </w:rPr>
        <w:t>Section 2. Declaration of Policy.</w:t>
      </w:r>
      <w:r>
        <w:rPr>
          <w:iCs/>
          <w:color w:val="202124"/>
          <w:shd w:val="clear" w:color="auto" w:fill="FFFFFF"/>
        </w:rPr>
        <w:t xml:space="preserve"> It is the declared policy of the State that all resources of the government shall be managed, expended or utilized in accordance with law and regulations, and safeguarded against loss or wastage through illegal or improper disposition, with a view to ensuring efficiency, economy and effectiveness in the operations of the government. The responsibility to take care that such policy is faithfully adhered to rests directly with the chief or head of the government agency concerned.</w:t>
      </w:r>
    </w:p>
    <w:p>
      <w:pPr>
        <w:tabs>
          <w:tab w:val="left" w:pos="540"/>
        </w:tabs>
        <w:spacing w:line="276" w:lineRule="auto"/>
        <w:ind w:left="1134" w:right="571" w:hanging="141"/>
        <w:jc w:val="both"/>
        <w:rPr>
          <w:i/>
          <w:iCs/>
          <w:color w:val="202124"/>
          <w:shd w:val="clear" w:color="auto" w:fill="FFFFFF"/>
        </w:rPr>
      </w:pPr>
    </w:p>
    <w:p>
      <w:pPr>
        <w:autoSpaceDE w:val="0"/>
        <w:autoSpaceDN w:val="0"/>
        <w:adjustRightInd w:val="0"/>
        <w:spacing w:line="276" w:lineRule="auto"/>
        <w:contextualSpacing/>
        <w:jc w:val="both"/>
        <w:rPr>
          <w:i/>
        </w:rPr>
      </w:pPr>
      <w:r>
        <w:rPr>
          <w:bCs/>
        </w:rPr>
        <w:t>Furthermore, Section 4 (6) of PD No. 1445 mandates that</w:t>
      </w:r>
      <w:r>
        <w:rPr>
          <w:bCs/>
          <w:i/>
        </w:rPr>
        <w:t xml:space="preserve"> </w:t>
      </w:r>
      <w:r>
        <w:rPr>
          <w:i/>
        </w:rPr>
        <w:t>claims against government funds shall be supported with complete documentation.</w:t>
      </w:r>
    </w:p>
    <w:p>
      <w:pPr>
        <w:spacing w:line="276" w:lineRule="auto"/>
        <w:ind w:firstLine="720"/>
        <w:jc w:val="both"/>
      </w:pPr>
    </w:p>
    <w:p>
      <w:pPr>
        <w:spacing w:line="276" w:lineRule="auto"/>
        <w:jc w:val="both"/>
      </w:pPr>
      <w:r>
        <w:t>Section 2(p) of Republic Act No. 10121 also</w:t>
      </w:r>
      <w:r>
        <w:rPr>
          <w:i/>
        </w:rPr>
        <w:t xml:space="preserve"> </w:t>
      </w:r>
      <w:r>
        <w:t>provides that it shall be the policy of the State to:</w:t>
      </w:r>
    </w:p>
    <w:p>
      <w:pPr>
        <w:spacing w:line="276" w:lineRule="auto"/>
        <w:ind w:left="720" w:right="702"/>
        <w:jc w:val="both"/>
      </w:pPr>
      <w:r>
        <w:lastRenderedPageBreak/>
        <w:t>Provide maximum care, assistance and services to individuals and families affected by disaster, implement emergency rehabilitation projects to lessen the impact of disaster, and facilitate resumption of normal social and economic services.</w:t>
      </w:r>
    </w:p>
    <w:p>
      <w:pPr>
        <w:spacing w:line="276" w:lineRule="auto"/>
        <w:ind w:right="360"/>
        <w:jc w:val="both"/>
        <w:rPr>
          <w:i/>
        </w:rPr>
      </w:pPr>
    </w:p>
    <w:p>
      <w:pPr>
        <w:spacing w:line="276" w:lineRule="auto"/>
        <w:jc w:val="both"/>
      </w:pPr>
      <w:r>
        <w:t>During the Calendar Year 2022, under the nationwide declaration of State of Calamity due to Covid-19, the 30% Quick Response Fund under the LDRRMF was utilized by the City for the procurement of 5,000 sacks of rice amounting P9,250,000.00 intended for distribution to members of families who were affected or whose livelihood/source of income were affected by the pandemic. Details are shown below:</w:t>
      </w:r>
    </w:p>
    <w:p>
      <w:pPr>
        <w:spacing w:line="276" w:lineRule="auto"/>
        <w:jc w:val="both"/>
      </w:pPr>
    </w:p>
    <w:tbl>
      <w:tblPr>
        <w:tblStyle w:val="TableGrid38"/>
        <w:tblW w:w="81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3060"/>
      </w:tblGrid>
      <w:tr>
        <w:trPr>
          <w:jc w:val="center"/>
        </w:trPr>
        <w:tc>
          <w:tcPr>
            <w:tcW w:w="5104" w:type="dxa"/>
          </w:tcPr>
          <w:p>
            <w:pPr>
              <w:spacing w:line="276" w:lineRule="auto"/>
            </w:pPr>
            <w:r>
              <w:t>Approved Budget for the Contract:</w:t>
            </w:r>
          </w:p>
        </w:tc>
        <w:tc>
          <w:tcPr>
            <w:tcW w:w="3060" w:type="dxa"/>
          </w:tcPr>
          <w:p>
            <w:pPr>
              <w:spacing w:line="276" w:lineRule="auto"/>
              <w:jc w:val="center"/>
            </w:pPr>
            <w:r>
              <w:t>P10,000,000.00</w:t>
            </w:r>
          </w:p>
        </w:tc>
      </w:tr>
      <w:tr>
        <w:trPr>
          <w:jc w:val="center"/>
        </w:trPr>
        <w:tc>
          <w:tcPr>
            <w:tcW w:w="5104" w:type="dxa"/>
          </w:tcPr>
          <w:p>
            <w:pPr>
              <w:spacing w:line="276" w:lineRule="auto"/>
              <w:jc w:val="both"/>
            </w:pPr>
            <w:r>
              <w:t>Contract Cost:</w:t>
            </w:r>
          </w:p>
        </w:tc>
        <w:tc>
          <w:tcPr>
            <w:tcW w:w="3060" w:type="dxa"/>
          </w:tcPr>
          <w:p>
            <w:pPr>
              <w:spacing w:line="276" w:lineRule="auto"/>
              <w:jc w:val="center"/>
            </w:pPr>
            <w:r>
              <w:t>P9,250,000.00</w:t>
            </w:r>
          </w:p>
        </w:tc>
      </w:tr>
      <w:tr>
        <w:trPr>
          <w:jc w:val="center"/>
        </w:trPr>
        <w:tc>
          <w:tcPr>
            <w:tcW w:w="5104" w:type="dxa"/>
          </w:tcPr>
          <w:p>
            <w:pPr>
              <w:spacing w:line="276" w:lineRule="auto"/>
            </w:pPr>
            <w:r>
              <w:t>Award of Contract:</w:t>
            </w:r>
          </w:p>
        </w:tc>
        <w:tc>
          <w:tcPr>
            <w:tcW w:w="3060" w:type="dxa"/>
          </w:tcPr>
          <w:p>
            <w:pPr>
              <w:spacing w:line="276" w:lineRule="auto"/>
              <w:jc w:val="center"/>
            </w:pPr>
            <w:r>
              <w:t>May 12, 2022</w:t>
            </w:r>
          </w:p>
        </w:tc>
      </w:tr>
      <w:tr>
        <w:trPr>
          <w:jc w:val="center"/>
        </w:trPr>
        <w:tc>
          <w:tcPr>
            <w:tcW w:w="5104" w:type="dxa"/>
          </w:tcPr>
          <w:p>
            <w:pPr>
              <w:spacing w:line="276" w:lineRule="auto"/>
              <w:jc w:val="both"/>
            </w:pPr>
            <w:r>
              <w:t>Perfected Contract:</w:t>
            </w:r>
          </w:p>
        </w:tc>
        <w:tc>
          <w:tcPr>
            <w:tcW w:w="3060" w:type="dxa"/>
          </w:tcPr>
          <w:p>
            <w:pPr>
              <w:spacing w:line="276" w:lineRule="auto"/>
              <w:jc w:val="center"/>
            </w:pPr>
            <w:r>
              <w:t>May 27, 2022</w:t>
            </w:r>
          </w:p>
        </w:tc>
      </w:tr>
      <w:tr>
        <w:trPr>
          <w:jc w:val="center"/>
        </w:trPr>
        <w:tc>
          <w:tcPr>
            <w:tcW w:w="5104" w:type="dxa"/>
          </w:tcPr>
          <w:p>
            <w:pPr>
              <w:spacing w:line="276" w:lineRule="auto"/>
              <w:jc w:val="both"/>
            </w:pPr>
            <w:r>
              <w:t>Purchase Order:</w:t>
            </w:r>
          </w:p>
        </w:tc>
        <w:tc>
          <w:tcPr>
            <w:tcW w:w="3060" w:type="dxa"/>
          </w:tcPr>
          <w:p>
            <w:pPr>
              <w:spacing w:line="276" w:lineRule="auto"/>
              <w:jc w:val="center"/>
            </w:pPr>
            <w:r>
              <w:t>May 30, 2022</w:t>
            </w:r>
          </w:p>
        </w:tc>
      </w:tr>
      <w:tr>
        <w:trPr>
          <w:jc w:val="center"/>
        </w:trPr>
        <w:tc>
          <w:tcPr>
            <w:tcW w:w="5104" w:type="dxa"/>
          </w:tcPr>
          <w:p>
            <w:pPr>
              <w:spacing w:line="276" w:lineRule="auto"/>
              <w:jc w:val="both"/>
            </w:pPr>
            <w:r>
              <w:t>Delivery of Goods (as per AIR &amp; DR):</w:t>
            </w:r>
          </w:p>
        </w:tc>
        <w:tc>
          <w:tcPr>
            <w:tcW w:w="3060" w:type="dxa"/>
          </w:tcPr>
          <w:p>
            <w:pPr>
              <w:spacing w:line="276" w:lineRule="auto"/>
              <w:jc w:val="center"/>
            </w:pPr>
            <w:r>
              <w:t>May 30, 2022</w:t>
            </w:r>
          </w:p>
        </w:tc>
      </w:tr>
      <w:tr>
        <w:trPr>
          <w:jc w:val="center"/>
        </w:trPr>
        <w:tc>
          <w:tcPr>
            <w:tcW w:w="5104" w:type="dxa"/>
          </w:tcPr>
          <w:p>
            <w:pPr>
              <w:spacing w:line="276" w:lineRule="auto"/>
              <w:jc w:val="both"/>
            </w:pPr>
            <w:r>
              <w:t>Issuance of Goods to End-User as per RIS:</w:t>
            </w:r>
          </w:p>
        </w:tc>
        <w:tc>
          <w:tcPr>
            <w:tcW w:w="3060" w:type="dxa"/>
          </w:tcPr>
          <w:p>
            <w:pPr>
              <w:spacing w:line="276" w:lineRule="auto"/>
              <w:jc w:val="center"/>
            </w:pPr>
            <w:r>
              <w:t>July 8, 2022</w:t>
            </w:r>
          </w:p>
        </w:tc>
      </w:tr>
      <w:tr>
        <w:trPr>
          <w:jc w:val="center"/>
        </w:trPr>
        <w:tc>
          <w:tcPr>
            <w:tcW w:w="5104" w:type="dxa"/>
          </w:tcPr>
          <w:p>
            <w:pPr>
              <w:spacing w:line="276" w:lineRule="auto"/>
              <w:jc w:val="both"/>
            </w:pPr>
            <w:r>
              <w:t>Date of Payment:</w:t>
            </w:r>
          </w:p>
        </w:tc>
        <w:tc>
          <w:tcPr>
            <w:tcW w:w="3060" w:type="dxa"/>
          </w:tcPr>
          <w:p>
            <w:pPr>
              <w:spacing w:line="276" w:lineRule="auto"/>
              <w:jc w:val="center"/>
            </w:pPr>
            <w:r>
              <w:t>September 1, 2022</w:t>
            </w:r>
          </w:p>
        </w:tc>
      </w:tr>
      <w:tr>
        <w:trPr>
          <w:jc w:val="center"/>
        </w:trPr>
        <w:tc>
          <w:tcPr>
            <w:tcW w:w="5104" w:type="dxa"/>
          </w:tcPr>
          <w:p>
            <w:pPr>
              <w:spacing w:line="276" w:lineRule="auto"/>
              <w:jc w:val="both"/>
            </w:pPr>
            <w:r>
              <w:t xml:space="preserve">Check No. </w:t>
            </w:r>
          </w:p>
        </w:tc>
        <w:tc>
          <w:tcPr>
            <w:tcW w:w="3060" w:type="dxa"/>
          </w:tcPr>
          <w:p>
            <w:pPr>
              <w:spacing w:line="276" w:lineRule="auto"/>
              <w:jc w:val="center"/>
            </w:pPr>
            <w:r>
              <w:t>1594277</w:t>
            </w:r>
          </w:p>
        </w:tc>
      </w:tr>
      <w:tr>
        <w:trPr>
          <w:jc w:val="center"/>
        </w:trPr>
        <w:tc>
          <w:tcPr>
            <w:tcW w:w="5104" w:type="dxa"/>
          </w:tcPr>
          <w:p>
            <w:pPr>
              <w:spacing w:line="276" w:lineRule="auto"/>
              <w:jc w:val="both"/>
            </w:pPr>
            <w:r>
              <w:t>Amount Paid:</w:t>
            </w:r>
          </w:p>
        </w:tc>
        <w:tc>
          <w:tcPr>
            <w:tcW w:w="3060" w:type="dxa"/>
          </w:tcPr>
          <w:p>
            <w:pPr>
              <w:spacing w:line="276" w:lineRule="auto"/>
              <w:jc w:val="center"/>
            </w:pPr>
            <w:r>
              <w:t>P9,250,000.00</w:t>
            </w:r>
          </w:p>
        </w:tc>
      </w:tr>
    </w:tbl>
    <w:p>
      <w:pPr>
        <w:spacing w:line="276" w:lineRule="auto"/>
        <w:jc w:val="both"/>
      </w:pPr>
    </w:p>
    <w:p>
      <w:pPr>
        <w:spacing w:line="276" w:lineRule="auto"/>
        <w:jc w:val="both"/>
      </w:pPr>
      <w:r>
        <w:t>Upon post-audit of the disbursement and their eventual distributions to the intended beneficiaries, the following deficiencies were observed:</w:t>
      </w:r>
    </w:p>
    <w:p>
      <w:pPr>
        <w:spacing w:line="276" w:lineRule="auto"/>
        <w:ind w:firstLine="720"/>
        <w:jc w:val="both"/>
      </w:pPr>
    </w:p>
    <w:p>
      <w:pPr>
        <w:numPr>
          <w:ilvl w:val="0"/>
          <w:numId w:val="38"/>
        </w:numPr>
        <w:spacing w:line="276" w:lineRule="auto"/>
        <w:ind w:left="360"/>
        <w:contextualSpacing/>
        <w:jc w:val="both"/>
      </w:pPr>
      <w:r>
        <w:t>The submitted distribution list does not indicate the date and venue of distribution except for two pages dated April 28 and May 2, 2022, respectively, which cast uncertainty since the goods were delivered on May 30, 2022 as per Acceptance and Inspection Report and Delivery Receipt;</w:t>
      </w:r>
    </w:p>
    <w:p>
      <w:pPr>
        <w:spacing w:line="276" w:lineRule="auto"/>
        <w:ind w:left="360"/>
        <w:contextualSpacing/>
        <w:jc w:val="both"/>
      </w:pPr>
    </w:p>
    <w:p>
      <w:pPr>
        <w:numPr>
          <w:ilvl w:val="0"/>
          <w:numId w:val="38"/>
        </w:numPr>
        <w:spacing w:line="276" w:lineRule="auto"/>
        <w:ind w:left="360"/>
        <w:contextualSpacing/>
        <w:jc w:val="both"/>
      </w:pPr>
      <w:r>
        <w:t>Total recipients as per distribution list totaled to 17,561 individuals receiving 15 kilos of rice each which is equivalent to 263,415 kilos of rice distributed. However, the procured 5,000 sacks of rice is equivalent to 250,000 kilos only. Thus, there is a variance of 13,415 kilos or 268.3 sacks of rice.</w:t>
      </w:r>
    </w:p>
    <w:p>
      <w:pPr>
        <w:spacing w:line="276" w:lineRule="auto"/>
        <w:ind w:left="360"/>
        <w:contextualSpacing/>
      </w:pPr>
    </w:p>
    <w:p>
      <w:pPr>
        <w:numPr>
          <w:ilvl w:val="0"/>
          <w:numId w:val="38"/>
        </w:numPr>
        <w:spacing w:line="276" w:lineRule="auto"/>
        <w:ind w:left="360"/>
        <w:contextualSpacing/>
        <w:jc w:val="both"/>
      </w:pPr>
      <w:r>
        <w:t>The submitted photos of the welfare goods distribution does not have a time stamp, thus, the authenticity of the documentation submitted cannot be verified and insufficient to support time and date of distribution.</w:t>
      </w:r>
    </w:p>
    <w:p>
      <w:pPr>
        <w:spacing w:line="276" w:lineRule="auto"/>
        <w:ind w:left="360"/>
        <w:contextualSpacing/>
      </w:pPr>
    </w:p>
    <w:p>
      <w:pPr>
        <w:numPr>
          <w:ilvl w:val="0"/>
          <w:numId w:val="38"/>
        </w:numPr>
        <w:spacing w:line="276" w:lineRule="auto"/>
        <w:ind w:left="360"/>
        <w:contextualSpacing/>
        <w:jc w:val="both"/>
      </w:pPr>
      <w:r>
        <w:lastRenderedPageBreak/>
        <w:t xml:space="preserve">There are no clear guideline/criteria established for the qualification and selection of recipients for the rice assistance. Only a certification from the Public Employment Service and City Health Office dated August 22 and 31, 2022, respectively, was attached to the disbursement voucher stating that the recipients are members of families who were affected or whose livelihood/source of income were affected by the Covid-19 Pandemic. </w:t>
      </w:r>
    </w:p>
    <w:p>
      <w:pPr>
        <w:spacing w:line="276" w:lineRule="auto"/>
        <w:ind w:left="720"/>
        <w:contextualSpacing/>
      </w:pPr>
    </w:p>
    <w:p>
      <w:pPr>
        <w:spacing w:line="276" w:lineRule="auto"/>
        <w:ind w:left="360"/>
        <w:contextualSpacing/>
        <w:jc w:val="both"/>
      </w:pPr>
      <w:r>
        <w:t>Particularly, it is unclear as to who are considered affected by the Covid-19 Pandemic and the manner of distribution. Does it include families with members infected by COVID-19 or families with head of the family who becomes unemployed due to closure of business during the lockdowns? Is it distributed by household or by individual?</w:t>
      </w:r>
    </w:p>
    <w:p>
      <w:pPr>
        <w:spacing w:line="276" w:lineRule="auto"/>
        <w:ind w:left="360"/>
        <w:contextualSpacing/>
        <w:jc w:val="both"/>
      </w:pPr>
    </w:p>
    <w:p>
      <w:pPr>
        <w:numPr>
          <w:ilvl w:val="0"/>
          <w:numId w:val="38"/>
        </w:numPr>
        <w:spacing w:line="276" w:lineRule="auto"/>
        <w:ind w:left="360"/>
        <w:contextualSpacing/>
        <w:jc w:val="both"/>
      </w:pPr>
      <w:r>
        <w:t xml:space="preserve">There </w:t>
      </w:r>
      <w:proofErr w:type="gramStart"/>
      <w:r>
        <w:t>were</w:t>
      </w:r>
      <w:proofErr w:type="gramEnd"/>
      <w:r>
        <w:t xml:space="preserve"> no list of qualified beneficiaries attached to the certification of Public Employment Service Office (PESO) and City Health Office.</w:t>
      </w:r>
    </w:p>
    <w:p>
      <w:pPr>
        <w:spacing w:line="276" w:lineRule="auto"/>
        <w:ind w:firstLine="720"/>
        <w:jc w:val="both"/>
      </w:pPr>
    </w:p>
    <w:p>
      <w:pPr>
        <w:spacing w:line="276" w:lineRule="auto"/>
        <w:jc w:val="both"/>
        <w:rPr>
          <w:color w:val="202124"/>
          <w:shd w:val="clear" w:color="auto" w:fill="FFFFFF"/>
        </w:rPr>
      </w:pPr>
      <w:r>
        <w:t>As a result of the foregoing deficiencies in the distribution and documentation of the receipt of food assistance to various beneficiaries, the accuracy and completeness of the goods delivered to the intended recipients could not be properly accounted for which may result in the loss or misuse of these relief items.</w:t>
      </w:r>
    </w:p>
    <w:p>
      <w:pPr>
        <w:spacing w:line="276" w:lineRule="auto"/>
        <w:ind w:firstLine="720"/>
        <w:jc w:val="both"/>
        <w:rPr>
          <w:color w:val="202124"/>
          <w:shd w:val="clear" w:color="auto" w:fill="FFFFFF"/>
        </w:rPr>
      </w:pPr>
    </w:p>
    <w:p>
      <w:pPr>
        <w:spacing w:line="276" w:lineRule="auto"/>
        <w:jc w:val="both"/>
        <w:rPr>
          <w:b/>
        </w:rPr>
      </w:pPr>
      <w:r>
        <w:rPr>
          <w:b/>
        </w:rPr>
        <w:t>Recommendations:</w:t>
      </w:r>
    </w:p>
    <w:p>
      <w:pPr>
        <w:spacing w:line="276" w:lineRule="auto"/>
        <w:jc w:val="both"/>
        <w:rPr>
          <w:b/>
        </w:rPr>
      </w:pPr>
    </w:p>
    <w:p>
      <w:pPr>
        <w:spacing w:line="276" w:lineRule="auto"/>
        <w:jc w:val="both"/>
      </w:pPr>
      <w:r>
        <w:t>We recommended the City Mayor to:</w:t>
      </w:r>
    </w:p>
    <w:p>
      <w:pPr>
        <w:spacing w:line="276" w:lineRule="auto"/>
        <w:jc w:val="both"/>
      </w:pPr>
    </w:p>
    <w:p>
      <w:pPr>
        <w:numPr>
          <w:ilvl w:val="1"/>
          <w:numId w:val="37"/>
        </w:numPr>
        <w:spacing w:line="276" w:lineRule="auto"/>
        <w:ind w:left="360"/>
        <w:contextualSpacing/>
        <w:jc w:val="both"/>
        <w:rPr>
          <w:color w:val="202124"/>
          <w:shd w:val="clear" w:color="auto" w:fill="FFFFFF"/>
        </w:rPr>
      </w:pPr>
      <w:r>
        <w:rPr>
          <w:color w:val="202124"/>
          <w:shd w:val="clear" w:color="auto" w:fill="FFFFFF"/>
        </w:rPr>
        <w:t>Direct the CDRRMO and concerned implementing office to submit the following lacking information and documents for us to make a decision in audit:</w:t>
      </w:r>
    </w:p>
    <w:p>
      <w:pPr>
        <w:spacing w:line="276" w:lineRule="auto"/>
        <w:ind w:left="720"/>
        <w:contextualSpacing/>
        <w:jc w:val="both"/>
        <w:rPr>
          <w:color w:val="202124"/>
          <w:shd w:val="clear" w:color="auto" w:fill="FFFFFF"/>
        </w:rPr>
      </w:pPr>
    </w:p>
    <w:p>
      <w:pPr>
        <w:numPr>
          <w:ilvl w:val="0"/>
          <w:numId w:val="39"/>
        </w:numPr>
        <w:spacing w:line="276" w:lineRule="auto"/>
        <w:ind w:left="720"/>
        <w:contextualSpacing/>
        <w:jc w:val="both"/>
        <w:rPr>
          <w:color w:val="202124"/>
          <w:shd w:val="clear" w:color="auto" w:fill="FFFFFF"/>
        </w:rPr>
      </w:pPr>
      <w:r>
        <w:rPr>
          <w:color w:val="202124"/>
          <w:shd w:val="clear" w:color="auto" w:fill="FFFFFF"/>
        </w:rPr>
        <w:t>Date and venue of distribution with corresponding time-stamped photos;</w:t>
      </w:r>
    </w:p>
    <w:p>
      <w:pPr>
        <w:numPr>
          <w:ilvl w:val="0"/>
          <w:numId w:val="39"/>
        </w:numPr>
        <w:spacing w:line="276" w:lineRule="auto"/>
        <w:ind w:left="720"/>
        <w:contextualSpacing/>
        <w:jc w:val="both"/>
        <w:rPr>
          <w:color w:val="202124"/>
          <w:shd w:val="clear" w:color="auto" w:fill="FFFFFF"/>
        </w:rPr>
      </w:pPr>
      <w:r>
        <w:rPr>
          <w:color w:val="202124"/>
          <w:shd w:val="clear" w:color="auto" w:fill="FFFFFF"/>
        </w:rPr>
        <w:t>Justification on the variance of 13,415 kilos or 268.3 sacks of rice; and</w:t>
      </w:r>
    </w:p>
    <w:p>
      <w:pPr>
        <w:numPr>
          <w:ilvl w:val="0"/>
          <w:numId w:val="39"/>
        </w:numPr>
        <w:spacing w:line="276" w:lineRule="auto"/>
        <w:ind w:left="720"/>
        <w:contextualSpacing/>
        <w:jc w:val="both"/>
        <w:rPr>
          <w:color w:val="202124"/>
          <w:shd w:val="clear" w:color="auto" w:fill="FFFFFF"/>
        </w:rPr>
      </w:pPr>
      <w:r>
        <w:t>Criteria/guidelines in the selection and qualification of 17,561 recipients for the rice assistance</w:t>
      </w:r>
    </w:p>
    <w:p>
      <w:pPr>
        <w:numPr>
          <w:ilvl w:val="0"/>
          <w:numId w:val="39"/>
        </w:numPr>
        <w:spacing w:line="276" w:lineRule="auto"/>
        <w:ind w:left="720"/>
        <w:contextualSpacing/>
        <w:jc w:val="both"/>
        <w:rPr>
          <w:color w:val="202124"/>
          <w:shd w:val="clear" w:color="auto" w:fill="FFFFFF"/>
        </w:rPr>
      </w:pPr>
      <w:r>
        <w:t>List of qualified beneficiaries as certified by the Public Employment Service Office and City Health Office</w:t>
      </w:r>
    </w:p>
    <w:p>
      <w:pPr>
        <w:spacing w:line="276" w:lineRule="auto"/>
        <w:ind w:left="720"/>
        <w:contextualSpacing/>
        <w:jc w:val="both"/>
        <w:rPr>
          <w:color w:val="202124"/>
          <w:shd w:val="clear" w:color="auto" w:fill="FFFFFF"/>
        </w:rPr>
      </w:pPr>
    </w:p>
    <w:p>
      <w:pPr>
        <w:numPr>
          <w:ilvl w:val="1"/>
          <w:numId w:val="37"/>
        </w:numPr>
        <w:spacing w:line="276" w:lineRule="auto"/>
        <w:ind w:left="360"/>
        <w:contextualSpacing/>
        <w:jc w:val="both"/>
        <w:rPr>
          <w:color w:val="202124"/>
          <w:shd w:val="clear" w:color="auto" w:fill="FFFFFF"/>
        </w:rPr>
      </w:pPr>
      <w:r>
        <w:t xml:space="preserve">Direct the concerned implementing offices to ensure that subsequent </w:t>
      </w:r>
      <w:r>
        <w:rPr>
          <w:bCs/>
          <w:iCs/>
        </w:rPr>
        <w:t>transactions pertaining to the distribution of any form of assistance must be supported with complete and sufficient documentation.</w:t>
      </w:r>
    </w:p>
    <w:p>
      <w:pPr>
        <w:spacing w:line="276" w:lineRule="auto"/>
        <w:ind w:right="270"/>
        <w:jc w:val="both"/>
        <w:rPr>
          <w:b/>
        </w:rPr>
      </w:pPr>
    </w:p>
    <w:p>
      <w:pPr>
        <w:spacing w:line="276" w:lineRule="auto"/>
        <w:ind w:right="270"/>
        <w:jc w:val="both"/>
        <w:rPr>
          <w:b/>
        </w:rPr>
      </w:pPr>
    </w:p>
    <w:p>
      <w:pPr>
        <w:spacing w:line="276" w:lineRule="auto"/>
        <w:ind w:right="162"/>
        <w:jc w:val="both"/>
        <w:rPr>
          <w:b/>
          <w:bCs/>
        </w:rPr>
      </w:pPr>
      <w:r>
        <w:rPr>
          <w:b/>
          <w:bCs/>
        </w:rPr>
        <w:lastRenderedPageBreak/>
        <w:t>Management’s Comment:</w:t>
      </w:r>
    </w:p>
    <w:p>
      <w:pPr>
        <w:spacing w:line="276" w:lineRule="auto"/>
        <w:ind w:right="162"/>
        <w:jc w:val="both"/>
        <w:rPr>
          <w:b/>
          <w:bCs/>
        </w:rPr>
      </w:pPr>
    </w:p>
    <w:p>
      <w:pPr>
        <w:spacing w:line="276" w:lineRule="auto"/>
        <w:ind w:right="162"/>
        <w:jc w:val="both"/>
        <w:rPr>
          <w:bCs/>
        </w:rPr>
      </w:pPr>
      <w:r>
        <w:rPr>
          <w:bCs/>
        </w:rPr>
        <w:t>As of date of this report, no written replies/comments pertaining this audit observation and recommendations were received from the management. However, during the exit conference, CDRRMO committed to comply with the audit recommendations.</w:t>
      </w:r>
    </w:p>
    <w:p>
      <w:pPr>
        <w:spacing w:line="276" w:lineRule="auto"/>
        <w:jc w:val="both"/>
      </w:pPr>
    </w:p>
    <w:p>
      <w:pPr>
        <w:spacing w:line="276" w:lineRule="auto"/>
        <w:jc w:val="both"/>
      </w:pPr>
      <w:r>
        <w:rPr>
          <w:b/>
          <w:bCs/>
        </w:rPr>
        <w:t>Auditor’s Rejoinder:</w:t>
      </w:r>
    </w:p>
    <w:p>
      <w:pPr>
        <w:spacing w:line="276" w:lineRule="auto"/>
        <w:ind w:right="270"/>
        <w:rPr>
          <w:b/>
        </w:rPr>
      </w:pPr>
    </w:p>
    <w:p>
      <w:pPr>
        <w:spacing w:line="276" w:lineRule="auto"/>
        <w:ind w:right="270"/>
        <w:jc w:val="both"/>
        <w:rPr>
          <w:color w:val="202124"/>
          <w:shd w:val="clear" w:color="auto" w:fill="FFFFFF"/>
        </w:rPr>
      </w:pPr>
      <w:r>
        <w:t xml:space="preserve">It was suggested that the CDDRMO, CHO and PESO submit immediately their written replies/comments and the required </w:t>
      </w:r>
      <w:r>
        <w:rPr>
          <w:color w:val="202124"/>
          <w:shd w:val="clear" w:color="auto" w:fill="FFFFFF"/>
        </w:rPr>
        <w:t>lacking information and documents as recommended for us to make a decision in audit. In case of the management’s failure to reply and comply with the requirements, our audit observation shall be deemed accepted, and we shall re-evaluate the transactions based on the documents/information submitted.</w:t>
      </w:r>
    </w:p>
    <w:p>
      <w:pPr>
        <w:spacing w:line="276" w:lineRule="auto"/>
        <w:jc w:val="both"/>
        <w:rPr>
          <w:i/>
        </w:rPr>
      </w:pPr>
    </w:p>
    <w:p>
      <w:pPr>
        <w:spacing w:line="276" w:lineRule="auto"/>
        <w:jc w:val="both"/>
        <w:rPr>
          <w:i/>
        </w:rPr>
      </w:pPr>
    </w:p>
    <w:p>
      <w:pPr>
        <w:spacing w:line="276" w:lineRule="auto"/>
        <w:jc w:val="both"/>
        <w:rPr>
          <w:b/>
          <w:bCs/>
          <w:i/>
        </w:rPr>
      </w:pPr>
      <w:r>
        <w:rPr>
          <w:b/>
          <w:bCs/>
          <w:i/>
        </w:rPr>
        <w:t>LDRRM Fund – Improper charges against the Quick Response Fund</w:t>
      </w:r>
    </w:p>
    <w:p>
      <w:pPr>
        <w:spacing w:line="276" w:lineRule="auto"/>
        <w:ind w:right="270"/>
        <w:rPr>
          <w:i/>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Salaries of job order personnel amounting to P100,124.91 were inappropriately charged against the Quick Response Fund contrary to the provisions of Section 21 of R.A. No. 10121, thus rendering such expenditures as irregular.</w:t>
      </w:r>
    </w:p>
    <w:p>
      <w:pPr>
        <w:spacing w:line="276" w:lineRule="auto"/>
        <w:contextualSpacing/>
        <w:jc w:val="both"/>
        <w:rPr>
          <w:b/>
        </w:rPr>
      </w:pPr>
    </w:p>
    <w:p>
      <w:pPr>
        <w:spacing w:line="276" w:lineRule="auto"/>
        <w:contextualSpacing/>
        <w:jc w:val="both"/>
      </w:pPr>
      <w:r>
        <w:t>Section 21 of R.A. No. 10121, or the Philippine Disaster Reduction and Management of 2010, states that:</w:t>
      </w:r>
    </w:p>
    <w:p>
      <w:pPr>
        <w:spacing w:line="276" w:lineRule="auto"/>
        <w:ind w:firstLine="360"/>
        <w:contextualSpacing/>
        <w:jc w:val="both"/>
      </w:pPr>
    </w:p>
    <w:p>
      <w:pPr>
        <w:spacing w:line="276" w:lineRule="auto"/>
        <w:ind w:left="806" w:right="702" w:hanging="86"/>
        <w:contextualSpacing/>
        <w:jc w:val="both"/>
      </w:pPr>
      <w:r>
        <w:t xml:space="preserve"> Of the amount appropriated for LDRRMF, thirty percent (30%) shall be allocated as Quick Response Fund (QRF) or stand-by fund for relief and recovery programs in order that situation and living conditions of people in communities or areas stricken by disasters, calamities, epidemics, or complex emergencies, may be normalized as quickly as possible.</w:t>
      </w:r>
    </w:p>
    <w:p>
      <w:pPr>
        <w:spacing w:line="276" w:lineRule="auto"/>
        <w:ind w:left="1080" w:right="360" w:hanging="90"/>
        <w:contextualSpacing/>
        <w:jc w:val="both"/>
        <w:rPr>
          <w:i/>
        </w:rPr>
      </w:pPr>
    </w:p>
    <w:p>
      <w:pPr>
        <w:spacing w:line="276" w:lineRule="auto"/>
        <w:jc w:val="both"/>
      </w:pPr>
      <w:r>
        <w:t>The release and use of the Quick Response Fund shall be supported by a declaration of state of calamity as provided in COA Circular No. 2012-02. The state of calamity due to COVID-19 was first declared all through-out the country in March 2020 and had been extended until December 31, 2022 to allow the national and local governments to continuously deliver pandemic-related interventions.</w:t>
      </w:r>
    </w:p>
    <w:p>
      <w:pPr>
        <w:spacing w:line="276" w:lineRule="auto"/>
        <w:ind w:firstLine="720"/>
        <w:jc w:val="both"/>
      </w:pPr>
    </w:p>
    <w:p>
      <w:pPr>
        <w:spacing w:line="276" w:lineRule="auto"/>
        <w:jc w:val="both"/>
      </w:pPr>
      <w:r>
        <w:t xml:space="preserve">For CY 2022, the 30% Quick Response Fund of the City was sourced out for the payment of salaries of job order personnel contracted for the City’s Vaccination Program. Review of the disbursement voucher and supporting documents on the utilization of the QRF </w:t>
      </w:r>
      <w:r>
        <w:lastRenderedPageBreak/>
        <w:t>revealed that salaries of four (4) job order personnel totaling to P100,124.91 as of October 15, 2022 were charged against the QRF even though their job description and reported accomplishments were not related to the vaccination program. Details are shown below:</w:t>
      </w:r>
    </w:p>
    <w:p>
      <w:pPr>
        <w:spacing w:line="276" w:lineRule="auto"/>
        <w:jc w:val="both"/>
      </w:pPr>
    </w:p>
    <w:p>
      <w:pPr>
        <w:spacing w:line="276" w:lineRule="auto"/>
        <w:jc w:val="both"/>
        <w:rPr>
          <w:i/>
        </w:rPr>
      </w:pPr>
      <w:r>
        <w:rPr>
          <w:i/>
        </w:rPr>
        <w:t>Table 18.1. Schedule of JO’s Salary Inappropriately Charged Against QRF.</w:t>
      </w:r>
    </w:p>
    <w:tbl>
      <w:tblPr>
        <w:tblStyle w:val="TableGrid39"/>
        <w:tblW w:w="0" w:type="auto"/>
        <w:tblCellMar>
          <w:left w:w="72" w:type="dxa"/>
          <w:right w:w="72" w:type="dxa"/>
        </w:tblCellMar>
        <w:tblLook w:val="04A0" w:firstRow="1" w:lastRow="0" w:firstColumn="1" w:lastColumn="0" w:noHBand="0" w:noVBand="1"/>
      </w:tblPr>
      <w:tblGrid>
        <w:gridCol w:w="2127"/>
        <w:gridCol w:w="1674"/>
        <w:gridCol w:w="1409"/>
        <w:gridCol w:w="3574"/>
      </w:tblGrid>
      <w:tr>
        <w:trPr>
          <w:tblHeader/>
        </w:trPr>
        <w:tc>
          <w:tcPr>
            <w:tcW w:w="2245" w:type="dxa"/>
            <w:vAlign w:val="center"/>
          </w:tcPr>
          <w:p>
            <w:pPr>
              <w:spacing w:line="276" w:lineRule="auto"/>
              <w:jc w:val="center"/>
              <w:rPr>
                <w:b/>
                <w:sz w:val="22"/>
                <w:szCs w:val="22"/>
              </w:rPr>
            </w:pPr>
            <w:r>
              <w:rPr>
                <w:b/>
                <w:sz w:val="22"/>
                <w:szCs w:val="22"/>
              </w:rPr>
              <w:t>Name</w:t>
            </w:r>
          </w:p>
        </w:tc>
        <w:tc>
          <w:tcPr>
            <w:tcW w:w="1710" w:type="dxa"/>
            <w:vAlign w:val="center"/>
          </w:tcPr>
          <w:p>
            <w:pPr>
              <w:spacing w:line="276" w:lineRule="auto"/>
              <w:jc w:val="center"/>
              <w:rPr>
                <w:b/>
                <w:sz w:val="22"/>
                <w:szCs w:val="22"/>
              </w:rPr>
            </w:pPr>
            <w:r>
              <w:rPr>
                <w:b/>
                <w:sz w:val="22"/>
                <w:szCs w:val="22"/>
              </w:rPr>
              <w:t>Period of Employment</w:t>
            </w:r>
          </w:p>
        </w:tc>
        <w:tc>
          <w:tcPr>
            <w:tcW w:w="1440" w:type="dxa"/>
            <w:vAlign w:val="center"/>
          </w:tcPr>
          <w:p>
            <w:pPr>
              <w:spacing w:line="276" w:lineRule="auto"/>
              <w:jc w:val="center"/>
              <w:rPr>
                <w:b/>
                <w:sz w:val="22"/>
                <w:szCs w:val="22"/>
              </w:rPr>
            </w:pPr>
            <w:r>
              <w:rPr>
                <w:b/>
                <w:sz w:val="22"/>
                <w:szCs w:val="22"/>
              </w:rPr>
              <w:t xml:space="preserve">Amount of Salary Paid </w:t>
            </w:r>
          </w:p>
          <w:p>
            <w:pPr>
              <w:spacing w:line="276" w:lineRule="auto"/>
              <w:jc w:val="center"/>
              <w:rPr>
                <w:sz w:val="22"/>
                <w:szCs w:val="22"/>
              </w:rPr>
            </w:pPr>
            <w:r>
              <w:rPr>
                <w:sz w:val="22"/>
                <w:szCs w:val="22"/>
              </w:rPr>
              <w:t>(as of Oct. 15, 2022)</w:t>
            </w:r>
          </w:p>
        </w:tc>
        <w:tc>
          <w:tcPr>
            <w:tcW w:w="3780" w:type="dxa"/>
            <w:vAlign w:val="center"/>
          </w:tcPr>
          <w:p>
            <w:pPr>
              <w:spacing w:line="276" w:lineRule="auto"/>
              <w:jc w:val="center"/>
              <w:rPr>
                <w:b/>
                <w:sz w:val="22"/>
                <w:szCs w:val="22"/>
              </w:rPr>
            </w:pPr>
            <w:r>
              <w:rPr>
                <w:b/>
                <w:sz w:val="22"/>
                <w:szCs w:val="22"/>
              </w:rPr>
              <w:t>Description of Service/</w:t>
            </w:r>
          </w:p>
          <w:p>
            <w:pPr>
              <w:spacing w:line="276" w:lineRule="auto"/>
              <w:jc w:val="center"/>
              <w:rPr>
                <w:b/>
                <w:sz w:val="22"/>
                <w:szCs w:val="22"/>
              </w:rPr>
            </w:pPr>
            <w:r>
              <w:rPr>
                <w:b/>
                <w:sz w:val="22"/>
                <w:szCs w:val="22"/>
              </w:rPr>
              <w:t>Reported Accomplishment</w:t>
            </w:r>
          </w:p>
        </w:tc>
      </w:tr>
      <w:tr>
        <w:tc>
          <w:tcPr>
            <w:tcW w:w="2245" w:type="dxa"/>
          </w:tcPr>
          <w:p>
            <w:pPr>
              <w:spacing w:line="276" w:lineRule="auto"/>
              <w:rPr>
                <w:sz w:val="22"/>
                <w:szCs w:val="22"/>
              </w:rPr>
            </w:pPr>
            <w:r>
              <w:rPr>
                <w:sz w:val="22"/>
                <w:szCs w:val="22"/>
              </w:rPr>
              <w:t>Felicio, Charles Dave</w:t>
            </w:r>
          </w:p>
        </w:tc>
        <w:tc>
          <w:tcPr>
            <w:tcW w:w="1710" w:type="dxa"/>
          </w:tcPr>
          <w:p>
            <w:pPr>
              <w:spacing w:line="276" w:lineRule="auto"/>
              <w:jc w:val="center"/>
              <w:rPr>
                <w:sz w:val="22"/>
                <w:szCs w:val="22"/>
              </w:rPr>
            </w:pPr>
            <w:r>
              <w:rPr>
                <w:sz w:val="22"/>
                <w:szCs w:val="22"/>
              </w:rPr>
              <w:t>July 12 –</w:t>
            </w:r>
          </w:p>
          <w:p>
            <w:pPr>
              <w:spacing w:line="276" w:lineRule="auto"/>
              <w:jc w:val="center"/>
              <w:rPr>
                <w:sz w:val="22"/>
                <w:szCs w:val="22"/>
              </w:rPr>
            </w:pPr>
            <w:r>
              <w:rPr>
                <w:sz w:val="22"/>
                <w:szCs w:val="22"/>
              </w:rPr>
              <w:t xml:space="preserve"> Sept. 15, 2022</w:t>
            </w:r>
          </w:p>
        </w:tc>
        <w:tc>
          <w:tcPr>
            <w:tcW w:w="1440" w:type="dxa"/>
          </w:tcPr>
          <w:p>
            <w:pPr>
              <w:spacing w:line="276" w:lineRule="auto"/>
              <w:jc w:val="right"/>
              <w:rPr>
                <w:sz w:val="22"/>
                <w:szCs w:val="22"/>
              </w:rPr>
            </w:pPr>
            <w:r>
              <w:rPr>
                <w:sz w:val="22"/>
                <w:szCs w:val="22"/>
              </w:rPr>
              <w:t>11,058.41</w:t>
            </w:r>
          </w:p>
        </w:tc>
        <w:tc>
          <w:tcPr>
            <w:tcW w:w="3780" w:type="dxa"/>
          </w:tcPr>
          <w:p>
            <w:pPr>
              <w:numPr>
                <w:ilvl w:val="1"/>
                <w:numId w:val="37"/>
              </w:numPr>
              <w:spacing w:line="276" w:lineRule="auto"/>
              <w:ind w:left="282" w:hanging="270"/>
              <w:contextualSpacing/>
              <w:rPr>
                <w:sz w:val="22"/>
                <w:szCs w:val="22"/>
              </w:rPr>
            </w:pPr>
            <w:r>
              <w:rPr>
                <w:sz w:val="22"/>
                <w:szCs w:val="22"/>
              </w:rPr>
              <w:t xml:space="preserve">Records and assists PHIC enrolment and renewal                                                   </w:t>
            </w:r>
          </w:p>
          <w:p>
            <w:pPr>
              <w:numPr>
                <w:ilvl w:val="0"/>
                <w:numId w:val="37"/>
              </w:numPr>
              <w:spacing w:line="276" w:lineRule="auto"/>
              <w:ind w:left="282" w:hanging="270"/>
              <w:contextualSpacing/>
              <w:rPr>
                <w:sz w:val="22"/>
                <w:szCs w:val="22"/>
              </w:rPr>
            </w:pPr>
            <w:r>
              <w:rPr>
                <w:sz w:val="22"/>
                <w:szCs w:val="22"/>
              </w:rPr>
              <w:t xml:space="preserve">Encodes and validates daily data for enlistment and profiling                                    </w:t>
            </w:r>
          </w:p>
          <w:p>
            <w:pPr>
              <w:numPr>
                <w:ilvl w:val="0"/>
                <w:numId w:val="37"/>
              </w:numPr>
              <w:spacing w:line="276" w:lineRule="auto"/>
              <w:ind w:left="282" w:hanging="270"/>
              <w:contextualSpacing/>
              <w:rPr>
                <w:sz w:val="22"/>
                <w:szCs w:val="22"/>
              </w:rPr>
            </w:pPr>
            <w:r>
              <w:rPr>
                <w:sz w:val="22"/>
                <w:szCs w:val="22"/>
              </w:rPr>
              <w:t xml:space="preserve">Generates and records PhilHealth Benefits Eligibility Form requirements for submission to PHIC.                                                                                                                        </w:t>
            </w:r>
          </w:p>
          <w:p>
            <w:pPr>
              <w:numPr>
                <w:ilvl w:val="0"/>
                <w:numId w:val="37"/>
              </w:numPr>
              <w:spacing w:line="276" w:lineRule="auto"/>
              <w:ind w:left="282" w:hanging="270"/>
              <w:contextualSpacing/>
              <w:rPr>
                <w:sz w:val="22"/>
                <w:szCs w:val="22"/>
              </w:rPr>
            </w:pPr>
            <w:r>
              <w:rPr>
                <w:sz w:val="22"/>
                <w:szCs w:val="22"/>
              </w:rPr>
              <w:t xml:space="preserve">Records and transmits Maternal Care Package claims PHIC Tagum.                                             </w:t>
            </w:r>
          </w:p>
          <w:p>
            <w:pPr>
              <w:numPr>
                <w:ilvl w:val="0"/>
                <w:numId w:val="37"/>
              </w:numPr>
              <w:spacing w:line="276" w:lineRule="auto"/>
              <w:ind w:left="282" w:hanging="270"/>
              <w:contextualSpacing/>
              <w:rPr>
                <w:sz w:val="22"/>
                <w:szCs w:val="22"/>
              </w:rPr>
            </w:pPr>
            <w:r>
              <w:rPr>
                <w:sz w:val="22"/>
                <w:szCs w:val="22"/>
              </w:rPr>
              <w:t xml:space="preserve">Disseminates PHIC information.                                                                                                                 </w:t>
            </w:r>
          </w:p>
          <w:p>
            <w:pPr>
              <w:numPr>
                <w:ilvl w:val="0"/>
                <w:numId w:val="37"/>
              </w:numPr>
              <w:spacing w:line="276" w:lineRule="auto"/>
              <w:ind w:left="282" w:hanging="270"/>
              <w:contextualSpacing/>
              <w:rPr>
                <w:sz w:val="22"/>
                <w:szCs w:val="22"/>
              </w:rPr>
            </w:pPr>
            <w:r>
              <w:rPr>
                <w:sz w:val="22"/>
                <w:szCs w:val="22"/>
              </w:rPr>
              <w:t>Facilitate messenger tasks.</w:t>
            </w:r>
          </w:p>
        </w:tc>
      </w:tr>
      <w:tr>
        <w:tc>
          <w:tcPr>
            <w:tcW w:w="2245" w:type="dxa"/>
          </w:tcPr>
          <w:p>
            <w:pPr>
              <w:spacing w:line="276" w:lineRule="auto"/>
              <w:rPr>
                <w:sz w:val="22"/>
                <w:szCs w:val="22"/>
              </w:rPr>
            </w:pPr>
            <w:proofErr w:type="spellStart"/>
            <w:r>
              <w:rPr>
                <w:sz w:val="22"/>
                <w:szCs w:val="22"/>
              </w:rPr>
              <w:t>Petate</w:t>
            </w:r>
            <w:proofErr w:type="spellEnd"/>
            <w:r>
              <w:rPr>
                <w:sz w:val="22"/>
                <w:szCs w:val="22"/>
              </w:rPr>
              <w:t xml:space="preserve">, </w:t>
            </w:r>
            <w:proofErr w:type="spellStart"/>
            <w:r>
              <w:rPr>
                <w:sz w:val="22"/>
                <w:szCs w:val="22"/>
              </w:rPr>
              <w:t>Maileen</w:t>
            </w:r>
            <w:proofErr w:type="spellEnd"/>
            <w:r>
              <w:rPr>
                <w:sz w:val="22"/>
                <w:szCs w:val="22"/>
              </w:rPr>
              <w:t xml:space="preserve"> V.</w:t>
            </w:r>
          </w:p>
        </w:tc>
        <w:tc>
          <w:tcPr>
            <w:tcW w:w="1710" w:type="dxa"/>
          </w:tcPr>
          <w:p>
            <w:pPr>
              <w:spacing w:line="276" w:lineRule="auto"/>
              <w:jc w:val="center"/>
              <w:rPr>
                <w:sz w:val="22"/>
                <w:szCs w:val="22"/>
              </w:rPr>
            </w:pPr>
            <w:r>
              <w:rPr>
                <w:sz w:val="22"/>
                <w:szCs w:val="22"/>
              </w:rPr>
              <w:t>July 12 –</w:t>
            </w:r>
          </w:p>
          <w:p>
            <w:pPr>
              <w:spacing w:line="276" w:lineRule="auto"/>
              <w:jc w:val="center"/>
              <w:rPr>
                <w:sz w:val="22"/>
                <w:szCs w:val="22"/>
              </w:rPr>
            </w:pPr>
            <w:r>
              <w:rPr>
                <w:sz w:val="22"/>
                <w:szCs w:val="22"/>
              </w:rPr>
              <w:t>Dec. 31, 2022</w:t>
            </w:r>
          </w:p>
        </w:tc>
        <w:tc>
          <w:tcPr>
            <w:tcW w:w="1440" w:type="dxa"/>
          </w:tcPr>
          <w:p>
            <w:pPr>
              <w:spacing w:line="276" w:lineRule="auto"/>
              <w:jc w:val="right"/>
              <w:rPr>
                <w:sz w:val="22"/>
                <w:szCs w:val="22"/>
              </w:rPr>
            </w:pPr>
            <w:r>
              <w:rPr>
                <w:sz w:val="22"/>
                <w:szCs w:val="22"/>
              </w:rPr>
              <w:t>26,625.00</w:t>
            </w:r>
          </w:p>
        </w:tc>
        <w:tc>
          <w:tcPr>
            <w:tcW w:w="3780" w:type="dxa"/>
          </w:tcPr>
          <w:p>
            <w:pPr>
              <w:numPr>
                <w:ilvl w:val="0"/>
                <w:numId w:val="41"/>
              </w:numPr>
              <w:spacing w:line="276" w:lineRule="auto"/>
              <w:ind w:left="288" w:hanging="270"/>
              <w:contextualSpacing/>
              <w:rPr>
                <w:sz w:val="22"/>
                <w:szCs w:val="22"/>
              </w:rPr>
            </w:pPr>
            <w:r>
              <w:rPr>
                <w:sz w:val="22"/>
                <w:szCs w:val="22"/>
              </w:rPr>
              <w:t xml:space="preserve">Information Desk Officer                                                                                                     </w:t>
            </w:r>
          </w:p>
          <w:p>
            <w:pPr>
              <w:numPr>
                <w:ilvl w:val="0"/>
                <w:numId w:val="41"/>
              </w:numPr>
              <w:spacing w:line="276" w:lineRule="auto"/>
              <w:ind w:left="282" w:hanging="270"/>
              <w:contextualSpacing/>
              <w:rPr>
                <w:sz w:val="22"/>
                <w:szCs w:val="22"/>
              </w:rPr>
            </w:pPr>
            <w:r>
              <w:rPr>
                <w:sz w:val="22"/>
                <w:szCs w:val="22"/>
              </w:rPr>
              <w:t xml:space="preserve">Assist Patients for Animal Bite, Laboratory and Dental Services                        </w:t>
            </w:r>
          </w:p>
          <w:p>
            <w:pPr>
              <w:numPr>
                <w:ilvl w:val="0"/>
                <w:numId w:val="41"/>
              </w:numPr>
              <w:spacing w:line="276" w:lineRule="auto"/>
              <w:ind w:left="282" w:hanging="270"/>
              <w:contextualSpacing/>
              <w:rPr>
                <w:sz w:val="22"/>
                <w:szCs w:val="22"/>
              </w:rPr>
            </w:pPr>
            <w:r>
              <w:rPr>
                <w:sz w:val="22"/>
                <w:szCs w:val="22"/>
              </w:rPr>
              <w:t xml:space="preserve">Laboratory Result Releasing In-Charge                                                                            </w:t>
            </w:r>
          </w:p>
          <w:p>
            <w:pPr>
              <w:numPr>
                <w:ilvl w:val="0"/>
                <w:numId w:val="41"/>
              </w:numPr>
              <w:spacing w:line="276" w:lineRule="auto"/>
              <w:ind w:left="282" w:hanging="270"/>
              <w:contextualSpacing/>
              <w:rPr>
                <w:sz w:val="22"/>
                <w:szCs w:val="22"/>
              </w:rPr>
            </w:pPr>
            <w:r>
              <w:rPr>
                <w:sz w:val="22"/>
                <w:szCs w:val="22"/>
              </w:rPr>
              <w:t>Maintain detailed and accurate records and forms.</w:t>
            </w:r>
          </w:p>
        </w:tc>
      </w:tr>
      <w:tr>
        <w:tc>
          <w:tcPr>
            <w:tcW w:w="2245" w:type="dxa"/>
          </w:tcPr>
          <w:p>
            <w:pPr>
              <w:spacing w:line="276" w:lineRule="auto"/>
              <w:rPr>
                <w:sz w:val="22"/>
                <w:szCs w:val="22"/>
              </w:rPr>
            </w:pPr>
            <w:proofErr w:type="spellStart"/>
            <w:r>
              <w:rPr>
                <w:sz w:val="22"/>
                <w:szCs w:val="22"/>
              </w:rPr>
              <w:t>Restificar</w:t>
            </w:r>
            <w:proofErr w:type="spellEnd"/>
            <w:r>
              <w:rPr>
                <w:sz w:val="22"/>
                <w:szCs w:val="22"/>
              </w:rPr>
              <w:t>, Geneva P.</w:t>
            </w:r>
          </w:p>
        </w:tc>
        <w:tc>
          <w:tcPr>
            <w:tcW w:w="1710" w:type="dxa"/>
          </w:tcPr>
          <w:p>
            <w:pPr>
              <w:spacing w:line="276" w:lineRule="auto"/>
              <w:jc w:val="center"/>
              <w:rPr>
                <w:sz w:val="22"/>
                <w:szCs w:val="22"/>
              </w:rPr>
            </w:pPr>
            <w:r>
              <w:rPr>
                <w:sz w:val="22"/>
                <w:szCs w:val="22"/>
              </w:rPr>
              <w:t>July 1 –</w:t>
            </w:r>
          </w:p>
          <w:p>
            <w:pPr>
              <w:spacing w:line="276" w:lineRule="auto"/>
              <w:jc w:val="center"/>
              <w:rPr>
                <w:sz w:val="22"/>
                <w:szCs w:val="22"/>
              </w:rPr>
            </w:pPr>
            <w:r>
              <w:rPr>
                <w:sz w:val="22"/>
                <w:szCs w:val="22"/>
              </w:rPr>
              <w:t>Dec. 31, 2022</w:t>
            </w:r>
          </w:p>
        </w:tc>
        <w:tc>
          <w:tcPr>
            <w:tcW w:w="1440" w:type="dxa"/>
          </w:tcPr>
          <w:p>
            <w:pPr>
              <w:spacing w:line="276" w:lineRule="auto"/>
              <w:jc w:val="right"/>
              <w:rPr>
                <w:sz w:val="22"/>
                <w:szCs w:val="22"/>
              </w:rPr>
            </w:pPr>
            <w:r>
              <w:rPr>
                <w:sz w:val="22"/>
                <w:szCs w:val="22"/>
              </w:rPr>
              <w:t>18,147.50</w:t>
            </w:r>
          </w:p>
        </w:tc>
        <w:tc>
          <w:tcPr>
            <w:tcW w:w="3780" w:type="dxa"/>
          </w:tcPr>
          <w:p>
            <w:pPr>
              <w:numPr>
                <w:ilvl w:val="0"/>
                <w:numId w:val="42"/>
              </w:numPr>
              <w:spacing w:line="276" w:lineRule="auto"/>
              <w:ind w:left="288" w:hanging="270"/>
              <w:contextualSpacing/>
              <w:rPr>
                <w:sz w:val="22"/>
                <w:szCs w:val="22"/>
              </w:rPr>
            </w:pPr>
            <w:r>
              <w:rPr>
                <w:sz w:val="22"/>
                <w:szCs w:val="22"/>
              </w:rPr>
              <w:t xml:space="preserve">In-charge of Community-based Integrated Management of Acute Malnutrition (CMAM) Program                                                                                           </w:t>
            </w:r>
          </w:p>
          <w:p>
            <w:pPr>
              <w:numPr>
                <w:ilvl w:val="0"/>
                <w:numId w:val="42"/>
              </w:numPr>
              <w:spacing w:line="276" w:lineRule="auto"/>
              <w:ind w:left="288" w:hanging="270"/>
              <w:contextualSpacing/>
              <w:rPr>
                <w:sz w:val="22"/>
                <w:szCs w:val="22"/>
              </w:rPr>
            </w:pPr>
            <w:r>
              <w:rPr>
                <w:sz w:val="22"/>
                <w:szCs w:val="22"/>
              </w:rPr>
              <w:t xml:space="preserve">In charge of Local Nutrition Early Warning System for Food and Nutrition Security (LNEWS-FNS) Report                                                                                                          </w:t>
            </w:r>
          </w:p>
          <w:p>
            <w:pPr>
              <w:numPr>
                <w:ilvl w:val="0"/>
                <w:numId w:val="42"/>
              </w:numPr>
              <w:spacing w:line="276" w:lineRule="auto"/>
              <w:ind w:left="288" w:hanging="270"/>
              <w:contextualSpacing/>
              <w:rPr>
                <w:sz w:val="22"/>
                <w:szCs w:val="22"/>
              </w:rPr>
            </w:pPr>
            <w:r>
              <w:rPr>
                <w:sz w:val="22"/>
                <w:szCs w:val="22"/>
              </w:rPr>
              <w:t>Encoding and printing of Barangay Operation Timbang (OPT) Plus Reports</w:t>
            </w:r>
          </w:p>
        </w:tc>
      </w:tr>
      <w:tr>
        <w:tc>
          <w:tcPr>
            <w:tcW w:w="2245" w:type="dxa"/>
          </w:tcPr>
          <w:p>
            <w:pPr>
              <w:spacing w:line="276" w:lineRule="auto"/>
              <w:rPr>
                <w:sz w:val="22"/>
                <w:szCs w:val="22"/>
              </w:rPr>
            </w:pPr>
            <w:r>
              <w:rPr>
                <w:sz w:val="22"/>
                <w:szCs w:val="22"/>
              </w:rPr>
              <w:t>Salvador, Jimbo</w:t>
            </w:r>
          </w:p>
        </w:tc>
        <w:tc>
          <w:tcPr>
            <w:tcW w:w="1710" w:type="dxa"/>
          </w:tcPr>
          <w:p>
            <w:pPr>
              <w:spacing w:line="276" w:lineRule="auto"/>
              <w:jc w:val="center"/>
              <w:rPr>
                <w:sz w:val="22"/>
                <w:szCs w:val="22"/>
              </w:rPr>
            </w:pPr>
            <w:r>
              <w:rPr>
                <w:sz w:val="22"/>
                <w:szCs w:val="22"/>
              </w:rPr>
              <w:t>March 24 –</w:t>
            </w:r>
          </w:p>
          <w:p>
            <w:pPr>
              <w:spacing w:line="276" w:lineRule="auto"/>
              <w:jc w:val="center"/>
              <w:rPr>
                <w:sz w:val="22"/>
                <w:szCs w:val="22"/>
              </w:rPr>
            </w:pPr>
            <w:r>
              <w:rPr>
                <w:sz w:val="22"/>
                <w:szCs w:val="22"/>
              </w:rPr>
              <w:t>Dec. 31, 2022</w:t>
            </w:r>
          </w:p>
        </w:tc>
        <w:tc>
          <w:tcPr>
            <w:tcW w:w="1440" w:type="dxa"/>
          </w:tcPr>
          <w:p>
            <w:pPr>
              <w:spacing w:line="276" w:lineRule="auto"/>
              <w:jc w:val="right"/>
              <w:rPr>
                <w:sz w:val="22"/>
                <w:szCs w:val="22"/>
              </w:rPr>
            </w:pPr>
            <w:r>
              <w:rPr>
                <w:sz w:val="22"/>
                <w:szCs w:val="22"/>
              </w:rPr>
              <w:t>44,294.00</w:t>
            </w:r>
          </w:p>
        </w:tc>
        <w:tc>
          <w:tcPr>
            <w:tcW w:w="3780" w:type="dxa"/>
          </w:tcPr>
          <w:p>
            <w:pPr>
              <w:numPr>
                <w:ilvl w:val="0"/>
                <w:numId w:val="43"/>
              </w:numPr>
              <w:spacing w:line="276" w:lineRule="auto"/>
              <w:ind w:left="288" w:hanging="270"/>
              <w:contextualSpacing/>
              <w:rPr>
                <w:sz w:val="22"/>
                <w:szCs w:val="22"/>
              </w:rPr>
            </w:pPr>
            <w:r>
              <w:rPr>
                <w:sz w:val="22"/>
                <w:szCs w:val="22"/>
              </w:rPr>
              <w:t xml:space="preserve">Facilitate Enrolment of PHIC Sponsored Beneficiaries                                           </w:t>
            </w:r>
          </w:p>
          <w:p>
            <w:pPr>
              <w:numPr>
                <w:ilvl w:val="0"/>
                <w:numId w:val="43"/>
              </w:numPr>
              <w:spacing w:line="276" w:lineRule="auto"/>
              <w:ind w:left="288" w:hanging="270"/>
              <w:contextualSpacing/>
              <w:rPr>
                <w:sz w:val="22"/>
                <w:szCs w:val="22"/>
              </w:rPr>
            </w:pPr>
            <w:r>
              <w:rPr>
                <w:sz w:val="22"/>
                <w:szCs w:val="22"/>
              </w:rPr>
              <w:t>I-</w:t>
            </w:r>
            <w:proofErr w:type="spellStart"/>
            <w:r>
              <w:rPr>
                <w:sz w:val="22"/>
                <w:szCs w:val="22"/>
              </w:rPr>
              <w:t>ClinicSys</w:t>
            </w:r>
            <w:proofErr w:type="spellEnd"/>
            <w:r>
              <w:rPr>
                <w:sz w:val="22"/>
                <w:szCs w:val="22"/>
              </w:rPr>
              <w:t xml:space="preserve"> Encoder                                                                                                                       </w:t>
            </w:r>
          </w:p>
          <w:p>
            <w:pPr>
              <w:numPr>
                <w:ilvl w:val="0"/>
                <w:numId w:val="43"/>
              </w:numPr>
              <w:spacing w:line="276" w:lineRule="auto"/>
              <w:ind w:left="288" w:hanging="270"/>
              <w:contextualSpacing/>
              <w:rPr>
                <w:sz w:val="22"/>
                <w:szCs w:val="22"/>
              </w:rPr>
            </w:pPr>
            <w:r>
              <w:rPr>
                <w:sz w:val="22"/>
                <w:szCs w:val="22"/>
              </w:rPr>
              <w:t>Extract &amp; Installed I-</w:t>
            </w:r>
            <w:proofErr w:type="spellStart"/>
            <w:r>
              <w:rPr>
                <w:sz w:val="22"/>
                <w:szCs w:val="22"/>
              </w:rPr>
              <w:t>ClinicSys</w:t>
            </w:r>
            <w:proofErr w:type="spellEnd"/>
            <w:r>
              <w:rPr>
                <w:sz w:val="22"/>
                <w:szCs w:val="22"/>
              </w:rPr>
              <w:t xml:space="preserve"> at </w:t>
            </w:r>
            <w:r>
              <w:rPr>
                <w:sz w:val="22"/>
                <w:szCs w:val="22"/>
              </w:rPr>
              <w:lastRenderedPageBreak/>
              <w:t xml:space="preserve">Different Barangay                                                            </w:t>
            </w:r>
          </w:p>
          <w:p>
            <w:pPr>
              <w:numPr>
                <w:ilvl w:val="0"/>
                <w:numId w:val="43"/>
              </w:numPr>
              <w:spacing w:line="276" w:lineRule="auto"/>
              <w:ind w:left="288" w:hanging="270"/>
              <w:contextualSpacing/>
              <w:rPr>
                <w:sz w:val="22"/>
                <w:szCs w:val="22"/>
              </w:rPr>
            </w:pPr>
            <w:r>
              <w:rPr>
                <w:sz w:val="22"/>
                <w:szCs w:val="22"/>
              </w:rPr>
              <w:t>Enrollment &amp; Drop Box Transmittal In-Charge.</w:t>
            </w:r>
          </w:p>
        </w:tc>
      </w:tr>
      <w:tr>
        <w:tc>
          <w:tcPr>
            <w:tcW w:w="2245" w:type="dxa"/>
          </w:tcPr>
          <w:p>
            <w:pPr>
              <w:spacing w:line="276" w:lineRule="auto"/>
              <w:jc w:val="both"/>
              <w:rPr>
                <w:sz w:val="22"/>
                <w:szCs w:val="22"/>
              </w:rPr>
            </w:pPr>
          </w:p>
        </w:tc>
        <w:tc>
          <w:tcPr>
            <w:tcW w:w="1710" w:type="dxa"/>
          </w:tcPr>
          <w:p>
            <w:pPr>
              <w:spacing w:line="276" w:lineRule="auto"/>
              <w:jc w:val="both"/>
              <w:rPr>
                <w:sz w:val="22"/>
                <w:szCs w:val="22"/>
              </w:rPr>
            </w:pPr>
          </w:p>
        </w:tc>
        <w:tc>
          <w:tcPr>
            <w:tcW w:w="1440" w:type="dxa"/>
          </w:tcPr>
          <w:p>
            <w:pPr>
              <w:spacing w:line="276" w:lineRule="auto"/>
              <w:jc w:val="right"/>
              <w:rPr>
                <w:b/>
                <w:sz w:val="22"/>
                <w:szCs w:val="22"/>
              </w:rPr>
            </w:pPr>
            <w:r>
              <w:rPr>
                <w:b/>
                <w:sz w:val="22"/>
                <w:szCs w:val="22"/>
              </w:rPr>
              <w:t>100,124.91</w:t>
            </w:r>
          </w:p>
        </w:tc>
        <w:tc>
          <w:tcPr>
            <w:tcW w:w="3780" w:type="dxa"/>
          </w:tcPr>
          <w:p>
            <w:pPr>
              <w:spacing w:line="276" w:lineRule="auto"/>
              <w:jc w:val="both"/>
              <w:rPr>
                <w:sz w:val="22"/>
                <w:szCs w:val="22"/>
              </w:rPr>
            </w:pPr>
          </w:p>
        </w:tc>
      </w:tr>
    </w:tbl>
    <w:p>
      <w:pPr>
        <w:spacing w:line="276" w:lineRule="auto"/>
        <w:jc w:val="both"/>
      </w:pPr>
    </w:p>
    <w:p>
      <w:pPr>
        <w:spacing w:line="276" w:lineRule="auto"/>
        <w:jc w:val="both"/>
      </w:pPr>
      <w:r>
        <w:t xml:space="preserve">As of writing, the disbursement vouchers for the payment of salary and wages of the above-mentioned job order personnel for the period covering October 16 to December 31, 2022 were not yet submitted to the Office of the Auditor, thus, the audit team was precluded in the timely examination of the said disbursement transactions.  </w:t>
      </w:r>
    </w:p>
    <w:p>
      <w:pPr>
        <w:spacing w:line="276" w:lineRule="auto"/>
        <w:ind w:firstLine="720"/>
        <w:jc w:val="both"/>
      </w:pPr>
    </w:p>
    <w:p>
      <w:pPr>
        <w:spacing w:line="276" w:lineRule="auto"/>
        <w:jc w:val="both"/>
      </w:pPr>
      <w:r>
        <w:t xml:space="preserve">Inquiry with the City Health Office disclosed that the said personnel were employed for the vaccination program. </w:t>
      </w:r>
      <w:proofErr w:type="gramStart"/>
      <w:r>
        <w:t>However</w:t>
      </w:r>
      <w:proofErr w:type="gramEnd"/>
      <w:r>
        <w:t xml:space="preserve"> tasks related to the program were not included in their respective contract of service. Furthermore, since the vaccine administration in CY 2022 is lesser as compared to prior periods, the personnel were delegated with other tasks. The City Health Officer informed that they had already requested the revision of the contract of service for the inclusion of the vaccination program-related tasks.</w:t>
      </w:r>
    </w:p>
    <w:p>
      <w:pPr>
        <w:spacing w:line="276" w:lineRule="auto"/>
        <w:ind w:firstLine="720"/>
        <w:jc w:val="both"/>
      </w:pPr>
    </w:p>
    <w:p>
      <w:pPr>
        <w:spacing w:line="276" w:lineRule="auto"/>
        <w:jc w:val="both"/>
      </w:pPr>
      <w:r>
        <w:t xml:space="preserve">We remind Management that the Quick Response Fund should only be utilized for relief and recovery programs to quickly normalize post-disaster situations among affected communities. Even though the aforementioned personnel were originally employed in relation to the City’s Vaccination Program, their actual service rendered, as evidenced in their respective work accomplishment report, are administrative in nature and not related to the vaccination program, thus, charging the payment of their salary against the Quick Response Fund is inappropriate and deemed irregular.  Since the demand for the administration of vaccine has declined during the year, the relevance of hiring job order personnel charged against the Quick Response Fund shall be subject for evaluation by the Management. </w:t>
      </w:r>
    </w:p>
    <w:p>
      <w:pPr>
        <w:spacing w:line="276" w:lineRule="auto"/>
        <w:jc w:val="both"/>
      </w:pPr>
    </w:p>
    <w:p>
      <w:pPr>
        <w:spacing w:line="276" w:lineRule="auto"/>
        <w:jc w:val="both"/>
        <w:rPr>
          <w:b/>
        </w:rPr>
      </w:pPr>
      <w:r>
        <w:rPr>
          <w:b/>
        </w:rPr>
        <w:t>Recommendations:</w:t>
      </w:r>
    </w:p>
    <w:p>
      <w:pPr>
        <w:spacing w:line="276" w:lineRule="auto"/>
        <w:jc w:val="both"/>
        <w:rPr>
          <w:b/>
        </w:rPr>
      </w:pPr>
    </w:p>
    <w:p>
      <w:pPr>
        <w:spacing w:line="276" w:lineRule="auto"/>
        <w:jc w:val="both"/>
      </w:pPr>
      <w:r>
        <w:t>We recommended the City Mayor to:</w:t>
      </w:r>
    </w:p>
    <w:p>
      <w:pPr>
        <w:spacing w:line="276" w:lineRule="auto"/>
        <w:jc w:val="both"/>
      </w:pPr>
    </w:p>
    <w:p>
      <w:pPr>
        <w:numPr>
          <w:ilvl w:val="1"/>
          <w:numId w:val="40"/>
        </w:numPr>
        <w:spacing w:line="276" w:lineRule="auto"/>
        <w:ind w:left="360"/>
        <w:contextualSpacing/>
        <w:jc w:val="both"/>
      </w:pPr>
      <w:r>
        <w:t xml:space="preserve">Direct the City Health Office to discontinue charging the payment of salaries of job order personnel against the Quick Response Fund whose service rendered are not related to the City’s Vaccination Program. </w:t>
      </w:r>
    </w:p>
    <w:p>
      <w:pPr>
        <w:spacing w:line="276" w:lineRule="auto"/>
        <w:ind w:left="360"/>
        <w:contextualSpacing/>
        <w:jc w:val="both"/>
      </w:pPr>
    </w:p>
    <w:p>
      <w:pPr>
        <w:numPr>
          <w:ilvl w:val="1"/>
          <w:numId w:val="40"/>
        </w:numPr>
        <w:spacing w:line="276" w:lineRule="auto"/>
        <w:ind w:left="360"/>
        <w:contextualSpacing/>
        <w:jc w:val="both"/>
      </w:pPr>
      <w:r>
        <w:lastRenderedPageBreak/>
        <w:t>Direct the CDRRMO that the Quick Response Fund shall only be utilized for relief and recovery programs to quickly normalize post-disaster situations among affected communities in accordance with Section 21 of R.A. No. 10121.</w:t>
      </w:r>
    </w:p>
    <w:p>
      <w:pPr>
        <w:spacing w:line="276" w:lineRule="auto"/>
        <w:jc w:val="both"/>
      </w:pPr>
    </w:p>
    <w:p>
      <w:pPr>
        <w:spacing w:line="276" w:lineRule="auto"/>
        <w:ind w:right="162"/>
        <w:jc w:val="both"/>
        <w:rPr>
          <w:b/>
          <w:bCs/>
        </w:rPr>
      </w:pPr>
      <w:r>
        <w:rPr>
          <w:b/>
          <w:bCs/>
        </w:rPr>
        <w:t>Management’s Comments:</w:t>
      </w:r>
    </w:p>
    <w:p>
      <w:pPr>
        <w:spacing w:line="276" w:lineRule="auto"/>
        <w:jc w:val="both"/>
        <w:rPr>
          <w:b/>
        </w:rPr>
      </w:pPr>
    </w:p>
    <w:p>
      <w:pPr>
        <w:spacing w:line="276" w:lineRule="auto"/>
        <w:jc w:val="both"/>
      </w:pPr>
      <w:r>
        <w:t xml:space="preserve">The management was amenable to the audit observation and recommendation. CHO stated that charges against the 70% CDRRM Fund (Other General Services) pertaining to the salaries and wages of job order personnel are being strictly monitored to ensure that services rendered are related to the City’s Vaccination Program. </w:t>
      </w:r>
    </w:p>
    <w:p>
      <w:pPr>
        <w:spacing w:line="276" w:lineRule="auto"/>
        <w:jc w:val="both"/>
      </w:pPr>
    </w:p>
    <w:p>
      <w:pPr>
        <w:spacing w:line="276" w:lineRule="auto"/>
        <w:jc w:val="both"/>
      </w:pPr>
      <w:r>
        <w:t xml:space="preserve">The CHO added that although </w:t>
      </w:r>
      <w:proofErr w:type="spellStart"/>
      <w:r>
        <w:t>Panabo</w:t>
      </w:r>
      <w:proofErr w:type="spellEnd"/>
      <w:r>
        <w:t xml:space="preserve"> City is now in a state of recovery and activities have returned to normal, COVID-19 vaccination program is being continued and further strengthened. This mainly aims to sustain the management of the disease and to protect the most vulnerable constituents in the City against COVID-19 since it still present and is still a threat. Therefore, the retention of job order personnel charged under the 70% CDRRM Fund for CY 2023 is necessary to complement the manpower needed for the vaccination activities.</w:t>
      </w:r>
    </w:p>
    <w:p>
      <w:pPr>
        <w:spacing w:line="276" w:lineRule="auto"/>
        <w:jc w:val="both"/>
        <w:rPr>
          <w:i/>
        </w:rPr>
      </w:pPr>
    </w:p>
    <w:p>
      <w:pPr>
        <w:spacing w:line="276" w:lineRule="auto"/>
        <w:jc w:val="both"/>
        <w:rPr>
          <w:i/>
        </w:rPr>
      </w:pPr>
    </w:p>
    <w:p>
      <w:pPr>
        <w:spacing w:line="276" w:lineRule="auto"/>
        <w:jc w:val="both"/>
        <w:rPr>
          <w:b/>
          <w:bCs/>
          <w:i/>
        </w:rPr>
      </w:pPr>
      <w:r>
        <w:rPr>
          <w:b/>
          <w:bCs/>
          <w:i/>
        </w:rPr>
        <w:t xml:space="preserve">Non-preparation of LDRRMFIP and Monthly Report on Sources and Utilization </w:t>
      </w:r>
    </w:p>
    <w:p>
      <w:pPr>
        <w:spacing w:line="276" w:lineRule="auto"/>
        <w:ind w:right="270"/>
        <w:rPr>
          <w:b/>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The Local Disaster Risk Reduction and Management Fund Investment Plan (LDRRMFIP) for CY 2022 and the Monthly Report on Sources and Utilization of LDRRMF for October to December 2022 was not prepared and submitted by the City Disaster Risk Reduction Management Office in contrary to COA Circular No. 2012-002, thus hindering effective monitoring and evaluation of the fund which may result in improper utilization.</w:t>
      </w:r>
    </w:p>
    <w:p>
      <w:pPr>
        <w:spacing w:line="276" w:lineRule="auto"/>
        <w:jc w:val="both"/>
        <w:rPr>
          <w:b/>
        </w:rPr>
      </w:pPr>
    </w:p>
    <w:p>
      <w:pPr>
        <w:spacing w:line="276" w:lineRule="auto"/>
        <w:jc w:val="both"/>
      </w:pPr>
      <w:r>
        <w:t>COA Circular No. 2012-002 dated September 12, 2012 provides the following:</w:t>
      </w:r>
    </w:p>
    <w:p>
      <w:pPr>
        <w:spacing w:line="276" w:lineRule="auto"/>
        <w:jc w:val="both"/>
      </w:pPr>
    </w:p>
    <w:p>
      <w:pPr>
        <w:spacing w:line="276" w:lineRule="auto"/>
        <w:ind w:left="1440" w:right="702" w:hanging="720"/>
        <w:jc w:val="both"/>
      </w:pPr>
      <w:r>
        <w:t>5.1.2</w:t>
      </w:r>
      <w:r>
        <w:tab/>
        <w:t xml:space="preserve">A LDRRMFIP for the DRRM program shall be prepared annually. It shall present the 30% allocation for QRF in lumpsum and the allocation for disaster mitigation, prevention and preparedness with details as to projects and activities to be funded. The LDRRMFIP shall also include under a separate caption, the list of projects charged to the unexpended LDRRMF of previous years.” X-x-x </w:t>
      </w:r>
    </w:p>
    <w:p>
      <w:pPr>
        <w:spacing w:line="276" w:lineRule="auto"/>
        <w:ind w:left="720" w:right="288" w:hanging="720"/>
        <w:jc w:val="both"/>
      </w:pPr>
    </w:p>
    <w:p>
      <w:pPr>
        <w:tabs>
          <w:tab w:val="left" w:pos="1710"/>
        </w:tabs>
        <w:spacing w:line="276" w:lineRule="auto"/>
        <w:ind w:left="1354" w:right="702" w:hanging="634"/>
        <w:jc w:val="both"/>
      </w:pPr>
      <w:r>
        <w:t>5.1.15 The LDRRMFIP shall be reviewed and updated annually to include the activities to be funded from the unexpended QRF and DRRMF-</w:t>
      </w:r>
      <w:r>
        <w:lastRenderedPageBreak/>
        <w:t>MOOE of the previous years which were transferred to the Special Trust Fund.”</w:t>
      </w:r>
    </w:p>
    <w:p>
      <w:pPr>
        <w:tabs>
          <w:tab w:val="left" w:pos="1710"/>
        </w:tabs>
        <w:spacing w:line="276" w:lineRule="auto"/>
        <w:ind w:left="1710" w:right="360" w:hanging="630"/>
        <w:jc w:val="both"/>
      </w:pPr>
    </w:p>
    <w:p>
      <w:pPr>
        <w:tabs>
          <w:tab w:val="left" w:pos="0"/>
        </w:tabs>
        <w:spacing w:line="276" w:lineRule="auto"/>
        <w:ind w:right="360"/>
        <w:jc w:val="both"/>
      </w:pPr>
      <w:r>
        <w:t>Section 5.1.5 of the aforementioned COA Circular further provides:</w:t>
      </w:r>
    </w:p>
    <w:p>
      <w:pPr>
        <w:tabs>
          <w:tab w:val="left" w:pos="1710"/>
        </w:tabs>
        <w:spacing w:line="276" w:lineRule="auto"/>
        <w:ind w:right="360"/>
        <w:jc w:val="both"/>
      </w:pPr>
    </w:p>
    <w:p>
      <w:pPr>
        <w:spacing w:line="276" w:lineRule="auto"/>
        <w:ind w:left="806" w:right="702" w:hanging="86"/>
        <w:jc w:val="both"/>
      </w:pPr>
      <w:r>
        <w:t xml:space="preserve"> A Report on Sources and Utilization of DRRMF…x-x-x…shall be prepared and certified correct by the Local Accountant, The Local Risk Reduction and Management Officer (LDRRMO) shall submit the report on or before the 15th day after the end of each month through the LDRRMC and Local Development Council (LDC) to the COA Auditor of the LGU.</w:t>
      </w:r>
    </w:p>
    <w:p>
      <w:pPr>
        <w:spacing w:line="276" w:lineRule="auto"/>
        <w:ind w:right="360"/>
        <w:jc w:val="both"/>
      </w:pPr>
      <w:r>
        <w:tab/>
      </w:r>
    </w:p>
    <w:p>
      <w:pPr>
        <w:spacing w:line="276" w:lineRule="auto"/>
        <w:ind w:right="360"/>
        <w:jc w:val="both"/>
      </w:pPr>
      <w:r>
        <w:t>Formats of the above-mentioned reports are provided in COA Circular No. 2012-002.</w:t>
      </w:r>
    </w:p>
    <w:p>
      <w:pPr>
        <w:tabs>
          <w:tab w:val="left" w:pos="1710"/>
        </w:tabs>
        <w:spacing w:line="276" w:lineRule="auto"/>
        <w:jc w:val="both"/>
      </w:pPr>
    </w:p>
    <w:p>
      <w:pPr>
        <w:tabs>
          <w:tab w:val="left" w:pos="0"/>
        </w:tabs>
        <w:spacing w:line="276" w:lineRule="auto"/>
        <w:jc w:val="both"/>
      </w:pPr>
      <w:r>
        <w:t xml:space="preserve">For CY 2022, the City Disaster Risk Reduction and Management Office (CDRRMO), was not able to prepare a LDRRMFIP. Furthermore, the Monthly Report on the Sources and Utilization for October to December 2022 was also not prepared by the CDRRMO. </w:t>
      </w:r>
    </w:p>
    <w:p>
      <w:pPr>
        <w:tabs>
          <w:tab w:val="left" w:pos="0"/>
        </w:tabs>
        <w:spacing w:line="276" w:lineRule="auto"/>
        <w:jc w:val="both"/>
      </w:pPr>
      <w:r>
        <w:t>Inquiry with the CDRRM Officer revealed the following:</w:t>
      </w:r>
    </w:p>
    <w:p>
      <w:pPr>
        <w:tabs>
          <w:tab w:val="left" w:pos="0"/>
        </w:tabs>
        <w:spacing w:line="276" w:lineRule="auto"/>
        <w:jc w:val="both"/>
      </w:pPr>
    </w:p>
    <w:p>
      <w:pPr>
        <w:numPr>
          <w:ilvl w:val="0"/>
          <w:numId w:val="44"/>
        </w:numPr>
        <w:tabs>
          <w:tab w:val="left" w:pos="0"/>
        </w:tabs>
        <w:spacing w:line="276" w:lineRule="auto"/>
        <w:ind w:left="360"/>
        <w:contextualSpacing/>
        <w:jc w:val="both"/>
        <w:rPr>
          <w:b/>
          <w:i/>
        </w:rPr>
      </w:pPr>
      <w:r>
        <w:rPr>
          <w:b/>
          <w:i/>
        </w:rPr>
        <w:t>On the non-preparation of LDRRMFIP for CY 2022</w:t>
      </w:r>
    </w:p>
    <w:p>
      <w:pPr>
        <w:tabs>
          <w:tab w:val="left" w:pos="0"/>
        </w:tabs>
        <w:spacing w:line="276" w:lineRule="auto"/>
        <w:jc w:val="both"/>
      </w:pPr>
    </w:p>
    <w:p>
      <w:pPr>
        <w:spacing w:line="276" w:lineRule="auto"/>
        <w:jc w:val="both"/>
      </w:pPr>
      <w:r>
        <w:t xml:space="preserve">The LDRRMFIP, in accordance with the format provided by COA Circular No. 2012-001, was not prepared as the office thought that the resolution and Annual Investment Program (AIP) is sufficient as compliance for the requirement of the said circular. </w:t>
      </w:r>
    </w:p>
    <w:p>
      <w:pPr>
        <w:spacing w:line="276" w:lineRule="auto"/>
        <w:contextualSpacing/>
        <w:jc w:val="both"/>
      </w:pPr>
    </w:p>
    <w:p>
      <w:pPr>
        <w:spacing w:line="276" w:lineRule="auto"/>
        <w:contextualSpacing/>
        <w:jc w:val="both"/>
      </w:pPr>
      <w:r>
        <w:t>The CDRRM Officer explained that the Programs, Projects and Activities (PPAs) to be implemented for the current year are identified during the meeting of the City Disaster Risk Reduction and Management Council and approved by the Council through a resolution and integrated in the Annual Investment Program. For CY 2022 PPAs, CDRRM Council Resolution No. 4, series of 2021 was passed and adopted on February 2, 2021. On the other hand, PPAs charged to prior years unexpended LDRMMF under trust liabilities are also passed through resolutions. It is the City Accountant who monitors its proper charging since it is held under trust.</w:t>
      </w:r>
    </w:p>
    <w:p>
      <w:pPr>
        <w:spacing w:line="276" w:lineRule="auto"/>
        <w:ind w:firstLine="720"/>
        <w:contextualSpacing/>
        <w:jc w:val="both"/>
      </w:pPr>
    </w:p>
    <w:p>
      <w:pPr>
        <w:spacing w:line="276" w:lineRule="auto"/>
        <w:ind w:left="90"/>
        <w:jc w:val="both"/>
      </w:pPr>
      <w:r>
        <w:t>The LDRRMFIP serves as the main guide in monitoring and evaluating the specific projects and activities for which the DRRM Fund must be utilized which contains important data such as the specific details of PPAs, period of implementation and breakdown of appropriation into MOOE or Capital Outlay, among others. The LDRRMFIP also shows the list of capital outlay projects charged to the unexpended LDRRMF of previous</w:t>
      </w:r>
      <w:r>
        <w:rPr>
          <w:i/>
        </w:rPr>
        <w:t xml:space="preserve"> </w:t>
      </w:r>
      <w:r>
        <w:t xml:space="preserve">years and the activities to be funded from the unexpended Quick </w:t>
      </w:r>
      <w:r>
        <w:lastRenderedPageBreak/>
        <w:t xml:space="preserve">Response Fund (QRF) and DRRMF-MOOE of the previous years which were transferred to the Special Trust Fund. </w:t>
      </w:r>
    </w:p>
    <w:p>
      <w:pPr>
        <w:spacing w:line="276" w:lineRule="auto"/>
        <w:ind w:left="90" w:firstLine="630"/>
        <w:jc w:val="both"/>
      </w:pPr>
    </w:p>
    <w:p>
      <w:pPr>
        <w:numPr>
          <w:ilvl w:val="0"/>
          <w:numId w:val="44"/>
        </w:numPr>
        <w:spacing w:line="276" w:lineRule="auto"/>
        <w:ind w:left="360"/>
        <w:contextualSpacing/>
        <w:jc w:val="both"/>
        <w:rPr>
          <w:b/>
          <w:i/>
        </w:rPr>
      </w:pPr>
      <w:r>
        <w:rPr>
          <w:b/>
          <w:i/>
        </w:rPr>
        <w:t>On the non-preparation of the Monthly Report on Sources and Utilization of LDRRMF for October to December 2022</w:t>
      </w:r>
    </w:p>
    <w:p>
      <w:pPr>
        <w:spacing w:line="276" w:lineRule="auto"/>
        <w:ind w:left="360"/>
        <w:contextualSpacing/>
        <w:jc w:val="both"/>
        <w:rPr>
          <w:i/>
        </w:rPr>
      </w:pPr>
    </w:p>
    <w:p>
      <w:pPr>
        <w:spacing w:line="276" w:lineRule="auto"/>
        <w:contextualSpacing/>
        <w:jc w:val="both"/>
      </w:pPr>
      <w:r>
        <w:t xml:space="preserve">The CDRRM Office was only able to submit and prepare the Monthly Report on Sources and Utilization of LDRRMF from January to September 2022. </w:t>
      </w:r>
    </w:p>
    <w:p>
      <w:pPr>
        <w:spacing w:line="276" w:lineRule="auto"/>
        <w:ind w:firstLine="720"/>
        <w:contextualSpacing/>
        <w:jc w:val="both"/>
      </w:pPr>
    </w:p>
    <w:p>
      <w:pPr>
        <w:spacing w:line="276" w:lineRule="auto"/>
        <w:contextualSpacing/>
        <w:jc w:val="both"/>
      </w:pPr>
      <w:r>
        <w:t xml:space="preserve">Upon inquiry, it was disclosed that the CDRRM Council proposed the declaration of savings for several unimplemented projects under the current, continuing and STF appropriations under the LDRRM Fund. However, the CDRRMO was unaware that the said proposal was submitted late to the Sangguniang </w:t>
      </w:r>
      <w:proofErr w:type="spellStart"/>
      <w:r>
        <w:t>Panlungsod</w:t>
      </w:r>
      <w:proofErr w:type="spellEnd"/>
      <w:r>
        <w:t>, hence, approval for the declaration of savings is still pending. Because of this, the report prepared by the CDRRMO does not coincide with the monitoring report on the fund sources and utilization kept by the City Accounting Office.  Starting October until December 2022, the monthly report was not prepared by the CDRRMO due to the said difference in the budget appropriation.</w:t>
      </w:r>
    </w:p>
    <w:p>
      <w:pPr>
        <w:spacing w:line="276" w:lineRule="auto"/>
        <w:ind w:firstLine="720"/>
        <w:contextualSpacing/>
        <w:jc w:val="both"/>
      </w:pPr>
    </w:p>
    <w:p>
      <w:pPr>
        <w:spacing w:line="276" w:lineRule="auto"/>
        <w:contextualSpacing/>
        <w:jc w:val="both"/>
      </w:pPr>
      <w:r>
        <w:t>Although the City Accountant was able to furnish a report on the utilization of the LDDRM Fund for CY 2022, the figures presented are cumulative of the current and prior year sources and utilizations and does not show the current year performance of the City in terms of the utilization of the fund, which is still not in accordance with the requirement of the afore-cited COA Circular.</w:t>
      </w:r>
    </w:p>
    <w:p>
      <w:pPr>
        <w:spacing w:line="276" w:lineRule="auto"/>
        <w:ind w:firstLine="720"/>
        <w:contextualSpacing/>
        <w:jc w:val="both"/>
      </w:pPr>
    </w:p>
    <w:p>
      <w:pPr>
        <w:spacing w:line="276" w:lineRule="auto"/>
        <w:contextualSpacing/>
        <w:jc w:val="both"/>
      </w:pPr>
      <w:r>
        <w:t>Due to the non-preparation and submission of the said monthly report for the aforementioned periods, the Audit Team was precluded in conducting timely review and audit of the current status of the DRRM Funds.</w:t>
      </w:r>
    </w:p>
    <w:p>
      <w:pPr>
        <w:spacing w:line="276" w:lineRule="auto"/>
        <w:jc w:val="both"/>
      </w:pPr>
    </w:p>
    <w:p>
      <w:pPr>
        <w:spacing w:line="276" w:lineRule="auto"/>
        <w:jc w:val="both"/>
      </w:pPr>
      <w:r>
        <w:t>In conclusion, the non-preparation of LDRRMFIP and Monthly Report on Sources and Utilization of LDDRM Fund may result in overlapping manpower and resources which may cause low accomplishment rate. This makes it difficult to monitor and evaluate the accomplishment of specific PPAs against what has been planned, which hinders the optimal, efficient and timely implementation of projects.</w:t>
      </w:r>
    </w:p>
    <w:p>
      <w:pPr>
        <w:spacing w:line="276" w:lineRule="auto"/>
        <w:jc w:val="both"/>
        <w:rPr>
          <w:b/>
        </w:rPr>
      </w:pPr>
    </w:p>
    <w:p>
      <w:pPr>
        <w:spacing w:line="276" w:lineRule="auto"/>
        <w:jc w:val="both"/>
        <w:rPr>
          <w:b/>
        </w:rPr>
      </w:pPr>
      <w:r>
        <w:rPr>
          <w:b/>
        </w:rPr>
        <w:t>Recommendations:</w:t>
      </w:r>
    </w:p>
    <w:p>
      <w:pPr>
        <w:spacing w:line="276" w:lineRule="auto"/>
        <w:jc w:val="both"/>
        <w:rPr>
          <w:b/>
        </w:rPr>
      </w:pPr>
    </w:p>
    <w:p>
      <w:pPr>
        <w:spacing w:line="276" w:lineRule="auto"/>
        <w:jc w:val="both"/>
      </w:pPr>
      <w:r>
        <w:t>We recommended the City Mayor to:</w:t>
      </w:r>
    </w:p>
    <w:p>
      <w:pPr>
        <w:spacing w:line="276" w:lineRule="auto"/>
        <w:jc w:val="both"/>
      </w:pPr>
    </w:p>
    <w:p>
      <w:pPr>
        <w:numPr>
          <w:ilvl w:val="0"/>
          <w:numId w:val="45"/>
        </w:numPr>
        <w:spacing w:line="276" w:lineRule="auto"/>
        <w:ind w:left="360"/>
        <w:contextualSpacing/>
        <w:jc w:val="both"/>
      </w:pPr>
      <w:r>
        <w:lastRenderedPageBreak/>
        <w:t>Direct the CDRRM Section to prepare and submit LDRRMFIP in accordance with COA Circular No. 2012-002 showing the required details for: (a) current year PPAs, (b) capital outlay projects charged to the unexpended LDRRMF of previous years and (c) PPAs funded from the unexpended QRF and DRRMF-MOOE of the previous years which were transferred to the Special Trust Fund;</w:t>
      </w:r>
    </w:p>
    <w:p>
      <w:pPr>
        <w:spacing w:line="276" w:lineRule="auto"/>
        <w:ind w:left="360"/>
        <w:contextualSpacing/>
        <w:jc w:val="both"/>
      </w:pPr>
    </w:p>
    <w:p>
      <w:pPr>
        <w:numPr>
          <w:ilvl w:val="0"/>
          <w:numId w:val="45"/>
        </w:numPr>
        <w:spacing w:line="276" w:lineRule="auto"/>
        <w:ind w:left="360"/>
        <w:contextualSpacing/>
        <w:jc w:val="both"/>
      </w:pPr>
      <w:r>
        <w:t>Direct the CDRRMO to prepare and submit the monthly Report on Sources and Utilization of LDRRMF, duly certified by the Accountant, and to submit the same promptly (through the LDRRMC and the LDC) to the OCD and the Audit Team, on or before the 15th day after the end of the month.</w:t>
      </w:r>
    </w:p>
    <w:p>
      <w:pPr>
        <w:spacing w:line="276" w:lineRule="auto"/>
        <w:jc w:val="both"/>
      </w:pPr>
    </w:p>
    <w:p>
      <w:pPr>
        <w:spacing w:line="276" w:lineRule="auto"/>
        <w:ind w:right="162"/>
        <w:jc w:val="both"/>
        <w:rPr>
          <w:b/>
          <w:bCs/>
        </w:rPr>
      </w:pPr>
      <w:r>
        <w:rPr>
          <w:b/>
          <w:bCs/>
        </w:rPr>
        <w:t>Management’s Comment:</w:t>
      </w:r>
    </w:p>
    <w:p>
      <w:pPr>
        <w:spacing w:line="276" w:lineRule="auto"/>
        <w:jc w:val="both"/>
      </w:pPr>
    </w:p>
    <w:p>
      <w:pPr>
        <w:spacing w:line="276" w:lineRule="auto"/>
        <w:ind w:right="162"/>
        <w:jc w:val="both"/>
        <w:rPr>
          <w:bCs/>
        </w:rPr>
      </w:pPr>
      <w:r>
        <w:rPr>
          <w:bCs/>
        </w:rPr>
        <w:t>As of date of this report, no written replies/comments pertaining this audit observation and recommendations were received from the management. However, d</w:t>
      </w:r>
      <w:r>
        <w:t xml:space="preserve">uring the exit conference, the CDRRM Officer committed to submit the LDRRMFIP and Monthly Report on Sources and Utilization of LDRRMF. </w:t>
      </w:r>
    </w:p>
    <w:p>
      <w:pPr>
        <w:spacing w:line="276" w:lineRule="auto"/>
        <w:jc w:val="both"/>
        <w:rPr>
          <w:b/>
          <w:bCs/>
        </w:rPr>
      </w:pPr>
    </w:p>
    <w:p>
      <w:pPr>
        <w:spacing w:line="276" w:lineRule="auto"/>
        <w:jc w:val="both"/>
      </w:pPr>
      <w:r>
        <w:rPr>
          <w:b/>
          <w:bCs/>
        </w:rPr>
        <w:t>Auditor’s Rejoinder:</w:t>
      </w:r>
    </w:p>
    <w:p>
      <w:pPr>
        <w:spacing w:line="276" w:lineRule="auto"/>
        <w:ind w:right="270"/>
        <w:jc w:val="both"/>
        <w:rPr>
          <w:b/>
        </w:rPr>
      </w:pPr>
    </w:p>
    <w:p>
      <w:pPr>
        <w:spacing w:line="276" w:lineRule="auto"/>
        <w:ind w:right="270"/>
        <w:jc w:val="both"/>
        <w:rPr>
          <w:color w:val="202124"/>
          <w:shd w:val="clear" w:color="auto" w:fill="FFFFFF"/>
        </w:rPr>
      </w:pPr>
      <w:r>
        <w:t xml:space="preserve">It is suggested that the CDDRMO submit immediately their written replies/comments and the required </w:t>
      </w:r>
      <w:r>
        <w:rPr>
          <w:color w:val="202124"/>
          <w:shd w:val="clear" w:color="auto" w:fill="FFFFFF"/>
        </w:rPr>
        <w:t>reports as recommended for us to make a decision in audit. In case of the management’s failure to reply and comply with the requirements, our audit observation shall be deemed accepted, and we shall re-evaluate the transactions based on the documents/information submitted.</w:t>
      </w:r>
    </w:p>
    <w:p>
      <w:pPr>
        <w:spacing w:line="276" w:lineRule="auto"/>
        <w:jc w:val="both"/>
      </w:pPr>
    </w:p>
    <w:p>
      <w:pPr>
        <w:spacing w:line="276" w:lineRule="auto"/>
        <w:ind w:right="270"/>
        <w:rPr>
          <w:b/>
        </w:rPr>
      </w:pPr>
    </w:p>
    <w:p>
      <w:pPr>
        <w:spacing w:line="276" w:lineRule="auto"/>
        <w:ind w:right="270"/>
        <w:rPr>
          <w:b/>
          <w:bCs/>
          <w:i/>
        </w:rPr>
      </w:pPr>
      <w:r>
        <w:rPr>
          <w:b/>
          <w:bCs/>
          <w:i/>
        </w:rPr>
        <w:t>Delayed submission of financial documents and reports</w:t>
      </w:r>
    </w:p>
    <w:p>
      <w:pPr>
        <w:spacing w:line="276" w:lineRule="auto"/>
        <w:ind w:right="270"/>
        <w:rPr>
          <w:b/>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Delay in the submission of Bank Reconciliation Statement (BRS), Reports of Collections and Deposits (RCD), Liquidation Reports (LRs), and Disbursement Vouchers (DVs) including the supporting documents ranging from 17 to 150 days prevented the timely review and evaluation of the validity, propriety and regularity of the transactions and the completion of audit reports.</w:t>
      </w:r>
    </w:p>
    <w:p>
      <w:pPr>
        <w:spacing w:line="276" w:lineRule="auto"/>
        <w:ind w:right="270"/>
        <w:rPr>
          <w:rFonts w:eastAsia="Calibri"/>
          <w:b/>
          <w:lang w:val="en-PH"/>
        </w:rPr>
      </w:pPr>
    </w:p>
    <w:p>
      <w:pPr>
        <w:spacing w:line="276" w:lineRule="auto"/>
        <w:ind w:right="2"/>
        <w:jc w:val="both"/>
        <w:rPr>
          <w:lang w:eastAsia="en-PH"/>
        </w:rPr>
      </w:pPr>
      <w:r>
        <w:rPr>
          <w:lang w:eastAsia="en-PH"/>
        </w:rPr>
        <w:t>Section 74 of PD 1445 provides that:</w:t>
      </w:r>
    </w:p>
    <w:p>
      <w:pPr>
        <w:spacing w:line="276" w:lineRule="auto"/>
        <w:ind w:right="2"/>
        <w:jc w:val="both"/>
        <w:rPr>
          <w:lang w:eastAsia="en-PH"/>
        </w:rPr>
      </w:pPr>
    </w:p>
    <w:p>
      <w:pPr>
        <w:spacing w:line="276" w:lineRule="auto"/>
        <w:ind w:left="720" w:right="702"/>
        <w:jc w:val="both"/>
        <w:rPr>
          <w:lang w:eastAsia="en-PH"/>
        </w:rPr>
      </w:pPr>
      <w:r>
        <w:rPr>
          <w:lang w:eastAsia="en-PH"/>
        </w:rPr>
        <w:t xml:space="preserve">At the close of each month, depositories shall report to the agency head, in such form as he may direct, the condition of the agency account standing on their books. The head of the agency shall see to it that a reconciliation </w:t>
      </w:r>
      <w:r>
        <w:rPr>
          <w:lang w:eastAsia="en-PH"/>
        </w:rPr>
        <w:lastRenderedPageBreak/>
        <w:t>is made between the balance shown in the bank reports and the balance found in the books of the agency.</w:t>
      </w:r>
    </w:p>
    <w:p>
      <w:pPr>
        <w:spacing w:line="276" w:lineRule="auto"/>
        <w:ind w:left="720" w:right="288"/>
        <w:jc w:val="both"/>
        <w:rPr>
          <w:i/>
          <w:lang w:eastAsia="en-PH"/>
        </w:rPr>
      </w:pPr>
    </w:p>
    <w:p>
      <w:pPr>
        <w:spacing w:line="276" w:lineRule="auto"/>
        <w:ind w:right="2"/>
        <w:jc w:val="both"/>
        <w:rPr>
          <w:lang w:eastAsia="en-PH"/>
        </w:rPr>
      </w:pPr>
      <w:r>
        <w:rPr>
          <w:lang w:eastAsia="en-PH"/>
        </w:rPr>
        <w:t>Section 7.2.1 (2) of COA Circular No. 2009-006 provides the responsibility of the agency accountant in the audit and settlement of accounts, to wit:</w:t>
      </w:r>
    </w:p>
    <w:p>
      <w:pPr>
        <w:spacing w:line="276" w:lineRule="auto"/>
        <w:ind w:firstLine="720"/>
        <w:jc w:val="both"/>
        <w:rPr>
          <w:lang w:eastAsia="en-PH"/>
        </w:rPr>
      </w:pPr>
    </w:p>
    <w:p>
      <w:pPr>
        <w:spacing w:line="276" w:lineRule="auto"/>
        <w:ind w:left="720" w:right="702"/>
        <w:jc w:val="both"/>
        <w:rPr>
          <w:lang w:eastAsia="en-PH"/>
        </w:rPr>
      </w:pPr>
      <w:r>
        <w:rPr>
          <w:lang w:eastAsia="en-PH"/>
        </w:rPr>
        <w:t>the reports and supporting documents submitted by the accountable officers are immediately recorded in the books of accounts and submitted to the Auditor within the first ten (10) days of the ensuing month;</w:t>
      </w:r>
    </w:p>
    <w:p>
      <w:pPr>
        <w:numPr>
          <w:ilvl w:val="0"/>
          <w:numId w:val="47"/>
        </w:numPr>
        <w:pBdr>
          <w:top w:val="nil"/>
          <w:left w:val="nil"/>
          <w:bottom w:val="nil"/>
          <w:right w:val="nil"/>
          <w:between w:val="nil"/>
        </w:pBdr>
        <w:spacing w:line="276" w:lineRule="auto"/>
        <w:ind w:left="360" w:right="2"/>
        <w:jc w:val="both"/>
        <w:rPr>
          <w:b/>
          <w:i/>
          <w:color w:val="000000"/>
          <w:lang w:eastAsia="en-PH"/>
        </w:rPr>
      </w:pPr>
      <w:r>
        <w:rPr>
          <w:b/>
          <w:i/>
          <w:color w:val="000000"/>
          <w:lang w:eastAsia="en-PH"/>
        </w:rPr>
        <w:t>Delay in the preparation and submission of Bank Reconciliation Statement (BRS)</w:t>
      </w:r>
    </w:p>
    <w:p>
      <w:pPr>
        <w:pBdr>
          <w:top w:val="nil"/>
          <w:left w:val="nil"/>
          <w:bottom w:val="nil"/>
          <w:right w:val="nil"/>
          <w:between w:val="nil"/>
        </w:pBdr>
        <w:spacing w:line="276" w:lineRule="auto"/>
        <w:ind w:left="720" w:right="2"/>
        <w:jc w:val="both"/>
        <w:rPr>
          <w:color w:val="000000"/>
          <w:lang w:eastAsia="en-PH"/>
        </w:rPr>
      </w:pPr>
    </w:p>
    <w:p>
      <w:pPr>
        <w:spacing w:line="276" w:lineRule="auto"/>
        <w:ind w:right="2"/>
        <w:jc w:val="both"/>
        <w:rPr>
          <w:lang w:eastAsia="en-PH"/>
        </w:rPr>
      </w:pPr>
      <w:r>
        <w:rPr>
          <w:lang w:eastAsia="en-PH"/>
        </w:rPr>
        <w:t xml:space="preserve">The City Government of </w:t>
      </w:r>
      <w:proofErr w:type="spellStart"/>
      <w:r>
        <w:rPr>
          <w:lang w:eastAsia="en-PH"/>
        </w:rPr>
        <w:t>Panabo</w:t>
      </w:r>
      <w:proofErr w:type="spellEnd"/>
      <w:r>
        <w:rPr>
          <w:lang w:eastAsia="en-PH"/>
        </w:rPr>
        <w:t xml:space="preserve"> maintained nineteen (19) checking accounts in Land Bank of the Philippines (LBP) and one (1) checking account in Development Bank of the Philippines (DBP), which is listed below:</w:t>
      </w:r>
    </w:p>
    <w:p>
      <w:pPr>
        <w:spacing w:line="276" w:lineRule="auto"/>
        <w:ind w:right="2"/>
        <w:jc w:val="both"/>
        <w:rPr>
          <w:lang w:eastAsia="en-PH"/>
        </w:rPr>
      </w:pPr>
    </w:p>
    <w:p>
      <w:pPr>
        <w:spacing w:line="276" w:lineRule="auto"/>
        <w:ind w:right="2"/>
        <w:jc w:val="both"/>
        <w:rPr>
          <w:i/>
          <w:lang w:eastAsia="en-PH"/>
        </w:rPr>
      </w:pPr>
      <w:r>
        <w:rPr>
          <w:i/>
          <w:lang w:eastAsia="en-PH"/>
        </w:rPr>
        <w:t xml:space="preserve">Table 20.1. List of checking accounts maintained by </w:t>
      </w:r>
      <w:proofErr w:type="spellStart"/>
      <w:r>
        <w:rPr>
          <w:i/>
          <w:lang w:eastAsia="en-PH"/>
        </w:rPr>
        <w:t>Panabo</w:t>
      </w:r>
      <w:proofErr w:type="spellEnd"/>
      <w:r>
        <w:rPr>
          <w:i/>
          <w:lang w:eastAsia="en-PH"/>
        </w:rPr>
        <w:t xml:space="preserve"> City</w:t>
      </w:r>
    </w:p>
    <w:tbl>
      <w:tblPr>
        <w:tblW w:w="7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35"/>
        <w:gridCol w:w="1985"/>
      </w:tblGrid>
      <w:tr>
        <w:trPr>
          <w:trHeight w:val="20"/>
          <w:jc w:val="center"/>
        </w:trPr>
        <w:tc>
          <w:tcPr>
            <w:tcW w:w="5935" w:type="dxa"/>
            <w:shd w:val="clear" w:color="auto" w:fill="D9D9D9"/>
            <w:vAlign w:val="center"/>
          </w:tcPr>
          <w:p>
            <w:pPr>
              <w:spacing w:line="276" w:lineRule="auto"/>
              <w:jc w:val="center"/>
              <w:rPr>
                <w:b/>
                <w:sz w:val="22"/>
                <w:szCs w:val="22"/>
                <w:lang w:eastAsia="en-PH"/>
              </w:rPr>
            </w:pPr>
            <w:r>
              <w:rPr>
                <w:b/>
                <w:sz w:val="22"/>
                <w:szCs w:val="22"/>
                <w:lang w:eastAsia="en-PH"/>
              </w:rPr>
              <w:t>Account Name</w:t>
            </w:r>
          </w:p>
        </w:tc>
        <w:tc>
          <w:tcPr>
            <w:tcW w:w="1985" w:type="dxa"/>
            <w:shd w:val="clear" w:color="auto" w:fill="D9D9D9"/>
            <w:vAlign w:val="center"/>
          </w:tcPr>
          <w:p>
            <w:pPr>
              <w:spacing w:line="276" w:lineRule="auto"/>
              <w:jc w:val="center"/>
              <w:rPr>
                <w:b/>
                <w:sz w:val="22"/>
                <w:szCs w:val="22"/>
                <w:lang w:eastAsia="en-PH"/>
              </w:rPr>
            </w:pPr>
            <w:r>
              <w:rPr>
                <w:b/>
                <w:sz w:val="22"/>
                <w:szCs w:val="22"/>
                <w:lang w:eastAsia="en-PH"/>
              </w:rPr>
              <w:t>Account No.</w:t>
            </w:r>
          </w:p>
        </w:tc>
      </w:tr>
      <w:tr>
        <w:trPr>
          <w:trHeight w:val="20"/>
          <w:jc w:val="center"/>
        </w:trPr>
        <w:tc>
          <w:tcPr>
            <w:tcW w:w="7920" w:type="dxa"/>
            <w:gridSpan w:val="2"/>
            <w:vAlign w:val="center"/>
          </w:tcPr>
          <w:p>
            <w:pPr>
              <w:spacing w:line="276" w:lineRule="auto"/>
              <w:jc w:val="center"/>
              <w:rPr>
                <w:sz w:val="22"/>
                <w:szCs w:val="22"/>
                <w:lang w:eastAsia="en-PH"/>
              </w:rPr>
            </w:pPr>
            <w:r>
              <w:rPr>
                <w:b/>
                <w:sz w:val="22"/>
                <w:szCs w:val="22"/>
                <w:lang w:eastAsia="en-PH"/>
              </w:rPr>
              <w:t>LBP-</w:t>
            </w:r>
            <w:proofErr w:type="spellStart"/>
            <w:r>
              <w:rPr>
                <w:b/>
                <w:sz w:val="22"/>
                <w:szCs w:val="22"/>
                <w:lang w:eastAsia="en-PH"/>
              </w:rPr>
              <w:t>Panabo</w:t>
            </w:r>
            <w:proofErr w:type="spellEnd"/>
            <w:r>
              <w:rPr>
                <w:b/>
                <w:sz w:val="22"/>
                <w:szCs w:val="22"/>
                <w:lang w:eastAsia="en-PH"/>
              </w:rPr>
              <w:t xml:space="preserve"> Branch</w:t>
            </w:r>
          </w:p>
        </w:tc>
      </w:tr>
      <w:tr>
        <w:trPr>
          <w:trHeight w:val="20"/>
          <w:jc w:val="center"/>
        </w:trPr>
        <w:tc>
          <w:tcPr>
            <w:tcW w:w="5935" w:type="dxa"/>
            <w:vAlign w:val="center"/>
          </w:tcPr>
          <w:p>
            <w:pPr>
              <w:spacing w:line="276" w:lineRule="auto"/>
              <w:rPr>
                <w:sz w:val="22"/>
                <w:szCs w:val="22"/>
                <w:lang w:eastAsia="en-PH"/>
              </w:rPr>
            </w:pPr>
            <w:r>
              <w:rPr>
                <w:sz w:val="22"/>
                <w:szCs w:val="22"/>
                <w:lang w:eastAsia="en-PH"/>
              </w:rPr>
              <w:t>General Fund</w:t>
            </w:r>
          </w:p>
        </w:tc>
        <w:tc>
          <w:tcPr>
            <w:tcW w:w="1985" w:type="dxa"/>
            <w:vAlign w:val="center"/>
          </w:tcPr>
          <w:p>
            <w:pPr>
              <w:spacing w:line="276" w:lineRule="auto"/>
              <w:jc w:val="center"/>
              <w:rPr>
                <w:sz w:val="22"/>
                <w:szCs w:val="22"/>
                <w:lang w:eastAsia="en-PH"/>
              </w:rPr>
            </w:pPr>
            <w:r>
              <w:rPr>
                <w:sz w:val="22"/>
                <w:szCs w:val="22"/>
                <w:lang w:eastAsia="en-PH"/>
              </w:rPr>
              <w:t>1742-1006-90</w:t>
            </w:r>
          </w:p>
        </w:tc>
      </w:tr>
      <w:tr>
        <w:trPr>
          <w:trHeight w:val="20"/>
          <w:jc w:val="center"/>
        </w:trPr>
        <w:tc>
          <w:tcPr>
            <w:tcW w:w="5935" w:type="dxa"/>
            <w:vAlign w:val="center"/>
          </w:tcPr>
          <w:p>
            <w:pPr>
              <w:spacing w:line="276" w:lineRule="auto"/>
              <w:rPr>
                <w:sz w:val="22"/>
                <w:szCs w:val="22"/>
                <w:lang w:eastAsia="en-PH"/>
              </w:rPr>
            </w:pPr>
            <w:r>
              <w:rPr>
                <w:sz w:val="22"/>
                <w:szCs w:val="22"/>
                <w:lang w:eastAsia="en-PH"/>
              </w:rPr>
              <w:t>SEF</w:t>
            </w:r>
          </w:p>
        </w:tc>
        <w:tc>
          <w:tcPr>
            <w:tcW w:w="1985" w:type="dxa"/>
            <w:vAlign w:val="center"/>
          </w:tcPr>
          <w:p>
            <w:pPr>
              <w:spacing w:line="276" w:lineRule="auto"/>
              <w:jc w:val="center"/>
              <w:rPr>
                <w:sz w:val="22"/>
                <w:szCs w:val="22"/>
                <w:lang w:eastAsia="en-PH"/>
              </w:rPr>
            </w:pPr>
            <w:r>
              <w:rPr>
                <w:sz w:val="22"/>
                <w:szCs w:val="22"/>
                <w:lang w:eastAsia="en-PH"/>
              </w:rPr>
              <w:t>1742-1006-81</w:t>
            </w:r>
          </w:p>
        </w:tc>
      </w:tr>
      <w:tr>
        <w:trPr>
          <w:trHeight w:val="20"/>
          <w:jc w:val="center"/>
        </w:trPr>
        <w:tc>
          <w:tcPr>
            <w:tcW w:w="5935" w:type="dxa"/>
            <w:vAlign w:val="center"/>
          </w:tcPr>
          <w:p>
            <w:pPr>
              <w:spacing w:line="276" w:lineRule="auto"/>
              <w:rPr>
                <w:sz w:val="22"/>
                <w:szCs w:val="22"/>
                <w:lang w:eastAsia="en-PH"/>
              </w:rPr>
            </w:pPr>
            <w:r>
              <w:rPr>
                <w:sz w:val="22"/>
                <w:szCs w:val="22"/>
                <w:lang w:eastAsia="en-PH"/>
              </w:rPr>
              <w:t>Terminal</w:t>
            </w:r>
          </w:p>
        </w:tc>
        <w:tc>
          <w:tcPr>
            <w:tcW w:w="1985" w:type="dxa"/>
            <w:vAlign w:val="center"/>
          </w:tcPr>
          <w:p>
            <w:pPr>
              <w:spacing w:line="276" w:lineRule="auto"/>
              <w:jc w:val="center"/>
              <w:rPr>
                <w:sz w:val="22"/>
                <w:szCs w:val="22"/>
                <w:lang w:eastAsia="en-PH"/>
              </w:rPr>
            </w:pPr>
            <w:r>
              <w:rPr>
                <w:sz w:val="22"/>
                <w:szCs w:val="22"/>
                <w:lang w:eastAsia="en-PH"/>
              </w:rPr>
              <w:t>1742-1033-46</w:t>
            </w:r>
          </w:p>
        </w:tc>
      </w:tr>
      <w:tr>
        <w:trPr>
          <w:trHeight w:val="20"/>
          <w:jc w:val="center"/>
        </w:trPr>
        <w:tc>
          <w:tcPr>
            <w:tcW w:w="5935" w:type="dxa"/>
            <w:vAlign w:val="center"/>
          </w:tcPr>
          <w:p>
            <w:pPr>
              <w:spacing w:line="276" w:lineRule="auto"/>
              <w:rPr>
                <w:sz w:val="22"/>
                <w:szCs w:val="22"/>
                <w:lang w:eastAsia="en-PH"/>
              </w:rPr>
            </w:pPr>
            <w:r>
              <w:rPr>
                <w:sz w:val="22"/>
                <w:szCs w:val="22"/>
                <w:lang w:eastAsia="en-PH"/>
              </w:rPr>
              <w:t>Trust Fund</w:t>
            </w:r>
          </w:p>
        </w:tc>
        <w:tc>
          <w:tcPr>
            <w:tcW w:w="1985" w:type="dxa"/>
            <w:vAlign w:val="center"/>
          </w:tcPr>
          <w:p>
            <w:pPr>
              <w:spacing w:line="276" w:lineRule="auto"/>
              <w:jc w:val="center"/>
              <w:rPr>
                <w:sz w:val="22"/>
                <w:szCs w:val="22"/>
                <w:lang w:eastAsia="en-PH"/>
              </w:rPr>
            </w:pPr>
            <w:r>
              <w:rPr>
                <w:sz w:val="22"/>
                <w:szCs w:val="22"/>
                <w:lang w:eastAsia="en-PH"/>
              </w:rPr>
              <w:t>1742-1007-03</w:t>
            </w:r>
          </w:p>
        </w:tc>
      </w:tr>
      <w:tr>
        <w:trPr>
          <w:trHeight w:val="20"/>
          <w:jc w:val="center"/>
        </w:trPr>
        <w:tc>
          <w:tcPr>
            <w:tcW w:w="5935" w:type="dxa"/>
            <w:vAlign w:val="center"/>
          </w:tcPr>
          <w:p>
            <w:pPr>
              <w:spacing w:line="276" w:lineRule="auto"/>
              <w:rPr>
                <w:sz w:val="22"/>
                <w:szCs w:val="22"/>
                <w:lang w:eastAsia="en-PH"/>
              </w:rPr>
            </w:pPr>
            <w:r>
              <w:rPr>
                <w:sz w:val="22"/>
                <w:szCs w:val="22"/>
                <w:lang w:eastAsia="en-PH"/>
              </w:rPr>
              <w:t>Economic Enterprise</w:t>
            </w:r>
          </w:p>
        </w:tc>
        <w:tc>
          <w:tcPr>
            <w:tcW w:w="1985" w:type="dxa"/>
            <w:vAlign w:val="center"/>
          </w:tcPr>
          <w:p>
            <w:pPr>
              <w:spacing w:line="276" w:lineRule="auto"/>
              <w:jc w:val="center"/>
              <w:rPr>
                <w:sz w:val="22"/>
                <w:szCs w:val="22"/>
                <w:lang w:eastAsia="en-PH"/>
              </w:rPr>
            </w:pPr>
            <w:r>
              <w:rPr>
                <w:sz w:val="22"/>
                <w:szCs w:val="22"/>
                <w:lang w:eastAsia="en-PH"/>
              </w:rPr>
              <w:t>1742-1008-35</w:t>
            </w:r>
          </w:p>
        </w:tc>
      </w:tr>
      <w:tr>
        <w:trPr>
          <w:trHeight w:val="20"/>
          <w:jc w:val="center"/>
        </w:trPr>
        <w:tc>
          <w:tcPr>
            <w:tcW w:w="5935" w:type="dxa"/>
            <w:vAlign w:val="center"/>
          </w:tcPr>
          <w:p>
            <w:pPr>
              <w:spacing w:line="276" w:lineRule="auto"/>
              <w:rPr>
                <w:sz w:val="22"/>
                <w:szCs w:val="22"/>
                <w:lang w:eastAsia="en-PH"/>
              </w:rPr>
            </w:pPr>
            <w:r>
              <w:rPr>
                <w:sz w:val="22"/>
                <w:szCs w:val="22"/>
                <w:lang w:eastAsia="en-PH"/>
              </w:rPr>
              <w:t>Cemetery Operation</w:t>
            </w:r>
          </w:p>
        </w:tc>
        <w:tc>
          <w:tcPr>
            <w:tcW w:w="1985" w:type="dxa"/>
            <w:vAlign w:val="center"/>
          </w:tcPr>
          <w:p>
            <w:pPr>
              <w:spacing w:line="276" w:lineRule="auto"/>
              <w:jc w:val="center"/>
              <w:rPr>
                <w:sz w:val="22"/>
                <w:szCs w:val="22"/>
                <w:lang w:eastAsia="en-PH"/>
              </w:rPr>
            </w:pPr>
            <w:r>
              <w:rPr>
                <w:sz w:val="22"/>
                <w:szCs w:val="22"/>
                <w:lang w:eastAsia="en-PH"/>
              </w:rPr>
              <w:t>1742-1037-10</w:t>
            </w:r>
          </w:p>
        </w:tc>
      </w:tr>
      <w:tr>
        <w:trPr>
          <w:trHeight w:val="20"/>
          <w:jc w:val="center"/>
        </w:trPr>
        <w:tc>
          <w:tcPr>
            <w:tcW w:w="5935" w:type="dxa"/>
            <w:vAlign w:val="center"/>
          </w:tcPr>
          <w:p>
            <w:pPr>
              <w:spacing w:line="276" w:lineRule="auto"/>
              <w:rPr>
                <w:sz w:val="22"/>
                <w:szCs w:val="22"/>
                <w:lang w:eastAsia="en-PH"/>
              </w:rPr>
            </w:pPr>
            <w:r>
              <w:rPr>
                <w:sz w:val="22"/>
                <w:szCs w:val="22"/>
                <w:lang w:eastAsia="en-PH"/>
              </w:rPr>
              <w:t>Slaughterhouse Operation</w:t>
            </w:r>
          </w:p>
        </w:tc>
        <w:tc>
          <w:tcPr>
            <w:tcW w:w="1985" w:type="dxa"/>
            <w:vAlign w:val="center"/>
          </w:tcPr>
          <w:p>
            <w:pPr>
              <w:spacing w:line="276" w:lineRule="auto"/>
              <w:jc w:val="center"/>
              <w:rPr>
                <w:sz w:val="22"/>
                <w:szCs w:val="22"/>
                <w:lang w:eastAsia="en-PH"/>
              </w:rPr>
            </w:pPr>
            <w:r>
              <w:rPr>
                <w:sz w:val="22"/>
                <w:szCs w:val="22"/>
                <w:lang w:eastAsia="en-PH"/>
              </w:rPr>
              <w:t>1742-1037-29</w:t>
            </w:r>
          </w:p>
        </w:tc>
      </w:tr>
      <w:tr>
        <w:trPr>
          <w:trHeight w:val="20"/>
          <w:jc w:val="center"/>
        </w:trPr>
        <w:tc>
          <w:tcPr>
            <w:tcW w:w="5935" w:type="dxa"/>
            <w:vAlign w:val="center"/>
          </w:tcPr>
          <w:p>
            <w:pPr>
              <w:spacing w:line="276" w:lineRule="auto"/>
              <w:rPr>
                <w:sz w:val="22"/>
                <w:szCs w:val="22"/>
                <w:lang w:eastAsia="en-PH"/>
              </w:rPr>
            </w:pPr>
            <w:r>
              <w:rPr>
                <w:sz w:val="22"/>
                <w:szCs w:val="22"/>
                <w:lang w:eastAsia="en-PH"/>
              </w:rPr>
              <w:t>MPC</w:t>
            </w:r>
          </w:p>
        </w:tc>
        <w:tc>
          <w:tcPr>
            <w:tcW w:w="1985" w:type="dxa"/>
            <w:vAlign w:val="center"/>
          </w:tcPr>
          <w:p>
            <w:pPr>
              <w:spacing w:line="276" w:lineRule="auto"/>
              <w:jc w:val="center"/>
              <w:rPr>
                <w:sz w:val="22"/>
                <w:szCs w:val="22"/>
                <w:lang w:eastAsia="en-PH"/>
              </w:rPr>
            </w:pPr>
            <w:r>
              <w:rPr>
                <w:sz w:val="22"/>
                <w:szCs w:val="22"/>
                <w:lang w:eastAsia="en-PH"/>
              </w:rPr>
              <w:t>1742-1035-59</w:t>
            </w:r>
          </w:p>
        </w:tc>
      </w:tr>
      <w:tr>
        <w:trPr>
          <w:trHeight w:val="20"/>
          <w:jc w:val="center"/>
        </w:trPr>
        <w:tc>
          <w:tcPr>
            <w:tcW w:w="5935" w:type="dxa"/>
            <w:vAlign w:val="center"/>
          </w:tcPr>
          <w:p>
            <w:pPr>
              <w:spacing w:line="276" w:lineRule="auto"/>
              <w:rPr>
                <w:sz w:val="22"/>
                <w:szCs w:val="22"/>
                <w:lang w:eastAsia="en-PH"/>
              </w:rPr>
            </w:pPr>
            <w:r>
              <w:rPr>
                <w:sz w:val="22"/>
                <w:szCs w:val="22"/>
                <w:lang w:eastAsia="en-PH"/>
              </w:rPr>
              <w:t>City Hall</w:t>
            </w:r>
          </w:p>
        </w:tc>
        <w:tc>
          <w:tcPr>
            <w:tcW w:w="1985" w:type="dxa"/>
            <w:vAlign w:val="center"/>
          </w:tcPr>
          <w:p>
            <w:pPr>
              <w:spacing w:line="276" w:lineRule="auto"/>
              <w:jc w:val="center"/>
              <w:rPr>
                <w:sz w:val="22"/>
                <w:szCs w:val="22"/>
                <w:lang w:eastAsia="en-PH"/>
              </w:rPr>
            </w:pPr>
            <w:r>
              <w:rPr>
                <w:sz w:val="22"/>
                <w:szCs w:val="22"/>
                <w:lang w:eastAsia="en-PH"/>
              </w:rPr>
              <w:t>1742-1035-67</w:t>
            </w:r>
          </w:p>
        </w:tc>
      </w:tr>
      <w:tr>
        <w:trPr>
          <w:trHeight w:val="20"/>
          <w:jc w:val="center"/>
        </w:trPr>
        <w:tc>
          <w:tcPr>
            <w:tcW w:w="5935" w:type="dxa"/>
            <w:vAlign w:val="center"/>
          </w:tcPr>
          <w:p>
            <w:pPr>
              <w:spacing w:line="276" w:lineRule="auto"/>
              <w:rPr>
                <w:sz w:val="22"/>
                <w:szCs w:val="22"/>
                <w:lang w:eastAsia="en-PH"/>
              </w:rPr>
            </w:pPr>
            <w:r>
              <w:rPr>
                <w:sz w:val="22"/>
                <w:szCs w:val="22"/>
                <w:lang w:eastAsia="en-PH"/>
              </w:rPr>
              <w:t>Safe Birthing Facility</w:t>
            </w:r>
          </w:p>
        </w:tc>
        <w:tc>
          <w:tcPr>
            <w:tcW w:w="1985" w:type="dxa"/>
            <w:vAlign w:val="center"/>
          </w:tcPr>
          <w:p>
            <w:pPr>
              <w:spacing w:line="276" w:lineRule="auto"/>
              <w:jc w:val="center"/>
              <w:rPr>
                <w:sz w:val="22"/>
                <w:szCs w:val="22"/>
                <w:lang w:eastAsia="en-PH"/>
              </w:rPr>
            </w:pPr>
            <w:r>
              <w:rPr>
                <w:sz w:val="22"/>
                <w:szCs w:val="22"/>
                <w:lang w:eastAsia="en-PH"/>
              </w:rPr>
              <w:t>1742-1046-10</w:t>
            </w:r>
          </w:p>
        </w:tc>
      </w:tr>
      <w:tr>
        <w:trPr>
          <w:trHeight w:val="20"/>
          <w:jc w:val="center"/>
        </w:trPr>
        <w:tc>
          <w:tcPr>
            <w:tcW w:w="5935" w:type="dxa"/>
            <w:vAlign w:val="center"/>
          </w:tcPr>
          <w:p>
            <w:pPr>
              <w:spacing w:line="276" w:lineRule="auto"/>
              <w:rPr>
                <w:sz w:val="22"/>
                <w:szCs w:val="22"/>
                <w:lang w:eastAsia="en-PH"/>
              </w:rPr>
            </w:pPr>
            <w:r>
              <w:rPr>
                <w:sz w:val="22"/>
                <w:szCs w:val="22"/>
                <w:lang w:eastAsia="en-PH"/>
              </w:rPr>
              <w:t>MDG Faces</w:t>
            </w:r>
          </w:p>
        </w:tc>
        <w:tc>
          <w:tcPr>
            <w:tcW w:w="1985" w:type="dxa"/>
            <w:vAlign w:val="center"/>
          </w:tcPr>
          <w:p>
            <w:pPr>
              <w:spacing w:line="276" w:lineRule="auto"/>
              <w:jc w:val="center"/>
              <w:rPr>
                <w:sz w:val="22"/>
                <w:szCs w:val="22"/>
                <w:lang w:eastAsia="en-PH"/>
              </w:rPr>
            </w:pPr>
            <w:r>
              <w:rPr>
                <w:sz w:val="22"/>
                <w:szCs w:val="22"/>
                <w:lang w:eastAsia="en-PH"/>
              </w:rPr>
              <w:t>1742-1045-20</w:t>
            </w:r>
          </w:p>
        </w:tc>
      </w:tr>
      <w:tr>
        <w:trPr>
          <w:trHeight w:val="20"/>
          <w:jc w:val="center"/>
        </w:trPr>
        <w:tc>
          <w:tcPr>
            <w:tcW w:w="5935" w:type="dxa"/>
            <w:vAlign w:val="center"/>
          </w:tcPr>
          <w:p>
            <w:pPr>
              <w:spacing w:line="276" w:lineRule="auto"/>
              <w:rPr>
                <w:sz w:val="22"/>
                <w:szCs w:val="22"/>
                <w:lang w:eastAsia="en-PH"/>
              </w:rPr>
            </w:pPr>
            <w:r>
              <w:rPr>
                <w:sz w:val="22"/>
                <w:szCs w:val="22"/>
                <w:lang w:eastAsia="en-PH"/>
              </w:rPr>
              <w:t>Performance Challenge Fund</w:t>
            </w:r>
          </w:p>
        </w:tc>
        <w:tc>
          <w:tcPr>
            <w:tcW w:w="1985" w:type="dxa"/>
            <w:vAlign w:val="center"/>
          </w:tcPr>
          <w:p>
            <w:pPr>
              <w:spacing w:line="276" w:lineRule="auto"/>
              <w:jc w:val="center"/>
              <w:rPr>
                <w:sz w:val="22"/>
                <w:szCs w:val="22"/>
                <w:lang w:eastAsia="en-PH"/>
              </w:rPr>
            </w:pPr>
            <w:r>
              <w:rPr>
                <w:sz w:val="22"/>
                <w:szCs w:val="22"/>
                <w:lang w:eastAsia="en-PH"/>
              </w:rPr>
              <w:t>1742-1045-04</w:t>
            </w:r>
          </w:p>
        </w:tc>
      </w:tr>
      <w:tr>
        <w:trPr>
          <w:trHeight w:val="20"/>
          <w:jc w:val="center"/>
        </w:trPr>
        <w:tc>
          <w:tcPr>
            <w:tcW w:w="5935" w:type="dxa"/>
            <w:vAlign w:val="center"/>
          </w:tcPr>
          <w:p>
            <w:pPr>
              <w:spacing w:line="276" w:lineRule="auto"/>
              <w:rPr>
                <w:sz w:val="22"/>
                <w:szCs w:val="22"/>
                <w:lang w:eastAsia="en-PH"/>
              </w:rPr>
            </w:pPr>
            <w:r>
              <w:rPr>
                <w:sz w:val="22"/>
                <w:szCs w:val="22"/>
                <w:lang w:eastAsia="en-PH"/>
              </w:rPr>
              <w:t>DSWD Programs and Services</w:t>
            </w:r>
          </w:p>
        </w:tc>
        <w:tc>
          <w:tcPr>
            <w:tcW w:w="1985" w:type="dxa"/>
            <w:vAlign w:val="center"/>
          </w:tcPr>
          <w:p>
            <w:pPr>
              <w:spacing w:line="276" w:lineRule="auto"/>
              <w:jc w:val="center"/>
              <w:rPr>
                <w:sz w:val="22"/>
                <w:szCs w:val="22"/>
                <w:lang w:eastAsia="en-PH"/>
              </w:rPr>
            </w:pPr>
            <w:r>
              <w:rPr>
                <w:sz w:val="22"/>
                <w:szCs w:val="22"/>
                <w:lang w:eastAsia="en-PH"/>
              </w:rPr>
              <w:t>1742-1043-50</w:t>
            </w:r>
          </w:p>
        </w:tc>
      </w:tr>
      <w:tr>
        <w:trPr>
          <w:trHeight w:val="20"/>
          <w:jc w:val="center"/>
        </w:trPr>
        <w:tc>
          <w:tcPr>
            <w:tcW w:w="5935" w:type="dxa"/>
            <w:vAlign w:val="center"/>
          </w:tcPr>
          <w:p>
            <w:pPr>
              <w:spacing w:line="276" w:lineRule="auto"/>
              <w:rPr>
                <w:sz w:val="22"/>
                <w:szCs w:val="22"/>
                <w:lang w:eastAsia="en-PH"/>
              </w:rPr>
            </w:pPr>
            <w:r>
              <w:rPr>
                <w:sz w:val="22"/>
                <w:szCs w:val="22"/>
                <w:lang w:eastAsia="en-PH"/>
              </w:rPr>
              <w:t>MRDP-Rural Infra (Local Counterpart Fund)</w:t>
            </w:r>
          </w:p>
        </w:tc>
        <w:tc>
          <w:tcPr>
            <w:tcW w:w="1985" w:type="dxa"/>
            <w:vAlign w:val="center"/>
          </w:tcPr>
          <w:p>
            <w:pPr>
              <w:spacing w:line="276" w:lineRule="auto"/>
              <w:jc w:val="center"/>
              <w:rPr>
                <w:sz w:val="22"/>
                <w:szCs w:val="22"/>
                <w:lang w:eastAsia="en-PH"/>
              </w:rPr>
            </w:pPr>
            <w:r>
              <w:rPr>
                <w:sz w:val="22"/>
                <w:szCs w:val="22"/>
                <w:lang w:eastAsia="en-PH"/>
              </w:rPr>
              <w:t>1742-1044-07</w:t>
            </w:r>
          </w:p>
        </w:tc>
      </w:tr>
      <w:tr>
        <w:trPr>
          <w:trHeight w:val="20"/>
          <w:jc w:val="center"/>
        </w:trPr>
        <w:tc>
          <w:tcPr>
            <w:tcW w:w="5935" w:type="dxa"/>
            <w:vAlign w:val="center"/>
          </w:tcPr>
          <w:p>
            <w:pPr>
              <w:spacing w:line="276" w:lineRule="auto"/>
              <w:rPr>
                <w:sz w:val="22"/>
                <w:szCs w:val="22"/>
                <w:lang w:eastAsia="en-PH"/>
              </w:rPr>
            </w:pPr>
            <w:r>
              <w:rPr>
                <w:sz w:val="22"/>
                <w:szCs w:val="22"/>
                <w:lang w:eastAsia="en-PH"/>
              </w:rPr>
              <w:t>MRDP-Rural Infra (Loan Proceeds)</w:t>
            </w:r>
          </w:p>
        </w:tc>
        <w:tc>
          <w:tcPr>
            <w:tcW w:w="1985" w:type="dxa"/>
            <w:vAlign w:val="center"/>
          </w:tcPr>
          <w:p>
            <w:pPr>
              <w:spacing w:line="276" w:lineRule="auto"/>
              <w:jc w:val="center"/>
              <w:rPr>
                <w:sz w:val="22"/>
                <w:szCs w:val="22"/>
                <w:lang w:eastAsia="en-PH"/>
              </w:rPr>
            </w:pPr>
            <w:r>
              <w:rPr>
                <w:sz w:val="22"/>
                <w:szCs w:val="22"/>
                <w:lang w:eastAsia="en-PH"/>
              </w:rPr>
              <w:t>1742-1043-85</w:t>
            </w:r>
          </w:p>
        </w:tc>
      </w:tr>
      <w:tr>
        <w:trPr>
          <w:trHeight w:val="20"/>
          <w:jc w:val="center"/>
        </w:trPr>
        <w:tc>
          <w:tcPr>
            <w:tcW w:w="5935" w:type="dxa"/>
            <w:vAlign w:val="center"/>
          </w:tcPr>
          <w:p>
            <w:pPr>
              <w:spacing w:line="276" w:lineRule="auto"/>
              <w:rPr>
                <w:sz w:val="22"/>
                <w:szCs w:val="22"/>
                <w:lang w:eastAsia="en-PH"/>
              </w:rPr>
            </w:pPr>
            <w:r>
              <w:rPr>
                <w:sz w:val="22"/>
                <w:szCs w:val="22"/>
                <w:lang w:eastAsia="en-PH"/>
              </w:rPr>
              <w:t>20% IRA</w:t>
            </w:r>
          </w:p>
        </w:tc>
        <w:tc>
          <w:tcPr>
            <w:tcW w:w="1985" w:type="dxa"/>
            <w:vAlign w:val="center"/>
          </w:tcPr>
          <w:p>
            <w:pPr>
              <w:spacing w:line="276" w:lineRule="auto"/>
              <w:jc w:val="center"/>
              <w:rPr>
                <w:sz w:val="22"/>
                <w:szCs w:val="22"/>
                <w:lang w:eastAsia="en-PH"/>
              </w:rPr>
            </w:pPr>
            <w:r>
              <w:rPr>
                <w:sz w:val="22"/>
                <w:szCs w:val="22"/>
                <w:lang w:eastAsia="en-PH"/>
              </w:rPr>
              <w:t>1742-1037-96</w:t>
            </w:r>
          </w:p>
        </w:tc>
      </w:tr>
      <w:tr>
        <w:trPr>
          <w:trHeight w:val="20"/>
          <w:jc w:val="center"/>
        </w:trPr>
        <w:tc>
          <w:tcPr>
            <w:tcW w:w="5935" w:type="dxa"/>
            <w:vAlign w:val="center"/>
          </w:tcPr>
          <w:p>
            <w:pPr>
              <w:spacing w:line="276" w:lineRule="auto"/>
              <w:rPr>
                <w:sz w:val="22"/>
                <w:szCs w:val="22"/>
                <w:lang w:eastAsia="en-PH"/>
              </w:rPr>
            </w:pPr>
            <w:r>
              <w:rPr>
                <w:sz w:val="22"/>
                <w:szCs w:val="22"/>
                <w:lang w:eastAsia="en-PH"/>
              </w:rPr>
              <w:t>HCI Charges</w:t>
            </w:r>
          </w:p>
        </w:tc>
        <w:tc>
          <w:tcPr>
            <w:tcW w:w="1985" w:type="dxa"/>
            <w:vAlign w:val="center"/>
          </w:tcPr>
          <w:p>
            <w:pPr>
              <w:spacing w:line="276" w:lineRule="auto"/>
              <w:jc w:val="center"/>
              <w:rPr>
                <w:sz w:val="22"/>
                <w:szCs w:val="22"/>
                <w:lang w:eastAsia="en-PH"/>
              </w:rPr>
            </w:pPr>
            <w:r>
              <w:rPr>
                <w:sz w:val="22"/>
                <w:szCs w:val="22"/>
                <w:lang w:eastAsia="en-PH"/>
              </w:rPr>
              <w:t>1742-1064-26</w:t>
            </w:r>
          </w:p>
        </w:tc>
      </w:tr>
      <w:tr>
        <w:trPr>
          <w:trHeight w:val="20"/>
          <w:jc w:val="center"/>
        </w:trPr>
        <w:tc>
          <w:tcPr>
            <w:tcW w:w="5935" w:type="dxa"/>
            <w:vAlign w:val="center"/>
          </w:tcPr>
          <w:p>
            <w:pPr>
              <w:spacing w:line="276" w:lineRule="auto"/>
              <w:rPr>
                <w:sz w:val="22"/>
                <w:szCs w:val="22"/>
                <w:lang w:eastAsia="en-PH"/>
              </w:rPr>
            </w:pPr>
            <w:r>
              <w:rPr>
                <w:sz w:val="22"/>
                <w:szCs w:val="22"/>
                <w:lang w:eastAsia="en-PH"/>
              </w:rPr>
              <w:t>Professional Fee</w:t>
            </w:r>
          </w:p>
        </w:tc>
        <w:tc>
          <w:tcPr>
            <w:tcW w:w="1985" w:type="dxa"/>
            <w:vAlign w:val="center"/>
          </w:tcPr>
          <w:p>
            <w:pPr>
              <w:spacing w:line="276" w:lineRule="auto"/>
              <w:jc w:val="center"/>
              <w:rPr>
                <w:sz w:val="22"/>
                <w:szCs w:val="22"/>
                <w:lang w:eastAsia="en-PH"/>
              </w:rPr>
            </w:pPr>
            <w:r>
              <w:rPr>
                <w:sz w:val="22"/>
                <w:szCs w:val="22"/>
                <w:lang w:eastAsia="en-PH"/>
              </w:rPr>
              <w:t>1742-1064-34</w:t>
            </w:r>
          </w:p>
        </w:tc>
      </w:tr>
      <w:tr>
        <w:trPr>
          <w:trHeight w:val="20"/>
          <w:jc w:val="center"/>
        </w:trPr>
        <w:tc>
          <w:tcPr>
            <w:tcW w:w="5935" w:type="dxa"/>
            <w:vAlign w:val="center"/>
          </w:tcPr>
          <w:p>
            <w:pPr>
              <w:spacing w:line="276" w:lineRule="auto"/>
              <w:rPr>
                <w:sz w:val="22"/>
                <w:szCs w:val="22"/>
                <w:lang w:eastAsia="en-PH"/>
              </w:rPr>
            </w:pPr>
            <w:r>
              <w:rPr>
                <w:sz w:val="22"/>
                <w:szCs w:val="22"/>
                <w:lang w:eastAsia="en-PH"/>
              </w:rPr>
              <w:t>Railway</w:t>
            </w:r>
          </w:p>
        </w:tc>
        <w:tc>
          <w:tcPr>
            <w:tcW w:w="1985" w:type="dxa"/>
            <w:vAlign w:val="center"/>
          </w:tcPr>
          <w:p>
            <w:pPr>
              <w:spacing w:line="276" w:lineRule="auto"/>
              <w:jc w:val="center"/>
              <w:rPr>
                <w:sz w:val="22"/>
                <w:szCs w:val="22"/>
                <w:lang w:eastAsia="en-PH"/>
              </w:rPr>
            </w:pPr>
            <w:r>
              <w:rPr>
                <w:sz w:val="22"/>
                <w:szCs w:val="22"/>
                <w:lang w:eastAsia="en-PH"/>
              </w:rPr>
              <w:t>1742-1066-55</w:t>
            </w:r>
          </w:p>
        </w:tc>
      </w:tr>
      <w:tr>
        <w:trPr>
          <w:trHeight w:val="20"/>
          <w:jc w:val="center"/>
        </w:trPr>
        <w:tc>
          <w:tcPr>
            <w:tcW w:w="7920" w:type="dxa"/>
            <w:gridSpan w:val="2"/>
            <w:vAlign w:val="center"/>
          </w:tcPr>
          <w:p>
            <w:pPr>
              <w:spacing w:line="276" w:lineRule="auto"/>
              <w:jc w:val="center"/>
              <w:rPr>
                <w:sz w:val="22"/>
                <w:szCs w:val="22"/>
                <w:lang w:eastAsia="en-PH"/>
              </w:rPr>
            </w:pPr>
            <w:r>
              <w:rPr>
                <w:b/>
                <w:sz w:val="22"/>
                <w:szCs w:val="22"/>
                <w:lang w:eastAsia="en-PH"/>
              </w:rPr>
              <w:t>DBP-Tagum Branch</w:t>
            </w:r>
          </w:p>
        </w:tc>
      </w:tr>
      <w:tr>
        <w:trPr>
          <w:trHeight w:val="20"/>
          <w:jc w:val="center"/>
        </w:trPr>
        <w:tc>
          <w:tcPr>
            <w:tcW w:w="5935" w:type="dxa"/>
            <w:vAlign w:val="center"/>
          </w:tcPr>
          <w:p>
            <w:pPr>
              <w:spacing w:line="276" w:lineRule="auto"/>
              <w:rPr>
                <w:sz w:val="22"/>
                <w:szCs w:val="22"/>
                <w:lang w:eastAsia="en-PH"/>
              </w:rPr>
            </w:pPr>
            <w:r>
              <w:rPr>
                <w:sz w:val="22"/>
                <w:szCs w:val="22"/>
                <w:lang w:eastAsia="en-PH"/>
              </w:rPr>
              <w:t>DBP</w:t>
            </w:r>
          </w:p>
        </w:tc>
        <w:tc>
          <w:tcPr>
            <w:tcW w:w="1985" w:type="dxa"/>
            <w:vAlign w:val="center"/>
          </w:tcPr>
          <w:p>
            <w:pPr>
              <w:spacing w:line="276" w:lineRule="auto"/>
              <w:jc w:val="center"/>
              <w:rPr>
                <w:sz w:val="22"/>
                <w:szCs w:val="22"/>
                <w:lang w:eastAsia="en-PH"/>
              </w:rPr>
            </w:pPr>
            <w:r>
              <w:rPr>
                <w:sz w:val="22"/>
                <w:szCs w:val="22"/>
                <w:lang w:eastAsia="en-PH"/>
              </w:rPr>
              <w:t>00-0-50172-916-8</w:t>
            </w:r>
          </w:p>
        </w:tc>
      </w:tr>
    </w:tbl>
    <w:p>
      <w:pPr>
        <w:spacing w:line="276" w:lineRule="auto"/>
        <w:ind w:right="2"/>
        <w:jc w:val="both"/>
        <w:rPr>
          <w:lang w:eastAsia="en-PH"/>
        </w:rPr>
      </w:pPr>
    </w:p>
    <w:p>
      <w:pPr>
        <w:spacing w:line="276" w:lineRule="auto"/>
        <w:ind w:right="2"/>
        <w:jc w:val="both"/>
        <w:rPr>
          <w:lang w:eastAsia="en-PH"/>
        </w:rPr>
      </w:pPr>
      <w:r>
        <w:rPr>
          <w:lang w:eastAsia="en-PH"/>
        </w:rPr>
        <w:t>As of January 16, 2023, the City has not yet submitted the BRS for the checking accounts maintained in LBP and DBP accounts, for the months of August to December 2022, viz:</w:t>
      </w:r>
    </w:p>
    <w:p>
      <w:pPr>
        <w:spacing w:line="276" w:lineRule="auto"/>
        <w:jc w:val="both"/>
        <w:rPr>
          <w:i/>
          <w:lang w:eastAsia="en-PH"/>
        </w:rPr>
      </w:pPr>
      <w:r>
        <w:rPr>
          <w:i/>
          <w:lang w:eastAsia="en-PH"/>
        </w:rPr>
        <w:lastRenderedPageBreak/>
        <w:t>Table 20.2. List of unsubmitted monthly BRS</w:t>
      </w: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2126"/>
        <w:gridCol w:w="3118"/>
      </w:tblGrid>
      <w:tr>
        <w:trPr>
          <w:trHeight w:val="20"/>
          <w:jc w:val="center"/>
        </w:trPr>
        <w:tc>
          <w:tcPr>
            <w:tcW w:w="2689" w:type="dxa"/>
            <w:shd w:val="clear" w:color="auto" w:fill="D9D9D9"/>
            <w:vAlign w:val="center"/>
          </w:tcPr>
          <w:p>
            <w:pPr>
              <w:spacing w:line="276" w:lineRule="auto"/>
              <w:jc w:val="center"/>
              <w:rPr>
                <w:b/>
                <w:sz w:val="22"/>
                <w:szCs w:val="22"/>
                <w:lang w:eastAsia="en-PH"/>
              </w:rPr>
            </w:pPr>
            <w:r>
              <w:rPr>
                <w:b/>
                <w:sz w:val="22"/>
                <w:szCs w:val="22"/>
                <w:lang w:eastAsia="en-PH"/>
              </w:rPr>
              <w:t>Account Name</w:t>
            </w:r>
          </w:p>
        </w:tc>
        <w:tc>
          <w:tcPr>
            <w:tcW w:w="2126" w:type="dxa"/>
            <w:shd w:val="clear" w:color="auto" w:fill="D9D9D9"/>
            <w:vAlign w:val="center"/>
          </w:tcPr>
          <w:p>
            <w:pPr>
              <w:spacing w:line="276" w:lineRule="auto"/>
              <w:jc w:val="center"/>
              <w:rPr>
                <w:b/>
                <w:sz w:val="22"/>
                <w:szCs w:val="22"/>
                <w:lang w:eastAsia="en-PH"/>
              </w:rPr>
            </w:pPr>
            <w:r>
              <w:rPr>
                <w:b/>
                <w:sz w:val="22"/>
                <w:szCs w:val="22"/>
                <w:lang w:eastAsia="en-PH"/>
              </w:rPr>
              <w:t>Account No.</w:t>
            </w:r>
          </w:p>
        </w:tc>
        <w:tc>
          <w:tcPr>
            <w:tcW w:w="3118" w:type="dxa"/>
            <w:shd w:val="clear" w:color="auto" w:fill="D9D9D9"/>
            <w:vAlign w:val="center"/>
          </w:tcPr>
          <w:p>
            <w:pPr>
              <w:spacing w:line="276" w:lineRule="auto"/>
              <w:jc w:val="center"/>
              <w:rPr>
                <w:b/>
                <w:sz w:val="22"/>
                <w:szCs w:val="22"/>
                <w:lang w:eastAsia="en-PH"/>
              </w:rPr>
            </w:pPr>
            <w:r>
              <w:rPr>
                <w:b/>
                <w:sz w:val="22"/>
                <w:szCs w:val="22"/>
                <w:lang w:eastAsia="en-PH"/>
              </w:rPr>
              <w:t>Unsubmitted BRS</w:t>
            </w:r>
          </w:p>
        </w:tc>
      </w:tr>
      <w:tr>
        <w:trPr>
          <w:jc w:val="center"/>
        </w:trPr>
        <w:tc>
          <w:tcPr>
            <w:tcW w:w="7933" w:type="dxa"/>
            <w:gridSpan w:val="3"/>
            <w:vAlign w:val="center"/>
          </w:tcPr>
          <w:p>
            <w:pPr>
              <w:spacing w:line="276" w:lineRule="auto"/>
              <w:jc w:val="center"/>
              <w:rPr>
                <w:sz w:val="22"/>
                <w:szCs w:val="22"/>
                <w:lang w:eastAsia="en-PH"/>
              </w:rPr>
            </w:pPr>
            <w:r>
              <w:rPr>
                <w:b/>
                <w:sz w:val="22"/>
                <w:szCs w:val="22"/>
                <w:lang w:eastAsia="en-PH"/>
              </w:rPr>
              <w:t>LBP-</w:t>
            </w:r>
            <w:proofErr w:type="spellStart"/>
            <w:r>
              <w:rPr>
                <w:b/>
                <w:sz w:val="22"/>
                <w:szCs w:val="22"/>
                <w:lang w:eastAsia="en-PH"/>
              </w:rPr>
              <w:t>Panabo</w:t>
            </w:r>
            <w:proofErr w:type="spellEnd"/>
            <w:r>
              <w:rPr>
                <w:b/>
                <w:sz w:val="22"/>
                <w:szCs w:val="22"/>
                <w:lang w:eastAsia="en-PH"/>
              </w:rPr>
              <w:t xml:space="preserve"> Branch</w:t>
            </w:r>
          </w:p>
        </w:tc>
      </w:tr>
      <w:tr>
        <w:trPr>
          <w:trHeight w:val="20"/>
          <w:jc w:val="center"/>
        </w:trPr>
        <w:tc>
          <w:tcPr>
            <w:tcW w:w="2689" w:type="dxa"/>
            <w:vAlign w:val="center"/>
          </w:tcPr>
          <w:p>
            <w:pPr>
              <w:spacing w:line="276" w:lineRule="auto"/>
              <w:jc w:val="center"/>
              <w:rPr>
                <w:sz w:val="22"/>
                <w:szCs w:val="22"/>
                <w:lang w:eastAsia="en-PH"/>
              </w:rPr>
            </w:pPr>
            <w:r>
              <w:rPr>
                <w:sz w:val="22"/>
                <w:szCs w:val="22"/>
                <w:lang w:eastAsia="en-PH"/>
              </w:rPr>
              <w:t>General Fund</w:t>
            </w:r>
          </w:p>
        </w:tc>
        <w:tc>
          <w:tcPr>
            <w:tcW w:w="2126" w:type="dxa"/>
            <w:vAlign w:val="center"/>
          </w:tcPr>
          <w:p>
            <w:pPr>
              <w:spacing w:line="276" w:lineRule="auto"/>
              <w:jc w:val="center"/>
              <w:rPr>
                <w:sz w:val="22"/>
                <w:szCs w:val="22"/>
                <w:lang w:eastAsia="en-PH"/>
              </w:rPr>
            </w:pPr>
            <w:r>
              <w:rPr>
                <w:sz w:val="22"/>
                <w:szCs w:val="22"/>
                <w:lang w:eastAsia="en-PH"/>
              </w:rPr>
              <w:t>1742-1006-90</w:t>
            </w:r>
          </w:p>
        </w:tc>
        <w:tc>
          <w:tcPr>
            <w:tcW w:w="3118" w:type="dxa"/>
            <w:vAlign w:val="center"/>
          </w:tcPr>
          <w:p>
            <w:pPr>
              <w:spacing w:line="276" w:lineRule="auto"/>
              <w:jc w:val="center"/>
              <w:rPr>
                <w:sz w:val="22"/>
                <w:szCs w:val="22"/>
                <w:lang w:eastAsia="en-PH"/>
              </w:rPr>
            </w:pPr>
            <w:r>
              <w:rPr>
                <w:sz w:val="22"/>
                <w:szCs w:val="22"/>
                <w:lang w:eastAsia="en-PH"/>
              </w:rPr>
              <w:t>September to December 2022</w:t>
            </w:r>
          </w:p>
        </w:tc>
      </w:tr>
      <w:tr>
        <w:trPr>
          <w:trHeight w:val="20"/>
          <w:jc w:val="center"/>
        </w:trPr>
        <w:tc>
          <w:tcPr>
            <w:tcW w:w="2689" w:type="dxa"/>
            <w:vAlign w:val="center"/>
          </w:tcPr>
          <w:p>
            <w:pPr>
              <w:spacing w:line="276" w:lineRule="auto"/>
              <w:jc w:val="center"/>
              <w:rPr>
                <w:sz w:val="22"/>
                <w:szCs w:val="22"/>
                <w:lang w:eastAsia="en-PH"/>
              </w:rPr>
            </w:pPr>
            <w:r>
              <w:rPr>
                <w:sz w:val="22"/>
                <w:szCs w:val="22"/>
                <w:lang w:eastAsia="en-PH"/>
              </w:rPr>
              <w:t>MPC</w:t>
            </w:r>
          </w:p>
        </w:tc>
        <w:tc>
          <w:tcPr>
            <w:tcW w:w="2126" w:type="dxa"/>
            <w:vAlign w:val="center"/>
          </w:tcPr>
          <w:p>
            <w:pPr>
              <w:spacing w:line="276" w:lineRule="auto"/>
              <w:jc w:val="center"/>
              <w:rPr>
                <w:sz w:val="22"/>
                <w:szCs w:val="22"/>
                <w:lang w:eastAsia="en-PH"/>
              </w:rPr>
            </w:pPr>
            <w:r>
              <w:rPr>
                <w:sz w:val="22"/>
                <w:szCs w:val="22"/>
                <w:lang w:eastAsia="en-PH"/>
              </w:rPr>
              <w:t>1742-1035-59</w:t>
            </w:r>
          </w:p>
        </w:tc>
        <w:tc>
          <w:tcPr>
            <w:tcW w:w="3118" w:type="dxa"/>
            <w:vAlign w:val="center"/>
          </w:tcPr>
          <w:p>
            <w:pPr>
              <w:spacing w:line="276" w:lineRule="auto"/>
              <w:jc w:val="center"/>
              <w:rPr>
                <w:sz w:val="22"/>
                <w:szCs w:val="22"/>
                <w:lang w:eastAsia="en-PH"/>
              </w:rPr>
            </w:pPr>
            <w:r>
              <w:rPr>
                <w:sz w:val="22"/>
                <w:szCs w:val="22"/>
                <w:lang w:eastAsia="en-PH"/>
              </w:rPr>
              <w:t>August 2022</w:t>
            </w:r>
          </w:p>
        </w:tc>
      </w:tr>
      <w:tr>
        <w:trPr>
          <w:trHeight w:val="20"/>
          <w:jc w:val="center"/>
        </w:trPr>
        <w:tc>
          <w:tcPr>
            <w:tcW w:w="2689" w:type="dxa"/>
            <w:vAlign w:val="center"/>
          </w:tcPr>
          <w:p>
            <w:pPr>
              <w:spacing w:line="276" w:lineRule="auto"/>
              <w:jc w:val="center"/>
              <w:rPr>
                <w:sz w:val="22"/>
                <w:szCs w:val="22"/>
                <w:lang w:eastAsia="en-PH"/>
              </w:rPr>
            </w:pPr>
            <w:r>
              <w:rPr>
                <w:sz w:val="22"/>
                <w:szCs w:val="22"/>
                <w:lang w:eastAsia="en-PH"/>
              </w:rPr>
              <w:t>MDG Faces</w:t>
            </w:r>
          </w:p>
        </w:tc>
        <w:tc>
          <w:tcPr>
            <w:tcW w:w="2126" w:type="dxa"/>
            <w:vAlign w:val="center"/>
          </w:tcPr>
          <w:p>
            <w:pPr>
              <w:spacing w:line="276" w:lineRule="auto"/>
              <w:jc w:val="center"/>
              <w:rPr>
                <w:sz w:val="22"/>
                <w:szCs w:val="22"/>
                <w:lang w:eastAsia="en-PH"/>
              </w:rPr>
            </w:pPr>
            <w:r>
              <w:rPr>
                <w:sz w:val="22"/>
                <w:szCs w:val="22"/>
                <w:lang w:eastAsia="en-PH"/>
              </w:rPr>
              <w:t>1742-1045-20</w:t>
            </w:r>
          </w:p>
        </w:tc>
        <w:tc>
          <w:tcPr>
            <w:tcW w:w="3118" w:type="dxa"/>
            <w:vAlign w:val="center"/>
          </w:tcPr>
          <w:p>
            <w:pPr>
              <w:spacing w:line="276" w:lineRule="auto"/>
              <w:jc w:val="center"/>
              <w:rPr>
                <w:sz w:val="22"/>
                <w:szCs w:val="22"/>
                <w:lang w:eastAsia="en-PH"/>
              </w:rPr>
            </w:pPr>
            <w:r>
              <w:rPr>
                <w:sz w:val="22"/>
                <w:szCs w:val="22"/>
                <w:lang w:eastAsia="en-PH"/>
              </w:rPr>
              <w:t>December 2022</w:t>
            </w:r>
          </w:p>
        </w:tc>
      </w:tr>
      <w:tr>
        <w:trPr>
          <w:trHeight w:val="20"/>
          <w:jc w:val="center"/>
        </w:trPr>
        <w:tc>
          <w:tcPr>
            <w:tcW w:w="2689" w:type="dxa"/>
            <w:vAlign w:val="center"/>
          </w:tcPr>
          <w:p>
            <w:pPr>
              <w:spacing w:line="276" w:lineRule="auto"/>
              <w:jc w:val="center"/>
              <w:rPr>
                <w:sz w:val="22"/>
                <w:szCs w:val="22"/>
                <w:lang w:eastAsia="en-PH"/>
              </w:rPr>
            </w:pPr>
            <w:r>
              <w:rPr>
                <w:sz w:val="22"/>
                <w:szCs w:val="22"/>
                <w:lang w:eastAsia="en-PH"/>
              </w:rPr>
              <w:t>Railway</w:t>
            </w:r>
          </w:p>
        </w:tc>
        <w:tc>
          <w:tcPr>
            <w:tcW w:w="2126" w:type="dxa"/>
            <w:vAlign w:val="center"/>
          </w:tcPr>
          <w:p>
            <w:pPr>
              <w:spacing w:line="276" w:lineRule="auto"/>
              <w:jc w:val="center"/>
              <w:rPr>
                <w:sz w:val="22"/>
                <w:szCs w:val="22"/>
                <w:lang w:eastAsia="en-PH"/>
              </w:rPr>
            </w:pPr>
            <w:r>
              <w:rPr>
                <w:sz w:val="22"/>
                <w:szCs w:val="22"/>
                <w:lang w:eastAsia="en-PH"/>
              </w:rPr>
              <w:t>1742-1066-55</w:t>
            </w:r>
          </w:p>
        </w:tc>
        <w:tc>
          <w:tcPr>
            <w:tcW w:w="3118" w:type="dxa"/>
            <w:vAlign w:val="center"/>
          </w:tcPr>
          <w:p>
            <w:pPr>
              <w:spacing w:line="276" w:lineRule="auto"/>
              <w:jc w:val="center"/>
              <w:rPr>
                <w:sz w:val="22"/>
                <w:szCs w:val="22"/>
                <w:lang w:eastAsia="en-PH"/>
              </w:rPr>
            </w:pPr>
            <w:r>
              <w:rPr>
                <w:sz w:val="22"/>
                <w:szCs w:val="22"/>
                <w:lang w:eastAsia="en-PH"/>
              </w:rPr>
              <w:t>August 2022</w:t>
            </w:r>
          </w:p>
        </w:tc>
      </w:tr>
      <w:tr>
        <w:trPr>
          <w:trHeight w:val="20"/>
          <w:jc w:val="center"/>
        </w:trPr>
        <w:tc>
          <w:tcPr>
            <w:tcW w:w="2689" w:type="dxa"/>
            <w:vAlign w:val="center"/>
          </w:tcPr>
          <w:p>
            <w:pPr>
              <w:spacing w:line="276" w:lineRule="auto"/>
              <w:jc w:val="center"/>
              <w:rPr>
                <w:sz w:val="22"/>
                <w:szCs w:val="22"/>
                <w:lang w:eastAsia="en-PH"/>
              </w:rPr>
            </w:pPr>
            <w:r>
              <w:rPr>
                <w:sz w:val="22"/>
                <w:szCs w:val="22"/>
                <w:lang w:eastAsia="en-PH"/>
              </w:rPr>
              <w:t>DBP</w:t>
            </w:r>
          </w:p>
        </w:tc>
        <w:tc>
          <w:tcPr>
            <w:tcW w:w="2126" w:type="dxa"/>
            <w:vAlign w:val="center"/>
          </w:tcPr>
          <w:p>
            <w:pPr>
              <w:spacing w:line="276" w:lineRule="auto"/>
              <w:jc w:val="center"/>
              <w:rPr>
                <w:sz w:val="22"/>
                <w:szCs w:val="22"/>
                <w:lang w:eastAsia="en-PH"/>
              </w:rPr>
            </w:pPr>
            <w:r>
              <w:rPr>
                <w:sz w:val="22"/>
                <w:szCs w:val="22"/>
                <w:lang w:eastAsia="en-PH"/>
              </w:rPr>
              <w:t>00-0-50172-916-8</w:t>
            </w:r>
          </w:p>
        </w:tc>
        <w:tc>
          <w:tcPr>
            <w:tcW w:w="3118" w:type="dxa"/>
            <w:vAlign w:val="center"/>
          </w:tcPr>
          <w:p>
            <w:pPr>
              <w:spacing w:line="276" w:lineRule="auto"/>
              <w:jc w:val="center"/>
              <w:rPr>
                <w:sz w:val="22"/>
                <w:szCs w:val="22"/>
                <w:lang w:eastAsia="en-PH"/>
              </w:rPr>
            </w:pPr>
            <w:r>
              <w:rPr>
                <w:sz w:val="22"/>
                <w:szCs w:val="22"/>
                <w:lang w:eastAsia="en-PH"/>
              </w:rPr>
              <w:t>December 2022</w:t>
            </w:r>
          </w:p>
        </w:tc>
      </w:tr>
    </w:tbl>
    <w:p>
      <w:pPr>
        <w:spacing w:line="276" w:lineRule="auto"/>
        <w:ind w:right="2"/>
        <w:jc w:val="both"/>
        <w:rPr>
          <w:lang w:eastAsia="en-PH"/>
        </w:rPr>
      </w:pPr>
      <w:r>
        <w:rPr>
          <w:lang w:eastAsia="en-PH"/>
        </w:rPr>
        <w:t>It was further determined that delays ranging from 25 to 150</w:t>
      </w:r>
      <w:r>
        <w:rPr>
          <w:i/>
          <w:lang w:eastAsia="en-PH"/>
        </w:rPr>
        <w:t xml:space="preserve"> </w:t>
      </w:r>
      <w:r>
        <w:rPr>
          <w:lang w:eastAsia="en-PH"/>
        </w:rPr>
        <w:t>days in the submission of Bank Reconciliation Statements were also incurred, to wit:</w:t>
      </w:r>
    </w:p>
    <w:p>
      <w:pPr>
        <w:spacing w:line="276" w:lineRule="auto"/>
        <w:ind w:right="2"/>
        <w:jc w:val="both"/>
        <w:rPr>
          <w:lang w:eastAsia="en-PH"/>
        </w:rPr>
      </w:pPr>
    </w:p>
    <w:p>
      <w:pPr>
        <w:spacing w:line="276" w:lineRule="auto"/>
        <w:ind w:right="2"/>
        <w:jc w:val="both"/>
        <w:rPr>
          <w:i/>
          <w:lang w:eastAsia="en-PH"/>
        </w:rPr>
      </w:pPr>
      <w:r>
        <w:rPr>
          <w:i/>
          <w:lang w:eastAsia="en-PH"/>
        </w:rPr>
        <w:t>Table 20.3. List of submitted monthly BRS</w:t>
      </w:r>
    </w:p>
    <w:tbl>
      <w:tblPr>
        <w:tblW w:w="81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7"/>
        <w:gridCol w:w="2247"/>
        <w:gridCol w:w="2268"/>
        <w:gridCol w:w="1648"/>
      </w:tblGrid>
      <w:tr>
        <w:trPr>
          <w:jc w:val="center"/>
        </w:trPr>
        <w:tc>
          <w:tcPr>
            <w:tcW w:w="1998" w:type="dxa"/>
            <w:vAlign w:val="center"/>
          </w:tcPr>
          <w:p>
            <w:pPr>
              <w:spacing w:line="276" w:lineRule="auto"/>
              <w:jc w:val="center"/>
              <w:rPr>
                <w:b/>
                <w:sz w:val="22"/>
                <w:szCs w:val="22"/>
                <w:lang w:eastAsia="en-PH"/>
              </w:rPr>
            </w:pPr>
            <w:r>
              <w:rPr>
                <w:b/>
                <w:sz w:val="22"/>
                <w:szCs w:val="22"/>
                <w:lang w:eastAsia="en-PH"/>
              </w:rPr>
              <w:t>Period Covered</w:t>
            </w:r>
          </w:p>
        </w:tc>
        <w:tc>
          <w:tcPr>
            <w:tcW w:w="2247" w:type="dxa"/>
            <w:vAlign w:val="center"/>
          </w:tcPr>
          <w:p>
            <w:pPr>
              <w:spacing w:line="276" w:lineRule="auto"/>
              <w:jc w:val="center"/>
              <w:rPr>
                <w:b/>
                <w:sz w:val="22"/>
                <w:szCs w:val="22"/>
                <w:lang w:eastAsia="en-PH"/>
              </w:rPr>
            </w:pPr>
            <w:r>
              <w:rPr>
                <w:b/>
                <w:sz w:val="22"/>
                <w:szCs w:val="22"/>
                <w:lang w:eastAsia="en-PH"/>
              </w:rPr>
              <w:t>Due date</w:t>
            </w:r>
          </w:p>
        </w:tc>
        <w:tc>
          <w:tcPr>
            <w:tcW w:w="2268" w:type="dxa"/>
            <w:vAlign w:val="center"/>
          </w:tcPr>
          <w:p>
            <w:pPr>
              <w:spacing w:line="276" w:lineRule="auto"/>
              <w:jc w:val="center"/>
              <w:rPr>
                <w:b/>
                <w:sz w:val="22"/>
                <w:szCs w:val="22"/>
                <w:lang w:eastAsia="en-PH"/>
              </w:rPr>
            </w:pPr>
            <w:r>
              <w:rPr>
                <w:b/>
                <w:sz w:val="22"/>
                <w:szCs w:val="22"/>
                <w:lang w:eastAsia="en-PH"/>
              </w:rPr>
              <w:t>Date Submitted to COA</w:t>
            </w:r>
          </w:p>
        </w:tc>
        <w:tc>
          <w:tcPr>
            <w:tcW w:w="1648" w:type="dxa"/>
            <w:vAlign w:val="center"/>
          </w:tcPr>
          <w:p>
            <w:pPr>
              <w:spacing w:line="276" w:lineRule="auto"/>
              <w:jc w:val="center"/>
              <w:rPr>
                <w:b/>
                <w:sz w:val="22"/>
                <w:szCs w:val="22"/>
                <w:lang w:eastAsia="en-PH"/>
              </w:rPr>
            </w:pPr>
            <w:r>
              <w:rPr>
                <w:b/>
                <w:sz w:val="22"/>
                <w:szCs w:val="22"/>
                <w:lang w:eastAsia="en-PH"/>
              </w:rPr>
              <w:t>No. of days delayed</w:t>
            </w:r>
          </w:p>
        </w:tc>
      </w:tr>
      <w:tr>
        <w:trPr>
          <w:jc w:val="center"/>
        </w:trPr>
        <w:tc>
          <w:tcPr>
            <w:tcW w:w="1998" w:type="dxa"/>
            <w:vAlign w:val="center"/>
          </w:tcPr>
          <w:p>
            <w:pPr>
              <w:spacing w:line="276" w:lineRule="auto"/>
              <w:rPr>
                <w:sz w:val="22"/>
                <w:szCs w:val="22"/>
                <w:lang w:eastAsia="en-PH"/>
              </w:rPr>
            </w:pPr>
            <w:r>
              <w:rPr>
                <w:sz w:val="22"/>
                <w:szCs w:val="22"/>
                <w:lang w:eastAsia="en-PH"/>
              </w:rPr>
              <w:t>January 2022</w:t>
            </w:r>
          </w:p>
        </w:tc>
        <w:tc>
          <w:tcPr>
            <w:tcW w:w="2247" w:type="dxa"/>
            <w:vAlign w:val="center"/>
          </w:tcPr>
          <w:p>
            <w:pPr>
              <w:spacing w:line="276" w:lineRule="auto"/>
              <w:rPr>
                <w:sz w:val="22"/>
                <w:szCs w:val="22"/>
                <w:lang w:eastAsia="en-PH"/>
              </w:rPr>
            </w:pPr>
            <w:r>
              <w:rPr>
                <w:sz w:val="22"/>
                <w:szCs w:val="22"/>
                <w:lang w:eastAsia="en-PH"/>
              </w:rPr>
              <w:t>February 15, 2022</w:t>
            </w:r>
          </w:p>
        </w:tc>
        <w:tc>
          <w:tcPr>
            <w:tcW w:w="2268" w:type="dxa"/>
            <w:vAlign w:val="center"/>
          </w:tcPr>
          <w:p>
            <w:pPr>
              <w:spacing w:line="276" w:lineRule="auto"/>
              <w:jc w:val="center"/>
              <w:rPr>
                <w:sz w:val="22"/>
                <w:szCs w:val="22"/>
                <w:lang w:eastAsia="en-PH"/>
              </w:rPr>
            </w:pPr>
            <w:r>
              <w:rPr>
                <w:sz w:val="22"/>
                <w:szCs w:val="22"/>
                <w:lang w:eastAsia="en-PH"/>
              </w:rPr>
              <w:t>July 15, 2022</w:t>
            </w:r>
          </w:p>
        </w:tc>
        <w:tc>
          <w:tcPr>
            <w:tcW w:w="1648" w:type="dxa"/>
            <w:vAlign w:val="center"/>
          </w:tcPr>
          <w:p>
            <w:pPr>
              <w:spacing w:line="276" w:lineRule="auto"/>
              <w:jc w:val="center"/>
              <w:rPr>
                <w:sz w:val="22"/>
                <w:szCs w:val="22"/>
                <w:lang w:eastAsia="en-PH"/>
              </w:rPr>
            </w:pPr>
            <w:r>
              <w:rPr>
                <w:sz w:val="22"/>
                <w:szCs w:val="22"/>
                <w:lang w:eastAsia="en-PH"/>
              </w:rPr>
              <w:t>150 days</w:t>
            </w:r>
          </w:p>
        </w:tc>
      </w:tr>
      <w:tr>
        <w:trPr>
          <w:jc w:val="center"/>
        </w:trPr>
        <w:tc>
          <w:tcPr>
            <w:tcW w:w="1998" w:type="dxa"/>
            <w:vAlign w:val="center"/>
          </w:tcPr>
          <w:p>
            <w:pPr>
              <w:spacing w:line="276" w:lineRule="auto"/>
              <w:rPr>
                <w:sz w:val="22"/>
                <w:szCs w:val="22"/>
                <w:lang w:eastAsia="en-PH"/>
              </w:rPr>
            </w:pPr>
            <w:r>
              <w:rPr>
                <w:sz w:val="22"/>
                <w:szCs w:val="22"/>
                <w:lang w:eastAsia="en-PH"/>
              </w:rPr>
              <w:t>February 2022</w:t>
            </w:r>
          </w:p>
        </w:tc>
        <w:tc>
          <w:tcPr>
            <w:tcW w:w="2247" w:type="dxa"/>
            <w:vAlign w:val="center"/>
          </w:tcPr>
          <w:p>
            <w:pPr>
              <w:spacing w:line="276" w:lineRule="auto"/>
              <w:rPr>
                <w:sz w:val="22"/>
                <w:szCs w:val="22"/>
                <w:lang w:eastAsia="en-PH"/>
              </w:rPr>
            </w:pPr>
            <w:r>
              <w:rPr>
                <w:sz w:val="22"/>
                <w:szCs w:val="22"/>
                <w:lang w:eastAsia="en-PH"/>
              </w:rPr>
              <w:t>March 15, 2022</w:t>
            </w:r>
          </w:p>
        </w:tc>
        <w:tc>
          <w:tcPr>
            <w:tcW w:w="2268" w:type="dxa"/>
            <w:vAlign w:val="center"/>
          </w:tcPr>
          <w:p>
            <w:pPr>
              <w:spacing w:line="276" w:lineRule="auto"/>
              <w:jc w:val="center"/>
              <w:rPr>
                <w:sz w:val="22"/>
                <w:szCs w:val="22"/>
                <w:lang w:eastAsia="en-PH"/>
              </w:rPr>
            </w:pPr>
            <w:r>
              <w:rPr>
                <w:sz w:val="22"/>
                <w:szCs w:val="22"/>
                <w:lang w:eastAsia="en-PH"/>
              </w:rPr>
              <w:t>July 15, 2022</w:t>
            </w:r>
          </w:p>
        </w:tc>
        <w:tc>
          <w:tcPr>
            <w:tcW w:w="1648" w:type="dxa"/>
            <w:vAlign w:val="center"/>
          </w:tcPr>
          <w:p>
            <w:pPr>
              <w:spacing w:line="276" w:lineRule="auto"/>
              <w:jc w:val="center"/>
              <w:rPr>
                <w:sz w:val="22"/>
                <w:szCs w:val="22"/>
                <w:lang w:eastAsia="en-PH"/>
              </w:rPr>
            </w:pPr>
            <w:r>
              <w:rPr>
                <w:sz w:val="22"/>
                <w:szCs w:val="22"/>
                <w:lang w:eastAsia="en-PH"/>
              </w:rPr>
              <w:t>122 days</w:t>
            </w:r>
          </w:p>
        </w:tc>
      </w:tr>
      <w:tr>
        <w:trPr>
          <w:jc w:val="center"/>
        </w:trPr>
        <w:tc>
          <w:tcPr>
            <w:tcW w:w="1998" w:type="dxa"/>
            <w:vAlign w:val="center"/>
          </w:tcPr>
          <w:p>
            <w:pPr>
              <w:spacing w:line="276" w:lineRule="auto"/>
              <w:rPr>
                <w:sz w:val="22"/>
                <w:szCs w:val="22"/>
                <w:lang w:eastAsia="en-PH"/>
              </w:rPr>
            </w:pPr>
            <w:r>
              <w:rPr>
                <w:sz w:val="22"/>
                <w:szCs w:val="22"/>
                <w:lang w:eastAsia="en-PH"/>
              </w:rPr>
              <w:t>March 2022</w:t>
            </w:r>
          </w:p>
        </w:tc>
        <w:tc>
          <w:tcPr>
            <w:tcW w:w="2247" w:type="dxa"/>
            <w:vAlign w:val="center"/>
          </w:tcPr>
          <w:p>
            <w:pPr>
              <w:spacing w:line="276" w:lineRule="auto"/>
              <w:rPr>
                <w:sz w:val="22"/>
                <w:szCs w:val="22"/>
                <w:lang w:eastAsia="en-PH"/>
              </w:rPr>
            </w:pPr>
            <w:r>
              <w:rPr>
                <w:sz w:val="22"/>
                <w:szCs w:val="22"/>
                <w:lang w:eastAsia="en-PH"/>
              </w:rPr>
              <w:t>April 17, 2022</w:t>
            </w:r>
          </w:p>
        </w:tc>
        <w:tc>
          <w:tcPr>
            <w:tcW w:w="2268" w:type="dxa"/>
            <w:vAlign w:val="center"/>
          </w:tcPr>
          <w:p>
            <w:pPr>
              <w:spacing w:line="276" w:lineRule="auto"/>
              <w:jc w:val="center"/>
              <w:rPr>
                <w:sz w:val="22"/>
                <w:szCs w:val="22"/>
                <w:lang w:eastAsia="en-PH"/>
              </w:rPr>
            </w:pPr>
            <w:r>
              <w:rPr>
                <w:sz w:val="22"/>
                <w:szCs w:val="22"/>
                <w:lang w:eastAsia="en-PH"/>
              </w:rPr>
              <w:t>July 15, 2022</w:t>
            </w:r>
          </w:p>
        </w:tc>
        <w:tc>
          <w:tcPr>
            <w:tcW w:w="1648" w:type="dxa"/>
            <w:vAlign w:val="center"/>
          </w:tcPr>
          <w:p>
            <w:pPr>
              <w:spacing w:line="276" w:lineRule="auto"/>
              <w:jc w:val="center"/>
              <w:rPr>
                <w:sz w:val="22"/>
                <w:szCs w:val="22"/>
                <w:lang w:eastAsia="en-PH"/>
              </w:rPr>
            </w:pPr>
            <w:r>
              <w:rPr>
                <w:sz w:val="22"/>
                <w:szCs w:val="22"/>
                <w:lang w:eastAsia="en-PH"/>
              </w:rPr>
              <w:t>89 days</w:t>
            </w:r>
          </w:p>
        </w:tc>
      </w:tr>
      <w:tr>
        <w:trPr>
          <w:jc w:val="center"/>
        </w:trPr>
        <w:tc>
          <w:tcPr>
            <w:tcW w:w="1998" w:type="dxa"/>
            <w:vAlign w:val="center"/>
          </w:tcPr>
          <w:p>
            <w:pPr>
              <w:spacing w:line="276" w:lineRule="auto"/>
              <w:rPr>
                <w:sz w:val="22"/>
                <w:szCs w:val="22"/>
                <w:lang w:eastAsia="en-PH"/>
              </w:rPr>
            </w:pPr>
            <w:r>
              <w:rPr>
                <w:sz w:val="22"/>
                <w:szCs w:val="22"/>
                <w:lang w:eastAsia="en-PH"/>
              </w:rPr>
              <w:t>April 2022</w:t>
            </w:r>
          </w:p>
        </w:tc>
        <w:tc>
          <w:tcPr>
            <w:tcW w:w="2247" w:type="dxa"/>
            <w:vAlign w:val="center"/>
          </w:tcPr>
          <w:p>
            <w:pPr>
              <w:spacing w:line="276" w:lineRule="auto"/>
              <w:rPr>
                <w:sz w:val="22"/>
                <w:szCs w:val="22"/>
                <w:lang w:eastAsia="en-PH"/>
              </w:rPr>
            </w:pPr>
            <w:r>
              <w:rPr>
                <w:sz w:val="22"/>
                <w:szCs w:val="22"/>
                <w:lang w:eastAsia="en-PH"/>
              </w:rPr>
              <w:t>May 15, 2022</w:t>
            </w:r>
          </w:p>
        </w:tc>
        <w:tc>
          <w:tcPr>
            <w:tcW w:w="2268" w:type="dxa"/>
            <w:vAlign w:val="center"/>
          </w:tcPr>
          <w:p>
            <w:pPr>
              <w:spacing w:line="276" w:lineRule="auto"/>
              <w:jc w:val="center"/>
              <w:rPr>
                <w:sz w:val="22"/>
                <w:szCs w:val="22"/>
                <w:lang w:eastAsia="en-PH"/>
              </w:rPr>
            </w:pPr>
            <w:r>
              <w:rPr>
                <w:sz w:val="22"/>
                <w:szCs w:val="22"/>
                <w:lang w:eastAsia="en-PH"/>
              </w:rPr>
              <w:t>July 15, 2022</w:t>
            </w:r>
          </w:p>
        </w:tc>
        <w:tc>
          <w:tcPr>
            <w:tcW w:w="1648" w:type="dxa"/>
            <w:vAlign w:val="center"/>
          </w:tcPr>
          <w:p>
            <w:pPr>
              <w:spacing w:line="276" w:lineRule="auto"/>
              <w:jc w:val="center"/>
              <w:rPr>
                <w:sz w:val="22"/>
                <w:szCs w:val="22"/>
                <w:lang w:eastAsia="en-PH"/>
              </w:rPr>
            </w:pPr>
            <w:r>
              <w:rPr>
                <w:sz w:val="22"/>
                <w:szCs w:val="22"/>
                <w:lang w:eastAsia="en-PH"/>
              </w:rPr>
              <w:t>61 days</w:t>
            </w:r>
          </w:p>
        </w:tc>
      </w:tr>
      <w:tr>
        <w:trPr>
          <w:jc w:val="center"/>
        </w:trPr>
        <w:tc>
          <w:tcPr>
            <w:tcW w:w="1998" w:type="dxa"/>
            <w:vAlign w:val="center"/>
          </w:tcPr>
          <w:p>
            <w:pPr>
              <w:spacing w:line="276" w:lineRule="auto"/>
              <w:rPr>
                <w:sz w:val="22"/>
                <w:szCs w:val="22"/>
                <w:lang w:eastAsia="en-PH"/>
              </w:rPr>
            </w:pPr>
            <w:r>
              <w:rPr>
                <w:sz w:val="22"/>
                <w:szCs w:val="22"/>
                <w:lang w:eastAsia="en-PH"/>
              </w:rPr>
              <w:t>May 2022</w:t>
            </w:r>
          </w:p>
        </w:tc>
        <w:tc>
          <w:tcPr>
            <w:tcW w:w="2247" w:type="dxa"/>
            <w:vAlign w:val="center"/>
          </w:tcPr>
          <w:p>
            <w:pPr>
              <w:spacing w:line="276" w:lineRule="auto"/>
              <w:rPr>
                <w:sz w:val="22"/>
                <w:szCs w:val="22"/>
                <w:lang w:eastAsia="en-PH"/>
              </w:rPr>
            </w:pPr>
            <w:r>
              <w:rPr>
                <w:sz w:val="22"/>
                <w:szCs w:val="22"/>
                <w:lang w:eastAsia="en-PH"/>
              </w:rPr>
              <w:t>June 15, 2022</w:t>
            </w:r>
          </w:p>
        </w:tc>
        <w:tc>
          <w:tcPr>
            <w:tcW w:w="2268" w:type="dxa"/>
            <w:vAlign w:val="center"/>
          </w:tcPr>
          <w:p>
            <w:pPr>
              <w:spacing w:line="276" w:lineRule="auto"/>
              <w:jc w:val="center"/>
              <w:rPr>
                <w:sz w:val="22"/>
                <w:szCs w:val="22"/>
                <w:lang w:eastAsia="en-PH"/>
              </w:rPr>
            </w:pPr>
            <w:r>
              <w:rPr>
                <w:sz w:val="22"/>
                <w:szCs w:val="22"/>
                <w:lang w:eastAsia="en-PH"/>
              </w:rPr>
              <w:t>August 03, 2022</w:t>
            </w:r>
          </w:p>
        </w:tc>
        <w:tc>
          <w:tcPr>
            <w:tcW w:w="1648" w:type="dxa"/>
            <w:vAlign w:val="center"/>
          </w:tcPr>
          <w:p>
            <w:pPr>
              <w:spacing w:line="276" w:lineRule="auto"/>
              <w:jc w:val="center"/>
              <w:rPr>
                <w:sz w:val="22"/>
                <w:szCs w:val="22"/>
                <w:lang w:eastAsia="en-PH"/>
              </w:rPr>
            </w:pPr>
            <w:r>
              <w:rPr>
                <w:sz w:val="22"/>
                <w:szCs w:val="22"/>
                <w:lang w:eastAsia="en-PH"/>
              </w:rPr>
              <w:t>49 days</w:t>
            </w:r>
          </w:p>
        </w:tc>
      </w:tr>
      <w:tr>
        <w:trPr>
          <w:jc w:val="center"/>
        </w:trPr>
        <w:tc>
          <w:tcPr>
            <w:tcW w:w="1998" w:type="dxa"/>
            <w:vAlign w:val="center"/>
          </w:tcPr>
          <w:p>
            <w:pPr>
              <w:spacing w:line="276" w:lineRule="auto"/>
              <w:rPr>
                <w:sz w:val="22"/>
                <w:szCs w:val="22"/>
                <w:lang w:eastAsia="en-PH"/>
              </w:rPr>
            </w:pPr>
            <w:r>
              <w:rPr>
                <w:sz w:val="22"/>
                <w:szCs w:val="22"/>
                <w:lang w:eastAsia="en-PH"/>
              </w:rPr>
              <w:t>June 2022</w:t>
            </w:r>
          </w:p>
        </w:tc>
        <w:tc>
          <w:tcPr>
            <w:tcW w:w="2247" w:type="dxa"/>
            <w:vAlign w:val="center"/>
          </w:tcPr>
          <w:p>
            <w:pPr>
              <w:spacing w:line="276" w:lineRule="auto"/>
              <w:rPr>
                <w:sz w:val="22"/>
                <w:szCs w:val="22"/>
                <w:lang w:eastAsia="en-PH"/>
              </w:rPr>
            </w:pPr>
            <w:r>
              <w:rPr>
                <w:sz w:val="22"/>
                <w:szCs w:val="22"/>
                <w:lang w:eastAsia="en-PH"/>
              </w:rPr>
              <w:t>July 17, 2022</w:t>
            </w:r>
          </w:p>
        </w:tc>
        <w:tc>
          <w:tcPr>
            <w:tcW w:w="2268" w:type="dxa"/>
            <w:vAlign w:val="center"/>
          </w:tcPr>
          <w:p>
            <w:pPr>
              <w:spacing w:line="276" w:lineRule="auto"/>
              <w:jc w:val="center"/>
              <w:rPr>
                <w:sz w:val="22"/>
                <w:szCs w:val="22"/>
                <w:lang w:eastAsia="en-PH"/>
              </w:rPr>
            </w:pPr>
            <w:r>
              <w:rPr>
                <w:sz w:val="22"/>
                <w:szCs w:val="22"/>
                <w:lang w:eastAsia="en-PH"/>
              </w:rPr>
              <w:t>August 11, 2022</w:t>
            </w:r>
          </w:p>
        </w:tc>
        <w:tc>
          <w:tcPr>
            <w:tcW w:w="1648" w:type="dxa"/>
            <w:vAlign w:val="center"/>
          </w:tcPr>
          <w:p>
            <w:pPr>
              <w:spacing w:line="276" w:lineRule="auto"/>
              <w:jc w:val="center"/>
              <w:rPr>
                <w:sz w:val="22"/>
                <w:szCs w:val="22"/>
                <w:lang w:eastAsia="en-PH"/>
              </w:rPr>
            </w:pPr>
            <w:r>
              <w:rPr>
                <w:sz w:val="22"/>
                <w:szCs w:val="22"/>
                <w:lang w:eastAsia="en-PH"/>
              </w:rPr>
              <w:t>25 days</w:t>
            </w:r>
          </w:p>
        </w:tc>
      </w:tr>
      <w:tr>
        <w:trPr>
          <w:jc w:val="center"/>
        </w:trPr>
        <w:tc>
          <w:tcPr>
            <w:tcW w:w="1998" w:type="dxa"/>
            <w:vAlign w:val="center"/>
          </w:tcPr>
          <w:p>
            <w:pPr>
              <w:spacing w:line="276" w:lineRule="auto"/>
              <w:rPr>
                <w:sz w:val="22"/>
                <w:szCs w:val="22"/>
                <w:lang w:eastAsia="en-PH"/>
              </w:rPr>
            </w:pPr>
            <w:r>
              <w:rPr>
                <w:sz w:val="22"/>
                <w:szCs w:val="22"/>
                <w:lang w:eastAsia="en-PH"/>
              </w:rPr>
              <w:t>July 2022</w:t>
            </w:r>
          </w:p>
        </w:tc>
        <w:tc>
          <w:tcPr>
            <w:tcW w:w="2247" w:type="dxa"/>
            <w:vAlign w:val="center"/>
          </w:tcPr>
          <w:p>
            <w:pPr>
              <w:spacing w:line="276" w:lineRule="auto"/>
              <w:rPr>
                <w:sz w:val="22"/>
                <w:szCs w:val="22"/>
                <w:lang w:eastAsia="en-PH"/>
              </w:rPr>
            </w:pPr>
            <w:r>
              <w:rPr>
                <w:sz w:val="22"/>
                <w:szCs w:val="22"/>
                <w:lang w:eastAsia="en-PH"/>
              </w:rPr>
              <w:t>August 15, 2022</w:t>
            </w:r>
          </w:p>
        </w:tc>
        <w:tc>
          <w:tcPr>
            <w:tcW w:w="2268" w:type="dxa"/>
            <w:vAlign w:val="center"/>
          </w:tcPr>
          <w:p>
            <w:pPr>
              <w:spacing w:line="276" w:lineRule="auto"/>
              <w:jc w:val="center"/>
              <w:rPr>
                <w:sz w:val="22"/>
                <w:szCs w:val="22"/>
                <w:lang w:eastAsia="en-PH"/>
              </w:rPr>
            </w:pPr>
            <w:r>
              <w:rPr>
                <w:sz w:val="22"/>
                <w:szCs w:val="22"/>
                <w:lang w:eastAsia="en-PH"/>
              </w:rPr>
              <w:t>October 10, 2022</w:t>
            </w:r>
          </w:p>
        </w:tc>
        <w:tc>
          <w:tcPr>
            <w:tcW w:w="1648" w:type="dxa"/>
            <w:vAlign w:val="center"/>
          </w:tcPr>
          <w:p>
            <w:pPr>
              <w:spacing w:line="276" w:lineRule="auto"/>
              <w:jc w:val="center"/>
              <w:rPr>
                <w:sz w:val="22"/>
                <w:szCs w:val="22"/>
                <w:lang w:eastAsia="en-PH"/>
              </w:rPr>
            </w:pPr>
            <w:r>
              <w:rPr>
                <w:sz w:val="22"/>
                <w:szCs w:val="22"/>
                <w:lang w:eastAsia="en-PH"/>
              </w:rPr>
              <w:t>56 days</w:t>
            </w:r>
          </w:p>
        </w:tc>
      </w:tr>
      <w:tr>
        <w:trPr>
          <w:jc w:val="center"/>
        </w:trPr>
        <w:tc>
          <w:tcPr>
            <w:tcW w:w="1998" w:type="dxa"/>
            <w:vAlign w:val="center"/>
          </w:tcPr>
          <w:p>
            <w:pPr>
              <w:spacing w:line="276" w:lineRule="auto"/>
              <w:rPr>
                <w:sz w:val="22"/>
                <w:szCs w:val="22"/>
                <w:lang w:eastAsia="en-PH"/>
              </w:rPr>
            </w:pPr>
            <w:r>
              <w:rPr>
                <w:sz w:val="22"/>
                <w:szCs w:val="22"/>
                <w:lang w:eastAsia="en-PH"/>
              </w:rPr>
              <w:t>August 2022</w:t>
            </w:r>
          </w:p>
        </w:tc>
        <w:tc>
          <w:tcPr>
            <w:tcW w:w="2247" w:type="dxa"/>
            <w:vAlign w:val="center"/>
          </w:tcPr>
          <w:p>
            <w:pPr>
              <w:spacing w:line="276" w:lineRule="auto"/>
              <w:rPr>
                <w:sz w:val="22"/>
                <w:szCs w:val="22"/>
                <w:lang w:eastAsia="en-PH"/>
              </w:rPr>
            </w:pPr>
            <w:r>
              <w:rPr>
                <w:sz w:val="22"/>
                <w:szCs w:val="22"/>
                <w:lang w:eastAsia="en-PH"/>
              </w:rPr>
              <w:t>September 15, 2022</w:t>
            </w:r>
          </w:p>
        </w:tc>
        <w:tc>
          <w:tcPr>
            <w:tcW w:w="2268" w:type="dxa"/>
            <w:vAlign w:val="center"/>
          </w:tcPr>
          <w:p>
            <w:pPr>
              <w:spacing w:line="276" w:lineRule="auto"/>
              <w:jc w:val="center"/>
              <w:rPr>
                <w:sz w:val="22"/>
                <w:szCs w:val="22"/>
                <w:lang w:eastAsia="en-PH"/>
              </w:rPr>
            </w:pPr>
            <w:r>
              <w:rPr>
                <w:sz w:val="22"/>
                <w:szCs w:val="22"/>
                <w:lang w:eastAsia="en-PH"/>
              </w:rPr>
              <w:t>January 12, 2023</w:t>
            </w:r>
          </w:p>
        </w:tc>
        <w:tc>
          <w:tcPr>
            <w:tcW w:w="1648" w:type="dxa"/>
            <w:vAlign w:val="center"/>
          </w:tcPr>
          <w:p>
            <w:pPr>
              <w:spacing w:line="276" w:lineRule="auto"/>
              <w:jc w:val="center"/>
              <w:rPr>
                <w:sz w:val="22"/>
                <w:szCs w:val="22"/>
                <w:lang w:eastAsia="en-PH"/>
              </w:rPr>
            </w:pPr>
            <w:r>
              <w:rPr>
                <w:sz w:val="22"/>
                <w:szCs w:val="22"/>
                <w:lang w:eastAsia="en-PH"/>
              </w:rPr>
              <w:t>119 days</w:t>
            </w:r>
          </w:p>
        </w:tc>
      </w:tr>
    </w:tbl>
    <w:p>
      <w:pPr>
        <w:spacing w:line="276" w:lineRule="auto"/>
        <w:ind w:right="2"/>
        <w:jc w:val="both"/>
        <w:rPr>
          <w:lang w:eastAsia="en-PH"/>
        </w:rPr>
      </w:pPr>
    </w:p>
    <w:p>
      <w:pPr>
        <w:numPr>
          <w:ilvl w:val="0"/>
          <w:numId w:val="47"/>
        </w:numPr>
        <w:pBdr>
          <w:top w:val="nil"/>
          <w:left w:val="nil"/>
          <w:bottom w:val="nil"/>
          <w:right w:val="nil"/>
          <w:between w:val="nil"/>
        </w:pBdr>
        <w:spacing w:line="276" w:lineRule="auto"/>
        <w:ind w:left="360" w:right="2"/>
        <w:jc w:val="both"/>
        <w:rPr>
          <w:i/>
          <w:color w:val="000000"/>
          <w:lang w:eastAsia="en-PH"/>
        </w:rPr>
      </w:pPr>
      <w:r>
        <w:rPr>
          <w:b/>
          <w:i/>
          <w:color w:val="000000"/>
          <w:lang w:eastAsia="en-PH"/>
        </w:rPr>
        <w:t>Delay in the submission of Reports of Collections and Deposits (RCD), Liquidation Reports (LRs), and Disbursement Vouchers (DVs)</w:t>
      </w:r>
    </w:p>
    <w:p>
      <w:pPr>
        <w:spacing w:line="276" w:lineRule="auto"/>
        <w:ind w:right="2" w:firstLine="720"/>
        <w:jc w:val="both"/>
        <w:rPr>
          <w:lang w:eastAsia="en-PH"/>
        </w:rPr>
      </w:pPr>
    </w:p>
    <w:p>
      <w:pPr>
        <w:spacing w:line="276" w:lineRule="auto"/>
        <w:ind w:right="2"/>
        <w:jc w:val="both"/>
        <w:rPr>
          <w:lang w:eastAsia="en-PH"/>
        </w:rPr>
      </w:pPr>
      <w:r>
        <w:rPr>
          <w:lang w:eastAsia="en-PH"/>
        </w:rPr>
        <w:t>On the other hand, submission of RCD, LRs and DVs for CY 2022 to the COA Office was also beyond ten (10) days after the end of each month as shown in Table 20.4.</w:t>
      </w:r>
    </w:p>
    <w:p>
      <w:pPr>
        <w:spacing w:line="276" w:lineRule="auto"/>
        <w:ind w:right="2" w:firstLine="720"/>
        <w:jc w:val="both"/>
        <w:rPr>
          <w:lang w:eastAsia="en-PH"/>
        </w:rPr>
      </w:pPr>
    </w:p>
    <w:p>
      <w:pPr>
        <w:spacing w:line="276" w:lineRule="auto"/>
        <w:ind w:right="2"/>
        <w:jc w:val="both"/>
        <w:rPr>
          <w:i/>
          <w:lang w:eastAsia="en-PH"/>
        </w:rPr>
      </w:pPr>
      <w:r>
        <w:rPr>
          <w:i/>
          <w:lang w:eastAsia="en-PH"/>
        </w:rPr>
        <w:t>Table 20.4. Schedule of submission of RCD, LRs and DVs</w:t>
      </w:r>
    </w:p>
    <w:tbl>
      <w:tblPr>
        <w:tblW w:w="8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8"/>
        <w:gridCol w:w="2392"/>
        <w:gridCol w:w="2268"/>
        <w:gridCol w:w="1406"/>
      </w:tblGrid>
      <w:tr>
        <w:trPr>
          <w:tblHeader/>
          <w:jc w:val="center"/>
        </w:trPr>
        <w:tc>
          <w:tcPr>
            <w:tcW w:w="1998" w:type="dxa"/>
            <w:vAlign w:val="center"/>
          </w:tcPr>
          <w:p>
            <w:pPr>
              <w:spacing w:line="276" w:lineRule="auto"/>
              <w:jc w:val="center"/>
              <w:rPr>
                <w:b/>
                <w:sz w:val="22"/>
                <w:szCs w:val="22"/>
                <w:lang w:eastAsia="en-PH"/>
              </w:rPr>
            </w:pPr>
            <w:r>
              <w:rPr>
                <w:b/>
                <w:sz w:val="22"/>
                <w:szCs w:val="22"/>
                <w:lang w:eastAsia="en-PH"/>
              </w:rPr>
              <w:t>Period Covered</w:t>
            </w:r>
          </w:p>
        </w:tc>
        <w:tc>
          <w:tcPr>
            <w:tcW w:w="2392" w:type="dxa"/>
            <w:vAlign w:val="center"/>
          </w:tcPr>
          <w:p>
            <w:pPr>
              <w:spacing w:line="276" w:lineRule="auto"/>
              <w:jc w:val="center"/>
              <w:rPr>
                <w:b/>
                <w:sz w:val="22"/>
                <w:szCs w:val="22"/>
                <w:lang w:eastAsia="en-PH"/>
              </w:rPr>
            </w:pPr>
            <w:r>
              <w:rPr>
                <w:b/>
                <w:sz w:val="22"/>
                <w:szCs w:val="22"/>
                <w:lang w:eastAsia="en-PH"/>
              </w:rPr>
              <w:t>Due date</w:t>
            </w:r>
          </w:p>
        </w:tc>
        <w:tc>
          <w:tcPr>
            <w:tcW w:w="2268" w:type="dxa"/>
            <w:vAlign w:val="center"/>
          </w:tcPr>
          <w:p>
            <w:pPr>
              <w:spacing w:line="276" w:lineRule="auto"/>
              <w:jc w:val="center"/>
              <w:rPr>
                <w:b/>
                <w:sz w:val="22"/>
                <w:szCs w:val="22"/>
                <w:lang w:eastAsia="en-PH"/>
              </w:rPr>
            </w:pPr>
            <w:r>
              <w:rPr>
                <w:b/>
                <w:sz w:val="22"/>
                <w:szCs w:val="22"/>
                <w:lang w:eastAsia="en-PH"/>
              </w:rPr>
              <w:t>Date Submitted to COA</w:t>
            </w:r>
          </w:p>
        </w:tc>
        <w:tc>
          <w:tcPr>
            <w:tcW w:w="1406" w:type="dxa"/>
            <w:vAlign w:val="center"/>
          </w:tcPr>
          <w:p>
            <w:pPr>
              <w:spacing w:line="276" w:lineRule="auto"/>
              <w:jc w:val="center"/>
              <w:rPr>
                <w:b/>
                <w:sz w:val="22"/>
                <w:szCs w:val="22"/>
                <w:lang w:eastAsia="en-PH"/>
              </w:rPr>
            </w:pPr>
            <w:r>
              <w:rPr>
                <w:b/>
                <w:sz w:val="22"/>
                <w:szCs w:val="22"/>
                <w:lang w:eastAsia="en-PH"/>
              </w:rPr>
              <w:t>No. of days delayed</w:t>
            </w:r>
          </w:p>
        </w:tc>
      </w:tr>
      <w:tr>
        <w:trPr>
          <w:jc w:val="center"/>
        </w:trPr>
        <w:tc>
          <w:tcPr>
            <w:tcW w:w="8064" w:type="dxa"/>
            <w:gridSpan w:val="4"/>
            <w:vAlign w:val="center"/>
          </w:tcPr>
          <w:p>
            <w:pPr>
              <w:spacing w:line="276" w:lineRule="auto"/>
              <w:jc w:val="center"/>
              <w:rPr>
                <w:b/>
                <w:sz w:val="22"/>
                <w:szCs w:val="22"/>
                <w:lang w:eastAsia="en-PH"/>
              </w:rPr>
            </w:pPr>
            <w:r>
              <w:rPr>
                <w:b/>
                <w:sz w:val="22"/>
                <w:szCs w:val="22"/>
                <w:lang w:eastAsia="en-PH"/>
              </w:rPr>
              <w:t>RCD</w:t>
            </w:r>
          </w:p>
        </w:tc>
      </w:tr>
      <w:tr>
        <w:trPr>
          <w:jc w:val="center"/>
        </w:trPr>
        <w:tc>
          <w:tcPr>
            <w:tcW w:w="1998" w:type="dxa"/>
            <w:vAlign w:val="center"/>
          </w:tcPr>
          <w:p>
            <w:pPr>
              <w:spacing w:line="276" w:lineRule="auto"/>
              <w:rPr>
                <w:sz w:val="22"/>
                <w:szCs w:val="22"/>
                <w:lang w:eastAsia="en-PH"/>
              </w:rPr>
            </w:pPr>
            <w:r>
              <w:rPr>
                <w:sz w:val="22"/>
                <w:szCs w:val="22"/>
                <w:lang w:eastAsia="en-PH"/>
              </w:rPr>
              <w:t>January 2022</w:t>
            </w:r>
          </w:p>
        </w:tc>
        <w:tc>
          <w:tcPr>
            <w:tcW w:w="2392" w:type="dxa"/>
            <w:vAlign w:val="center"/>
          </w:tcPr>
          <w:p>
            <w:pPr>
              <w:spacing w:line="276" w:lineRule="auto"/>
              <w:rPr>
                <w:sz w:val="22"/>
                <w:szCs w:val="22"/>
                <w:lang w:eastAsia="en-PH"/>
              </w:rPr>
            </w:pPr>
            <w:r>
              <w:rPr>
                <w:sz w:val="22"/>
                <w:szCs w:val="22"/>
                <w:lang w:eastAsia="en-PH"/>
              </w:rPr>
              <w:t>February 10, 2022</w:t>
            </w:r>
          </w:p>
        </w:tc>
        <w:tc>
          <w:tcPr>
            <w:tcW w:w="2268" w:type="dxa"/>
            <w:vAlign w:val="center"/>
          </w:tcPr>
          <w:p>
            <w:pPr>
              <w:spacing w:line="276" w:lineRule="auto"/>
              <w:rPr>
                <w:sz w:val="22"/>
                <w:szCs w:val="22"/>
                <w:lang w:eastAsia="en-PH"/>
              </w:rPr>
            </w:pPr>
            <w:r>
              <w:rPr>
                <w:sz w:val="22"/>
                <w:szCs w:val="22"/>
                <w:lang w:eastAsia="en-PH"/>
              </w:rPr>
              <w:t>March 18, 2022</w:t>
            </w:r>
          </w:p>
        </w:tc>
        <w:tc>
          <w:tcPr>
            <w:tcW w:w="1406" w:type="dxa"/>
            <w:vAlign w:val="center"/>
          </w:tcPr>
          <w:p>
            <w:pPr>
              <w:spacing w:line="276" w:lineRule="auto"/>
              <w:jc w:val="center"/>
              <w:rPr>
                <w:sz w:val="22"/>
                <w:szCs w:val="22"/>
                <w:lang w:eastAsia="en-PH"/>
              </w:rPr>
            </w:pPr>
            <w:r>
              <w:rPr>
                <w:sz w:val="22"/>
                <w:szCs w:val="22"/>
                <w:lang w:eastAsia="en-PH"/>
              </w:rPr>
              <w:t>36 days</w:t>
            </w:r>
          </w:p>
        </w:tc>
      </w:tr>
      <w:tr>
        <w:trPr>
          <w:jc w:val="center"/>
        </w:trPr>
        <w:tc>
          <w:tcPr>
            <w:tcW w:w="1998" w:type="dxa"/>
            <w:vAlign w:val="center"/>
          </w:tcPr>
          <w:p>
            <w:pPr>
              <w:spacing w:line="276" w:lineRule="auto"/>
              <w:rPr>
                <w:sz w:val="22"/>
                <w:szCs w:val="22"/>
                <w:lang w:eastAsia="en-PH"/>
              </w:rPr>
            </w:pPr>
            <w:r>
              <w:rPr>
                <w:sz w:val="22"/>
                <w:szCs w:val="22"/>
                <w:lang w:eastAsia="en-PH"/>
              </w:rPr>
              <w:t>February 2022</w:t>
            </w:r>
          </w:p>
        </w:tc>
        <w:tc>
          <w:tcPr>
            <w:tcW w:w="2392" w:type="dxa"/>
            <w:vAlign w:val="center"/>
          </w:tcPr>
          <w:p>
            <w:pPr>
              <w:spacing w:line="276" w:lineRule="auto"/>
              <w:rPr>
                <w:sz w:val="22"/>
                <w:szCs w:val="22"/>
                <w:lang w:eastAsia="en-PH"/>
              </w:rPr>
            </w:pPr>
            <w:r>
              <w:rPr>
                <w:sz w:val="22"/>
                <w:szCs w:val="22"/>
                <w:lang w:eastAsia="en-PH"/>
              </w:rPr>
              <w:t>March 10, 2022</w:t>
            </w:r>
          </w:p>
        </w:tc>
        <w:tc>
          <w:tcPr>
            <w:tcW w:w="2268" w:type="dxa"/>
            <w:vAlign w:val="center"/>
          </w:tcPr>
          <w:p>
            <w:pPr>
              <w:spacing w:line="276" w:lineRule="auto"/>
              <w:rPr>
                <w:sz w:val="22"/>
                <w:szCs w:val="22"/>
                <w:lang w:eastAsia="en-PH"/>
              </w:rPr>
            </w:pPr>
            <w:r>
              <w:rPr>
                <w:sz w:val="22"/>
                <w:szCs w:val="22"/>
                <w:lang w:eastAsia="en-PH"/>
              </w:rPr>
              <w:t>May 19, 2022</w:t>
            </w:r>
          </w:p>
        </w:tc>
        <w:tc>
          <w:tcPr>
            <w:tcW w:w="1406" w:type="dxa"/>
            <w:vAlign w:val="center"/>
          </w:tcPr>
          <w:p>
            <w:pPr>
              <w:spacing w:line="276" w:lineRule="auto"/>
              <w:jc w:val="center"/>
              <w:rPr>
                <w:sz w:val="22"/>
                <w:szCs w:val="22"/>
                <w:lang w:eastAsia="en-PH"/>
              </w:rPr>
            </w:pPr>
            <w:r>
              <w:rPr>
                <w:sz w:val="22"/>
                <w:szCs w:val="22"/>
                <w:lang w:eastAsia="en-PH"/>
              </w:rPr>
              <w:t>70 days</w:t>
            </w:r>
          </w:p>
        </w:tc>
      </w:tr>
      <w:tr>
        <w:trPr>
          <w:jc w:val="center"/>
        </w:trPr>
        <w:tc>
          <w:tcPr>
            <w:tcW w:w="1998" w:type="dxa"/>
            <w:vAlign w:val="center"/>
          </w:tcPr>
          <w:p>
            <w:pPr>
              <w:spacing w:line="276" w:lineRule="auto"/>
              <w:rPr>
                <w:sz w:val="22"/>
                <w:szCs w:val="22"/>
                <w:lang w:eastAsia="en-PH"/>
              </w:rPr>
            </w:pPr>
            <w:r>
              <w:rPr>
                <w:sz w:val="22"/>
                <w:szCs w:val="22"/>
                <w:lang w:eastAsia="en-PH"/>
              </w:rPr>
              <w:t>March 2022</w:t>
            </w:r>
          </w:p>
        </w:tc>
        <w:tc>
          <w:tcPr>
            <w:tcW w:w="2392" w:type="dxa"/>
            <w:vAlign w:val="center"/>
          </w:tcPr>
          <w:p>
            <w:pPr>
              <w:spacing w:line="276" w:lineRule="auto"/>
              <w:rPr>
                <w:sz w:val="22"/>
                <w:szCs w:val="22"/>
                <w:lang w:eastAsia="en-PH"/>
              </w:rPr>
            </w:pPr>
            <w:r>
              <w:rPr>
                <w:sz w:val="22"/>
                <w:szCs w:val="22"/>
                <w:lang w:eastAsia="en-PH"/>
              </w:rPr>
              <w:t>April 11, 2022</w:t>
            </w:r>
          </w:p>
        </w:tc>
        <w:tc>
          <w:tcPr>
            <w:tcW w:w="2268" w:type="dxa"/>
            <w:vAlign w:val="center"/>
          </w:tcPr>
          <w:p>
            <w:pPr>
              <w:spacing w:line="276" w:lineRule="auto"/>
              <w:rPr>
                <w:sz w:val="22"/>
                <w:szCs w:val="22"/>
                <w:lang w:eastAsia="en-PH"/>
              </w:rPr>
            </w:pPr>
            <w:r>
              <w:rPr>
                <w:sz w:val="22"/>
                <w:szCs w:val="22"/>
                <w:lang w:eastAsia="en-PH"/>
              </w:rPr>
              <w:t>July 15, 2022</w:t>
            </w:r>
          </w:p>
        </w:tc>
        <w:tc>
          <w:tcPr>
            <w:tcW w:w="1406" w:type="dxa"/>
            <w:vAlign w:val="center"/>
          </w:tcPr>
          <w:p>
            <w:pPr>
              <w:spacing w:line="276" w:lineRule="auto"/>
              <w:jc w:val="center"/>
              <w:rPr>
                <w:sz w:val="22"/>
                <w:szCs w:val="22"/>
                <w:lang w:eastAsia="en-PH"/>
              </w:rPr>
            </w:pPr>
            <w:r>
              <w:rPr>
                <w:sz w:val="22"/>
                <w:szCs w:val="22"/>
                <w:lang w:eastAsia="en-PH"/>
              </w:rPr>
              <w:t>95 days</w:t>
            </w:r>
          </w:p>
        </w:tc>
      </w:tr>
      <w:tr>
        <w:trPr>
          <w:jc w:val="center"/>
        </w:trPr>
        <w:tc>
          <w:tcPr>
            <w:tcW w:w="1998" w:type="dxa"/>
            <w:vAlign w:val="center"/>
          </w:tcPr>
          <w:p>
            <w:pPr>
              <w:spacing w:line="276" w:lineRule="auto"/>
              <w:rPr>
                <w:sz w:val="22"/>
                <w:szCs w:val="22"/>
                <w:lang w:eastAsia="en-PH"/>
              </w:rPr>
            </w:pPr>
            <w:r>
              <w:rPr>
                <w:sz w:val="22"/>
                <w:szCs w:val="22"/>
                <w:lang w:eastAsia="en-PH"/>
              </w:rPr>
              <w:t>April 2022</w:t>
            </w:r>
          </w:p>
        </w:tc>
        <w:tc>
          <w:tcPr>
            <w:tcW w:w="2392" w:type="dxa"/>
            <w:vAlign w:val="center"/>
          </w:tcPr>
          <w:p>
            <w:pPr>
              <w:spacing w:line="276" w:lineRule="auto"/>
              <w:rPr>
                <w:sz w:val="22"/>
                <w:szCs w:val="22"/>
                <w:lang w:eastAsia="en-PH"/>
              </w:rPr>
            </w:pPr>
            <w:r>
              <w:rPr>
                <w:sz w:val="22"/>
                <w:szCs w:val="22"/>
                <w:lang w:eastAsia="en-PH"/>
              </w:rPr>
              <w:t>May 10, 2022</w:t>
            </w:r>
          </w:p>
        </w:tc>
        <w:tc>
          <w:tcPr>
            <w:tcW w:w="2268" w:type="dxa"/>
            <w:vAlign w:val="center"/>
          </w:tcPr>
          <w:p>
            <w:pPr>
              <w:spacing w:line="276" w:lineRule="auto"/>
              <w:rPr>
                <w:sz w:val="22"/>
                <w:szCs w:val="22"/>
                <w:lang w:eastAsia="en-PH"/>
              </w:rPr>
            </w:pPr>
            <w:r>
              <w:rPr>
                <w:sz w:val="22"/>
                <w:szCs w:val="22"/>
                <w:lang w:eastAsia="en-PH"/>
              </w:rPr>
              <w:t>August 2, 2022</w:t>
            </w:r>
          </w:p>
        </w:tc>
        <w:tc>
          <w:tcPr>
            <w:tcW w:w="1406" w:type="dxa"/>
            <w:vAlign w:val="center"/>
          </w:tcPr>
          <w:p>
            <w:pPr>
              <w:spacing w:line="276" w:lineRule="auto"/>
              <w:jc w:val="center"/>
              <w:rPr>
                <w:sz w:val="22"/>
                <w:szCs w:val="22"/>
                <w:lang w:eastAsia="en-PH"/>
              </w:rPr>
            </w:pPr>
            <w:r>
              <w:rPr>
                <w:sz w:val="22"/>
                <w:szCs w:val="22"/>
                <w:lang w:eastAsia="en-PH"/>
              </w:rPr>
              <w:t>84 days</w:t>
            </w:r>
          </w:p>
        </w:tc>
      </w:tr>
      <w:tr>
        <w:trPr>
          <w:jc w:val="center"/>
        </w:trPr>
        <w:tc>
          <w:tcPr>
            <w:tcW w:w="1998" w:type="dxa"/>
            <w:vAlign w:val="center"/>
          </w:tcPr>
          <w:p>
            <w:pPr>
              <w:spacing w:line="276" w:lineRule="auto"/>
              <w:rPr>
                <w:sz w:val="22"/>
                <w:szCs w:val="22"/>
                <w:lang w:eastAsia="en-PH"/>
              </w:rPr>
            </w:pPr>
            <w:r>
              <w:rPr>
                <w:sz w:val="22"/>
                <w:szCs w:val="22"/>
                <w:lang w:eastAsia="en-PH"/>
              </w:rPr>
              <w:t>May 2022</w:t>
            </w:r>
          </w:p>
        </w:tc>
        <w:tc>
          <w:tcPr>
            <w:tcW w:w="2392" w:type="dxa"/>
            <w:vAlign w:val="center"/>
          </w:tcPr>
          <w:p>
            <w:pPr>
              <w:spacing w:line="276" w:lineRule="auto"/>
              <w:rPr>
                <w:sz w:val="22"/>
                <w:szCs w:val="22"/>
                <w:lang w:eastAsia="en-PH"/>
              </w:rPr>
            </w:pPr>
            <w:r>
              <w:rPr>
                <w:sz w:val="22"/>
                <w:szCs w:val="22"/>
                <w:lang w:eastAsia="en-PH"/>
              </w:rPr>
              <w:t>June 10, 2022</w:t>
            </w:r>
          </w:p>
        </w:tc>
        <w:tc>
          <w:tcPr>
            <w:tcW w:w="2268" w:type="dxa"/>
            <w:vAlign w:val="center"/>
          </w:tcPr>
          <w:p>
            <w:pPr>
              <w:spacing w:line="276" w:lineRule="auto"/>
              <w:rPr>
                <w:sz w:val="22"/>
                <w:szCs w:val="22"/>
                <w:lang w:eastAsia="en-PH"/>
              </w:rPr>
            </w:pPr>
            <w:r>
              <w:rPr>
                <w:sz w:val="22"/>
                <w:szCs w:val="22"/>
                <w:lang w:eastAsia="en-PH"/>
              </w:rPr>
              <w:t>August 26, 2022</w:t>
            </w:r>
          </w:p>
        </w:tc>
        <w:tc>
          <w:tcPr>
            <w:tcW w:w="1406" w:type="dxa"/>
            <w:vAlign w:val="center"/>
          </w:tcPr>
          <w:p>
            <w:pPr>
              <w:spacing w:line="276" w:lineRule="auto"/>
              <w:jc w:val="center"/>
              <w:rPr>
                <w:sz w:val="22"/>
                <w:szCs w:val="22"/>
                <w:lang w:eastAsia="en-PH"/>
              </w:rPr>
            </w:pPr>
            <w:r>
              <w:rPr>
                <w:sz w:val="22"/>
                <w:szCs w:val="22"/>
                <w:lang w:eastAsia="en-PH"/>
              </w:rPr>
              <w:t>77 days</w:t>
            </w:r>
          </w:p>
        </w:tc>
      </w:tr>
      <w:tr>
        <w:trPr>
          <w:jc w:val="center"/>
        </w:trPr>
        <w:tc>
          <w:tcPr>
            <w:tcW w:w="1998" w:type="dxa"/>
            <w:vAlign w:val="center"/>
          </w:tcPr>
          <w:p>
            <w:pPr>
              <w:spacing w:line="276" w:lineRule="auto"/>
              <w:rPr>
                <w:sz w:val="22"/>
                <w:szCs w:val="22"/>
                <w:lang w:eastAsia="en-PH"/>
              </w:rPr>
            </w:pPr>
            <w:r>
              <w:rPr>
                <w:sz w:val="22"/>
                <w:szCs w:val="22"/>
                <w:lang w:eastAsia="en-PH"/>
              </w:rPr>
              <w:t>June 2022</w:t>
            </w:r>
          </w:p>
        </w:tc>
        <w:tc>
          <w:tcPr>
            <w:tcW w:w="2392" w:type="dxa"/>
            <w:vAlign w:val="center"/>
          </w:tcPr>
          <w:p>
            <w:pPr>
              <w:spacing w:line="276" w:lineRule="auto"/>
              <w:rPr>
                <w:sz w:val="22"/>
                <w:szCs w:val="22"/>
                <w:lang w:eastAsia="en-PH"/>
              </w:rPr>
            </w:pPr>
            <w:r>
              <w:rPr>
                <w:sz w:val="22"/>
                <w:szCs w:val="22"/>
                <w:lang w:eastAsia="en-PH"/>
              </w:rPr>
              <w:t>July 11, 2022</w:t>
            </w:r>
          </w:p>
        </w:tc>
        <w:tc>
          <w:tcPr>
            <w:tcW w:w="2268" w:type="dxa"/>
            <w:vAlign w:val="center"/>
          </w:tcPr>
          <w:p>
            <w:pPr>
              <w:spacing w:line="276" w:lineRule="auto"/>
              <w:rPr>
                <w:sz w:val="22"/>
                <w:szCs w:val="22"/>
                <w:lang w:eastAsia="en-PH"/>
              </w:rPr>
            </w:pPr>
            <w:r>
              <w:rPr>
                <w:sz w:val="22"/>
                <w:szCs w:val="22"/>
                <w:lang w:eastAsia="en-PH"/>
              </w:rPr>
              <w:t>November 04, 2022</w:t>
            </w:r>
          </w:p>
        </w:tc>
        <w:tc>
          <w:tcPr>
            <w:tcW w:w="1406" w:type="dxa"/>
            <w:vAlign w:val="center"/>
          </w:tcPr>
          <w:p>
            <w:pPr>
              <w:spacing w:line="276" w:lineRule="auto"/>
              <w:jc w:val="center"/>
              <w:rPr>
                <w:sz w:val="22"/>
                <w:szCs w:val="22"/>
                <w:lang w:eastAsia="en-PH"/>
              </w:rPr>
            </w:pPr>
            <w:r>
              <w:rPr>
                <w:sz w:val="22"/>
                <w:szCs w:val="22"/>
                <w:lang w:eastAsia="en-PH"/>
              </w:rPr>
              <w:t>116 days</w:t>
            </w:r>
          </w:p>
        </w:tc>
      </w:tr>
      <w:tr>
        <w:trPr>
          <w:jc w:val="center"/>
        </w:trPr>
        <w:tc>
          <w:tcPr>
            <w:tcW w:w="1998" w:type="dxa"/>
            <w:vAlign w:val="center"/>
          </w:tcPr>
          <w:p>
            <w:pPr>
              <w:spacing w:line="276" w:lineRule="auto"/>
              <w:rPr>
                <w:sz w:val="22"/>
                <w:szCs w:val="22"/>
                <w:lang w:eastAsia="en-PH"/>
              </w:rPr>
            </w:pPr>
            <w:r>
              <w:rPr>
                <w:sz w:val="22"/>
                <w:szCs w:val="22"/>
                <w:lang w:eastAsia="en-PH"/>
              </w:rPr>
              <w:t>July 2022</w:t>
            </w:r>
          </w:p>
        </w:tc>
        <w:tc>
          <w:tcPr>
            <w:tcW w:w="2392" w:type="dxa"/>
            <w:vAlign w:val="center"/>
          </w:tcPr>
          <w:p>
            <w:pPr>
              <w:spacing w:line="276" w:lineRule="auto"/>
              <w:rPr>
                <w:sz w:val="22"/>
                <w:szCs w:val="22"/>
                <w:lang w:eastAsia="en-PH"/>
              </w:rPr>
            </w:pPr>
            <w:r>
              <w:rPr>
                <w:sz w:val="22"/>
                <w:szCs w:val="22"/>
                <w:lang w:eastAsia="en-PH"/>
              </w:rPr>
              <w:t>August 10, 2022</w:t>
            </w:r>
          </w:p>
        </w:tc>
        <w:tc>
          <w:tcPr>
            <w:tcW w:w="2268" w:type="dxa"/>
            <w:vAlign w:val="center"/>
          </w:tcPr>
          <w:p>
            <w:pPr>
              <w:spacing w:line="276" w:lineRule="auto"/>
              <w:rPr>
                <w:sz w:val="22"/>
                <w:szCs w:val="22"/>
                <w:lang w:eastAsia="en-PH"/>
              </w:rPr>
            </w:pPr>
            <w:r>
              <w:rPr>
                <w:sz w:val="22"/>
                <w:szCs w:val="22"/>
                <w:lang w:eastAsia="en-PH"/>
              </w:rPr>
              <w:t>November 04, 2022</w:t>
            </w:r>
          </w:p>
        </w:tc>
        <w:tc>
          <w:tcPr>
            <w:tcW w:w="1406" w:type="dxa"/>
            <w:vAlign w:val="center"/>
          </w:tcPr>
          <w:p>
            <w:pPr>
              <w:spacing w:line="276" w:lineRule="auto"/>
              <w:jc w:val="center"/>
              <w:rPr>
                <w:sz w:val="22"/>
                <w:szCs w:val="22"/>
                <w:lang w:eastAsia="en-PH"/>
              </w:rPr>
            </w:pPr>
            <w:r>
              <w:rPr>
                <w:sz w:val="22"/>
                <w:szCs w:val="22"/>
                <w:lang w:eastAsia="en-PH"/>
              </w:rPr>
              <w:t>86 days</w:t>
            </w:r>
          </w:p>
        </w:tc>
      </w:tr>
      <w:tr>
        <w:trPr>
          <w:jc w:val="center"/>
        </w:trPr>
        <w:tc>
          <w:tcPr>
            <w:tcW w:w="1998" w:type="dxa"/>
            <w:vAlign w:val="center"/>
          </w:tcPr>
          <w:p>
            <w:pPr>
              <w:spacing w:line="276" w:lineRule="auto"/>
              <w:rPr>
                <w:sz w:val="22"/>
                <w:szCs w:val="22"/>
                <w:lang w:eastAsia="en-PH"/>
              </w:rPr>
            </w:pPr>
            <w:r>
              <w:rPr>
                <w:sz w:val="22"/>
                <w:szCs w:val="22"/>
                <w:lang w:eastAsia="en-PH"/>
              </w:rPr>
              <w:t>August 2022</w:t>
            </w:r>
          </w:p>
        </w:tc>
        <w:tc>
          <w:tcPr>
            <w:tcW w:w="2392" w:type="dxa"/>
            <w:vAlign w:val="center"/>
          </w:tcPr>
          <w:p>
            <w:pPr>
              <w:spacing w:line="276" w:lineRule="auto"/>
              <w:rPr>
                <w:sz w:val="22"/>
                <w:szCs w:val="22"/>
                <w:lang w:eastAsia="en-PH"/>
              </w:rPr>
            </w:pPr>
            <w:r>
              <w:rPr>
                <w:sz w:val="22"/>
                <w:szCs w:val="22"/>
                <w:lang w:eastAsia="en-PH"/>
              </w:rPr>
              <w:t>September 12, 2022</w:t>
            </w:r>
          </w:p>
        </w:tc>
        <w:tc>
          <w:tcPr>
            <w:tcW w:w="2268" w:type="dxa"/>
            <w:vAlign w:val="center"/>
          </w:tcPr>
          <w:p>
            <w:pPr>
              <w:spacing w:line="276" w:lineRule="auto"/>
              <w:rPr>
                <w:sz w:val="22"/>
                <w:szCs w:val="22"/>
                <w:lang w:eastAsia="en-PH"/>
              </w:rPr>
            </w:pPr>
            <w:r>
              <w:rPr>
                <w:sz w:val="22"/>
                <w:szCs w:val="22"/>
                <w:lang w:eastAsia="en-PH"/>
              </w:rPr>
              <w:t>November 11, 2022</w:t>
            </w:r>
          </w:p>
        </w:tc>
        <w:tc>
          <w:tcPr>
            <w:tcW w:w="1406" w:type="dxa"/>
            <w:vAlign w:val="center"/>
          </w:tcPr>
          <w:p>
            <w:pPr>
              <w:spacing w:line="276" w:lineRule="auto"/>
              <w:jc w:val="center"/>
              <w:rPr>
                <w:sz w:val="22"/>
                <w:szCs w:val="22"/>
                <w:lang w:eastAsia="en-PH"/>
              </w:rPr>
            </w:pPr>
            <w:r>
              <w:rPr>
                <w:sz w:val="22"/>
                <w:szCs w:val="22"/>
                <w:lang w:eastAsia="en-PH"/>
              </w:rPr>
              <w:t>60 days</w:t>
            </w:r>
          </w:p>
        </w:tc>
      </w:tr>
      <w:tr>
        <w:trPr>
          <w:jc w:val="center"/>
        </w:trPr>
        <w:tc>
          <w:tcPr>
            <w:tcW w:w="1998" w:type="dxa"/>
            <w:vAlign w:val="center"/>
          </w:tcPr>
          <w:p>
            <w:pPr>
              <w:spacing w:line="276" w:lineRule="auto"/>
              <w:rPr>
                <w:sz w:val="22"/>
                <w:szCs w:val="22"/>
                <w:lang w:eastAsia="en-PH"/>
              </w:rPr>
            </w:pPr>
            <w:r>
              <w:rPr>
                <w:sz w:val="22"/>
                <w:szCs w:val="22"/>
                <w:lang w:eastAsia="en-PH"/>
              </w:rPr>
              <w:t>September 2022</w:t>
            </w:r>
          </w:p>
        </w:tc>
        <w:tc>
          <w:tcPr>
            <w:tcW w:w="2392" w:type="dxa"/>
            <w:vAlign w:val="center"/>
          </w:tcPr>
          <w:p>
            <w:pPr>
              <w:spacing w:line="276" w:lineRule="auto"/>
              <w:rPr>
                <w:sz w:val="22"/>
                <w:szCs w:val="22"/>
                <w:lang w:eastAsia="en-PH"/>
              </w:rPr>
            </w:pPr>
            <w:r>
              <w:rPr>
                <w:sz w:val="22"/>
                <w:szCs w:val="22"/>
                <w:lang w:eastAsia="en-PH"/>
              </w:rPr>
              <w:t>October 10, 2022</w:t>
            </w:r>
          </w:p>
        </w:tc>
        <w:tc>
          <w:tcPr>
            <w:tcW w:w="2268" w:type="dxa"/>
            <w:vAlign w:val="center"/>
          </w:tcPr>
          <w:p>
            <w:pPr>
              <w:spacing w:line="276" w:lineRule="auto"/>
              <w:rPr>
                <w:sz w:val="22"/>
                <w:szCs w:val="22"/>
                <w:lang w:eastAsia="en-PH"/>
              </w:rPr>
            </w:pPr>
            <w:r>
              <w:rPr>
                <w:sz w:val="22"/>
                <w:szCs w:val="22"/>
                <w:lang w:eastAsia="en-PH"/>
              </w:rPr>
              <w:t>October 27, 2022</w:t>
            </w:r>
          </w:p>
        </w:tc>
        <w:tc>
          <w:tcPr>
            <w:tcW w:w="1406" w:type="dxa"/>
            <w:vAlign w:val="center"/>
          </w:tcPr>
          <w:p>
            <w:pPr>
              <w:spacing w:line="276" w:lineRule="auto"/>
              <w:jc w:val="center"/>
              <w:rPr>
                <w:sz w:val="22"/>
                <w:szCs w:val="22"/>
                <w:lang w:eastAsia="en-PH"/>
              </w:rPr>
            </w:pPr>
            <w:r>
              <w:rPr>
                <w:sz w:val="22"/>
                <w:szCs w:val="22"/>
                <w:lang w:eastAsia="en-PH"/>
              </w:rPr>
              <w:t>17 days</w:t>
            </w:r>
          </w:p>
        </w:tc>
      </w:tr>
      <w:tr>
        <w:trPr>
          <w:jc w:val="center"/>
        </w:trPr>
        <w:tc>
          <w:tcPr>
            <w:tcW w:w="1998" w:type="dxa"/>
            <w:vAlign w:val="center"/>
          </w:tcPr>
          <w:p>
            <w:pPr>
              <w:spacing w:line="276" w:lineRule="auto"/>
              <w:rPr>
                <w:sz w:val="22"/>
                <w:szCs w:val="22"/>
                <w:lang w:eastAsia="en-PH"/>
              </w:rPr>
            </w:pPr>
            <w:r>
              <w:rPr>
                <w:sz w:val="22"/>
                <w:szCs w:val="22"/>
                <w:lang w:eastAsia="en-PH"/>
              </w:rPr>
              <w:lastRenderedPageBreak/>
              <w:t>October 2022</w:t>
            </w:r>
          </w:p>
        </w:tc>
        <w:tc>
          <w:tcPr>
            <w:tcW w:w="2392" w:type="dxa"/>
            <w:vAlign w:val="center"/>
          </w:tcPr>
          <w:p>
            <w:pPr>
              <w:spacing w:line="276" w:lineRule="auto"/>
              <w:rPr>
                <w:sz w:val="22"/>
                <w:szCs w:val="22"/>
                <w:lang w:eastAsia="en-PH"/>
              </w:rPr>
            </w:pPr>
            <w:r>
              <w:rPr>
                <w:sz w:val="22"/>
                <w:szCs w:val="22"/>
                <w:lang w:eastAsia="en-PH"/>
              </w:rPr>
              <w:t>November 10, 2022</w:t>
            </w:r>
          </w:p>
        </w:tc>
        <w:tc>
          <w:tcPr>
            <w:tcW w:w="2268" w:type="dxa"/>
            <w:vAlign w:val="center"/>
          </w:tcPr>
          <w:p>
            <w:pPr>
              <w:spacing w:line="276" w:lineRule="auto"/>
              <w:rPr>
                <w:sz w:val="22"/>
                <w:szCs w:val="22"/>
                <w:lang w:eastAsia="en-PH"/>
              </w:rPr>
            </w:pPr>
            <w:r>
              <w:rPr>
                <w:sz w:val="22"/>
                <w:szCs w:val="22"/>
                <w:lang w:eastAsia="en-PH"/>
              </w:rPr>
              <w:t>January 16, 2023</w:t>
            </w:r>
          </w:p>
        </w:tc>
        <w:tc>
          <w:tcPr>
            <w:tcW w:w="1406" w:type="dxa"/>
            <w:vAlign w:val="center"/>
          </w:tcPr>
          <w:p>
            <w:pPr>
              <w:spacing w:line="276" w:lineRule="auto"/>
              <w:jc w:val="center"/>
              <w:rPr>
                <w:sz w:val="22"/>
                <w:szCs w:val="22"/>
                <w:lang w:eastAsia="en-PH"/>
              </w:rPr>
            </w:pPr>
            <w:r>
              <w:rPr>
                <w:sz w:val="22"/>
                <w:szCs w:val="22"/>
                <w:lang w:eastAsia="en-PH"/>
              </w:rPr>
              <w:t>67 days</w:t>
            </w:r>
          </w:p>
        </w:tc>
      </w:tr>
      <w:tr>
        <w:trPr>
          <w:jc w:val="center"/>
        </w:trPr>
        <w:tc>
          <w:tcPr>
            <w:tcW w:w="1998" w:type="dxa"/>
            <w:vAlign w:val="center"/>
          </w:tcPr>
          <w:p>
            <w:pPr>
              <w:spacing w:line="276" w:lineRule="auto"/>
              <w:rPr>
                <w:sz w:val="22"/>
                <w:szCs w:val="22"/>
                <w:lang w:eastAsia="en-PH"/>
              </w:rPr>
            </w:pPr>
            <w:r>
              <w:rPr>
                <w:sz w:val="22"/>
                <w:szCs w:val="22"/>
                <w:lang w:eastAsia="en-PH"/>
              </w:rPr>
              <w:t>November 2022</w:t>
            </w:r>
          </w:p>
        </w:tc>
        <w:tc>
          <w:tcPr>
            <w:tcW w:w="2392" w:type="dxa"/>
            <w:vAlign w:val="center"/>
          </w:tcPr>
          <w:p>
            <w:pPr>
              <w:spacing w:line="276" w:lineRule="auto"/>
              <w:rPr>
                <w:sz w:val="22"/>
                <w:szCs w:val="22"/>
                <w:lang w:eastAsia="en-PH"/>
              </w:rPr>
            </w:pPr>
            <w:r>
              <w:rPr>
                <w:sz w:val="22"/>
                <w:szCs w:val="22"/>
                <w:lang w:eastAsia="en-PH"/>
              </w:rPr>
              <w:t>December 12, 2022</w:t>
            </w:r>
          </w:p>
        </w:tc>
        <w:tc>
          <w:tcPr>
            <w:tcW w:w="2268" w:type="dxa"/>
            <w:vAlign w:val="center"/>
          </w:tcPr>
          <w:p>
            <w:pPr>
              <w:spacing w:line="276" w:lineRule="auto"/>
              <w:jc w:val="center"/>
              <w:rPr>
                <w:sz w:val="22"/>
                <w:szCs w:val="22"/>
                <w:lang w:eastAsia="en-PH"/>
              </w:rPr>
            </w:pPr>
            <w:r>
              <w:rPr>
                <w:sz w:val="22"/>
                <w:szCs w:val="22"/>
                <w:lang w:eastAsia="en-PH"/>
              </w:rPr>
              <w:t>Not yet submitted</w:t>
            </w:r>
          </w:p>
        </w:tc>
        <w:tc>
          <w:tcPr>
            <w:tcW w:w="1406" w:type="dxa"/>
            <w:vAlign w:val="center"/>
          </w:tcPr>
          <w:p>
            <w:pPr>
              <w:spacing w:line="276" w:lineRule="auto"/>
              <w:jc w:val="center"/>
              <w:rPr>
                <w:sz w:val="22"/>
                <w:szCs w:val="22"/>
                <w:lang w:eastAsia="en-PH"/>
              </w:rPr>
            </w:pPr>
          </w:p>
        </w:tc>
      </w:tr>
      <w:tr>
        <w:trPr>
          <w:jc w:val="center"/>
        </w:trPr>
        <w:tc>
          <w:tcPr>
            <w:tcW w:w="1998" w:type="dxa"/>
            <w:vAlign w:val="center"/>
          </w:tcPr>
          <w:p>
            <w:pPr>
              <w:spacing w:line="276" w:lineRule="auto"/>
              <w:rPr>
                <w:sz w:val="22"/>
                <w:szCs w:val="22"/>
                <w:lang w:eastAsia="en-PH"/>
              </w:rPr>
            </w:pPr>
            <w:r>
              <w:rPr>
                <w:sz w:val="22"/>
                <w:szCs w:val="22"/>
                <w:lang w:eastAsia="en-PH"/>
              </w:rPr>
              <w:t>December 2022</w:t>
            </w:r>
          </w:p>
        </w:tc>
        <w:tc>
          <w:tcPr>
            <w:tcW w:w="2392" w:type="dxa"/>
            <w:vAlign w:val="center"/>
          </w:tcPr>
          <w:p>
            <w:pPr>
              <w:spacing w:line="276" w:lineRule="auto"/>
              <w:rPr>
                <w:sz w:val="22"/>
                <w:szCs w:val="22"/>
                <w:lang w:eastAsia="en-PH"/>
              </w:rPr>
            </w:pPr>
            <w:r>
              <w:rPr>
                <w:sz w:val="22"/>
                <w:szCs w:val="22"/>
                <w:lang w:eastAsia="en-PH"/>
              </w:rPr>
              <w:t>January 10, 2023</w:t>
            </w:r>
          </w:p>
        </w:tc>
        <w:tc>
          <w:tcPr>
            <w:tcW w:w="2268" w:type="dxa"/>
            <w:vAlign w:val="center"/>
          </w:tcPr>
          <w:p>
            <w:pPr>
              <w:spacing w:line="276" w:lineRule="auto"/>
              <w:jc w:val="center"/>
              <w:rPr>
                <w:sz w:val="22"/>
                <w:szCs w:val="22"/>
                <w:lang w:eastAsia="en-PH"/>
              </w:rPr>
            </w:pPr>
            <w:r>
              <w:rPr>
                <w:sz w:val="22"/>
                <w:szCs w:val="22"/>
                <w:lang w:eastAsia="en-PH"/>
              </w:rPr>
              <w:t>Not yet submitted</w:t>
            </w:r>
          </w:p>
        </w:tc>
        <w:tc>
          <w:tcPr>
            <w:tcW w:w="1406" w:type="dxa"/>
            <w:vAlign w:val="center"/>
          </w:tcPr>
          <w:p>
            <w:pPr>
              <w:spacing w:line="276" w:lineRule="auto"/>
              <w:jc w:val="center"/>
              <w:rPr>
                <w:sz w:val="22"/>
                <w:szCs w:val="22"/>
                <w:lang w:eastAsia="en-PH"/>
              </w:rPr>
            </w:pPr>
          </w:p>
        </w:tc>
      </w:tr>
      <w:tr>
        <w:trPr>
          <w:jc w:val="center"/>
        </w:trPr>
        <w:tc>
          <w:tcPr>
            <w:tcW w:w="8064" w:type="dxa"/>
            <w:gridSpan w:val="4"/>
            <w:vAlign w:val="center"/>
          </w:tcPr>
          <w:p>
            <w:pPr>
              <w:spacing w:line="276" w:lineRule="auto"/>
              <w:jc w:val="center"/>
              <w:rPr>
                <w:b/>
                <w:sz w:val="22"/>
                <w:szCs w:val="22"/>
                <w:lang w:eastAsia="en-PH"/>
              </w:rPr>
            </w:pPr>
            <w:r>
              <w:rPr>
                <w:b/>
                <w:sz w:val="22"/>
                <w:szCs w:val="22"/>
                <w:lang w:eastAsia="en-PH"/>
              </w:rPr>
              <w:t>LR and DV</w:t>
            </w:r>
          </w:p>
        </w:tc>
      </w:tr>
      <w:tr>
        <w:trPr>
          <w:jc w:val="center"/>
        </w:trPr>
        <w:tc>
          <w:tcPr>
            <w:tcW w:w="1998" w:type="dxa"/>
            <w:vAlign w:val="center"/>
          </w:tcPr>
          <w:p>
            <w:pPr>
              <w:spacing w:line="276" w:lineRule="auto"/>
              <w:rPr>
                <w:sz w:val="22"/>
                <w:szCs w:val="22"/>
                <w:lang w:eastAsia="en-PH"/>
              </w:rPr>
            </w:pPr>
            <w:r>
              <w:rPr>
                <w:sz w:val="22"/>
                <w:szCs w:val="22"/>
                <w:lang w:eastAsia="en-PH"/>
              </w:rPr>
              <w:t>January 2022</w:t>
            </w:r>
          </w:p>
        </w:tc>
        <w:tc>
          <w:tcPr>
            <w:tcW w:w="2392" w:type="dxa"/>
            <w:vAlign w:val="center"/>
          </w:tcPr>
          <w:p>
            <w:pPr>
              <w:spacing w:line="276" w:lineRule="auto"/>
              <w:rPr>
                <w:sz w:val="22"/>
                <w:szCs w:val="22"/>
                <w:lang w:eastAsia="en-PH"/>
              </w:rPr>
            </w:pPr>
            <w:r>
              <w:rPr>
                <w:sz w:val="22"/>
                <w:szCs w:val="22"/>
                <w:lang w:eastAsia="en-PH"/>
              </w:rPr>
              <w:t>February 10, 2022</w:t>
            </w:r>
          </w:p>
        </w:tc>
        <w:tc>
          <w:tcPr>
            <w:tcW w:w="2268" w:type="dxa"/>
            <w:vAlign w:val="center"/>
          </w:tcPr>
          <w:p>
            <w:pPr>
              <w:spacing w:line="276" w:lineRule="auto"/>
              <w:rPr>
                <w:sz w:val="22"/>
                <w:szCs w:val="22"/>
                <w:lang w:eastAsia="en-PH"/>
              </w:rPr>
            </w:pPr>
            <w:r>
              <w:rPr>
                <w:sz w:val="22"/>
                <w:szCs w:val="22"/>
                <w:lang w:eastAsia="en-PH"/>
              </w:rPr>
              <w:t>March 18, 2022</w:t>
            </w:r>
          </w:p>
        </w:tc>
        <w:tc>
          <w:tcPr>
            <w:tcW w:w="1406" w:type="dxa"/>
            <w:vAlign w:val="center"/>
          </w:tcPr>
          <w:p>
            <w:pPr>
              <w:spacing w:line="276" w:lineRule="auto"/>
              <w:jc w:val="center"/>
              <w:rPr>
                <w:sz w:val="22"/>
                <w:szCs w:val="22"/>
                <w:lang w:eastAsia="en-PH"/>
              </w:rPr>
            </w:pPr>
            <w:r>
              <w:rPr>
                <w:sz w:val="22"/>
                <w:szCs w:val="22"/>
                <w:lang w:eastAsia="en-PH"/>
              </w:rPr>
              <w:t>36 days</w:t>
            </w:r>
          </w:p>
        </w:tc>
      </w:tr>
      <w:tr>
        <w:trPr>
          <w:jc w:val="center"/>
        </w:trPr>
        <w:tc>
          <w:tcPr>
            <w:tcW w:w="1998" w:type="dxa"/>
            <w:vAlign w:val="center"/>
          </w:tcPr>
          <w:p>
            <w:pPr>
              <w:spacing w:line="276" w:lineRule="auto"/>
              <w:rPr>
                <w:sz w:val="22"/>
                <w:szCs w:val="22"/>
                <w:lang w:eastAsia="en-PH"/>
              </w:rPr>
            </w:pPr>
            <w:r>
              <w:rPr>
                <w:sz w:val="22"/>
                <w:szCs w:val="22"/>
                <w:lang w:eastAsia="en-PH"/>
              </w:rPr>
              <w:t>February 2022</w:t>
            </w:r>
          </w:p>
        </w:tc>
        <w:tc>
          <w:tcPr>
            <w:tcW w:w="2392" w:type="dxa"/>
            <w:vAlign w:val="center"/>
          </w:tcPr>
          <w:p>
            <w:pPr>
              <w:spacing w:line="276" w:lineRule="auto"/>
              <w:rPr>
                <w:sz w:val="22"/>
                <w:szCs w:val="22"/>
                <w:lang w:eastAsia="en-PH"/>
              </w:rPr>
            </w:pPr>
            <w:r>
              <w:rPr>
                <w:sz w:val="22"/>
                <w:szCs w:val="22"/>
                <w:lang w:eastAsia="en-PH"/>
              </w:rPr>
              <w:t>March 10, 2022</w:t>
            </w:r>
          </w:p>
        </w:tc>
        <w:tc>
          <w:tcPr>
            <w:tcW w:w="2268" w:type="dxa"/>
            <w:vAlign w:val="center"/>
          </w:tcPr>
          <w:p>
            <w:pPr>
              <w:spacing w:line="276" w:lineRule="auto"/>
              <w:rPr>
                <w:sz w:val="22"/>
                <w:szCs w:val="22"/>
                <w:lang w:eastAsia="en-PH"/>
              </w:rPr>
            </w:pPr>
            <w:r>
              <w:rPr>
                <w:sz w:val="22"/>
                <w:szCs w:val="22"/>
                <w:lang w:eastAsia="en-PH"/>
              </w:rPr>
              <w:t>May 19, 2022</w:t>
            </w:r>
          </w:p>
        </w:tc>
        <w:tc>
          <w:tcPr>
            <w:tcW w:w="1406" w:type="dxa"/>
            <w:vAlign w:val="center"/>
          </w:tcPr>
          <w:p>
            <w:pPr>
              <w:spacing w:line="276" w:lineRule="auto"/>
              <w:jc w:val="center"/>
              <w:rPr>
                <w:sz w:val="22"/>
                <w:szCs w:val="22"/>
                <w:lang w:eastAsia="en-PH"/>
              </w:rPr>
            </w:pPr>
            <w:r>
              <w:rPr>
                <w:sz w:val="22"/>
                <w:szCs w:val="22"/>
                <w:lang w:eastAsia="en-PH"/>
              </w:rPr>
              <w:t>70 days</w:t>
            </w:r>
          </w:p>
        </w:tc>
      </w:tr>
      <w:tr>
        <w:trPr>
          <w:jc w:val="center"/>
        </w:trPr>
        <w:tc>
          <w:tcPr>
            <w:tcW w:w="1998" w:type="dxa"/>
            <w:vAlign w:val="center"/>
          </w:tcPr>
          <w:p>
            <w:pPr>
              <w:spacing w:line="276" w:lineRule="auto"/>
              <w:rPr>
                <w:sz w:val="22"/>
                <w:szCs w:val="22"/>
                <w:lang w:eastAsia="en-PH"/>
              </w:rPr>
            </w:pPr>
            <w:r>
              <w:rPr>
                <w:sz w:val="22"/>
                <w:szCs w:val="22"/>
                <w:lang w:eastAsia="en-PH"/>
              </w:rPr>
              <w:t>March 2022</w:t>
            </w:r>
          </w:p>
        </w:tc>
        <w:tc>
          <w:tcPr>
            <w:tcW w:w="2392" w:type="dxa"/>
            <w:vAlign w:val="center"/>
          </w:tcPr>
          <w:p>
            <w:pPr>
              <w:spacing w:line="276" w:lineRule="auto"/>
              <w:rPr>
                <w:sz w:val="22"/>
                <w:szCs w:val="22"/>
                <w:lang w:eastAsia="en-PH"/>
              </w:rPr>
            </w:pPr>
            <w:r>
              <w:rPr>
                <w:sz w:val="22"/>
                <w:szCs w:val="22"/>
                <w:lang w:eastAsia="en-PH"/>
              </w:rPr>
              <w:t>April 11, 2022</w:t>
            </w:r>
          </w:p>
        </w:tc>
        <w:tc>
          <w:tcPr>
            <w:tcW w:w="2268" w:type="dxa"/>
            <w:vAlign w:val="center"/>
          </w:tcPr>
          <w:p>
            <w:pPr>
              <w:spacing w:line="276" w:lineRule="auto"/>
              <w:rPr>
                <w:sz w:val="22"/>
                <w:szCs w:val="22"/>
                <w:lang w:eastAsia="en-PH"/>
              </w:rPr>
            </w:pPr>
            <w:r>
              <w:rPr>
                <w:sz w:val="22"/>
                <w:szCs w:val="22"/>
                <w:lang w:eastAsia="en-PH"/>
              </w:rPr>
              <w:t>July 15, 2022</w:t>
            </w:r>
          </w:p>
        </w:tc>
        <w:tc>
          <w:tcPr>
            <w:tcW w:w="1406" w:type="dxa"/>
            <w:vAlign w:val="center"/>
          </w:tcPr>
          <w:p>
            <w:pPr>
              <w:spacing w:line="276" w:lineRule="auto"/>
              <w:jc w:val="center"/>
              <w:rPr>
                <w:sz w:val="22"/>
                <w:szCs w:val="22"/>
                <w:lang w:eastAsia="en-PH"/>
              </w:rPr>
            </w:pPr>
            <w:r>
              <w:rPr>
                <w:sz w:val="22"/>
                <w:szCs w:val="22"/>
                <w:lang w:eastAsia="en-PH"/>
              </w:rPr>
              <w:t>95 days</w:t>
            </w:r>
          </w:p>
        </w:tc>
      </w:tr>
      <w:tr>
        <w:trPr>
          <w:jc w:val="center"/>
        </w:trPr>
        <w:tc>
          <w:tcPr>
            <w:tcW w:w="1998" w:type="dxa"/>
            <w:vAlign w:val="center"/>
          </w:tcPr>
          <w:p>
            <w:pPr>
              <w:spacing w:line="276" w:lineRule="auto"/>
              <w:rPr>
                <w:sz w:val="22"/>
                <w:szCs w:val="22"/>
                <w:lang w:eastAsia="en-PH"/>
              </w:rPr>
            </w:pPr>
            <w:r>
              <w:rPr>
                <w:sz w:val="22"/>
                <w:szCs w:val="22"/>
                <w:lang w:eastAsia="en-PH"/>
              </w:rPr>
              <w:t>April 2022</w:t>
            </w:r>
          </w:p>
        </w:tc>
        <w:tc>
          <w:tcPr>
            <w:tcW w:w="2392" w:type="dxa"/>
            <w:vAlign w:val="center"/>
          </w:tcPr>
          <w:p>
            <w:pPr>
              <w:spacing w:line="276" w:lineRule="auto"/>
              <w:rPr>
                <w:sz w:val="22"/>
                <w:szCs w:val="22"/>
                <w:lang w:eastAsia="en-PH"/>
              </w:rPr>
            </w:pPr>
            <w:r>
              <w:rPr>
                <w:sz w:val="22"/>
                <w:szCs w:val="22"/>
                <w:lang w:eastAsia="en-PH"/>
              </w:rPr>
              <w:t>May 10, 2022</w:t>
            </w:r>
          </w:p>
        </w:tc>
        <w:tc>
          <w:tcPr>
            <w:tcW w:w="2268" w:type="dxa"/>
            <w:vAlign w:val="center"/>
          </w:tcPr>
          <w:p>
            <w:pPr>
              <w:spacing w:line="276" w:lineRule="auto"/>
              <w:rPr>
                <w:sz w:val="22"/>
                <w:szCs w:val="22"/>
                <w:lang w:eastAsia="en-PH"/>
              </w:rPr>
            </w:pPr>
            <w:r>
              <w:rPr>
                <w:sz w:val="22"/>
                <w:szCs w:val="22"/>
                <w:lang w:eastAsia="en-PH"/>
              </w:rPr>
              <w:t>August 2, 2022</w:t>
            </w:r>
          </w:p>
        </w:tc>
        <w:tc>
          <w:tcPr>
            <w:tcW w:w="1406" w:type="dxa"/>
            <w:vAlign w:val="center"/>
          </w:tcPr>
          <w:p>
            <w:pPr>
              <w:spacing w:line="276" w:lineRule="auto"/>
              <w:jc w:val="center"/>
              <w:rPr>
                <w:sz w:val="22"/>
                <w:szCs w:val="22"/>
                <w:lang w:eastAsia="en-PH"/>
              </w:rPr>
            </w:pPr>
            <w:r>
              <w:rPr>
                <w:sz w:val="22"/>
                <w:szCs w:val="22"/>
                <w:lang w:eastAsia="en-PH"/>
              </w:rPr>
              <w:t>84 days</w:t>
            </w:r>
          </w:p>
        </w:tc>
      </w:tr>
      <w:tr>
        <w:trPr>
          <w:jc w:val="center"/>
        </w:trPr>
        <w:tc>
          <w:tcPr>
            <w:tcW w:w="1998" w:type="dxa"/>
            <w:vAlign w:val="center"/>
          </w:tcPr>
          <w:p>
            <w:pPr>
              <w:spacing w:line="276" w:lineRule="auto"/>
              <w:rPr>
                <w:sz w:val="22"/>
                <w:szCs w:val="22"/>
                <w:lang w:eastAsia="en-PH"/>
              </w:rPr>
            </w:pPr>
            <w:r>
              <w:rPr>
                <w:sz w:val="22"/>
                <w:szCs w:val="22"/>
                <w:lang w:eastAsia="en-PH"/>
              </w:rPr>
              <w:t>May 2022</w:t>
            </w:r>
          </w:p>
        </w:tc>
        <w:tc>
          <w:tcPr>
            <w:tcW w:w="2392" w:type="dxa"/>
            <w:vAlign w:val="center"/>
          </w:tcPr>
          <w:p>
            <w:pPr>
              <w:spacing w:line="276" w:lineRule="auto"/>
              <w:rPr>
                <w:sz w:val="22"/>
                <w:szCs w:val="22"/>
                <w:lang w:eastAsia="en-PH"/>
              </w:rPr>
            </w:pPr>
            <w:r>
              <w:rPr>
                <w:sz w:val="22"/>
                <w:szCs w:val="22"/>
                <w:lang w:eastAsia="en-PH"/>
              </w:rPr>
              <w:t>June 10, 2022</w:t>
            </w:r>
          </w:p>
        </w:tc>
        <w:tc>
          <w:tcPr>
            <w:tcW w:w="2268" w:type="dxa"/>
            <w:vAlign w:val="center"/>
          </w:tcPr>
          <w:p>
            <w:pPr>
              <w:spacing w:line="276" w:lineRule="auto"/>
              <w:rPr>
                <w:sz w:val="22"/>
                <w:szCs w:val="22"/>
                <w:lang w:eastAsia="en-PH"/>
              </w:rPr>
            </w:pPr>
            <w:r>
              <w:rPr>
                <w:sz w:val="22"/>
                <w:szCs w:val="22"/>
                <w:lang w:eastAsia="en-PH"/>
              </w:rPr>
              <w:t>August 26, 2022</w:t>
            </w:r>
          </w:p>
        </w:tc>
        <w:tc>
          <w:tcPr>
            <w:tcW w:w="1406" w:type="dxa"/>
            <w:vAlign w:val="center"/>
          </w:tcPr>
          <w:p>
            <w:pPr>
              <w:spacing w:line="276" w:lineRule="auto"/>
              <w:jc w:val="center"/>
              <w:rPr>
                <w:sz w:val="22"/>
                <w:szCs w:val="22"/>
                <w:lang w:eastAsia="en-PH"/>
              </w:rPr>
            </w:pPr>
            <w:r>
              <w:rPr>
                <w:sz w:val="22"/>
                <w:szCs w:val="22"/>
                <w:lang w:eastAsia="en-PH"/>
              </w:rPr>
              <w:t>77 days</w:t>
            </w:r>
          </w:p>
        </w:tc>
      </w:tr>
      <w:tr>
        <w:trPr>
          <w:jc w:val="center"/>
        </w:trPr>
        <w:tc>
          <w:tcPr>
            <w:tcW w:w="1998" w:type="dxa"/>
            <w:vAlign w:val="center"/>
          </w:tcPr>
          <w:p>
            <w:pPr>
              <w:spacing w:line="276" w:lineRule="auto"/>
              <w:rPr>
                <w:sz w:val="22"/>
                <w:szCs w:val="22"/>
                <w:lang w:eastAsia="en-PH"/>
              </w:rPr>
            </w:pPr>
            <w:r>
              <w:rPr>
                <w:sz w:val="22"/>
                <w:szCs w:val="22"/>
                <w:lang w:eastAsia="en-PH"/>
              </w:rPr>
              <w:t>June 2022</w:t>
            </w:r>
          </w:p>
        </w:tc>
        <w:tc>
          <w:tcPr>
            <w:tcW w:w="2392" w:type="dxa"/>
            <w:vAlign w:val="center"/>
          </w:tcPr>
          <w:p>
            <w:pPr>
              <w:spacing w:line="276" w:lineRule="auto"/>
              <w:rPr>
                <w:sz w:val="22"/>
                <w:szCs w:val="22"/>
                <w:lang w:eastAsia="en-PH"/>
              </w:rPr>
            </w:pPr>
            <w:r>
              <w:rPr>
                <w:sz w:val="22"/>
                <w:szCs w:val="22"/>
                <w:lang w:eastAsia="en-PH"/>
              </w:rPr>
              <w:t>July 11, 2022</w:t>
            </w:r>
          </w:p>
        </w:tc>
        <w:tc>
          <w:tcPr>
            <w:tcW w:w="2268" w:type="dxa"/>
            <w:vAlign w:val="center"/>
          </w:tcPr>
          <w:p>
            <w:pPr>
              <w:spacing w:line="276" w:lineRule="auto"/>
              <w:rPr>
                <w:sz w:val="22"/>
                <w:szCs w:val="22"/>
                <w:lang w:eastAsia="en-PH"/>
              </w:rPr>
            </w:pPr>
            <w:r>
              <w:rPr>
                <w:sz w:val="22"/>
                <w:szCs w:val="22"/>
                <w:lang w:eastAsia="en-PH"/>
              </w:rPr>
              <w:t>November 04, 2022</w:t>
            </w:r>
          </w:p>
        </w:tc>
        <w:tc>
          <w:tcPr>
            <w:tcW w:w="1406" w:type="dxa"/>
            <w:vAlign w:val="center"/>
          </w:tcPr>
          <w:p>
            <w:pPr>
              <w:spacing w:line="276" w:lineRule="auto"/>
              <w:jc w:val="center"/>
              <w:rPr>
                <w:sz w:val="22"/>
                <w:szCs w:val="22"/>
                <w:lang w:eastAsia="en-PH"/>
              </w:rPr>
            </w:pPr>
            <w:r>
              <w:rPr>
                <w:sz w:val="22"/>
                <w:szCs w:val="22"/>
                <w:lang w:eastAsia="en-PH"/>
              </w:rPr>
              <w:t>116 days</w:t>
            </w:r>
          </w:p>
        </w:tc>
      </w:tr>
      <w:tr>
        <w:trPr>
          <w:jc w:val="center"/>
        </w:trPr>
        <w:tc>
          <w:tcPr>
            <w:tcW w:w="1998" w:type="dxa"/>
            <w:vAlign w:val="center"/>
          </w:tcPr>
          <w:p>
            <w:pPr>
              <w:spacing w:line="276" w:lineRule="auto"/>
              <w:rPr>
                <w:sz w:val="22"/>
                <w:szCs w:val="22"/>
                <w:lang w:eastAsia="en-PH"/>
              </w:rPr>
            </w:pPr>
            <w:r>
              <w:rPr>
                <w:sz w:val="22"/>
                <w:szCs w:val="22"/>
                <w:lang w:eastAsia="en-PH"/>
              </w:rPr>
              <w:t>July 2022</w:t>
            </w:r>
          </w:p>
        </w:tc>
        <w:tc>
          <w:tcPr>
            <w:tcW w:w="2392" w:type="dxa"/>
            <w:vAlign w:val="center"/>
          </w:tcPr>
          <w:p>
            <w:pPr>
              <w:spacing w:line="276" w:lineRule="auto"/>
              <w:rPr>
                <w:sz w:val="22"/>
                <w:szCs w:val="22"/>
                <w:lang w:eastAsia="en-PH"/>
              </w:rPr>
            </w:pPr>
            <w:r>
              <w:rPr>
                <w:sz w:val="22"/>
                <w:szCs w:val="22"/>
                <w:lang w:eastAsia="en-PH"/>
              </w:rPr>
              <w:t>August 10, 2022</w:t>
            </w:r>
          </w:p>
        </w:tc>
        <w:tc>
          <w:tcPr>
            <w:tcW w:w="2268" w:type="dxa"/>
            <w:vAlign w:val="center"/>
          </w:tcPr>
          <w:p>
            <w:pPr>
              <w:spacing w:line="276" w:lineRule="auto"/>
              <w:rPr>
                <w:sz w:val="22"/>
                <w:szCs w:val="22"/>
                <w:lang w:eastAsia="en-PH"/>
              </w:rPr>
            </w:pPr>
            <w:r>
              <w:rPr>
                <w:sz w:val="22"/>
                <w:szCs w:val="22"/>
                <w:lang w:eastAsia="en-PH"/>
              </w:rPr>
              <w:t>November 04, 2022</w:t>
            </w:r>
          </w:p>
        </w:tc>
        <w:tc>
          <w:tcPr>
            <w:tcW w:w="1406" w:type="dxa"/>
            <w:vAlign w:val="center"/>
          </w:tcPr>
          <w:p>
            <w:pPr>
              <w:spacing w:line="276" w:lineRule="auto"/>
              <w:jc w:val="center"/>
              <w:rPr>
                <w:sz w:val="22"/>
                <w:szCs w:val="22"/>
                <w:lang w:eastAsia="en-PH"/>
              </w:rPr>
            </w:pPr>
            <w:r>
              <w:rPr>
                <w:sz w:val="22"/>
                <w:szCs w:val="22"/>
                <w:lang w:eastAsia="en-PH"/>
              </w:rPr>
              <w:t>86 days</w:t>
            </w:r>
          </w:p>
        </w:tc>
      </w:tr>
      <w:tr>
        <w:trPr>
          <w:jc w:val="center"/>
        </w:trPr>
        <w:tc>
          <w:tcPr>
            <w:tcW w:w="1998" w:type="dxa"/>
            <w:vAlign w:val="center"/>
          </w:tcPr>
          <w:p>
            <w:pPr>
              <w:spacing w:line="276" w:lineRule="auto"/>
              <w:rPr>
                <w:sz w:val="22"/>
                <w:szCs w:val="22"/>
                <w:lang w:eastAsia="en-PH"/>
              </w:rPr>
            </w:pPr>
            <w:r>
              <w:rPr>
                <w:sz w:val="22"/>
                <w:szCs w:val="22"/>
                <w:lang w:eastAsia="en-PH"/>
              </w:rPr>
              <w:t>August 2022</w:t>
            </w:r>
          </w:p>
        </w:tc>
        <w:tc>
          <w:tcPr>
            <w:tcW w:w="2392" w:type="dxa"/>
            <w:vAlign w:val="center"/>
          </w:tcPr>
          <w:p>
            <w:pPr>
              <w:spacing w:line="276" w:lineRule="auto"/>
              <w:rPr>
                <w:sz w:val="22"/>
                <w:szCs w:val="22"/>
                <w:lang w:eastAsia="en-PH"/>
              </w:rPr>
            </w:pPr>
            <w:r>
              <w:rPr>
                <w:sz w:val="22"/>
                <w:szCs w:val="22"/>
                <w:lang w:eastAsia="en-PH"/>
              </w:rPr>
              <w:t>September 12, 2022</w:t>
            </w:r>
          </w:p>
        </w:tc>
        <w:tc>
          <w:tcPr>
            <w:tcW w:w="2268" w:type="dxa"/>
            <w:vAlign w:val="center"/>
          </w:tcPr>
          <w:p>
            <w:pPr>
              <w:spacing w:line="276" w:lineRule="auto"/>
              <w:rPr>
                <w:sz w:val="22"/>
                <w:szCs w:val="22"/>
                <w:lang w:eastAsia="en-PH"/>
              </w:rPr>
            </w:pPr>
            <w:r>
              <w:rPr>
                <w:sz w:val="22"/>
                <w:szCs w:val="22"/>
                <w:lang w:eastAsia="en-PH"/>
              </w:rPr>
              <w:t>November 11, 2022</w:t>
            </w:r>
          </w:p>
        </w:tc>
        <w:tc>
          <w:tcPr>
            <w:tcW w:w="1406" w:type="dxa"/>
            <w:vAlign w:val="center"/>
          </w:tcPr>
          <w:p>
            <w:pPr>
              <w:spacing w:line="276" w:lineRule="auto"/>
              <w:jc w:val="center"/>
              <w:rPr>
                <w:sz w:val="22"/>
                <w:szCs w:val="22"/>
                <w:lang w:eastAsia="en-PH"/>
              </w:rPr>
            </w:pPr>
            <w:r>
              <w:rPr>
                <w:sz w:val="22"/>
                <w:szCs w:val="22"/>
                <w:lang w:eastAsia="en-PH"/>
              </w:rPr>
              <w:t>60 days</w:t>
            </w:r>
          </w:p>
        </w:tc>
      </w:tr>
      <w:tr>
        <w:trPr>
          <w:jc w:val="center"/>
        </w:trPr>
        <w:tc>
          <w:tcPr>
            <w:tcW w:w="1998" w:type="dxa"/>
            <w:vAlign w:val="center"/>
          </w:tcPr>
          <w:p>
            <w:pPr>
              <w:spacing w:line="276" w:lineRule="auto"/>
              <w:rPr>
                <w:sz w:val="22"/>
                <w:szCs w:val="22"/>
                <w:lang w:eastAsia="en-PH"/>
              </w:rPr>
            </w:pPr>
            <w:r>
              <w:rPr>
                <w:sz w:val="22"/>
                <w:szCs w:val="22"/>
                <w:lang w:eastAsia="en-PH"/>
              </w:rPr>
              <w:t>September 2022</w:t>
            </w:r>
          </w:p>
        </w:tc>
        <w:tc>
          <w:tcPr>
            <w:tcW w:w="2392" w:type="dxa"/>
            <w:vAlign w:val="center"/>
          </w:tcPr>
          <w:p>
            <w:pPr>
              <w:spacing w:line="276" w:lineRule="auto"/>
              <w:rPr>
                <w:sz w:val="22"/>
                <w:szCs w:val="22"/>
                <w:lang w:eastAsia="en-PH"/>
              </w:rPr>
            </w:pPr>
            <w:r>
              <w:rPr>
                <w:sz w:val="22"/>
                <w:szCs w:val="22"/>
                <w:lang w:eastAsia="en-PH"/>
              </w:rPr>
              <w:t>October 10, 2022</w:t>
            </w:r>
          </w:p>
        </w:tc>
        <w:tc>
          <w:tcPr>
            <w:tcW w:w="2268" w:type="dxa"/>
            <w:vAlign w:val="center"/>
          </w:tcPr>
          <w:p>
            <w:pPr>
              <w:spacing w:line="276" w:lineRule="auto"/>
              <w:rPr>
                <w:sz w:val="22"/>
                <w:szCs w:val="22"/>
                <w:lang w:eastAsia="en-PH"/>
              </w:rPr>
            </w:pPr>
            <w:r>
              <w:rPr>
                <w:sz w:val="22"/>
                <w:szCs w:val="22"/>
                <w:lang w:eastAsia="en-PH"/>
              </w:rPr>
              <w:t>December 21, 2022</w:t>
            </w:r>
          </w:p>
        </w:tc>
        <w:tc>
          <w:tcPr>
            <w:tcW w:w="1406" w:type="dxa"/>
            <w:vAlign w:val="center"/>
          </w:tcPr>
          <w:p>
            <w:pPr>
              <w:spacing w:line="276" w:lineRule="auto"/>
              <w:jc w:val="center"/>
              <w:rPr>
                <w:sz w:val="22"/>
                <w:szCs w:val="22"/>
                <w:lang w:eastAsia="en-PH"/>
              </w:rPr>
            </w:pPr>
            <w:r>
              <w:rPr>
                <w:sz w:val="22"/>
                <w:szCs w:val="22"/>
                <w:lang w:eastAsia="en-PH"/>
              </w:rPr>
              <w:t>72 days</w:t>
            </w:r>
          </w:p>
        </w:tc>
      </w:tr>
      <w:tr>
        <w:trPr>
          <w:jc w:val="center"/>
        </w:trPr>
        <w:tc>
          <w:tcPr>
            <w:tcW w:w="1998" w:type="dxa"/>
            <w:vAlign w:val="center"/>
          </w:tcPr>
          <w:p>
            <w:pPr>
              <w:spacing w:line="276" w:lineRule="auto"/>
              <w:rPr>
                <w:sz w:val="22"/>
                <w:szCs w:val="22"/>
                <w:lang w:eastAsia="en-PH"/>
              </w:rPr>
            </w:pPr>
            <w:r>
              <w:rPr>
                <w:sz w:val="22"/>
                <w:szCs w:val="22"/>
                <w:lang w:eastAsia="en-PH"/>
              </w:rPr>
              <w:t>October 2022</w:t>
            </w:r>
          </w:p>
        </w:tc>
        <w:tc>
          <w:tcPr>
            <w:tcW w:w="2392" w:type="dxa"/>
            <w:vAlign w:val="center"/>
          </w:tcPr>
          <w:p>
            <w:pPr>
              <w:spacing w:line="276" w:lineRule="auto"/>
              <w:rPr>
                <w:sz w:val="22"/>
                <w:szCs w:val="22"/>
                <w:lang w:eastAsia="en-PH"/>
              </w:rPr>
            </w:pPr>
            <w:r>
              <w:rPr>
                <w:sz w:val="22"/>
                <w:szCs w:val="22"/>
                <w:lang w:eastAsia="en-PH"/>
              </w:rPr>
              <w:t>November 10, 2022</w:t>
            </w:r>
          </w:p>
        </w:tc>
        <w:tc>
          <w:tcPr>
            <w:tcW w:w="2268" w:type="dxa"/>
            <w:vAlign w:val="center"/>
          </w:tcPr>
          <w:p>
            <w:pPr>
              <w:spacing w:line="276" w:lineRule="auto"/>
              <w:rPr>
                <w:sz w:val="22"/>
                <w:szCs w:val="22"/>
                <w:lang w:eastAsia="en-PH"/>
              </w:rPr>
            </w:pPr>
            <w:r>
              <w:rPr>
                <w:sz w:val="22"/>
                <w:szCs w:val="22"/>
                <w:lang w:eastAsia="en-PH"/>
              </w:rPr>
              <w:t>January 16, 2023</w:t>
            </w:r>
          </w:p>
        </w:tc>
        <w:tc>
          <w:tcPr>
            <w:tcW w:w="1406" w:type="dxa"/>
            <w:vAlign w:val="center"/>
          </w:tcPr>
          <w:p>
            <w:pPr>
              <w:spacing w:line="276" w:lineRule="auto"/>
              <w:jc w:val="center"/>
              <w:rPr>
                <w:sz w:val="22"/>
                <w:szCs w:val="22"/>
                <w:lang w:eastAsia="en-PH"/>
              </w:rPr>
            </w:pPr>
            <w:r>
              <w:rPr>
                <w:sz w:val="22"/>
                <w:szCs w:val="22"/>
                <w:lang w:eastAsia="en-PH"/>
              </w:rPr>
              <w:t>67 days</w:t>
            </w:r>
          </w:p>
        </w:tc>
      </w:tr>
      <w:tr>
        <w:trPr>
          <w:jc w:val="center"/>
        </w:trPr>
        <w:tc>
          <w:tcPr>
            <w:tcW w:w="1998" w:type="dxa"/>
            <w:vAlign w:val="center"/>
          </w:tcPr>
          <w:p>
            <w:pPr>
              <w:spacing w:line="276" w:lineRule="auto"/>
              <w:rPr>
                <w:sz w:val="22"/>
                <w:szCs w:val="22"/>
                <w:lang w:eastAsia="en-PH"/>
              </w:rPr>
            </w:pPr>
            <w:r>
              <w:rPr>
                <w:sz w:val="22"/>
                <w:szCs w:val="22"/>
                <w:lang w:eastAsia="en-PH"/>
              </w:rPr>
              <w:t>November 2022</w:t>
            </w:r>
          </w:p>
        </w:tc>
        <w:tc>
          <w:tcPr>
            <w:tcW w:w="2392" w:type="dxa"/>
            <w:vAlign w:val="center"/>
          </w:tcPr>
          <w:p>
            <w:pPr>
              <w:spacing w:line="276" w:lineRule="auto"/>
              <w:rPr>
                <w:sz w:val="22"/>
                <w:szCs w:val="22"/>
                <w:lang w:eastAsia="en-PH"/>
              </w:rPr>
            </w:pPr>
            <w:r>
              <w:rPr>
                <w:sz w:val="22"/>
                <w:szCs w:val="22"/>
                <w:lang w:eastAsia="en-PH"/>
              </w:rPr>
              <w:t>December 12, 2022</w:t>
            </w:r>
          </w:p>
        </w:tc>
        <w:tc>
          <w:tcPr>
            <w:tcW w:w="2268" w:type="dxa"/>
            <w:vAlign w:val="center"/>
          </w:tcPr>
          <w:p>
            <w:pPr>
              <w:spacing w:line="276" w:lineRule="auto"/>
              <w:jc w:val="center"/>
              <w:rPr>
                <w:sz w:val="22"/>
                <w:szCs w:val="22"/>
                <w:lang w:eastAsia="en-PH"/>
              </w:rPr>
            </w:pPr>
            <w:r>
              <w:rPr>
                <w:sz w:val="22"/>
                <w:szCs w:val="22"/>
                <w:lang w:eastAsia="en-PH"/>
              </w:rPr>
              <w:t>Not yet submitted</w:t>
            </w:r>
          </w:p>
        </w:tc>
        <w:tc>
          <w:tcPr>
            <w:tcW w:w="1406" w:type="dxa"/>
            <w:vAlign w:val="center"/>
          </w:tcPr>
          <w:p>
            <w:pPr>
              <w:spacing w:line="276" w:lineRule="auto"/>
              <w:jc w:val="center"/>
              <w:rPr>
                <w:sz w:val="22"/>
                <w:szCs w:val="22"/>
                <w:lang w:eastAsia="en-PH"/>
              </w:rPr>
            </w:pPr>
          </w:p>
        </w:tc>
      </w:tr>
      <w:tr>
        <w:trPr>
          <w:jc w:val="center"/>
        </w:trPr>
        <w:tc>
          <w:tcPr>
            <w:tcW w:w="1998" w:type="dxa"/>
            <w:vAlign w:val="center"/>
          </w:tcPr>
          <w:p>
            <w:pPr>
              <w:spacing w:line="276" w:lineRule="auto"/>
              <w:rPr>
                <w:sz w:val="22"/>
                <w:szCs w:val="22"/>
                <w:lang w:eastAsia="en-PH"/>
              </w:rPr>
            </w:pPr>
            <w:r>
              <w:rPr>
                <w:sz w:val="22"/>
                <w:szCs w:val="22"/>
                <w:lang w:eastAsia="en-PH"/>
              </w:rPr>
              <w:t>December 2022</w:t>
            </w:r>
          </w:p>
        </w:tc>
        <w:tc>
          <w:tcPr>
            <w:tcW w:w="2392" w:type="dxa"/>
            <w:vAlign w:val="center"/>
          </w:tcPr>
          <w:p>
            <w:pPr>
              <w:spacing w:line="276" w:lineRule="auto"/>
              <w:rPr>
                <w:sz w:val="22"/>
                <w:szCs w:val="22"/>
                <w:lang w:eastAsia="en-PH"/>
              </w:rPr>
            </w:pPr>
            <w:r>
              <w:rPr>
                <w:sz w:val="22"/>
                <w:szCs w:val="22"/>
                <w:lang w:eastAsia="en-PH"/>
              </w:rPr>
              <w:t>January 10, 2023</w:t>
            </w:r>
          </w:p>
        </w:tc>
        <w:tc>
          <w:tcPr>
            <w:tcW w:w="2268" w:type="dxa"/>
            <w:vAlign w:val="center"/>
          </w:tcPr>
          <w:p>
            <w:pPr>
              <w:spacing w:line="276" w:lineRule="auto"/>
              <w:jc w:val="center"/>
              <w:rPr>
                <w:sz w:val="22"/>
                <w:szCs w:val="22"/>
                <w:lang w:eastAsia="en-PH"/>
              </w:rPr>
            </w:pPr>
            <w:r>
              <w:rPr>
                <w:sz w:val="22"/>
                <w:szCs w:val="22"/>
                <w:lang w:eastAsia="en-PH"/>
              </w:rPr>
              <w:t>Not yet submitted</w:t>
            </w:r>
          </w:p>
        </w:tc>
        <w:tc>
          <w:tcPr>
            <w:tcW w:w="1406" w:type="dxa"/>
            <w:vAlign w:val="center"/>
          </w:tcPr>
          <w:p>
            <w:pPr>
              <w:spacing w:line="276" w:lineRule="auto"/>
              <w:jc w:val="center"/>
              <w:rPr>
                <w:sz w:val="22"/>
                <w:szCs w:val="22"/>
                <w:lang w:eastAsia="en-PH"/>
              </w:rPr>
            </w:pPr>
          </w:p>
        </w:tc>
      </w:tr>
    </w:tbl>
    <w:p>
      <w:pPr>
        <w:spacing w:line="276" w:lineRule="auto"/>
        <w:ind w:right="2"/>
        <w:jc w:val="both"/>
        <w:rPr>
          <w:lang w:eastAsia="en-PH"/>
        </w:rPr>
      </w:pPr>
    </w:p>
    <w:p>
      <w:pPr>
        <w:spacing w:line="276" w:lineRule="auto"/>
        <w:ind w:right="2"/>
        <w:jc w:val="both"/>
        <w:rPr>
          <w:lang w:eastAsia="en-PH"/>
        </w:rPr>
      </w:pPr>
      <w:r>
        <w:rPr>
          <w:lang w:eastAsia="en-PH"/>
        </w:rPr>
        <w:t>The delays incurred in the submission of the report and documents range from 17 to 116 days. As of January 16, 2023, reports and documents for the months of November to December 2022 has not yet been submitted to COA Office.</w:t>
      </w:r>
    </w:p>
    <w:p>
      <w:pPr>
        <w:spacing w:line="276" w:lineRule="auto"/>
        <w:ind w:right="2"/>
        <w:jc w:val="both"/>
        <w:rPr>
          <w:lang w:eastAsia="en-PH"/>
        </w:rPr>
      </w:pPr>
    </w:p>
    <w:p>
      <w:pPr>
        <w:spacing w:line="276" w:lineRule="auto"/>
        <w:ind w:right="2"/>
        <w:jc w:val="both"/>
        <w:rPr>
          <w:lang w:eastAsia="en-PH"/>
        </w:rPr>
      </w:pPr>
      <w:r>
        <w:rPr>
          <w:lang w:eastAsia="en-PH"/>
        </w:rPr>
        <w:t xml:space="preserve">The City Accountant explained that the delay was due to the limited accounting personnel. The personnel complement of the City Accounting Office has difficulty of coping with the increasing volume of the City’s transactions in the recent years. Further, the Office has also been preoccupied by the additional tasks in upgrading </w:t>
      </w:r>
      <w:proofErr w:type="spellStart"/>
      <w:r>
        <w:rPr>
          <w:lang w:eastAsia="en-PH"/>
        </w:rPr>
        <w:t>eNGAS</w:t>
      </w:r>
      <w:proofErr w:type="spellEnd"/>
      <w:r>
        <w:rPr>
          <w:lang w:eastAsia="en-PH"/>
        </w:rPr>
        <w:t xml:space="preserve"> Version 1 to </w:t>
      </w:r>
      <w:proofErr w:type="spellStart"/>
      <w:r>
        <w:rPr>
          <w:lang w:eastAsia="en-PH"/>
        </w:rPr>
        <w:t>eNGAS</w:t>
      </w:r>
      <w:proofErr w:type="spellEnd"/>
      <w:r>
        <w:rPr>
          <w:lang w:eastAsia="en-PH"/>
        </w:rPr>
        <w:t xml:space="preserve"> Version 2 in the second semester of this year. She added that they prioritized the migration of the account balances from the old to the new version of </w:t>
      </w:r>
      <w:proofErr w:type="spellStart"/>
      <w:r>
        <w:rPr>
          <w:lang w:eastAsia="en-PH"/>
        </w:rPr>
        <w:t>eNGAS</w:t>
      </w:r>
      <w:proofErr w:type="spellEnd"/>
      <w:r>
        <w:rPr>
          <w:lang w:eastAsia="en-PH"/>
        </w:rPr>
        <w:t>. As a result, other recording and reporting activities have been delayed. Nonetheless, she assured that the preparation and recording of the reports and documents are nearly complete and will be submitted as soon as possible.</w:t>
      </w:r>
    </w:p>
    <w:p>
      <w:pPr>
        <w:spacing w:line="276" w:lineRule="auto"/>
        <w:ind w:right="2"/>
        <w:jc w:val="both"/>
        <w:rPr>
          <w:lang w:eastAsia="en-PH"/>
        </w:rPr>
      </w:pPr>
    </w:p>
    <w:p>
      <w:pPr>
        <w:spacing w:line="276" w:lineRule="auto"/>
        <w:ind w:right="2"/>
        <w:jc w:val="both"/>
        <w:rPr>
          <w:lang w:eastAsia="en-PH"/>
        </w:rPr>
      </w:pPr>
      <w:r>
        <w:rPr>
          <w:lang w:eastAsia="en-PH"/>
        </w:rPr>
        <w:t xml:space="preserve">The delayed and non-submission of the financial reports and documents prevented the timely examination and verification of the transactions pertaining to the accountabilities of the City Treasurer and the Liquidating Officer. As a result, the completion of the Cash Examination Reports has been delayed. Likewise, it also prevented the timely review and evaluation of the validity, propriety and regularity of the transactions of the City Government of </w:t>
      </w:r>
      <w:proofErr w:type="spellStart"/>
      <w:r>
        <w:rPr>
          <w:lang w:eastAsia="en-PH"/>
        </w:rPr>
        <w:t>Panabo</w:t>
      </w:r>
      <w:proofErr w:type="spellEnd"/>
      <w:r>
        <w:rPr>
          <w:lang w:eastAsia="en-PH"/>
        </w:rPr>
        <w:t xml:space="preserve"> as at year-end.</w:t>
      </w:r>
    </w:p>
    <w:p>
      <w:pPr>
        <w:spacing w:line="276" w:lineRule="auto"/>
        <w:ind w:right="2"/>
        <w:jc w:val="both"/>
        <w:rPr>
          <w:lang w:eastAsia="en-PH"/>
        </w:rPr>
      </w:pPr>
    </w:p>
    <w:p>
      <w:pPr>
        <w:spacing w:line="276" w:lineRule="auto"/>
        <w:ind w:right="2"/>
        <w:jc w:val="both"/>
        <w:rPr>
          <w:lang w:eastAsia="en-PH"/>
        </w:rPr>
      </w:pPr>
      <w:r>
        <w:rPr>
          <w:lang w:eastAsia="en-PH"/>
        </w:rPr>
        <w:lastRenderedPageBreak/>
        <w:t xml:space="preserve">Further, a timely reconciliation of bank accounts, and disbursements, collection and deposits </w:t>
      </w:r>
      <w:proofErr w:type="gramStart"/>
      <w:r>
        <w:rPr>
          <w:lang w:eastAsia="en-PH"/>
        </w:rPr>
        <w:t>is</w:t>
      </w:r>
      <w:proofErr w:type="gramEnd"/>
      <w:r>
        <w:rPr>
          <w:lang w:eastAsia="en-PH"/>
        </w:rPr>
        <w:t xml:space="preserve"> a relevant internal control to detect errors and irregularities. Failure to prepare and submit bank reconciliation statements and delayed verification of reported disbursements, collections, and deposits may cause misstatements of the accounts especially the Cash in Bank and Cash in Local Treasury accounts because discrepancies which may surface at any point in time would not be adjusted immediately.</w:t>
      </w:r>
    </w:p>
    <w:p>
      <w:pPr>
        <w:spacing w:line="276" w:lineRule="auto"/>
        <w:ind w:right="2"/>
        <w:jc w:val="both"/>
        <w:rPr>
          <w:lang w:eastAsia="en-PH"/>
        </w:rPr>
      </w:pPr>
    </w:p>
    <w:p>
      <w:pPr>
        <w:spacing w:line="276" w:lineRule="auto"/>
        <w:ind w:right="2"/>
        <w:jc w:val="both"/>
        <w:rPr>
          <w:lang w:eastAsia="en-PH"/>
        </w:rPr>
      </w:pPr>
      <w:r>
        <w:rPr>
          <w:lang w:eastAsia="en-PH"/>
        </w:rPr>
        <w:t>This deficiency is a reiteration of the similar audit observation in CYs 2020 and 2021 Annual Audit Reports.</w:t>
      </w:r>
    </w:p>
    <w:p>
      <w:pPr>
        <w:spacing w:line="276" w:lineRule="auto"/>
        <w:ind w:right="2"/>
        <w:jc w:val="both"/>
        <w:rPr>
          <w:lang w:eastAsia="en-PH"/>
        </w:rPr>
      </w:pPr>
    </w:p>
    <w:p>
      <w:pPr>
        <w:spacing w:line="276" w:lineRule="auto"/>
        <w:ind w:right="2"/>
        <w:jc w:val="both"/>
        <w:rPr>
          <w:b/>
          <w:lang w:eastAsia="en-PH"/>
        </w:rPr>
      </w:pPr>
      <w:r>
        <w:rPr>
          <w:b/>
          <w:lang w:eastAsia="en-PH"/>
        </w:rPr>
        <w:t>Recommendations:</w:t>
      </w:r>
    </w:p>
    <w:p>
      <w:pPr>
        <w:spacing w:line="276" w:lineRule="auto"/>
        <w:ind w:right="2"/>
        <w:jc w:val="both"/>
        <w:rPr>
          <w:b/>
          <w:lang w:eastAsia="en-PH"/>
        </w:rPr>
      </w:pPr>
    </w:p>
    <w:p>
      <w:pPr>
        <w:spacing w:line="276" w:lineRule="auto"/>
        <w:ind w:right="2"/>
        <w:jc w:val="both"/>
        <w:rPr>
          <w:lang w:eastAsia="en-PH"/>
        </w:rPr>
      </w:pPr>
      <w:r>
        <w:rPr>
          <w:lang w:eastAsia="en-PH"/>
        </w:rPr>
        <w:t>We recommended the City Accountant to submit immediately the Bank Reconciliation Statements for the months of August to December 2022 and the Reports of Collections and Deposits, Liquidation Reports, and Disbursement Vouchers including the supporting documents for the months of November and December 2022 to the Office of the Audit Team and to ensure submission of BRS and Bank Statements within the prescribed period provided under the rules and regulations.</w:t>
      </w:r>
    </w:p>
    <w:p>
      <w:pPr>
        <w:pBdr>
          <w:top w:val="nil"/>
          <w:left w:val="nil"/>
          <w:bottom w:val="nil"/>
          <w:right w:val="nil"/>
          <w:between w:val="nil"/>
        </w:pBdr>
        <w:spacing w:line="276" w:lineRule="auto"/>
        <w:ind w:left="1080" w:right="2"/>
        <w:jc w:val="both"/>
        <w:rPr>
          <w:color w:val="000000"/>
          <w:lang w:eastAsia="en-PH"/>
        </w:rPr>
      </w:pPr>
    </w:p>
    <w:p>
      <w:pPr>
        <w:spacing w:line="276" w:lineRule="auto"/>
        <w:ind w:right="2"/>
        <w:jc w:val="both"/>
        <w:rPr>
          <w:lang w:eastAsia="en-PH"/>
        </w:rPr>
      </w:pPr>
      <w:r>
        <w:rPr>
          <w:lang w:eastAsia="en-PH"/>
        </w:rPr>
        <w:t xml:space="preserve">We also recommended that the City Treasurer to ensure submission of the Reports of Collections and Deposits together with the supporting documents to the City Accounting Office prior to the deadline of submission by the CAO to COA to facilitate its timely submission. </w:t>
      </w:r>
    </w:p>
    <w:p>
      <w:pPr>
        <w:spacing w:line="276" w:lineRule="auto"/>
        <w:ind w:right="2"/>
        <w:jc w:val="both"/>
        <w:rPr>
          <w:lang w:eastAsia="en-PH"/>
        </w:rPr>
      </w:pPr>
    </w:p>
    <w:p>
      <w:pPr>
        <w:spacing w:line="276" w:lineRule="auto"/>
        <w:ind w:right="2"/>
        <w:jc w:val="both"/>
        <w:rPr>
          <w:lang w:eastAsia="en-PH"/>
        </w:rPr>
      </w:pPr>
      <w:r>
        <w:rPr>
          <w:lang w:eastAsia="en-PH"/>
        </w:rPr>
        <w:t xml:space="preserve">Finally, we recommended the City Mayor to address the small personnel complement of the City Accounting Office to ensure timely submission of the financial reports and documents of the City Government of </w:t>
      </w:r>
      <w:proofErr w:type="spellStart"/>
      <w:r>
        <w:rPr>
          <w:lang w:eastAsia="en-PH"/>
        </w:rPr>
        <w:t>Panabo</w:t>
      </w:r>
      <w:proofErr w:type="spellEnd"/>
      <w:r>
        <w:rPr>
          <w:lang w:eastAsia="en-PH"/>
        </w:rPr>
        <w:t>.</w:t>
      </w:r>
    </w:p>
    <w:p>
      <w:pPr>
        <w:spacing w:line="276" w:lineRule="auto"/>
        <w:ind w:right="2"/>
        <w:jc w:val="both"/>
        <w:rPr>
          <w:lang w:eastAsia="en-PH"/>
        </w:rPr>
      </w:pPr>
    </w:p>
    <w:p>
      <w:pPr>
        <w:spacing w:line="276" w:lineRule="auto"/>
        <w:ind w:right="270"/>
        <w:rPr>
          <w:b/>
        </w:rPr>
      </w:pPr>
      <w:r>
        <w:rPr>
          <w:b/>
        </w:rPr>
        <w:t>Management’s Comments:</w:t>
      </w:r>
    </w:p>
    <w:p>
      <w:pPr>
        <w:spacing w:line="276" w:lineRule="auto"/>
        <w:ind w:right="270"/>
        <w:rPr>
          <w:b/>
        </w:rPr>
      </w:pPr>
    </w:p>
    <w:p>
      <w:pPr>
        <w:spacing w:line="276" w:lineRule="auto"/>
        <w:ind w:right="-7"/>
        <w:jc w:val="both"/>
      </w:pPr>
      <w:r>
        <w:t xml:space="preserve">The management was amenable to the audit observations and recommendations. The City Treasurer explained that it has always been their goal to timely submit the required reports and documents to CAO. However, due to the lack of personnel to complement the huge scope of responsibilities of the office, the goal was not met. Currently, the office had only designated one (1) regular personnel, assisted by one (1) job order, for the maintenance of all cashbooks and the reconciliation of bank accounts for all funds. Further, due to reshuffling, resignation or termination of contracts, the personnel assisting the preparation of bank reconciliation statements constantly change. Thus, the transfer of knowledge and adjustment period of the newly assigned personnel would take time. Nonetheless, despite this hurdle, CTO committed to comply with the audit </w:t>
      </w:r>
      <w:r>
        <w:lastRenderedPageBreak/>
        <w:t xml:space="preserve">recommendations. They also assured that through the implementation of LBP </w:t>
      </w:r>
      <w:proofErr w:type="spellStart"/>
      <w:r>
        <w:t>weAccess</w:t>
      </w:r>
      <w:proofErr w:type="spellEnd"/>
      <w:r>
        <w:t xml:space="preserve"> or online banking system, accessing the bank statements can be done anytime, thus, recording of cash and check transactions in the cash book for all funds will be duly updated.</w:t>
      </w:r>
    </w:p>
    <w:p>
      <w:pPr>
        <w:spacing w:line="276" w:lineRule="auto"/>
        <w:jc w:val="both"/>
      </w:pPr>
    </w:p>
    <w:p>
      <w:pPr>
        <w:spacing w:line="276" w:lineRule="auto"/>
        <w:jc w:val="both"/>
      </w:pPr>
      <w:r>
        <w:t>As to the submission of liquidation reports, CTO have partially submitted to CAO in February 2023 and is currently fast-tracking the submission of remaining reports. They were amenable of the delay and stated that it was due to the recent reshuffling of personnel and the newly assigned staff is still on the process of learning the procedures. They assured the timely submission of the reports for the ensuing periods.</w:t>
      </w:r>
    </w:p>
    <w:p>
      <w:pPr>
        <w:spacing w:line="276" w:lineRule="auto"/>
        <w:jc w:val="both"/>
      </w:pPr>
    </w:p>
    <w:p>
      <w:pPr>
        <w:spacing w:line="276" w:lineRule="auto"/>
        <w:jc w:val="both"/>
      </w:pPr>
      <w:r>
        <w:t>For the submission of Report of Collections and Deposits and Disbursement Voucher, the City Treasurer stated that the personnel-in-charge have been directed to take immediate and appropriate action to enable the timely and complete submission of documents to CAO. As of February 2023, all pertinent RCDs and DVS were already submitted and updated.</w:t>
      </w:r>
    </w:p>
    <w:p>
      <w:pPr>
        <w:spacing w:line="276" w:lineRule="auto"/>
        <w:jc w:val="both"/>
      </w:pPr>
    </w:p>
    <w:p>
      <w:pPr>
        <w:spacing w:line="276" w:lineRule="auto"/>
        <w:jc w:val="both"/>
      </w:pPr>
      <w:r>
        <w:t>The City Treasurer expressed gratitude for the recommendations given and pledged to act towards a better performance and compliance with the existing rules and laws.</w:t>
      </w:r>
    </w:p>
    <w:p>
      <w:pPr>
        <w:spacing w:line="276" w:lineRule="auto"/>
        <w:jc w:val="both"/>
      </w:pPr>
    </w:p>
    <w:p>
      <w:pPr>
        <w:spacing w:line="276" w:lineRule="auto"/>
        <w:jc w:val="both"/>
      </w:pPr>
      <w:r>
        <w:t xml:space="preserve">CAO, on the other hand, explained that the delayed submission of financial reports to COA was mainly due to the upgrade of the accounting system from Version 1 to Version 2 of </w:t>
      </w:r>
      <w:proofErr w:type="spellStart"/>
      <w:r>
        <w:t>eNGAS</w:t>
      </w:r>
      <w:proofErr w:type="spellEnd"/>
      <w:r>
        <w:t xml:space="preserve">. It took a considerable amount of time finalizing the migration of data to the new version. The setting up of beginning balances for the eight (8) books of accounts were undertaken only by two (2) accounting personnel who have the technical expertise to do so. At the same time, these two personnel were also assigned for the analysis and reconciliation of accounts. Further, during the three (3) weeks online training, encoding of all financial transactions has also been halted. As a result, closing of monthly financial statements was delayed. Since the RCD, LR and DVs are forwarded to the audit team after the closing of monthly reports, submission of the said documents </w:t>
      </w:r>
      <w:proofErr w:type="gramStart"/>
      <w:r>
        <w:t>were</w:t>
      </w:r>
      <w:proofErr w:type="gramEnd"/>
      <w:r>
        <w:t xml:space="preserve"> also delayed.  </w:t>
      </w:r>
    </w:p>
    <w:p>
      <w:pPr>
        <w:spacing w:line="276" w:lineRule="auto"/>
        <w:jc w:val="both"/>
      </w:pPr>
    </w:p>
    <w:p>
      <w:pPr>
        <w:spacing w:line="276" w:lineRule="auto"/>
        <w:jc w:val="both"/>
      </w:pPr>
      <w:r>
        <w:t>Moreover, CAO explained that the delayed preparation and submission of bank reconciliation statements was due to the late furnishing of bank statements to the CAO despite several follow-ups with CTO. Due to the resignation of the personnel in-charge at a later date, there was difficulty in the transition and handover of task to the newly assigned personnel which also added to the delay.</w:t>
      </w:r>
    </w:p>
    <w:p>
      <w:pPr>
        <w:spacing w:line="276" w:lineRule="auto"/>
        <w:jc w:val="both"/>
      </w:pPr>
    </w:p>
    <w:p>
      <w:pPr>
        <w:spacing w:line="276" w:lineRule="auto"/>
        <w:jc w:val="both"/>
      </w:pPr>
      <w:r>
        <w:t xml:space="preserve">As of February 2023, the City Accounting Office has coped up with the timely bookings of all current financial transactions of the City ensuring the timely submission of reports and documents thereof. The CAO expressed their utmost effort to maintain the </w:t>
      </w:r>
      <w:r>
        <w:lastRenderedPageBreak/>
        <w:t xml:space="preserve">credibility, reliability and timely preparation of financial statements of the City Government of </w:t>
      </w:r>
      <w:proofErr w:type="spellStart"/>
      <w:r>
        <w:t>Panabo</w:t>
      </w:r>
      <w:proofErr w:type="spellEnd"/>
      <w:r>
        <w:t>.</w:t>
      </w:r>
    </w:p>
    <w:p>
      <w:pPr>
        <w:spacing w:line="276" w:lineRule="auto"/>
        <w:rPr>
          <w:b/>
        </w:rPr>
      </w:pPr>
    </w:p>
    <w:p>
      <w:pPr>
        <w:spacing w:line="276" w:lineRule="auto"/>
        <w:rPr>
          <w:b/>
        </w:rPr>
      </w:pPr>
      <w:r>
        <w:rPr>
          <w:b/>
        </w:rPr>
        <w:t>Auditor’s Rejoinder:</w:t>
      </w:r>
    </w:p>
    <w:p>
      <w:pPr>
        <w:spacing w:line="276" w:lineRule="auto"/>
        <w:jc w:val="both"/>
        <w:rPr>
          <w:b/>
        </w:rPr>
      </w:pPr>
    </w:p>
    <w:p>
      <w:pPr>
        <w:spacing w:line="276" w:lineRule="auto"/>
        <w:jc w:val="both"/>
      </w:pPr>
      <w:r>
        <w:t>The audit team took cognizance of the management’s effort and commitment to comply with the timely submission of financial documents and reports. The main cited cause of the delay in the preparation and submission of the reports was the lack of personnel complement of CTO and CAO. Further, these offices cited that the present personnel handling the task lacks the technical qualifications to perform the required tasks. Since it has been a recurring observation, management is advised to evaluate the current composition of personnel complement of these offices and ensure to assign personnel with technical qualifications required to perform the tasks.</w:t>
      </w:r>
    </w:p>
    <w:p>
      <w:pPr>
        <w:spacing w:line="276" w:lineRule="auto"/>
        <w:jc w:val="both"/>
      </w:pPr>
    </w:p>
    <w:p>
      <w:pPr>
        <w:spacing w:line="276" w:lineRule="auto"/>
        <w:jc w:val="both"/>
      </w:pPr>
      <w:r>
        <w:t>Further, as of date of this report, RCDs, LRs, and DVs including its supporting documents for the months of November and December 2022 has not yet been submitted to the audit team. The accounting office explained that the documents are ready for submission. However, they were not able to submit the same due to the delay in the procurement of the plastic boxes were the documents will be contained. They committed to submit the same by March 2023.</w:t>
      </w:r>
    </w:p>
    <w:p>
      <w:pPr>
        <w:spacing w:line="276" w:lineRule="auto"/>
        <w:ind w:right="270"/>
        <w:rPr>
          <w:b/>
        </w:rPr>
      </w:pPr>
    </w:p>
    <w:p>
      <w:pPr>
        <w:spacing w:line="276" w:lineRule="auto"/>
        <w:ind w:right="270"/>
        <w:rPr>
          <w:b/>
        </w:rPr>
      </w:pPr>
    </w:p>
    <w:p>
      <w:pPr>
        <w:spacing w:line="276" w:lineRule="auto"/>
        <w:ind w:right="270"/>
        <w:rPr>
          <w:b/>
          <w:bCs/>
          <w:i/>
        </w:rPr>
      </w:pPr>
      <w:r>
        <w:rPr>
          <w:b/>
          <w:bCs/>
          <w:i/>
        </w:rPr>
        <w:t>Insufficient bond coverage of Disbursing Officers</w:t>
      </w:r>
    </w:p>
    <w:p>
      <w:pPr>
        <w:spacing w:line="276" w:lineRule="auto"/>
        <w:ind w:right="270"/>
        <w:rPr>
          <w:b/>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Cash advances were granted to the Disbursing Officers from CY 2019-2022 in excess of their maximum cash accountabilities based on the approved bond coverage by a total of P44,389,735.26 which range from 0.44% to 1,481% contrary to Treasury Circular No. 02-2019 depicting weakness in the internal control for cash management.</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ind w:right="115"/>
        <w:jc w:val="both"/>
        <w:rPr>
          <w:rFonts w:eastAsia="Calibri"/>
          <w:bCs/>
        </w:rPr>
      </w:pPr>
      <w:r>
        <w:rPr>
          <w:rFonts w:eastAsia="Calibri"/>
          <w:bCs/>
        </w:rPr>
        <w:t>Section 305 (f) of the Local Government Code mandates that every officer of the local government unit whose duties permit or require the possession or custody of local funds shall be properly bonded, and such officer shall be accountable and responsible for said funds and for the safekeeping thereof in conformity with the provisions of law.</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The Bureau of Treasury issued Treasury Circular No</w:t>
      </w:r>
      <w:r>
        <w:t>. 02-2019 dated April 25, 2019 which provides:</w:t>
      </w:r>
    </w:p>
    <w:p>
      <w:pPr>
        <w:autoSpaceDE w:val="0"/>
        <w:autoSpaceDN w:val="0"/>
        <w:adjustRightInd w:val="0"/>
        <w:spacing w:line="276" w:lineRule="auto"/>
        <w:ind w:left="851" w:right="675"/>
        <w:jc w:val="both"/>
        <w:rPr>
          <w:rFonts w:eastAsia="Calibri"/>
          <w:b/>
          <w:bCs/>
          <w:i/>
        </w:rPr>
      </w:pPr>
    </w:p>
    <w:p>
      <w:pPr>
        <w:autoSpaceDE w:val="0"/>
        <w:autoSpaceDN w:val="0"/>
        <w:adjustRightInd w:val="0"/>
        <w:spacing w:line="276" w:lineRule="auto"/>
        <w:ind w:left="720" w:right="702"/>
        <w:jc w:val="both"/>
        <w:rPr>
          <w:rFonts w:eastAsia="Calibri"/>
          <w:bCs/>
        </w:rPr>
      </w:pPr>
      <w:r>
        <w:rPr>
          <w:rFonts w:eastAsia="Calibri"/>
          <w:bCs/>
        </w:rPr>
        <w:t xml:space="preserve">4.3 Accountability for Public Funds – Every officer, agent, and employee accountable for public funds shall be liable for all losses resulting from the </w:t>
      </w:r>
      <w:r>
        <w:rPr>
          <w:rFonts w:eastAsia="Calibri"/>
          <w:bCs/>
        </w:rPr>
        <w:lastRenderedPageBreak/>
        <w:t>unlawful deposit, use, or application thereof, and for all losses attributable to negligence in the keeping of such funds.</w:t>
      </w:r>
    </w:p>
    <w:p>
      <w:pPr>
        <w:autoSpaceDE w:val="0"/>
        <w:autoSpaceDN w:val="0"/>
        <w:adjustRightInd w:val="0"/>
        <w:spacing w:line="276" w:lineRule="auto"/>
        <w:ind w:left="720" w:right="288"/>
        <w:jc w:val="both"/>
        <w:rPr>
          <w:rFonts w:eastAsia="Calibri"/>
          <w:bCs/>
        </w:rPr>
      </w:pPr>
    </w:p>
    <w:p>
      <w:pPr>
        <w:autoSpaceDE w:val="0"/>
        <w:autoSpaceDN w:val="0"/>
        <w:adjustRightInd w:val="0"/>
        <w:spacing w:line="276" w:lineRule="auto"/>
        <w:ind w:left="720" w:right="702"/>
        <w:jc w:val="both"/>
        <w:rPr>
          <w:rFonts w:eastAsia="Calibri"/>
          <w:bCs/>
        </w:rPr>
      </w:pPr>
      <w:r>
        <w:rPr>
          <w:rFonts w:eastAsia="Calibri"/>
          <w:bCs/>
        </w:rPr>
        <w:t>4.4 Accountability for Money, Property and Accountable Forms – An accountable officer who has both money, property and accountable forms shall be bonded only once to cover all accountabilities in accordance with the Schedule of Premium Rates.”</w:t>
      </w:r>
    </w:p>
    <w:p>
      <w:pPr>
        <w:autoSpaceDE w:val="0"/>
        <w:autoSpaceDN w:val="0"/>
        <w:adjustRightInd w:val="0"/>
        <w:spacing w:line="276" w:lineRule="auto"/>
        <w:ind w:left="851" w:right="675"/>
        <w:jc w:val="both"/>
        <w:rPr>
          <w:rFonts w:eastAsia="Calibri"/>
          <w:bCs/>
        </w:rPr>
      </w:pPr>
    </w:p>
    <w:p>
      <w:pPr>
        <w:autoSpaceDE w:val="0"/>
        <w:autoSpaceDN w:val="0"/>
        <w:adjustRightInd w:val="0"/>
        <w:spacing w:line="276" w:lineRule="auto"/>
        <w:ind w:right="108"/>
        <w:jc w:val="both"/>
        <w:rPr>
          <w:rFonts w:eastAsia="Calibri"/>
          <w:bCs/>
        </w:rPr>
      </w:pPr>
      <w:r>
        <w:rPr>
          <w:rFonts w:eastAsia="Calibri"/>
          <w:bCs/>
        </w:rPr>
        <w:t>Annex C (I) of the same Circular presents the Revised Schedule of Premium Rates which sets the minimum and maximum cash accountability for the corresponding amount of bond coverage.</w:t>
      </w:r>
    </w:p>
    <w:p>
      <w:pPr>
        <w:autoSpaceDE w:val="0"/>
        <w:autoSpaceDN w:val="0"/>
        <w:adjustRightInd w:val="0"/>
        <w:spacing w:line="276" w:lineRule="auto"/>
        <w:ind w:right="108" w:firstLine="851"/>
        <w:jc w:val="both"/>
        <w:rPr>
          <w:rFonts w:eastAsia="Calibri"/>
          <w:bCs/>
        </w:rPr>
      </w:pPr>
    </w:p>
    <w:p>
      <w:pPr>
        <w:autoSpaceDE w:val="0"/>
        <w:autoSpaceDN w:val="0"/>
        <w:adjustRightInd w:val="0"/>
        <w:spacing w:line="276" w:lineRule="auto"/>
        <w:ind w:right="108"/>
        <w:jc w:val="both"/>
        <w:rPr>
          <w:rFonts w:eastAsia="Calibri"/>
          <w:bCs/>
          <w:i/>
        </w:rPr>
      </w:pPr>
      <w:r>
        <w:rPr>
          <w:rFonts w:eastAsia="Calibri"/>
          <w:bCs/>
        </w:rPr>
        <w:t xml:space="preserve">Furthermore, Item 5.1.1.2 of Treasury Office Order No. 11-2021 dated April 26, 2021 re: Guidelines to Facilitate Compliance with Treasury Circular No. 02-2019 states that in the computation of bond premium for Disbursing Officers, </w:t>
      </w:r>
      <w:r>
        <w:rPr>
          <w:rFonts w:eastAsia="Calibri"/>
          <w:bCs/>
          <w:i/>
        </w:rPr>
        <w:t>the accountability shall be based on the highest amount held in custody and disbursed in the preceding year, which is the possible amount of accountability of the DO exposed to risk in a given day.</w:t>
      </w:r>
    </w:p>
    <w:p>
      <w:pPr>
        <w:autoSpaceDE w:val="0"/>
        <w:autoSpaceDN w:val="0"/>
        <w:adjustRightInd w:val="0"/>
        <w:spacing w:line="276" w:lineRule="auto"/>
        <w:ind w:right="108" w:firstLine="851"/>
        <w:jc w:val="both"/>
        <w:rPr>
          <w:rFonts w:eastAsia="Calibri"/>
          <w:bCs/>
          <w:i/>
        </w:rPr>
      </w:pPr>
    </w:p>
    <w:p>
      <w:pPr>
        <w:autoSpaceDE w:val="0"/>
        <w:autoSpaceDN w:val="0"/>
        <w:adjustRightInd w:val="0"/>
        <w:spacing w:line="276" w:lineRule="auto"/>
        <w:ind w:right="108"/>
        <w:jc w:val="both"/>
        <w:rPr>
          <w:rFonts w:eastAsia="Calibri"/>
          <w:bCs/>
        </w:rPr>
      </w:pPr>
      <w:r>
        <w:rPr>
          <w:rFonts w:eastAsia="Calibri"/>
          <w:bCs/>
        </w:rPr>
        <w:t>On the other hand, the Government Auditing Code of the Philippines (PD 1445) requires the installation of internal control system in government, which provides that:</w:t>
      </w:r>
    </w:p>
    <w:p>
      <w:pPr>
        <w:autoSpaceDE w:val="0"/>
        <w:autoSpaceDN w:val="0"/>
        <w:adjustRightInd w:val="0"/>
        <w:spacing w:line="276" w:lineRule="auto"/>
        <w:ind w:left="851" w:right="675"/>
        <w:jc w:val="both"/>
        <w:rPr>
          <w:rFonts w:eastAsia="Calibri"/>
          <w:bCs/>
        </w:rPr>
      </w:pPr>
    </w:p>
    <w:p>
      <w:pPr>
        <w:autoSpaceDE w:val="0"/>
        <w:autoSpaceDN w:val="0"/>
        <w:adjustRightInd w:val="0"/>
        <w:spacing w:line="276" w:lineRule="auto"/>
        <w:ind w:left="720" w:right="702"/>
        <w:jc w:val="both"/>
        <w:rPr>
          <w:rFonts w:eastAsia="Calibri"/>
          <w:bCs/>
        </w:rPr>
      </w:pPr>
      <w:r>
        <w:rPr>
          <w:rFonts w:eastAsia="Calibri"/>
          <w:bCs/>
        </w:rPr>
        <w:t>Section 124. Installation – It shall be the direct responsibility of the agency head to install, implement and monitor a sound system of internal control…</w:t>
      </w:r>
    </w:p>
    <w:p>
      <w:pPr>
        <w:autoSpaceDE w:val="0"/>
        <w:autoSpaceDN w:val="0"/>
        <w:adjustRightInd w:val="0"/>
        <w:spacing w:line="276" w:lineRule="auto"/>
        <w:ind w:right="675"/>
        <w:jc w:val="both"/>
        <w:rPr>
          <w:rFonts w:eastAsia="Calibri"/>
          <w:bCs/>
        </w:rPr>
      </w:pPr>
    </w:p>
    <w:p>
      <w:pPr>
        <w:autoSpaceDE w:val="0"/>
        <w:autoSpaceDN w:val="0"/>
        <w:adjustRightInd w:val="0"/>
        <w:spacing w:line="276" w:lineRule="auto"/>
        <w:ind w:right="108"/>
        <w:jc w:val="both"/>
        <w:rPr>
          <w:rFonts w:eastAsia="Calibri"/>
          <w:bCs/>
        </w:rPr>
      </w:pPr>
      <w:r>
        <w:rPr>
          <w:rFonts w:eastAsia="Calibri"/>
          <w:bCs/>
        </w:rPr>
        <w:t>As per Bond Confirmation Letter dated March 4, 2022, the disbursing officers are granted the following cash accountabilities:</w:t>
      </w:r>
    </w:p>
    <w:p>
      <w:pPr>
        <w:autoSpaceDE w:val="0"/>
        <w:autoSpaceDN w:val="0"/>
        <w:adjustRightInd w:val="0"/>
        <w:spacing w:line="276" w:lineRule="auto"/>
        <w:ind w:right="108"/>
        <w:jc w:val="both"/>
        <w:rPr>
          <w:rFonts w:eastAsia="Calibri"/>
          <w:bCs/>
        </w:rPr>
      </w:pPr>
    </w:p>
    <w:p>
      <w:pPr>
        <w:autoSpaceDE w:val="0"/>
        <w:autoSpaceDN w:val="0"/>
        <w:adjustRightInd w:val="0"/>
        <w:spacing w:line="276" w:lineRule="auto"/>
        <w:ind w:right="108"/>
        <w:jc w:val="both"/>
        <w:rPr>
          <w:rFonts w:eastAsia="Calibri"/>
          <w:bCs/>
          <w:i/>
        </w:rPr>
      </w:pPr>
      <w:r>
        <w:rPr>
          <w:rFonts w:eastAsia="Calibri"/>
          <w:bCs/>
          <w:i/>
        </w:rPr>
        <w:t>Table 21.1. Details of the Bond Coverage of Disbursing Officers</w:t>
      </w:r>
    </w:p>
    <w:tbl>
      <w:tblPr>
        <w:tblStyle w:val="TableGrid40"/>
        <w:tblW w:w="8545" w:type="dxa"/>
        <w:jc w:val="center"/>
        <w:tblLayout w:type="fixed"/>
        <w:tblCellMar>
          <w:left w:w="43" w:type="dxa"/>
          <w:right w:w="0" w:type="dxa"/>
        </w:tblCellMar>
        <w:tblLook w:val="04A0" w:firstRow="1" w:lastRow="0" w:firstColumn="1" w:lastColumn="0" w:noHBand="0" w:noVBand="1"/>
      </w:tblPr>
      <w:tblGrid>
        <w:gridCol w:w="2070"/>
        <w:gridCol w:w="1980"/>
        <w:gridCol w:w="1525"/>
        <w:gridCol w:w="1710"/>
        <w:gridCol w:w="1260"/>
      </w:tblGrid>
      <w:tr>
        <w:trPr>
          <w:jc w:val="center"/>
        </w:trPr>
        <w:tc>
          <w:tcPr>
            <w:tcW w:w="2070" w:type="dxa"/>
          </w:tcPr>
          <w:p>
            <w:pPr>
              <w:autoSpaceDE w:val="0"/>
              <w:autoSpaceDN w:val="0"/>
              <w:adjustRightInd w:val="0"/>
              <w:spacing w:line="276" w:lineRule="auto"/>
              <w:ind w:right="115"/>
              <w:jc w:val="center"/>
              <w:rPr>
                <w:rFonts w:eastAsia="Calibri"/>
                <w:b/>
                <w:bCs/>
                <w:sz w:val="22"/>
                <w:szCs w:val="22"/>
              </w:rPr>
            </w:pPr>
            <w:r>
              <w:rPr>
                <w:rFonts w:eastAsia="Calibri"/>
                <w:b/>
                <w:bCs/>
                <w:sz w:val="22"/>
                <w:szCs w:val="22"/>
              </w:rPr>
              <w:t>Name of AO</w:t>
            </w:r>
          </w:p>
        </w:tc>
        <w:tc>
          <w:tcPr>
            <w:tcW w:w="1980" w:type="dxa"/>
          </w:tcPr>
          <w:p>
            <w:pPr>
              <w:autoSpaceDE w:val="0"/>
              <w:autoSpaceDN w:val="0"/>
              <w:adjustRightInd w:val="0"/>
              <w:spacing w:line="276" w:lineRule="auto"/>
              <w:ind w:right="115"/>
              <w:jc w:val="center"/>
              <w:rPr>
                <w:rFonts w:eastAsia="Calibri"/>
                <w:b/>
                <w:bCs/>
                <w:sz w:val="22"/>
                <w:szCs w:val="22"/>
              </w:rPr>
            </w:pPr>
            <w:r>
              <w:rPr>
                <w:rFonts w:eastAsia="Calibri"/>
                <w:b/>
                <w:bCs/>
                <w:sz w:val="22"/>
                <w:szCs w:val="22"/>
              </w:rPr>
              <w:t>Designation</w:t>
            </w:r>
          </w:p>
        </w:tc>
        <w:tc>
          <w:tcPr>
            <w:tcW w:w="1525" w:type="dxa"/>
          </w:tcPr>
          <w:p>
            <w:pPr>
              <w:autoSpaceDE w:val="0"/>
              <w:autoSpaceDN w:val="0"/>
              <w:adjustRightInd w:val="0"/>
              <w:spacing w:line="276" w:lineRule="auto"/>
              <w:ind w:right="115"/>
              <w:jc w:val="center"/>
              <w:rPr>
                <w:rFonts w:eastAsia="Calibri"/>
                <w:b/>
                <w:bCs/>
                <w:sz w:val="22"/>
                <w:szCs w:val="22"/>
              </w:rPr>
            </w:pPr>
            <w:r>
              <w:rPr>
                <w:rFonts w:eastAsia="Calibri"/>
                <w:b/>
                <w:bCs/>
                <w:sz w:val="22"/>
                <w:szCs w:val="22"/>
              </w:rPr>
              <w:t>Amount of Bond Coverage</w:t>
            </w:r>
          </w:p>
        </w:tc>
        <w:tc>
          <w:tcPr>
            <w:tcW w:w="1710" w:type="dxa"/>
          </w:tcPr>
          <w:p>
            <w:pPr>
              <w:autoSpaceDE w:val="0"/>
              <w:autoSpaceDN w:val="0"/>
              <w:adjustRightInd w:val="0"/>
              <w:spacing w:line="276" w:lineRule="auto"/>
              <w:ind w:right="115"/>
              <w:jc w:val="center"/>
              <w:rPr>
                <w:rFonts w:eastAsia="Calibri"/>
                <w:b/>
                <w:bCs/>
                <w:sz w:val="22"/>
                <w:szCs w:val="22"/>
              </w:rPr>
            </w:pPr>
            <w:r>
              <w:rPr>
                <w:rFonts w:eastAsia="Calibri"/>
                <w:b/>
                <w:bCs/>
                <w:sz w:val="22"/>
                <w:szCs w:val="22"/>
              </w:rPr>
              <w:t>Cash Accountability</w:t>
            </w:r>
          </w:p>
        </w:tc>
        <w:tc>
          <w:tcPr>
            <w:tcW w:w="1260" w:type="dxa"/>
          </w:tcPr>
          <w:p>
            <w:pPr>
              <w:autoSpaceDE w:val="0"/>
              <w:autoSpaceDN w:val="0"/>
              <w:adjustRightInd w:val="0"/>
              <w:spacing w:line="276" w:lineRule="auto"/>
              <w:ind w:right="115"/>
              <w:jc w:val="center"/>
              <w:rPr>
                <w:rFonts w:eastAsia="Calibri"/>
                <w:b/>
                <w:bCs/>
                <w:sz w:val="22"/>
                <w:szCs w:val="22"/>
              </w:rPr>
            </w:pPr>
            <w:r>
              <w:rPr>
                <w:rFonts w:eastAsia="Calibri"/>
                <w:b/>
                <w:bCs/>
                <w:sz w:val="22"/>
                <w:szCs w:val="22"/>
              </w:rPr>
              <w:t>Effectivity</w:t>
            </w:r>
          </w:p>
        </w:tc>
      </w:tr>
      <w:tr>
        <w:trPr>
          <w:trHeight w:val="380"/>
          <w:jc w:val="center"/>
        </w:trPr>
        <w:tc>
          <w:tcPr>
            <w:tcW w:w="2070" w:type="dxa"/>
          </w:tcPr>
          <w:p>
            <w:pPr>
              <w:autoSpaceDE w:val="0"/>
              <w:autoSpaceDN w:val="0"/>
              <w:adjustRightInd w:val="0"/>
              <w:spacing w:line="276" w:lineRule="auto"/>
              <w:ind w:right="115"/>
              <w:jc w:val="both"/>
              <w:rPr>
                <w:rFonts w:eastAsia="Calibri"/>
                <w:bCs/>
                <w:sz w:val="22"/>
                <w:szCs w:val="22"/>
              </w:rPr>
            </w:pPr>
            <w:r>
              <w:rPr>
                <w:rFonts w:eastAsia="Calibri"/>
                <w:bCs/>
                <w:sz w:val="22"/>
                <w:szCs w:val="22"/>
              </w:rPr>
              <w:t>Geraldo, Myrna</w:t>
            </w:r>
          </w:p>
        </w:tc>
        <w:tc>
          <w:tcPr>
            <w:tcW w:w="1980" w:type="dxa"/>
          </w:tcPr>
          <w:p>
            <w:pPr>
              <w:autoSpaceDE w:val="0"/>
              <w:autoSpaceDN w:val="0"/>
              <w:adjustRightInd w:val="0"/>
              <w:spacing w:line="276" w:lineRule="auto"/>
              <w:ind w:right="115"/>
              <w:jc w:val="center"/>
              <w:rPr>
                <w:rFonts w:eastAsia="Calibri"/>
                <w:bCs/>
                <w:sz w:val="22"/>
                <w:szCs w:val="22"/>
              </w:rPr>
            </w:pPr>
            <w:r>
              <w:rPr>
                <w:rFonts w:eastAsia="Calibri"/>
                <w:bCs/>
                <w:sz w:val="22"/>
                <w:szCs w:val="22"/>
              </w:rPr>
              <w:t>Disbursing Officer</w:t>
            </w:r>
          </w:p>
        </w:tc>
        <w:tc>
          <w:tcPr>
            <w:tcW w:w="1525" w:type="dxa"/>
          </w:tcPr>
          <w:p>
            <w:pPr>
              <w:autoSpaceDE w:val="0"/>
              <w:autoSpaceDN w:val="0"/>
              <w:adjustRightInd w:val="0"/>
              <w:spacing w:line="276" w:lineRule="auto"/>
              <w:ind w:right="115"/>
              <w:jc w:val="right"/>
              <w:rPr>
                <w:rFonts w:eastAsia="Calibri"/>
                <w:bCs/>
                <w:sz w:val="22"/>
                <w:szCs w:val="22"/>
              </w:rPr>
            </w:pPr>
            <w:r>
              <w:rPr>
                <w:rFonts w:eastAsia="Calibri"/>
                <w:bCs/>
                <w:sz w:val="22"/>
                <w:szCs w:val="22"/>
              </w:rPr>
              <w:t>P750,000.00</w:t>
            </w:r>
          </w:p>
        </w:tc>
        <w:tc>
          <w:tcPr>
            <w:tcW w:w="1710" w:type="dxa"/>
          </w:tcPr>
          <w:p>
            <w:pPr>
              <w:autoSpaceDE w:val="0"/>
              <w:autoSpaceDN w:val="0"/>
              <w:adjustRightInd w:val="0"/>
              <w:spacing w:line="276" w:lineRule="auto"/>
              <w:ind w:right="115"/>
              <w:jc w:val="center"/>
              <w:rPr>
                <w:rFonts w:eastAsia="Calibri"/>
                <w:bCs/>
                <w:sz w:val="22"/>
                <w:szCs w:val="22"/>
              </w:rPr>
            </w:pPr>
            <w:r>
              <w:rPr>
                <w:rFonts w:eastAsia="Calibri"/>
                <w:bCs/>
                <w:sz w:val="22"/>
                <w:szCs w:val="22"/>
              </w:rPr>
              <w:t>P1,000,001.00-P2,500,000.00</w:t>
            </w:r>
          </w:p>
        </w:tc>
        <w:tc>
          <w:tcPr>
            <w:tcW w:w="1260" w:type="dxa"/>
          </w:tcPr>
          <w:p>
            <w:pPr>
              <w:autoSpaceDE w:val="0"/>
              <w:autoSpaceDN w:val="0"/>
              <w:adjustRightInd w:val="0"/>
              <w:spacing w:line="276" w:lineRule="auto"/>
              <w:ind w:right="115"/>
              <w:jc w:val="center"/>
              <w:rPr>
                <w:rFonts w:eastAsia="Calibri"/>
                <w:bCs/>
                <w:sz w:val="22"/>
                <w:szCs w:val="22"/>
              </w:rPr>
            </w:pPr>
            <w:r>
              <w:rPr>
                <w:rFonts w:eastAsia="Calibri"/>
                <w:bCs/>
                <w:sz w:val="22"/>
                <w:szCs w:val="22"/>
              </w:rPr>
              <w:t>03/04/2022-03/03/2023</w:t>
            </w:r>
          </w:p>
        </w:tc>
      </w:tr>
      <w:tr>
        <w:trPr>
          <w:trHeight w:val="380"/>
          <w:jc w:val="center"/>
        </w:trPr>
        <w:tc>
          <w:tcPr>
            <w:tcW w:w="2070" w:type="dxa"/>
          </w:tcPr>
          <w:p>
            <w:pPr>
              <w:autoSpaceDE w:val="0"/>
              <w:autoSpaceDN w:val="0"/>
              <w:adjustRightInd w:val="0"/>
              <w:spacing w:line="276" w:lineRule="auto"/>
              <w:ind w:right="115"/>
              <w:jc w:val="both"/>
              <w:rPr>
                <w:rFonts w:eastAsia="Calibri"/>
                <w:bCs/>
                <w:sz w:val="22"/>
                <w:szCs w:val="22"/>
              </w:rPr>
            </w:pPr>
            <w:proofErr w:type="spellStart"/>
            <w:r>
              <w:rPr>
                <w:rFonts w:eastAsia="Calibri"/>
                <w:bCs/>
                <w:sz w:val="22"/>
                <w:szCs w:val="22"/>
              </w:rPr>
              <w:t>Sionillo</w:t>
            </w:r>
            <w:proofErr w:type="spellEnd"/>
            <w:r>
              <w:rPr>
                <w:rFonts w:eastAsia="Calibri"/>
                <w:bCs/>
                <w:sz w:val="22"/>
                <w:szCs w:val="22"/>
              </w:rPr>
              <w:t>, Anna Liza</w:t>
            </w:r>
          </w:p>
        </w:tc>
        <w:tc>
          <w:tcPr>
            <w:tcW w:w="1980" w:type="dxa"/>
          </w:tcPr>
          <w:p>
            <w:pPr>
              <w:autoSpaceDE w:val="0"/>
              <w:autoSpaceDN w:val="0"/>
              <w:adjustRightInd w:val="0"/>
              <w:spacing w:line="276" w:lineRule="auto"/>
              <w:ind w:right="115"/>
              <w:jc w:val="center"/>
              <w:rPr>
                <w:rFonts w:eastAsia="Calibri"/>
                <w:bCs/>
                <w:sz w:val="22"/>
                <w:szCs w:val="22"/>
              </w:rPr>
            </w:pPr>
            <w:r>
              <w:rPr>
                <w:rFonts w:eastAsia="Calibri"/>
                <w:bCs/>
                <w:sz w:val="22"/>
                <w:szCs w:val="22"/>
              </w:rPr>
              <w:t>Disbursing Officer</w:t>
            </w:r>
          </w:p>
        </w:tc>
        <w:tc>
          <w:tcPr>
            <w:tcW w:w="1525" w:type="dxa"/>
          </w:tcPr>
          <w:p>
            <w:pPr>
              <w:autoSpaceDE w:val="0"/>
              <w:autoSpaceDN w:val="0"/>
              <w:adjustRightInd w:val="0"/>
              <w:spacing w:line="276" w:lineRule="auto"/>
              <w:ind w:right="115"/>
              <w:jc w:val="right"/>
              <w:rPr>
                <w:rFonts w:eastAsia="Calibri"/>
                <w:bCs/>
                <w:sz w:val="22"/>
                <w:szCs w:val="22"/>
              </w:rPr>
            </w:pPr>
            <w:r>
              <w:rPr>
                <w:rFonts w:eastAsia="Calibri"/>
                <w:bCs/>
                <w:sz w:val="22"/>
                <w:szCs w:val="22"/>
              </w:rPr>
              <w:t>750,000.00</w:t>
            </w:r>
          </w:p>
        </w:tc>
        <w:tc>
          <w:tcPr>
            <w:tcW w:w="1710" w:type="dxa"/>
          </w:tcPr>
          <w:p>
            <w:pPr>
              <w:autoSpaceDE w:val="0"/>
              <w:autoSpaceDN w:val="0"/>
              <w:adjustRightInd w:val="0"/>
              <w:spacing w:line="276" w:lineRule="auto"/>
              <w:ind w:right="115"/>
              <w:jc w:val="center"/>
              <w:rPr>
                <w:rFonts w:eastAsia="Calibri"/>
                <w:bCs/>
                <w:sz w:val="22"/>
                <w:szCs w:val="22"/>
              </w:rPr>
            </w:pPr>
            <w:r>
              <w:rPr>
                <w:rFonts w:eastAsia="Calibri"/>
                <w:bCs/>
                <w:sz w:val="22"/>
                <w:szCs w:val="22"/>
              </w:rPr>
              <w:t>1,000,001.00-2,500,000.00</w:t>
            </w:r>
          </w:p>
        </w:tc>
        <w:tc>
          <w:tcPr>
            <w:tcW w:w="1260" w:type="dxa"/>
          </w:tcPr>
          <w:p>
            <w:pPr>
              <w:autoSpaceDE w:val="0"/>
              <w:autoSpaceDN w:val="0"/>
              <w:adjustRightInd w:val="0"/>
              <w:spacing w:line="276" w:lineRule="auto"/>
              <w:ind w:right="115"/>
              <w:jc w:val="center"/>
              <w:rPr>
                <w:rFonts w:eastAsia="Calibri"/>
                <w:bCs/>
                <w:sz w:val="22"/>
                <w:szCs w:val="22"/>
              </w:rPr>
            </w:pPr>
            <w:r>
              <w:rPr>
                <w:rFonts w:eastAsia="Calibri"/>
                <w:bCs/>
                <w:sz w:val="22"/>
                <w:szCs w:val="22"/>
              </w:rPr>
              <w:t>03/04/2022-03/03/2023</w:t>
            </w:r>
          </w:p>
        </w:tc>
      </w:tr>
      <w:tr>
        <w:trPr>
          <w:trHeight w:val="380"/>
          <w:jc w:val="center"/>
        </w:trPr>
        <w:tc>
          <w:tcPr>
            <w:tcW w:w="2070" w:type="dxa"/>
          </w:tcPr>
          <w:p>
            <w:pPr>
              <w:autoSpaceDE w:val="0"/>
              <w:autoSpaceDN w:val="0"/>
              <w:adjustRightInd w:val="0"/>
              <w:spacing w:line="276" w:lineRule="auto"/>
              <w:ind w:right="115"/>
              <w:jc w:val="both"/>
              <w:rPr>
                <w:rFonts w:eastAsia="Calibri"/>
                <w:bCs/>
                <w:sz w:val="22"/>
                <w:szCs w:val="22"/>
              </w:rPr>
            </w:pPr>
            <w:r>
              <w:rPr>
                <w:rFonts w:eastAsia="Calibri"/>
                <w:bCs/>
                <w:sz w:val="22"/>
                <w:szCs w:val="22"/>
              </w:rPr>
              <w:t>Sangco, Sandy</w:t>
            </w:r>
          </w:p>
        </w:tc>
        <w:tc>
          <w:tcPr>
            <w:tcW w:w="1980" w:type="dxa"/>
          </w:tcPr>
          <w:p>
            <w:pPr>
              <w:autoSpaceDE w:val="0"/>
              <w:autoSpaceDN w:val="0"/>
              <w:adjustRightInd w:val="0"/>
              <w:spacing w:line="276" w:lineRule="auto"/>
              <w:ind w:right="115"/>
              <w:jc w:val="center"/>
              <w:rPr>
                <w:rFonts w:eastAsia="Calibri"/>
                <w:bCs/>
                <w:sz w:val="22"/>
                <w:szCs w:val="22"/>
              </w:rPr>
            </w:pPr>
            <w:r>
              <w:rPr>
                <w:rFonts w:eastAsia="Calibri"/>
                <w:bCs/>
                <w:sz w:val="22"/>
                <w:szCs w:val="22"/>
              </w:rPr>
              <w:t>Disbursing Officer</w:t>
            </w:r>
          </w:p>
          <w:p>
            <w:pPr>
              <w:autoSpaceDE w:val="0"/>
              <w:autoSpaceDN w:val="0"/>
              <w:adjustRightInd w:val="0"/>
              <w:spacing w:line="276" w:lineRule="auto"/>
              <w:ind w:right="115"/>
              <w:jc w:val="center"/>
              <w:rPr>
                <w:rFonts w:eastAsia="Calibri"/>
                <w:bCs/>
                <w:sz w:val="22"/>
                <w:szCs w:val="22"/>
              </w:rPr>
            </w:pPr>
            <w:r>
              <w:rPr>
                <w:rFonts w:eastAsia="Calibri"/>
                <w:bCs/>
                <w:sz w:val="22"/>
                <w:szCs w:val="22"/>
              </w:rPr>
              <w:t>(effective 12/16/2022)</w:t>
            </w:r>
          </w:p>
        </w:tc>
        <w:tc>
          <w:tcPr>
            <w:tcW w:w="1525" w:type="dxa"/>
          </w:tcPr>
          <w:p>
            <w:pPr>
              <w:autoSpaceDE w:val="0"/>
              <w:autoSpaceDN w:val="0"/>
              <w:adjustRightInd w:val="0"/>
              <w:spacing w:line="276" w:lineRule="auto"/>
              <w:ind w:right="115"/>
              <w:jc w:val="right"/>
              <w:rPr>
                <w:rFonts w:eastAsia="Calibri"/>
                <w:bCs/>
                <w:sz w:val="22"/>
                <w:szCs w:val="22"/>
              </w:rPr>
            </w:pPr>
            <w:r>
              <w:rPr>
                <w:rFonts w:eastAsia="Calibri"/>
                <w:bCs/>
                <w:sz w:val="22"/>
                <w:szCs w:val="22"/>
              </w:rPr>
              <w:t>350,250.00</w:t>
            </w:r>
          </w:p>
        </w:tc>
        <w:tc>
          <w:tcPr>
            <w:tcW w:w="1710" w:type="dxa"/>
          </w:tcPr>
          <w:p>
            <w:pPr>
              <w:autoSpaceDE w:val="0"/>
              <w:autoSpaceDN w:val="0"/>
              <w:adjustRightInd w:val="0"/>
              <w:spacing w:line="276" w:lineRule="auto"/>
              <w:ind w:right="115"/>
              <w:jc w:val="center"/>
              <w:rPr>
                <w:rFonts w:eastAsia="Calibri"/>
                <w:bCs/>
                <w:sz w:val="22"/>
                <w:szCs w:val="22"/>
              </w:rPr>
            </w:pPr>
            <w:r>
              <w:rPr>
                <w:rFonts w:eastAsia="Calibri"/>
                <w:bCs/>
                <w:sz w:val="22"/>
                <w:szCs w:val="22"/>
              </w:rPr>
              <w:t>500,001.00-750,000.00</w:t>
            </w:r>
          </w:p>
        </w:tc>
        <w:tc>
          <w:tcPr>
            <w:tcW w:w="1260" w:type="dxa"/>
          </w:tcPr>
          <w:p>
            <w:pPr>
              <w:autoSpaceDE w:val="0"/>
              <w:autoSpaceDN w:val="0"/>
              <w:adjustRightInd w:val="0"/>
              <w:spacing w:line="276" w:lineRule="auto"/>
              <w:ind w:right="115"/>
              <w:jc w:val="center"/>
              <w:rPr>
                <w:rFonts w:eastAsia="Calibri"/>
                <w:bCs/>
                <w:sz w:val="22"/>
                <w:szCs w:val="22"/>
              </w:rPr>
            </w:pPr>
            <w:r>
              <w:rPr>
                <w:rFonts w:eastAsia="Calibri"/>
                <w:bCs/>
                <w:sz w:val="22"/>
                <w:szCs w:val="22"/>
              </w:rPr>
              <w:t>03/04/2022-03/03/2023</w:t>
            </w:r>
          </w:p>
        </w:tc>
      </w:tr>
    </w:tbl>
    <w:p>
      <w:pPr>
        <w:autoSpaceDE w:val="0"/>
        <w:autoSpaceDN w:val="0"/>
        <w:adjustRightInd w:val="0"/>
        <w:spacing w:line="276" w:lineRule="auto"/>
        <w:ind w:right="108"/>
        <w:jc w:val="both"/>
        <w:rPr>
          <w:rFonts w:eastAsia="Calibri"/>
          <w:bCs/>
        </w:rPr>
      </w:pPr>
    </w:p>
    <w:p>
      <w:pPr>
        <w:autoSpaceDE w:val="0"/>
        <w:autoSpaceDN w:val="0"/>
        <w:adjustRightInd w:val="0"/>
        <w:spacing w:line="276" w:lineRule="auto"/>
        <w:ind w:right="108"/>
        <w:jc w:val="both"/>
        <w:rPr>
          <w:rFonts w:eastAsia="Calibri"/>
          <w:bCs/>
        </w:rPr>
      </w:pPr>
      <w:r>
        <w:rPr>
          <w:rFonts w:eastAsia="Calibri"/>
          <w:bCs/>
        </w:rPr>
        <w:lastRenderedPageBreak/>
        <w:t>Verification of pertinent records on the cash advances granted to the above-mentioned designated disbursing officers from CY 2019-2022 revealed that fifteen (15) of the cash advances granted were beyond the maximum cash accountability based on their approved bond coverage, viz:</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i/>
        </w:rPr>
      </w:pPr>
      <w:r>
        <w:rPr>
          <w:rFonts w:eastAsia="Calibri"/>
          <w:bCs/>
          <w:i/>
        </w:rPr>
        <w:t>Table 21.2. Schedule of Cash Advances granted beyond the fidelity bond coverage</w:t>
      </w:r>
    </w:p>
    <w:tbl>
      <w:tblPr>
        <w:tblStyle w:val="TableGrid40"/>
        <w:tblW w:w="9445" w:type="dxa"/>
        <w:jc w:val="center"/>
        <w:tblLayout w:type="fixed"/>
        <w:tblCellMar>
          <w:left w:w="72" w:type="dxa"/>
          <w:right w:w="72" w:type="dxa"/>
        </w:tblCellMar>
        <w:tblLook w:val="04A0" w:firstRow="1" w:lastRow="0" w:firstColumn="1" w:lastColumn="0" w:noHBand="0" w:noVBand="1"/>
      </w:tblPr>
      <w:tblGrid>
        <w:gridCol w:w="1187"/>
        <w:gridCol w:w="990"/>
        <w:gridCol w:w="1598"/>
        <w:gridCol w:w="1719"/>
        <w:gridCol w:w="1664"/>
        <w:gridCol w:w="847"/>
        <w:gridCol w:w="1440"/>
      </w:tblGrid>
      <w:tr>
        <w:trPr>
          <w:trHeight w:val="20"/>
          <w:tblHeader/>
          <w:jc w:val="center"/>
        </w:trPr>
        <w:tc>
          <w:tcPr>
            <w:tcW w:w="1187" w:type="dxa"/>
            <w:tcBorders>
              <w:top w:val="single" w:sz="12" w:space="0" w:color="auto"/>
              <w:bottom w:val="single" w:sz="12" w:space="0" w:color="auto"/>
            </w:tcBorders>
            <w:vAlign w:val="center"/>
          </w:tcPr>
          <w:p>
            <w:pPr>
              <w:autoSpaceDE w:val="0"/>
              <w:autoSpaceDN w:val="0"/>
              <w:adjustRightInd w:val="0"/>
              <w:spacing w:line="276" w:lineRule="auto"/>
              <w:ind w:right="108"/>
              <w:jc w:val="center"/>
              <w:rPr>
                <w:rFonts w:eastAsia="Calibri"/>
                <w:b/>
                <w:bCs/>
                <w:sz w:val="22"/>
                <w:szCs w:val="22"/>
              </w:rPr>
            </w:pPr>
            <w:r>
              <w:rPr>
                <w:rFonts w:eastAsia="Calibri"/>
                <w:b/>
                <w:bCs/>
                <w:sz w:val="22"/>
                <w:szCs w:val="22"/>
              </w:rPr>
              <w:t>Date</w:t>
            </w:r>
          </w:p>
        </w:tc>
        <w:tc>
          <w:tcPr>
            <w:tcW w:w="990" w:type="dxa"/>
            <w:tcBorders>
              <w:top w:val="single" w:sz="12" w:space="0" w:color="auto"/>
              <w:bottom w:val="single" w:sz="12" w:space="0" w:color="auto"/>
            </w:tcBorders>
            <w:vAlign w:val="center"/>
          </w:tcPr>
          <w:p>
            <w:pPr>
              <w:autoSpaceDE w:val="0"/>
              <w:autoSpaceDN w:val="0"/>
              <w:adjustRightInd w:val="0"/>
              <w:spacing w:line="276" w:lineRule="auto"/>
              <w:ind w:right="108"/>
              <w:jc w:val="center"/>
              <w:rPr>
                <w:rFonts w:eastAsia="Calibri"/>
                <w:b/>
                <w:bCs/>
                <w:sz w:val="22"/>
                <w:szCs w:val="22"/>
              </w:rPr>
            </w:pPr>
            <w:r>
              <w:rPr>
                <w:rFonts w:eastAsia="Calibri"/>
                <w:b/>
                <w:bCs/>
                <w:sz w:val="22"/>
                <w:szCs w:val="22"/>
              </w:rPr>
              <w:t>Check No.</w:t>
            </w:r>
          </w:p>
        </w:tc>
        <w:tc>
          <w:tcPr>
            <w:tcW w:w="1598" w:type="dxa"/>
            <w:tcBorders>
              <w:top w:val="single" w:sz="12" w:space="0" w:color="auto"/>
              <w:bottom w:val="single" w:sz="12" w:space="0" w:color="auto"/>
            </w:tcBorders>
            <w:vAlign w:val="center"/>
          </w:tcPr>
          <w:p>
            <w:pPr>
              <w:autoSpaceDE w:val="0"/>
              <w:autoSpaceDN w:val="0"/>
              <w:adjustRightInd w:val="0"/>
              <w:spacing w:line="276" w:lineRule="auto"/>
              <w:ind w:right="108"/>
              <w:jc w:val="center"/>
              <w:rPr>
                <w:rFonts w:eastAsia="Calibri"/>
                <w:b/>
                <w:bCs/>
                <w:sz w:val="22"/>
                <w:szCs w:val="22"/>
              </w:rPr>
            </w:pPr>
            <w:r>
              <w:rPr>
                <w:rFonts w:eastAsia="Calibri"/>
                <w:b/>
                <w:bCs/>
                <w:sz w:val="22"/>
                <w:szCs w:val="22"/>
              </w:rPr>
              <w:t>Amount</w:t>
            </w:r>
          </w:p>
          <w:p>
            <w:pPr>
              <w:autoSpaceDE w:val="0"/>
              <w:autoSpaceDN w:val="0"/>
              <w:adjustRightInd w:val="0"/>
              <w:spacing w:line="276" w:lineRule="auto"/>
              <w:ind w:right="108"/>
              <w:jc w:val="center"/>
              <w:rPr>
                <w:rFonts w:eastAsia="Calibri"/>
                <w:b/>
                <w:bCs/>
                <w:sz w:val="22"/>
                <w:szCs w:val="22"/>
              </w:rPr>
            </w:pPr>
          </w:p>
        </w:tc>
        <w:tc>
          <w:tcPr>
            <w:tcW w:w="1719" w:type="dxa"/>
            <w:tcBorders>
              <w:top w:val="single" w:sz="12" w:space="0" w:color="auto"/>
              <w:bottom w:val="single" w:sz="12" w:space="0" w:color="auto"/>
            </w:tcBorders>
            <w:vAlign w:val="center"/>
          </w:tcPr>
          <w:p>
            <w:pPr>
              <w:autoSpaceDE w:val="0"/>
              <w:autoSpaceDN w:val="0"/>
              <w:adjustRightInd w:val="0"/>
              <w:spacing w:line="276" w:lineRule="auto"/>
              <w:ind w:right="108"/>
              <w:jc w:val="center"/>
              <w:rPr>
                <w:rFonts w:eastAsia="Calibri"/>
                <w:b/>
                <w:bCs/>
                <w:sz w:val="22"/>
                <w:szCs w:val="22"/>
              </w:rPr>
            </w:pPr>
            <w:r>
              <w:rPr>
                <w:rFonts w:eastAsia="Calibri"/>
                <w:b/>
                <w:bCs/>
                <w:sz w:val="22"/>
                <w:szCs w:val="22"/>
              </w:rPr>
              <w:t>Amount of Maximum Cash Accountability</w:t>
            </w:r>
          </w:p>
        </w:tc>
        <w:tc>
          <w:tcPr>
            <w:tcW w:w="1664" w:type="dxa"/>
            <w:tcBorders>
              <w:top w:val="single" w:sz="12" w:space="0" w:color="auto"/>
              <w:bottom w:val="single" w:sz="12" w:space="0" w:color="auto"/>
            </w:tcBorders>
            <w:vAlign w:val="center"/>
          </w:tcPr>
          <w:p>
            <w:pPr>
              <w:autoSpaceDE w:val="0"/>
              <w:autoSpaceDN w:val="0"/>
              <w:adjustRightInd w:val="0"/>
              <w:spacing w:line="276" w:lineRule="auto"/>
              <w:ind w:right="108"/>
              <w:jc w:val="center"/>
              <w:rPr>
                <w:rFonts w:eastAsia="Calibri"/>
                <w:b/>
                <w:bCs/>
                <w:sz w:val="22"/>
                <w:szCs w:val="22"/>
              </w:rPr>
            </w:pPr>
            <w:r>
              <w:rPr>
                <w:rFonts w:eastAsia="Calibri"/>
                <w:b/>
                <w:bCs/>
                <w:sz w:val="22"/>
                <w:szCs w:val="22"/>
              </w:rPr>
              <w:t>Excess on Maximum Cash Accountability</w:t>
            </w:r>
          </w:p>
        </w:tc>
        <w:tc>
          <w:tcPr>
            <w:tcW w:w="847" w:type="dxa"/>
            <w:tcBorders>
              <w:top w:val="single" w:sz="12" w:space="0" w:color="auto"/>
              <w:bottom w:val="single" w:sz="12" w:space="0" w:color="auto"/>
            </w:tcBorders>
            <w:vAlign w:val="center"/>
          </w:tcPr>
          <w:p>
            <w:pPr>
              <w:autoSpaceDE w:val="0"/>
              <w:autoSpaceDN w:val="0"/>
              <w:adjustRightInd w:val="0"/>
              <w:spacing w:line="276" w:lineRule="auto"/>
              <w:ind w:right="108"/>
              <w:jc w:val="center"/>
              <w:rPr>
                <w:rFonts w:eastAsia="Calibri"/>
                <w:b/>
                <w:bCs/>
                <w:sz w:val="22"/>
                <w:szCs w:val="22"/>
              </w:rPr>
            </w:pPr>
            <w:r>
              <w:rPr>
                <w:rFonts w:eastAsia="Calibri"/>
                <w:b/>
                <w:bCs/>
                <w:sz w:val="22"/>
                <w:szCs w:val="22"/>
              </w:rPr>
              <w:t>Excess in %</w:t>
            </w:r>
          </w:p>
        </w:tc>
        <w:tc>
          <w:tcPr>
            <w:tcW w:w="1440" w:type="dxa"/>
            <w:tcBorders>
              <w:top w:val="single" w:sz="12" w:space="0" w:color="auto"/>
              <w:bottom w:val="single" w:sz="12" w:space="0" w:color="auto"/>
            </w:tcBorders>
            <w:vAlign w:val="center"/>
          </w:tcPr>
          <w:p>
            <w:pPr>
              <w:autoSpaceDE w:val="0"/>
              <w:autoSpaceDN w:val="0"/>
              <w:adjustRightInd w:val="0"/>
              <w:spacing w:line="276" w:lineRule="auto"/>
              <w:ind w:right="108"/>
              <w:jc w:val="center"/>
              <w:rPr>
                <w:rFonts w:eastAsia="Calibri"/>
                <w:b/>
                <w:bCs/>
                <w:sz w:val="22"/>
                <w:szCs w:val="22"/>
              </w:rPr>
            </w:pPr>
            <w:r>
              <w:rPr>
                <w:rFonts w:eastAsia="Calibri"/>
                <w:b/>
                <w:bCs/>
                <w:sz w:val="22"/>
                <w:szCs w:val="22"/>
              </w:rPr>
              <w:t>Purpose</w:t>
            </w:r>
          </w:p>
        </w:tc>
      </w:tr>
      <w:tr>
        <w:trPr>
          <w:trHeight w:val="20"/>
          <w:jc w:val="center"/>
        </w:trPr>
        <w:tc>
          <w:tcPr>
            <w:tcW w:w="9445" w:type="dxa"/>
            <w:gridSpan w:val="7"/>
            <w:tcBorders>
              <w:top w:val="single" w:sz="12" w:space="0" w:color="auto"/>
            </w:tcBorders>
          </w:tcPr>
          <w:p>
            <w:pPr>
              <w:autoSpaceDE w:val="0"/>
              <w:autoSpaceDN w:val="0"/>
              <w:adjustRightInd w:val="0"/>
              <w:spacing w:line="276" w:lineRule="auto"/>
              <w:jc w:val="both"/>
              <w:rPr>
                <w:rFonts w:eastAsia="Calibri"/>
                <w:b/>
                <w:i/>
                <w:color w:val="000000"/>
                <w:sz w:val="22"/>
                <w:szCs w:val="22"/>
              </w:rPr>
            </w:pPr>
            <w:r>
              <w:rPr>
                <w:rFonts w:eastAsia="Calibri"/>
                <w:b/>
                <w:bCs/>
                <w:i/>
                <w:sz w:val="22"/>
                <w:szCs w:val="22"/>
              </w:rPr>
              <w:t>MYRNA GERALDO</w:t>
            </w:r>
          </w:p>
        </w:tc>
      </w:tr>
      <w:tr>
        <w:trPr>
          <w:trHeight w:val="20"/>
          <w:jc w:val="center"/>
        </w:trPr>
        <w:tc>
          <w:tcPr>
            <w:tcW w:w="1187" w:type="dxa"/>
            <w:vAlign w:val="center"/>
          </w:tcPr>
          <w:p>
            <w:pPr>
              <w:autoSpaceDE w:val="0"/>
              <w:autoSpaceDN w:val="0"/>
              <w:adjustRightInd w:val="0"/>
              <w:spacing w:line="276" w:lineRule="auto"/>
              <w:ind w:right="12"/>
              <w:jc w:val="center"/>
              <w:rPr>
                <w:rFonts w:eastAsia="Calibri"/>
                <w:bCs/>
                <w:sz w:val="22"/>
                <w:szCs w:val="22"/>
              </w:rPr>
            </w:pPr>
            <w:r>
              <w:rPr>
                <w:rFonts w:eastAsia="Calibri"/>
                <w:bCs/>
                <w:sz w:val="22"/>
                <w:szCs w:val="22"/>
              </w:rPr>
              <w:t>12/18/2019</w:t>
            </w:r>
          </w:p>
        </w:tc>
        <w:tc>
          <w:tcPr>
            <w:tcW w:w="990" w:type="dxa"/>
            <w:vAlign w:val="center"/>
          </w:tcPr>
          <w:p>
            <w:pPr>
              <w:shd w:val="clear" w:color="000000" w:fill="FFFFFF"/>
              <w:autoSpaceDE w:val="0"/>
              <w:autoSpaceDN w:val="0"/>
              <w:adjustRightInd w:val="0"/>
              <w:spacing w:line="276" w:lineRule="auto"/>
              <w:jc w:val="center"/>
              <w:rPr>
                <w:rFonts w:eastAsia="Calibri"/>
                <w:sz w:val="22"/>
                <w:szCs w:val="22"/>
              </w:rPr>
            </w:pPr>
            <w:r>
              <w:rPr>
                <w:rFonts w:eastAsia="Calibri"/>
                <w:color w:val="000000"/>
                <w:sz w:val="22"/>
                <w:szCs w:val="22"/>
              </w:rPr>
              <w:t>1421506</w:t>
            </w:r>
          </w:p>
        </w:tc>
        <w:tc>
          <w:tcPr>
            <w:tcW w:w="1598" w:type="dxa"/>
            <w:vAlign w:val="center"/>
          </w:tcPr>
          <w:p>
            <w:pPr>
              <w:autoSpaceDE w:val="0"/>
              <w:autoSpaceDN w:val="0"/>
              <w:adjustRightInd w:val="0"/>
              <w:spacing w:line="276" w:lineRule="auto"/>
              <w:jc w:val="right"/>
              <w:rPr>
                <w:rFonts w:eastAsia="Calibri"/>
                <w:color w:val="000000"/>
                <w:sz w:val="22"/>
                <w:szCs w:val="22"/>
              </w:rPr>
            </w:pPr>
            <w:r>
              <w:rPr>
                <w:rFonts w:eastAsia="Calibri"/>
                <w:color w:val="000000"/>
                <w:sz w:val="22"/>
                <w:szCs w:val="22"/>
              </w:rPr>
              <w:t>P10,812,145.90</w:t>
            </w:r>
          </w:p>
        </w:tc>
        <w:tc>
          <w:tcPr>
            <w:tcW w:w="1719" w:type="dxa"/>
            <w:vAlign w:val="center"/>
          </w:tcPr>
          <w:p>
            <w:pPr>
              <w:spacing w:line="276" w:lineRule="auto"/>
              <w:jc w:val="right"/>
              <w:rPr>
                <w:sz w:val="22"/>
                <w:szCs w:val="22"/>
              </w:rPr>
            </w:pPr>
            <w:r>
              <w:rPr>
                <w:rFonts w:eastAsia="Calibri"/>
                <w:color w:val="000000"/>
                <w:sz w:val="22"/>
                <w:szCs w:val="22"/>
              </w:rPr>
              <w:t>P2,500,000.00</w:t>
            </w:r>
          </w:p>
        </w:tc>
        <w:tc>
          <w:tcPr>
            <w:tcW w:w="1664" w:type="dxa"/>
            <w:vAlign w:val="center"/>
          </w:tcPr>
          <w:p>
            <w:pPr>
              <w:autoSpaceDE w:val="0"/>
              <w:autoSpaceDN w:val="0"/>
              <w:adjustRightInd w:val="0"/>
              <w:spacing w:line="276" w:lineRule="auto"/>
              <w:jc w:val="right"/>
              <w:rPr>
                <w:rFonts w:eastAsia="Calibri"/>
                <w:color w:val="000000"/>
                <w:sz w:val="22"/>
                <w:szCs w:val="22"/>
              </w:rPr>
            </w:pPr>
            <w:r>
              <w:rPr>
                <w:rFonts w:eastAsia="Calibri"/>
                <w:color w:val="000000"/>
                <w:sz w:val="22"/>
                <w:szCs w:val="22"/>
              </w:rPr>
              <w:t>P8,312,145.90</w:t>
            </w:r>
          </w:p>
        </w:tc>
        <w:tc>
          <w:tcPr>
            <w:tcW w:w="847" w:type="dxa"/>
            <w:vAlign w:val="center"/>
          </w:tcPr>
          <w:p>
            <w:pPr>
              <w:autoSpaceDE w:val="0"/>
              <w:autoSpaceDN w:val="0"/>
              <w:adjustRightInd w:val="0"/>
              <w:spacing w:line="276" w:lineRule="auto"/>
              <w:jc w:val="center"/>
              <w:rPr>
                <w:rFonts w:eastAsia="Calibri"/>
                <w:color w:val="000000"/>
                <w:sz w:val="22"/>
                <w:szCs w:val="22"/>
              </w:rPr>
            </w:pPr>
            <w:r>
              <w:rPr>
                <w:sz w:val="22"/>
                <w:szCs w:val="22"/>
              </w:rPr>
              <w:t>332%</w:t>
            </w:r>
          </w:p>
        </w:tc>
        <w:tc>
          <w:tcPr>
            <w:tcW w:w="1440" w:type="dxa"/>
            <w:vAlign w:val="center"/>
          </w:tcPr>
          <w:p>
            <w:pPr>
              <w:autoSpaceDE w:val="0"/>
              <w:autoSpaceDN w:val="0"/>
              <w:adjustRightInd w:val="0"/>
              <w:spacing w:line="276" w:lineRule="auto"/>
              <w:jc w:val="center"/>
              <w:rPr>
                <w:rFonts w:eastAsia="Calibri"/>
                <w:color w:val="000000"/>
                <w:sz w:val="22"/>
                <w:szCs w:val="22"/>
              </w:rPr>
            </w:pPr>
            <w:r>
              <w:rPr>
                <w:rFonts w:eastAsia="Calibri"/>
                <w:color w:val="000000"/>
                <w:sz w:val="22"/>
                <w:szCs w:val="22"/>
              </w:rPr>
              <w:t>CNA 2019</w:t>
            </w:r>
          </w:p>
        </w:tc>
      </w:tr>
      <w:tr>
        <w:trPr>
          <w:trHeight w:val="20"/>
          <w:jc w:val="center"/>
        </w:trPr>
        <w:tc>
          <w:tcPr>
            <w:tcW w:w="1187" w:type="dxa"/>
            <w:vAlign w:val="center"/>
          </w:tcPr>
          <w:p>
            <w:pPr>
              <w:autoSpaceDE w:val="0"/>
              <w:autoSpaceDN w:val="0"/>
              <w:adjustRightInd w:val="0"/>
              <w:spacing w:line="276" w:lineRule="auto"/>
              <w:ind w:right="12"/>
              <w:jc w:val="center"/>
              <w:rPr>
                <w:rFonts w:eastAsia="Calibri"/>
                <w:bCs/>
                <w:sz w:val="22"/>
                <w:szCs w:val="22"/>
              </w:rPr>
            </w:pPr>
            <w:r>
              <w:rPr>
                <w:rFonts w:eastAsia="Calibri"/>
                <w:bCs/>
                <w:sz w:val="22"/>
                <w:szCs w:val="22"/>
              </w:rPr>
              <w:t>12/19/2019</w:t>
            </w:r>
          </w:p>
        </w:tc>
        <w:tc>
          <w:tcPr>
            <w:tcW w:w="990" w:type="dxa"/>
            <w:vAlign w:val="center"/>
          </w:tcPr>
          <w:p>
            <w:pPr>
              <w:shd w:val="clear" w:color="000000" w:fill="FFFFFF"/>
              <w:autoSpaceDE w:val="0"/>
              <w:autoSpaceDN w:val="0"/>
              <w:adjustRightInd w:val="0"/>
              <w:spacing w:line="276" w:lineRule="auto"/>
              <w:jc w:val="center"/>
              <w:rPr>
                <w:rFonts w:eastAsia="Calibri"/>
                <w:sz w:val="22"/>
                <w:szCs w:val="22"/>
              </w:rPr>
            </w:pPr>
            <w:r>
              <w:rPr>
                <w:rFonts w:eastAsia="Calibri"/>
                <w:color w:val="000000"/>
                <w:sz w:val="22"/>
                <w:szCs w:val="22"/>
              </w:rPr>
              <w:t>1421583</w:t>
            </w:r>
          </w:p>
        </w:tc>
        <w:tc>
          <w:tcPr>
            <w:tcW w:w="1598" w:type="dxa"/>
            <w:vAlign w:val="center"/>
          </w:tcPr>
          <w:p>
            <w:pPr>
              <w:autoSpaceDE w:val="0"/>
              <w:autoSpaceDN w:val="0"/>
              <w:adjustRightInd w:val="0"/>
              <w:spacing w:line="276" w:lineRule="auto"/>
              <w:jc w:val="right"/>
              <w:rPr>
                <w:rFonts w:eastAsia="Calibri"/>
                <w:color w:val="000000"/>
                <w:sz w:val="22"/>
                <w:szCs w:val="22"/>
              </w:rPr>
            </w:pPr>
            <w:r>
              <w:rPr>
                <w:rFonts w:eastAsia="Calibri"/>
                <w:color w:val="000000"/>
                <w:sz w:val="22"/>
                <w:szCs w:val="22"/>
              </w:rPr>
              <w:t>5,257,690.40</w:t>
            </w:r>
          </w:p>
        </w:tc>
        <w:tc>
          <w:tcPr>
            <w:tcW w:w="1719" w:type="dxa"/>
            <w:vAlign w:val="center"/>
          </w:tcPr>
          <w:p>
            <w:pPr>
              <w:autoSpaceDE w:val="0"/>
              <w:autoSpaceDN w:val="0"/>
              <w:adjustRightInd w:val="0"/>
              <w:spacing w:line="276" w:lineRule="auto"/>
              <w:jc w:val="right"/>
              <w:rPr>
                <w:rFonts w:eastAsia="Calibri"/>
                <w:color w:val="000000"/>
                <w:sz w:val="22"/>
                <w:szCs w:val="22"/>
              </w:rPr>
            </w:pPr>
            <w:r>
              <w:rPr>
                <w:rFonts w:eastAsia="Calibri"/>
                <w:color w:val="000000"/>
                <w:sz w:val="22"/>
                <w:szCs w:val="22"/>
              </w:rPr>
              <w:t xml:space="preserve"> 2,500,000.00</w:t>
            </w:r>
          </w:p>
        </w:tc>
        <w:tc>
          <w:tcPr>
            <w:tcW w:w="1664" w:type="dxa"/>
            <w:vAlign w:val="center"/>
          </w:tcPr>
          <w:p>
            <w:pPr>
              <w:autoSpaceDE w:val="0"/>
              <w:autoSpaceDN w:val="0"/>
              <w:adjustRightInd w:val="0"/>
              <w:spacing w:line="276" w:lineRule="auto"/>
              <w:jc w:val="right"/>
              <w:rPr>
                <w:rFonts w:eastAsia="Calibri"/>
                <w:color w:val="000000"/>
                <w:sz w:val="22"/>
                <w:szCs w:val="22"/>
              </w:rPr>
            </w:pPr>
            <w:r>
              <w:rPr>
                <w:rFonts w:eastAsia="Calibri"/>
                <w:color w:val="000000"/>
                <w:sz w:val="22"/>
                <w:szCs w:val="22"/>
              </w:rPr>
              <w:t>2,757,690.40</w:t>
            </w:r>
          </w:p>
        </w:tc>
        <w:tc>
          <w:tcPr>
            <w:tcW w:w="847" w:type="dxa"/>
            <w:vAlign w:val="center"/>
          </w:tcPr>
          <w:p>
            <w:pPr>
              <w:autoSpaceDE w:val="0"/>
              <w:autoSpaceDN w:val="0"/>
              <w:adjustRightInd w:val="0"/>
              <w:spacing w:line="276" w:lineRule="auto"/>
              <w:jc w:val="center"/>
              <w:rPr>
                <w:rFonts w:eastAsia="Calibri"/>
                <w:color w:val="000000"/>
                <w:sz w:val="22"/>
                <w:szCs w:val="22"/>
              </w:rPr>
            </w:pPr>
            <w:r>
              <w:rPr>
                <w:sz w:val="22"/>
                <w:szCs w:val="22"/>
              </w:rPr>
              <w:t>110%</w:t>
            </w:r>
          </w:p>
        </w:tc>
        <w:tc>
          <w:tcPr>
            <w:tcW w:w="1440" w:type="dxa"/>
            <w:vAlign w:val="center"/>
          </w:tcPr>
          <w:p>
            <w:pPr>
              <w:autoSpaceDE w:val="0"/>
              <w:autoSpaceDN w:val="0"/>
              <w:adjustRightInd w:val="0"/>
              <w:spacing w:line="276" w:lineRule="auto"/>
              <w:jc w:val="center"/>
              <w:rPr>
                <w:rFonts w:eastAsia="Calibri"/>
                <w:color w:val="000000"/>
                <w:sz w:val="22"/>
                <w:szCs w:val="22"/>
              </w:rPr>
            </w:pPr>
            <w:r>
              <w:rPr>
                <w:rFonts w:eastAsia="Calibri"/>
                <w:color w:val="000000"/>
                <w:sz w:val="22"/>
                <w:szCs w:val="22"/>
              </w:rPr>
              <w:t>PRAISE 2019</w:t>
            </w:r>
          </w:p>
        </w:tc>
      </w:tr>
      <w:tr>
        <w:trPr>
          <w:trHeight w:val="20"/>
          <w:jc w:val="center"/>
        </w:trPr>
        <w:tc>
          <w:tcPr>
            <w:tcW w:w="1187" w:type="dxa"/>
            <w:vAlign w:val="center"/>
          </w:tcPr>
          <w:p>
            <w:pPr>
              <w:spacing w:line="276" w:lineRule="auto"/>
              <w:jc w:val="center"/>
              <w:rPr>
                <w:sz w:val="22"/>
                <w:szCs w:val="22"/>
              </w:rPr>
            </w:pPr>
            <w:r>
              <w:rPr>
                <w:sz w:val="22"/>
                <w:szCs w:val="22"/>
              </w:rPr>
              <w:t>12/20/2019</w:t>
            </w:r>
          </w:p>
        </w:tc>
        <w:tc>
          <w:tcPr>
            <w:tcW w:w="990" w:type="dxa"/>
            <w:vAlign w:val="center"/>
          </w:tcPr>
          <w:p>
            <w:pPr>
              <w:spacing w:line="276" w:lineRule="auto"/>
              <w:jc w:val="center"/>
              <w:rPr>
                <w:sz w:val="22"/>
                <w:szCs w:val="22"/>
              </w:rPr>
            </w:pPr>
            <w:r>
              <w:rPr>
                <w:sz w:val="22"/>
                <w:szCs w:val="22"/>
              </w:rPr>
              <w:t>1421635</w:t>
            </w:r>
          </w:p>
        </w:tc>
        <w:tc>
          <w:tcPr>
            <w:tcW w:w="1598" w:type="dxa"/>
            <w:vAlign w:val="center"/>
          </w:tcPr>
          <w:p>
            <w:pPr>
              <w:spacing w:line="276" w:lineRule="auto"/>
              <w:jc w:val="right"/>
              <w:rPr>
                <w:sz w:val="22"/>
                <w:szCs w:val="22"/>
              </w:rPr>
            </w:pPr>
            <w:r>
              <w:rPr>
                <w:sz w:val="22"/>
                <w:szCs w:val="22"/>
              </w:rPr>
              <w:t>4,032,770.29</w:t>
            </w:r>
          </w:p>
        </w:tc>
        <w:tc>
          <w:tcPr>
            <w:tcW w:w="1719" w:type="dxa"/>
            <w:vAlign w:val="center"/>
          </w:tcPr>
          <w:p>
            <w:pPr>
              <w:spacing w:line="276" w:lineRule="auto"/>
              <w:jc w:val="right"/>
              <w:rPr>
                <w:sz w:val="22"/>
                <w:szCs w:val="22"/>
              </w:rPr>
            </w:pPr>
            <w:r>
              <w:rPr>
                <w:rFonts w:eastAsia="Calibri"/>
                <w:color w:val="000000"/>
                <w:sz w:val="22"/>
                <w:szCs w:val="22"/>
              </w:rPr>
              <w:t xml:space="preserve"> 2,500,000.00</w:t>
            </w:r>
          </w:p>
        </w:tc>
        <w:tc>
          <w:tcPr>
            <w:tcW w:w="1664" w:type="dxa"/>
            <w:vAlign w:val="center"/>
          </w:tcPr>
          <w:p>
            <w:pPr>
              <w:spacing w:line="276" w:lineRule="auto"/>
              <w:jc w:val="right"/>
              <w:rPr>
                <w:sz w:val="22"/>
                <w:szCs w:val="22"/>
              </w:rPr>
            </w:pPr>
            <w:r>
              <w:rPr>
                <w:sz w:val="22"/>
                <w:szCs w:val="22"/>
              </w:rPr>
              <w:t>1,532,770.29</w:t>
            </w:r>
          </w:p>
        </w:tc>
        <w:tc>
          <w:tcPr>
            <w:tcW w:w="847" w:type="dxa"/>
            <w:vAlign w:val="center"/>
          </w:tcPr>
          <w:p>
            <w:pPr>
              <w:spacing w:line="276" w:lineRule="auto"/>
              <w:jc w:val="center"/>
              <w:rPr>
                <w:sz w:val="22"/>
                <w:szCs w:val="22"/>
              </w:rPr>
            </w:pPr>
            <w:r>
              <w:rPr>
                <w:sz w:val="22"/>
                <w:szCs w:val="22"/>
              </w:rPr>
              <w:t>61%</w:t>
            </w:r>
          </w:p>
        </w:tc>
        <w:tc>
          <w:tcPr>
            <w:tcW w:w="1440" w:type="dxa"/>
            <w:vAlign w:val="center"/>
          </w:tcPr>
          <w:p>
            <w:pPr>
              <w:spacing w:line="276" w:lineRule="auto"/>
              <w:jc w:val="center"/>
              <w:rPr>
                <w:sz w:val="22"/>
                <w:szCs w:val="22"/>
              </w:rPr>
            </w:pPr>
            <w:r>
              <w:rPr>
                <w:sz w:val="22"/>
                <w:szCs w:val="22"/>
              </w:rPr>
              <w:t>SRI 2019</w:t>
            </w:r>
          </w:p>
        </w:tc>
      </w:tr>
      <w:tr>
        <w:trPr>
          <w:trHeight w:val="20"/>
          <w:jc w:val="center"/>
        </w:trPr>
        <w:tc>
          <w:tcPr>
            <w:tcW w:w="1187" w:type="dxa"/>
            <w:vAlign w:val="center"/>
          </w:tcPr>
          <w:p>
            <w:pPr>
              <w:spacing w:line="276" w:lineRule="auto"/>
              <w:jc w:val="center"/>
              <w:rPr>
                <w:sz w:val="22"/>
                <w:szCs w:val="22"/>
              </w:rPr>
            </w:pPr>
            <w:r>
              <w:rPr>
                <w:sz w:val="22"/>
                <w:szCs w:val="22"/>
              </w:rPr>
              <w:t>06/09/2021</w:t>
            </w:r>
          </w:p>
        </w:tc>
        <w:tc>
          <w:tcPr>
            <w:tcW w:w="990" w:type="dxa"/>
            <w:vAlign w:val="center"/>
          </w:tcPr>
          <w:p>
            <w:pPr>
              <w:spacing w:line="276" w:lineRule="auto"/>
              <w:jc w:val="center"/>
              <w:rPr>
                <w:sz w:val="22"/>
                <w:szCs w:val="22"/>
              </w:rPr>
            </w:pPr>
            <w:r>
              <w:rPr>
                <w:sz w:val="22"/>
                <w:szCs w:val="22"/>
              </w:rPr>
              <w:t>1512692</w:t>
            </w:r>
          </w:p>
        </w:tc>
        <w:tc>
          <w:tcPr>
            <w:tcW w:w="1598" w:type="dxa"/>
            <w:vAlign w:val="center"/>
          </w:tcPr>
          <w:p>
            <w:pPr>
              <w:spacing w:line="276" w:lineRule="auto"/>
              <w:jc w:val="right"/>
              <w:rPr>
                <w:sz w:val="22"/>
                <w:szCs w:val="22"/>
              </w:rPr>
            </w:pPr>
            <w:r>
              <w:rPr>
                <w:sz w:val="22"/>
                <w:szCs w:val="22"/>
              </w:rPr>
              <w:t>2,643,000.00</w:t>
            </w:r>
          </w:p>
        </w:tc>
        <w:tc>
          <w:tcPr>
            <w:tcW w:w="1719" w:type="dxa"/>
            <w:vAlign w:val="center"/>
          </w:tcPr>
          <w:p>
            <w:pPr>
              <w:spacing w:line="276" w:lineRule="auto"/>
              <w:jc w:val="right"/>
              <w:rPr>
                <w:sz w:val="22"/>
                <w:szCs w:val="22"/>
              </w:rPr>
            </w:pPr>
            <w:r>
              <w:rPr>
                <w:rFonts w:eastAsia="Calibri"/>
                <w:color w:val="000000"/>
                <w:sz w:val="22"/>
                <w:szCs w:val="22"/>
              </w:rPr>
              <w:t xml:space="preserve"> 2,500,000.00</w:t>
            </w:r>
          </w:p>
        </w:tc>
        <w:tc>
          <w:tcPr>
            <w:tcW w:w="1664" w:type="dxa"/>
            <w:vAlign w:val="center"/>
          </w:tcPr>
          <w:p>
            <w:pPr>
              <w:spacing w:line="276" w:lineRule="auto"/>
              <w:jc w:val="right"/>
              <w:rPr>
                <w:sz w:val="22"/>
                <w:szCs w:val="22"/>
              </w:rPr>
            </w:pPr>
            <w:r>
              <w:rPr>
                <w:sz w:val="22"/>
                <w:szCs w:val="22"/>
              </w:rPr>
              <w:t>143,000.00</w:t>
            </w:r>
          </w:p>
        </w:tc>
        <w:tc>
          <w:tcPr>
            <w:tcW w:w="847" w:type="dxa"/>
            <w:vAlign w:val="center"/>
          </w:tcPr>
          <w:p>
            <w:pPr>
              <w:spacing w:line="276" w:lineRule="auto"/>
              <w:jc w:val="center"/>
              <w:rPr>
                <w:sz w:val="22"/>
                <w:szCs w:val="22"/>
              </w:rPr>
            </w:pPr>
            <w:r>
              <w:rPr>
                <w:sz w:val="22"/>
                <w:szCs w:val="22"/>
              </w:rPr>
              <w:t>6%</w:t>
            </w:r>
          </w:p>
        </w:tc>
        <w:tc>
          <w:tcPr>
            <w:tcW w:w="1440" w:type="dxa"/>
            <w:vAlign w:val="center"/>
          </w:tcPr>
          <w:p>
            <w:pPr>
              <w:spacing w:line="276" w:lineRule="auto"/>
              <w:jc w:val="center"/>
              <w:rPr>
                <w:sz w:val="22"/>
                <w:szCs w:val="22"/>
              </w:rPr>
            </w:pPr>
            <w:r>
              <w:rPr>
                <w:sz w:val="22"/>
                <w:szCs w:val="22"/>
              </w:rPr>
              <w:t>Gratuity Pay (JOs) 2020</w:t>
            </w:r>
          </w:p>
        </w:tc>
      </w:tr>
      <w:tr>
        <w:trPr>
          <w:trHeight w:val="20"/>
          <w:jc w:val="center"/>
        </w:trPr>
        <w:tc>
          <w:tcPr>
            <w:tcW w:w="1187" w:type="dxa"/>
            <w:vAlign w:val="center"/>
          </w:tcPr>
          <w:p>
            <w:pPr>
              <w:spacing w:line="276" w:lineRule="auto"/>
              <w:jc w:val="center"/>
              <w:rPr>
                <w:sz w:val="22"/>
                <w:szCs w:val="22"/>
              </w:rPr>
            </w:pPr>
            <w:r>
              <w:rPr>
                <w:sz w:val="22"/>
                <w:szCs w:val="22"/>
              </w:rPr>
              <w:t>12/24/2021</w:t>
            </w:r>
          </w:p>
        </w:tc>
        <w:tc>
          <w:tcPr>
            <w:tcW w:w="990" w:type="dxa"/>
            <w:vAlign w:val="center"/>
          </w:tcPr>
          <w:p>
            <w:pPr>
              <w:spacing w:line="276" w:lineRule="auto"/>
              <w:jc w:val="center"/>
              <w:rPr>
                <w:sz w:val="22"/>
                <w:szCs w:val="22"/>
              </w:rPr>
            </w:pPr>
            <w:r>
              <w:rPr>
                <w:sz w:val="22"/>
                <w:szCs w:val="22"/>
              </w:rPr>
              <w:t>1540671</w:t>
            </w:r>
          </w:p>
        </w:tc>
        <w:tc>
          <w:tcPr>
            <w:tcW w:w="1598" w:type="dxa"/>
            <w:vAlign w:val="center"/>
          </w:tcPr>
          <w:p>
            <w:pPr>
              <w:spacing w:line="276" w:lineRule="auto"/>
              <w:jc w:val="right"/>
              <w:rPr>
                <w:sz w:val="22"/>
                <w:szCs w:val="22"/>
              </w:rPr>
            </w:pPr>
            <w:r>
              <w:rPr>
                <w:sz w:val="22"/>
                <w:szCs w:val="22"/>
              </w:rPr>
              <w:t>11,194,582.33</w:t>
            </w:r>
          </w:p>
        </w:tc>
        <w:tc>
          <w:tcPr>
            <w:tcW w:w="1719" w:type="dxa"/>
            <w:vAlign w:val="center"/>
          </w:tcPr>
          <w:p>
            <w:pPr>
              <w:spacing w:line="276" w:lineRule="auto"/>
              <w:jc w:val="right"/>
              <w:rPr>
                <w:sz w:val="22"/>
                <w:szCs w:val="22"/>
              </w:rPr>
            </w:pPr>
            <w:r>
              <w:rPr>
                <w:rFonts w:eastAsia="Calibri"/>
                <w:color w:val="000000"/>
                <w:sz w:val="22"/>
                <w:szCs w:val="22"/>
              </w:rPr>
              <w:t xml:space="preserve"> 2,500,000.00</w:t>
            </w:r>
          </w:p>
        </w:tc>
        <w:tc>
          <w:tcPr>
            <w:tcW w:w="1664" w:type="dxa"/>
            <w:vAlign w:val="center"/>
          </w:tcPr>
          <w:p>
            <w:pPr>
              <w:spacing w:line="276" w:lineRule="auto"/>
              <w:jc w:val="right"/>
              <w:rPr>
                <w:sz w:val="22"/>
                <w:szCs w:val="22"/>
              </w:rPr>
            </w:pPr>
            <w:r>
              <w:rPr>
                <w:sz w:val="22"/>
                <w:szCs w:val="22"/>
              </w:rPr>
              <w:t>8,694,582.33</w:t>
            </w:r>
          </w:p>
        </w:tc>
        <w:tc>
          <w:tcPr>
            <w:tcW w:w="847" w:type="dxa"/>
            <w:vAlign w:val="center"/>
          </w:tcPr>
          <w:p>
            <w:pPr>
              <w:spacing w:line="276" w:lineRule="auto"/>
              <w:jc w:val="center"/>
              <w:rPr>
                <w:sz w:val="22"/>
                <w:szCs w:val="22"/>
              </w:rPr>
            </w:pPr>
            <w:r>
              <w:rPr>
                <w:sz w:val="22"/>
                <w:szCs w:val="22"/>
              </w:rPr>
              <w:t>348%</w:t>
            </w:r>
          </w:p>
        </w:tc>
        <w:tc>
          <w:tcPr>
            <w:tcW w:w="1440" w:type="dxa"/>
            <w:vAlign w:val="center"/>
          </w:tcPr>
          <w:p>
            <w:pPr>
              <w:spacing w:line="276" w:lineRule="auto"/>
              <w:jc w:val="center"/>
              <w:rPr>
                <w:sz w:val="22"/>
                <w:szCs w:val="22"/>
              </w:rPr>
            </w:pPr>
            <w:r>
              <w:rPr>
                <w:sz w:val="22"/>
                <w:szCs w:val="22"/>
              </w:rPr>
              <w:t>CNA 2021</w:t>
            </w:r>
          </w:p>
        </w:tc>
      </w:tr>
      <w:tr>
        <w:trPr>
          <w:trHeight w:val="20"/>
          <w:jc w:val="center"/>
        </w:trPr>
        <w:tc>
          <w:tcPr>
            <w:tcW w:w="1187" w:type="dxa"/>
            <w:tcBorders>
              <w:bottom w:val="single" w:sz="12" w:space="0" w:color="auto"/>
            </w:tcBorders>
            <w:vAlign w:val="center"/>
          </w:tcPr>
          <w:p>
            <w:pPr>
              <w:spacing w:line="276" w:lineRule="auto"/>
              <w:jc w:val="center"/>
              <w:rPr>
                <w:sz w:val="22"/>
                <w:szCs w:val="22"/>
              </w:rPr>
            </w:pPr>
            <w:r>
              <w:rPr>
                <w:sz w:val="22"/>
                <w:szCs w:val="22"/>
              </w:rPr>
              <w:t>12/31/2021</w:t>
            </w:r>
          </w:p>
        </w:tc>
        <w:tc>
          <w:tcPr>
            <w:tcW w:w="990" w:type="dxa"/>
            <w:tcBorders>
              <w:bottom w:val="single" w:sz="12" w:space="0" w:color="auto"/>
            </w:tcBorders>
            <w:vAlign w:val="center"/>
          </w:tcPr>
          <w:p>
            <w:pPr>
              <w:spacing w:line="276" w:lineRule="auto"/>
              <w:jc w:val="center"/>
              <w:rPr>
                <w:sz w:val="22"/>
                <w:szCs w:val="22"/>
              </w:rPr>
            </w:pPr>
            <w:r>
              <w:rPr>
                <w:sz w:val="22"/>
                <w:szCs w:val="22"/>
              </w:rPr>
              <w:t>1540753</w:t>
            </w:r>
          </w:p>
        </w:tc>
        <w:tc>
          <w:tcPr>
            <w:tcW w:w="1598" w:type="dxa"/>
            <w:tcBorders>
              <w:bottom w:val="single" w:sz="12" w:space="0" w:color="auto"/>
            </w:tcBorders>
            <w:vAlign w:val="center"/>
          </w:tcPr>
          <w:p>
            <w:pPr>
              <w:spacing w:line="276" w:lineRule="auto"/>
              <w:jc w:val="right"/>
              <w:rPr>
                <w:sz w:val="22"/>
                <w:szCs w:val="22"/>
              </w:rPr>
            </w:pPr>
            <w:r>
              <w:rPr>
                <w:sz w:val="22"/>
                <w:szCs w:val="22"/>
              </w:rPr>
              <w:t>2,611,200.00</w:t>
            </w:r>
          </w:p>
        </w:tc>
        <w:tc>
          <w:tcPr>
            <w:tcW w:w="1719" w:type="dxa"/>
            <w:tcBorders>
              <w:bottom w:val="single" w:sz="12" w:space="0" w:color="auto"/>
            </w:tcBorders>
            <w:vAlign w:val="center"/>
          </w:tcPr>
          <w:p>
            <w:pPr>
              <w:spacing w:line="276" w:lineRule="auto"/>
              <w:jc w:val="right"/>
              <w:rPr>
                <w:sz w:val="22"/>
                <w:szCs w:val="22"/>
              </w:rPr>
            </w:pPr>
            <w:r>
              <w:rPr>
                <w:rFonts w:eastAsia="Calibri"/>
                <w:color w:val="000000"/>
                <w:sz w:val="22"/>
                <w:szCs w:val="22"/>
              </w:rPr>
              <w:t xml:space="preserve"> 2,500,000.00</w:t>
            </w:r>
          </w:p>
        </w:tc>
        <w:tc>
          <w:tcPr>
            <w:tcW w:w="1664" w:type="dxa"/>
            <w:tcBorders>
              <w:bottom w:val="single" w:sz="12" w:space="0" w:color="auto"/>
            </w:tcBorders>
            <w:vAlign w:val="center"/>
          </w:tcPr>
          <w:p>
            <w:pPr>
              <w:spacing w:line="276" w:lineRule="auto"/>
              <w:jc w:val="right"/>
              <w:rPr>
                <w:sz w:val="22"/>
                <w:szCs w:val="22"/>
              </w:rPr>
            </w:pPr>
            <w:r>
              <w:rPr>
                <w:sz w:val="22"/>
                <w:szCs w:val="22"/>
              </w:rPr>
              <w:t>111,200.00</w:t>
            </w:r>
          </w:p>
        </w:tc>
        <w:tc>
          <w:tcPr>
            <w:tcW w:w="847" w:type="dxa"/>
            <w:tcBorders>
              <w:bottom w:val="single" w:sz="12" w:space="0" w:color="auto"/>
            </w:tcBorders>
            <w:vAlign w:val="center"/>
          </w:tcPr>
          <w:p>
            <w:pPr>
              <w:spacing w:line="276" w:lineRule="auto"/>
              <w:jc w:val="center"/>
              <w:rPr>
                <w:sz w:val="22"/>
                <w:szCs w:val="22"/>
              </w:rPr>
            </w:pPr>
            <w:r>
              <w:rPr>
                <w:sz w:val="22"/>
                <w:szCs w:val="22"/>
              </w:rPr>
              <w:t>4%</w:t>
            </w:r>
          </w:p>
        </w:tc>
        <w:tc>
          <w:tcPr>
            <w:tcW w:w="1440" w:type="dxa"/>
            <w:tcBorders>
              <w:bottom w:val="single" w:sz="12" w:space="0" w:color="auto"/>
            </w:tcBorders>
            <w:vAlign w:val="center"/>
          </w:tcPr>
          <w:p>
            <w:pPr>
              <w:spacing w:line="276" w:lineRule="auto"/>
              <w:jc w:val="center"/>
              <w:rPr>
                <w:sz w:val="22"/>
                <w:szCs w:val="22"/>
              </w:rPr>
            </w:pPr>
            <w:r>
              <w:rPr>
                <w:sz w:val="22"/>
                <w:szCs w:val="22"/>
              </w:rPr>
              <w:t>Gratuity Pay (JOs) 2021</w:t>
            </w:r>
          </w:p>
        </w:tc>
      </w:tr>
      <w:tr>
        <w:trPr>
          <w:trHeight w:val="20"/>
          <w:jc w:val="center"/>
        </w:trPr>
        <w:tc>
          <w:tcPr>
            <w:tcW w:w="2177" w:type="dxa"/>
            <w:gridSpan w:val="2"/>
            <w:tcBorders>
              <w:top w:val="single" w:sz="12" w:space="0" w:color="auto"/>
              <w:bottom w:val="single" w:sz="12" w:space="0" w:color="auto"/>
            </w:tcBorders>
            <w:vAlign w:val="center"/>
          </w:tcPr>
          <w:p>
            <w:pPr>
              <w:spacing w:line="276" w:lineRule="auto"/>
              <w:jc w:val="center"/>
              <w:rPr>
                <w:b/>
                <w:i/>
                <w:sz w:val="22"/>
                <w:szCs w:val="22"/>
              </w:rPr>
            </w:pPr>
            <w:r>
              <w:rPr>
                <w:b/>
                <w:i/>
                <w:sz w:val="22"/>
                <w:szCs w:val="22"/>
              </w:rPr>
              <w:t>Sub-total</w:t>
            </w:r>
          </w:p>
        </w:tc>
        <w:tc>
          <w:tcPr>
            <w:tcW w:w="1598" w:type="dxa"/>
            <w:tcBorders>
              <w:top w:val="single" w:sz="12" w:space="0" w:color="auto"/>
              <w:bottom w:val="single" w:sz="12" w:space="0" w:color="auto"/>
            </w:tcBorders>
            <w:vAlign w:val="center"/>
          </w:tcPr>
          <w:p>
            <w:pPr>
              <w:spacing w:line="276" w:lineRule="auto"/>
              <w:jc w:val="right"/>
              <w:rPr>
                <w:b/>
                <w:i/>
                <w:sz w:val="22"/>
                <w:szCs w:val="22"/>
              </w:rPr>
            </w:pPr>
            <w:r>
              <w:rPr>
                <w:b/>
                <w:i/>
                <w:sz w:val="22"/>
                <w:szCs w:val="22"/>
              </w:rPr>
              <w:t xml:space="preserve">P36,551,388.92 </w:t>
            </w:r>
          </w:p>
        </w:tc>
        <w:tc>
          <w:tcPr>
            <w:tcW w:w="1719" w:type="dxa"/>
            <w:tcBorders>
              <w:top w:val="single" w:sz="12" w:space="0" w:color="auto"/>
              <w:bottom w:val="single" w:sz="12" w:space="0" w:color="auto"/>
            </w:tcBorders>
            <w:vAlign w:val="center"/>
          </w:tcPr>
          <w:p>
            <w:pPr>
              <w:spacing w:line="276" w:lineRule="auto"/>
              <w:jc w:val="right"/>
              <w:rPr>
                <w:b/>
                <w:i/>
                <w:sz w:val="22"/>
                <w:szCs w:val="22"/>
              </w:rPr>
            </w:pPr>
          </w:p>
        </w:tc>
        <w:tc>
          <w:tcPr>
            <w:tcW w:w="1664" w:type="dxa"/>
            <w:tcBorders>
              <w:top w:val="single" w:sz="12" w:space="0" w:color="auto"/>
              <w:bottom w:val="single" w:sz="12" w:space="0" w:color="auto"/>
            </w:tcBorders>
            <w:vAlign w:val="center"/>
          </w:tcPr>
          <w:p>
            <w:pPr>
              <w:spacing w:line="276" w:lineRule="auto"/>
              <w:jc w:val="right"/>
              <w:rPr>
                <w:b/>
                <w:i/>
                <w:sz w:val="22"/>
                <w:szCs w:val="22"/>
              </w:rPr>
            </w:pPr>
            <w:r>
              <w:rPr>
                <w:b/>
                <w:i/>
                <w:sz w:val="22"/>
                <w:szCs w:val="22"/>
              </w:rPr>
              <w:t xml:space="preserve">P21,551,388.92 </w:t>
            </w:r>
          </w:p>
        </w:tc>
        <w:tc>
          <w:tcPr>
            <w:tcW w:w="847" w:type="dxa"/>
            <w:tcBorders>
              <w:top w:val="single" w:sz="12" w:space="0" w:color="auto"/>
              <w:bottom w:val="single" w:sz="12" w:space="0" w:color="auto"/>
            </w:tcBorders>
            <w:vAlign w:val="center"/>
          </w:tcPr>
          <w:p>
            <w:pPr>
              <w:spacing w:line="276" w:lineRule="auto"/>
              <w:jc w:val="center"/>
              <w:rPr>
                <w:b/>
                <w:sz w:val="22"/>
                <w:szCs w:val="22"/>
              </w:rPr>
            </w:pPr>
          </w:p>
        </w:tc>
        <w:tc>
          <w:tcPr>
            <w:tcW w:w="1440" w:type="dxa"/>
            <w:tcBorders>
              <w:top w:val="single" w:sz="12" w:space="0" w:color="auto"/>
              <w:bottom w:val="single" w:sz="12" w:space="0" w:color="auto"/>
            </w:tcBorders>
          </w:tcPr>
          <w:p>
            <w:pPr>
              <w:spacing w:line="276" w:lineRule="auto"/>
              <w:jc w:val="center"/>
              <w:rPr>
                <w:b/>
                <w:sz w:val="22"/>
                <w:szCs w:val="22"/>
              </w:rPr>
            </w:pPr>
          </w:p>
        </w:tc>
      </w:tr>
      <w:tr>
        <w:trPr>
          <w:trHeight w:val="20"/>
          <w:jc w:val="center"/>
        </w:trPr>
        <w:tc>
          <w:tcPr>
            <w:tcW w:w="9445" w:type="dxa"/>
            <w:gridSpan w:val="7"/>
            <w:tcBorders>
              <w:top w:val="single" w:sz="12" w:space="0" w:color="auto"/>
            </w:tcBorders>
          </w:tcPr>
          <w:p>
            <w:pPr>
              <w:spacing w:line="276" w:lineRule="auto"/>
              <w:rPr>
                <w:b/>
                <w:i/>
                <w:sz w:val="22"/>
                <w:szCs w:val="22"/>
              </w:rPr>
            </w:pPr>
            <w:r>
              <w:rPr>
                <w:b/>
                <w:i/>
                <w:sz w:val="22"/>
                <w:szCs w:val="22"/>
              </w:rPr>
              <w:t>ANA LIZA SIONILLO</w:t>
            </w:r>
          </w:p>
        </w:tc>
      </w:tr>
      <w:tr>
        <w:trPr>
          <w:trHeight w:val="20"/>
          <w:jc w:val="center"/>
        </w:trPr>
        <w:tc>
          <w:tcPr>
            <w:tcW w:w="1187" w:type="dxa"/>
            <w:vAlign w:val="center"/>
          </w:tcPr>
          <w:p>
            <w:pPr>
              <w:spacing w:line="276" w:lineRule="auto"/>
              <w:jc w:val="center"/>
              <w:rPr>
                <w:sz w:val="22"/>
                <w:szCs w:val="22"/>
              </w:rPr>
            </w:pPr>
            <w:r>
              <w:rPr>
                <w:sz w:val="22"/>
                <w:szCs w:val="22"/>
              </w:rPr>
              <w:t>12/18/2019</w:t>
            </w:r>
          </w:p>
        </w:tc>
        <w:tc>
          <w:tcPr>
            <w:tcW w:w="990" w:type="dxa"/>
            <w:vAlign w:val="center"/>
          </w:tcPr>
          <w:p>
            <w:pPr>
              <w:spacing w:line="276" w:lineRule="auto"/>
              <w:jc w:val="center"/>
              <w:rPr>
                <w:sz w:val="22"/>
                <w:szCs w:val="22"/>
              </w:rPr>
            </w:pPr>
            <w:r>
              <w:rPr>
                <w:sz w:val="22"/>
                <w:szCs w:val="22"/>
              </w:rPr>
              <w:t>1421507</w:t>
            </w:r>
          </w:p>
        </w:tc>
        <w:tc>
          <w:tcPr>
            <w:tcW w:w="1598" w:type="dxa"/>
            <w:vAlign w:val="center"/>
          </w:tcPr>
          <w:p>
            <w:pPr>
              <w:spacing w:line="276" w:lineRule="auto"/>
              <w:jc w:val="right"/>
              <w:rPr>
                <w:sz w:val="22"/>
                <w:szCs w:val="22"/>
              </w:rPr>
            </w:pPr>
            <w:r>
              <w:rPr>
                <w:sz w:val="22"/>
                <w:szCs w:val="22"/>
              </w:rPr>
              <w:t>P4,393,730.25</w:t>
            </w:r>
          </w:p>
        </w:tc>
        <w:tc>
          <w:tcPr>
            <w:tcW w:w="1719" w:type="dxa"/>
            <w:vAlign w:val="center"/>
          </w:tcPr>
          <w:p>
            <w:pPr>
              <w:spacing w:line="276" w:lineRule="auto"/>
              <w:jc w:val="right"/>
              <w:rPr>
                <w:sz w:val="22"/>
                <w:szCs w:val="22"/>
              </w:rPr>
            </w:pPr>
            <w:r>
              <w:rPr>
                <w:rFonts w:eastAsia="Calibri"/>
                <w:color w:val="000000"/>
                <w:sz w:val="22"/>
                <w:szCs w:val="22"/>
              </w:rPr>
              <w:t xml:space="preserve"> P2,500,000.00</w:t>
            </w:r>
          </w:p>
        </w:tc>
        <w:tc>
          <w:tcPr>
            <w:tcW w:w="1664" w:type="dxa"/>
            <w:vAlign w:val="center"/>
          </w:tcPr>
          <w:p>
            <w:pPr>
              <w:spacing w:line="276" w:lineRule="auto"/>
              <w:jc w:val="right"/>
              <w:rPr>
                <w:sz w:val="22"/>
                <w:szCs w:val="22"/>
              </w:rPr>
            </w:pPr>
            <w:r>
              <w:rPr>
                <w:sz w:val="22"/>
                <w:szCs w:val="22"/>
              </w:rPr>
              <w:t>P1,893,730.25</w:t>
            </w:r>
          </w:p>
        </w:tc>
        <w:tc>
          <w:tcPr>
            <w:tcW w:w="847" w:type="dxa"/>
            <w:vAlign w:val="center"/>
          </w:tcPr>
          <w:p>
            <w:pPr>
              <w:spacing w:line="276" w:lineRule="auto"/>
              <w:jc w:val="center"/>
              <w:rPr>
                <w:sz w:val="22"/>
                <w:szCs w:val="22"/>
              </w:rPr>
            </w:pPr>
            <w:r>
              <w:rPr>
                <w:sz w:val="22"/>
                <w:szCs w:val="22"/>
              </w:rPr>
              <w:t>76%</w:t>
            </w:r>
          </w:p>
        </w:tc>
        <w:tc>
          <w:tcPr>
            <w:tcW w:w="1440" w:type="dxa"/>
            <w:vAlign w:val="center"/>
          </w:tcPr>
          <w:p>
            <w:pPr>
              <w:spacing w:line="276" w:lineRule="auto"/>
              <w:jc w:val="center"/>
              <w:rPr>
                <w:sz w:val="22"/>
                <w:szCs w:val="22"/>
              </w:rPr>
            </w:pPr>
            <w:r>
              <w:rPr>
                <w:sz w:val="22"/>
                <w:szCs w:val="22"/>
              </w:rPr>
              <w:t>CNA 2019</w:t>
            </w:r>
          </w:p>
        </w:tc>
      </w:tr>
      <w:tr>
        <w:trPr>
          <w:trHeight w:val="20"/>
          <w:jc w:val="center"/>
        </w:trPr>
        <w:tc>
          <w:tcPr>
            <w:tcW w:w="1187" w:type="dxa"/>
            <w:vAlign w:val="center"/>
          </w:tcPr>
          <w:p>
            <w:pPr>
              <w:spacing w:line="276" w:lineRule="auto"/>
              <w:jc w:val="center"/>
              <w:rPr>
                <w:sz w:val="22"/>
                <w:szCs w:val="22"/>
              </w:rPr>
            </w:pPr>
            <w:r>
              <w:rPr>
                <w:sz w:val="22"/>
                <w:szCs w:val="22"/>
              </w:rPr>
              <w:t>12/19/2019</w:t>
            </w:r>
          </w:p>
        </w:tc>
        <w:tc>
          <w:tcPr>
            <w:tcW w:w="990" w:type="dxa"/>
            <w:vAlign w:val="center"/>
          </w:tcPr>
          <w:p>
            <w:pPr>
              <w:spacing w:line="276" w:lineRule="auto"/>
              <w:jc w:val="center"/>
              <w:rPr>
                <w:sz w:val="22"/>
                <w:szCs w:val="22"/>
              </w:rPr>
            </w:pPr>
            <w:r>
              <w:rPr>
                <w:sz w:val="22"/>
                <w:szCs w:val="22"/>
              </w:rPr>
              <w:t>1421586</w:t>
            </w:r>
          </w:p>
        </w:tc>
        <w:tc>
          <w:tcPr>
            <w:tcW w:w="1598" w:type="dxa"/>
            <w:vAlign w:val="center"/>
          </w:tcPr>
          <w:p>
            <w:pPr>
              <w:spacing w:line="276" w:lineRule="auto"/>
              <w:jc w:val="right"/>
              <w:rPr>
                <w:sz w:val="22"/>
                <w:szCs w:val="22"/>
              </w:rPr>
            </w:pPr>
            <w:r>
              <w:rPr>
                <w:sz w:val="22"/>
                <w:szCs w:val="22"/>
              </w:rPr>
              <w:t>5,706,288.00</w:t>
            </w:r>
          </w:p>
        </w:tc>
        <w:tc>
          <w:tcPr>
            <w:tcW w:w="1719" w:type="dxa"/>
            <w:vAlign w:val="center"/>
          </w:tcPr>
          <w:p>
            <w:pPr>
              <w:spacing w:line="276" w:lineRule="auto"/>
              <w:jc w:val="right"/>
              <w:rPr>
                <w:sz w:val="22"/>
                <w:szCs w:val="22"/>
              </w:rPr>
            </w:pPr>
            <w:r>
              <w:rPr>
                <w:rFonts w:eastAsia="Calibri"/>
                <w:color w:val="000000"/>
                <w:sz w:val="22"/>
                <w:szCs w:val="22"/>
              </w:rPr>
              <w:t xml:space="preserve"> 2,500,000.00</w:t>
            </w:r>
          </w:p>
        </w:tc>
        <w:tc>
          <w:tcPr>
            <w:tcW w:w="1664" w:type="dxa"/>
            <w:vAlign w:val="center"/>
          </w:tcPr>
          <w:p>
            <w:pPr>
              <w:spacing w:line="276" w:lineRule="auto"/>
              <w:jc w:val="right"/>
              <w:rPr>
                <w:sz w:val="22"/>
                <w:szCs w:val="22"/>
              </w:rPr>
            </w:pPr>
            <w:r>
              <w:rPr>
                <w:sz w:val="22"/>
                <w:szCs w:val="22"/>
              </w:rPr>
              <w:t>3,206,288.00</w:t>
            </w:r>
          </w:p>
        </w:tc>
        <w:tc>
          <w:tcPr>
            <w:tcW w:w="847" w:type="dxa"/>
            <w:vAlign w:val="center"/>
          </w:tcPr>
          <w:p>
            <w:pPr>
              <w:spacing w:line="276" w:lineRule="auto"/>
              <w:jc w:val="center"/>
              <w:rPr>
                <w:sz w:val="22"/>
                <w:szCs w:val="22"/>
              </w:rPr>
            </w:pPr>
            <w:r>
              <w:rPr>
                <w:sz w:val="22"/>
                <w:szCs w:val="22"/>
              </w:rPr>
              <w:t>128%</w:t>
            </w:r>
          </w:p>
        </w:tc>
        <w:tc>
          <w:tcPr>
            <w:tcW w:w="1440" w:type="dxa"/>
            <w:vAlign w:val="center"/>
          </w:tcPr>
          <w:p>
            <w:pPr>
              <w:spacing w:line="276" w:lineRule="auto"/>
              <w:jc w:val="center"/>
              <w:rPr>
                <w:sz w:val="22"/>
                <w:szCs w:val="22"/>
              </w:rPr>
            </w:pPr>
            <w:r>
              <w:rPr>
                <w:sz w:val="22"/>
                <w:szCs w:val="22"/>
              </w:rPr>
              <w:t>PRAISE 2019</w:t>
            </w:r>
          </w:p>
        </w:tc>
      </w:tr>
      <w:tr>
        <w:trPr>
          <w:trHeight w:val="20"/>
          <w:jc w:val="center"/>
        </w:trPr>
        <w:tc>
          <w:tcPr>
            <w:tcW w:w="1187" w:type="dxa"/>
            <w:vAlign w:val="center"/>
          </w:tcPr>
          <w:p>
            <w:pPr>
              <w:spacing w:line="276" w:lineRule="auto"/>
              <w:jc w:val="center"/>
              <w:rPr>
                <w:sz w:val="22"/>
                <w:szCs w:val="22"/>
              </w:rPr>
            </w:pPr>
            <w:r>
              <w:rPr>
                <w:sz w:val="22"/>
                <w:szCs w:val="22"/>
              </w:rPr>
              <w:t>12/24/2021</w:t>
            </w:r>
          </w:p>
        </w:tc>
        <w:tc>
          <w:tcPr>
            <w:tcW w:w="990" w:type="dxa"/>
            <w:vAlign w:val="center"/>
          </w:tcPr>
          <w:p>
            <w:pPr>
              <w:spacing w:line="276" w:lineRule="auto"/>
              <w:jc w:val="center"/>
              <w:rPr>
                <w:sz w:val="22"/>
                <w:szCs w:val="22"/>
              </w:rPr>
            </w:pPr>
            <w:r>
              <w:rPr>
                <w:sz w:val="22"/>
                <w:szCs w:val="22"/>
              </w:rPr>
              <w:t>1540672</w:t>
            </w:r>
          </w:p>
        </w:tc>
        <w:tc>
          <w:tcPr>
            <w:tcW w:w="1598" w:type="dxa"/>
            <w:vAlign w:val="center"/>
          </w:tcPr>
          <w:p>
            <w:pPr>
              <w:spacing w:line="276" w:lineRule="auto"/>
              <w:jc w:val="right"/>
              <w:rPr>
                <w:sz w:val="22"/>
                <w:szCs w:val="22"/>
              </w:rPr>
            </w:pPr>
            <w:r>
              <w:rPr>
                <w:sz w:val="22"/>
                <w:szCs w:val="22"/>
              </w:rPr>
              <w:t>4,611,561.59</w:t>
            </w:r>
          </w:p>
        </w:tc>
        <w:tc>
          <w:tcPr>
            <w:tcW w:w="1719" w:type="dxa"/>
            <w:vAlign w:val="center"/>
          </w:tcPr>
          <w:p>
            <w:pPr>
              <w:spacing w:line="276" w:lineRule="auto"/>
              <w:jc w:val="right"/>
              <w:rPr>
                <w:rFonts w:eastAsia="Calibri"/>
                <w:color w:val="000000"/>
                <w:sz w:val="22"/>
                <w:szCs w:val="22"/>
              </w:rPr>
            </w:pPr>
            <w:r>
              <w:rPr>
                <w:rFonts w:eastAsia="Calibri"/>
                <w:color w:val="000000"/>
                <w:sz w:val="22"/>
                <w:szCs w:val="22"/>
              </w:rPr>
              <w:t>2,500,000.00</w:t>
            </w:r>
          </w:p>
        </w:tc>
        <w:tc>
          <w:tcPr>
            <w:tcW w:w="1664" w:type="dxa"/>
            <w:vAlign w:val="center"/>
          </w:tcPr>
          <w:p>
            <w:pPr>
              <w:spacing w:line="276" w:lineRule="auto"/>
              <w:jc w:val="right"/>
              <w:rPr>
                <w:sz w:val="22"/>
                <w:szCs w:val="22"/>
              </w:rPr>
            </w:pPr>
            <w:r>
              <w:rPr>
                <w:sz w:val="22"/>
                <w:szCs w:val="22"/>
              </w:rPr>
              <w:t>2,111,561.59</w:t>
            </w:r>
          </w:p>
        </w:tc>
        <w:tc>
          <w:tcPr>
            <w:tcW w:w="847" w:type="dxa"/>
            <w:vAlign w:val="center"/>
          </w:tcPr>
          <w:p>
            <w:pPr>
              <w:spacing w:line="276" w:lineRule="auto"/>
              <w:jc w:val="center"/>
              <w:rPr>
                <w:sz w:val="22"/>
                <w:szCs w:val="22"/>
              </w:rPr>
            </w:pPr>
            <w:r>
              <w:rPr>
                <w:sz w:val="22"/>
                <w:szCs w:val="22"/>
              </w:rPr>
              <w:t>84%</w:t>
            </w:r>
          </w:p>
        </w:tc>
        <w:tc>
          <w:tcPr>
            <w:tcW w:w="1440" w:type="dxa"/>
            <w:vAlign w:val="center"/>
          </w:tcPr>
          <w:p>
            <w:pPr>
              <w:spacing w:line="276" w:lineRule="auto"/>
              <w:jc w:val="center"/>
              <w:rPr>
                <w:sz w:val="22"/>
                <w:szCs w:val="22"/>
              </w:rPr>
            </w:pPr>
            <w:r>
              <w:rPr>
                <w:sz w:val="22"/>
                <w:szCs w:val="22"/>
              </w:rPr>
              <w:t>CNA 2021</w:t>
            </w:r>
          </w:p>
        </w:tc>
      </w:tr>
      <w:tr>
        <w:trPr>
          <w:trHeight w:val="20"/>
          <w:jc w:val="center"/>
        </w:trPr>
        <w:tc>
          <w:tcPr>
            <w:tcW w:w="1187" w:type="dxa"/>
            <w:vAlign w:val="center"/>
          </w:tcPr>
          <w:p>
            <w:pPr>
              <w:spacing w:line="276" w:lineRule="auto"/>
              <w:jc w:val="center"/>
              <w:rPr>
                <w:sz w:val="22"/>
                <w:szCs w:val="22"/>
              </w:rPr>
            </w:pPr>
            <w:r>
              <w:rPr>
                <w:sz w:val="22"/>
                <w:szCs w:val="22"/>
              </w:rPr>
              <w:t>12/23/2022</w:t>
            </w:r>
          </w:p>
        </w:tc>
        <w:tc>
          <w:tcPr>
            <w:tcW w:w="990" w:type="dxa"/>
            <w:vAlign w:val="center"/>
          </w:tcPr>
          <w:p>
            <w:pPr>
              <w:spacing w:line="276" w:lineRule="auto"/>
              <w:jc w:val="center"/>
              <w:rPr>
                <w:sz w:val="22"/>
                <w:szCs w:val="22"/>
              </w:rPr>
            </w:pPr>
            <w:r>
              <w:rPr>
                <w:sz w:val="22"/>
                <w:szCs w:val="22"/>
              </w:rPr>
              <w:t>1622606</w:t>
            </w:r>
          </w:p>
        </w:tc>
        <w:tc>
          <w:tcPr>
            <w:tcW w:w="1598" w:type="dxa"/>
            <w:vAlign w:val="center"/>
          </w:tcPr>
          <w:p>
            <w:pPr>
              <w:spacing w:line="276" w:lineRule="auto"/>
              <w:jc w:val="right"/>
              <w:rPr>
                <w:sz w:val="22"/>
                <w:szCs w:val="22"/>
              </w:rPr>
            </w:pPr>
            <w:r>
              <w:rPr>
                <w:sz w:val="22"/>
                <w:szCs w:val="22"/>
              </w:rPr>
              <w:t>4,753,124.09</w:t>
            </w:r>
          </w:p>
        </w:tc>
        <w:tc>
          <w:tcPr>
            <w:tcW w:w="1719" w:type="dxa"/>
            <w:vAlign w:val="center"/>
          </w:tcPr>
          <w:p>
            <w:pPr>
              <w:spacing w:line="276" w:lineRule="auto"/>
              <w:jc w:val="right"/>
              <w:rPr>
                <w:rFonts w:eastAsia="Calibri"/>
                <w:color w:val="000000"/>
                <w:sz w:val="22"/>
                <w:szCs w:val="22"/>
              </w:rPr>
            </w:pPr>
            <w:r>
              <w:rPr>
                <w:rFonts w:eastAsia="Calibri"/>
                <w:color w:val="000000"/>
                <w:sz w:val="22"/>
                <w:szCs w:val="22"/>
              </w:rPr>
              <w:t>2,500,000.00</w:t>
            </w:r>
          </w:p>
        </w:tc>
        <w:tc>
          <w:tcPr>
            <w:tcW w:w="1664" w:type="dxa"/>
            <w:vAlign w:val="center"/>
          </w:tcPr>
          <w:p>
            <w:pPr>
              <w:spacing w:line="276" w:lineRule="auto"/>
              <w:jc w:val="right"/>
              <w:rPr>
                <w:sz w:val="22"/>
                <w:szCs w:val="22"/>
              </w:rPr>
            </w:pPr>
            <w:r>
              <w:rPr>
                <w:sz w:val="22"/>
                <w:szCs w:val="22"/>
              </w:rPr>
              <w:t>2,253,124.09</w:t>
            </w:r>
          </w:p>
        </w:tc>
        <w:tc>
          <w:tcPr>
            <w:tcW w:w="847" w:type="dxa"/>
            <w:vAlign w:val="center"/>
          </w:tcPr>
          <w:p>
            <w:pPr>
              <w:spacing w:line="276" w:lineRule="auto"/>
              <w:jc w:val="center"/>
              <w:rPr>
                <w:sz w:val="22"/>
                <w:szCs w:val="22"/>
              </w:rPr>
            </w:pPr>
            <w:r>
              <w:rPr>
                <w:sz w:val="22"/>
                <w:szCs w:val="22"/>
              </w:rPr>
              <w:t>90%</w:t>
            </w:r>
          </w:p>
        </w:tc>
        <w:tc>
          <w:tcPr>
            <w:tcW w:w="1440" w:type="dxa"/>
            <w:vAlign w:val="center"/>
          </w:tcPr>
          <w:p>
            <w:pPr>
              <w:spacing w:line="276" w:lineRule="auto"/>
              <w:jc w:val="center"/>
              <w:rPr>
                <w:sz w:val="22"/>
                <w:szCs w:val="22"/>
              </w:rPr>
            </w:pPr>
            <w:r>
              <w:rPr>
                <w:sz w:val="22"/>
                <w:szCs w:val="22"/>
              </w:rPr>
              <w:t>CNA 2022</w:t>
            </w:r>
          </w:p>
        </w:tc>
      </w:tr>
      <w:tr>
        <w:trPr>
          <w:trHeight w:val="20"/>
          <w:jc w:val="center"/>
        </w:trPr>
        <w:tc>
          <w:tcPr>
            <w:tcW w:w="1187" w:type="dxa"/>
            <w:tcBorders>
              <w:bottom w:val="single" w:sz="12" w:space="0" w:color="auto"/>
            </w:tcBorders>
            <w:vAlign w:val="center"/>
          </w:tcPr>
          <w:p>
            <w:pPr>
              <w:spacing w:line="276" w:lineRule="auto"/>
              <w:jc w:val="center"/>
              <w:rPr>
                <w:sz w:val="22"/>
                <w:szCs w:val="22"/>
              </w:rPr>
            </w:pPr>
            <w:r>
              <w:rPr>
                <w:sz w:val="22"/>
                <w:szCs w:val="22"/>
              </w:rPr>
              <w:t>12/29/2022</w:t>
            </w:r>
          </w:p>
        </w:tc>
        <w:tc>
          <w:tcPr>
            <w:tcW w:w="990" w:type="dxa"/>
            <w:tcBorders>
              <w:bottom w:val="single" w:sz="12" w:space="0" w:color="auto"/>
            </w:tcBorders>
            <w:vAlign w:val="center"/>
          </w:tcPr>
          <w:p>
            <w:pPr>
              <w:spacing w:line="276" w:lineRule="auto"/>
              <w:jc w:val="center"/>
              <w:rPr>
                <w:sz w:val="22"/>
                <w:szCs w:val="22"/>
              </w:rPr>
            </w:pPr>
            <w:r>
              <w:rPr>
                <w:sz w:val="22"/>
                <w:szCs w:val="22"/>
              </w:rPr>
              <w:t>1622766</w:t>
            </w:r>
          </w:p>
        </w:tc>
        <w:tc>
          <w:tcPr>
            <w:tcW w:w="1598" w:type="dxa"/>
            <w:tcBorders>
              <w:bottom w:val="single" w:sz="12" w:space="0" w:color="auto"/>
            </w:tcBorders>
            <w:vAlign w:val="center"/>
          </w:tcPr>
          <w:p>
            <w:pPr>
              <w:spacing w:line="276" w:lineRule="auto"/>
              <w:jc w:val="right"/>
              <w:rPr>
                <w:sz w:val="22"/>
                <w:szCs w:val="22"/>
              </w:rPr>
            </w:pPr>
            <w:r>
              <w:rPr>
                <w:sz w:val="22"/>
                <w:szCs w:val="22"/>
              </w:rPr>
              <w:t>2,511,000.00</w:t>
            </w:r>
          </w:p>
        </w:tc>
        <w:tc>
          <w:tcPr>
            <w:tcW w:w="1719" w:type="dxa"/>
            <w:tcBorders>
              <w:bottom w:val="single" w:sz="12" w:space="0" w:color="auto"/>
            </w:tcBorders>
            <w:vAlign w:val="center"/>
          </w:tcPr>
          <w:p>
            <w:pPr>
              <w:spacing w:line="276" w:lineRule="auto"/>
              <w:jc w:val="right"/>
              <w:rPr>
                <w:rFonts w:eastAsia="Calibri"/>
                <w:color w:val="000000"/>
                <w:sz w:val="22"/>
                <w:szCs w:val="22"/>
              </w:rPr>
            </w:pPr>
            <w:r>
              <w:rPr>
                <w:rFonts w:eastAsia="Calibri"/>
                <w:color w:val="000000"/>
                <w:sz w:val="22"/>
                <w:szCs w:val="22"/>
              </w:rPr>
              <w:t>2,500,000.00</w:t>
            </w:r>
          </w:p>
        </w:tc>
        <w:tc>
          <w:tcPr>
            <w:tcW w:w="1664" w:type="dxa"/>
            <w:tcBorders>
              <w:bottom w:val="single" w:sz="12" w:space="0" w:color="auto"/>
            </w:tcBorders>
            <w:vAlign w:val="center"/>
          </w:tcPr>
          <w:p>
            <w:pPr>
              <w:spacing w:line="276" w:lineRule="auto"/>
              <w:jc w:val="right"/>
              <w:rPr>
                <w:sz w:val="22"/>
                <w:szCs w:val="22"/>
              </w:rPr>
            </w:pPr>
            <w:r>
              <w:rPr>
                <w:sz w:val="22"/>
                <w:szCs w:val="22"/>
              </w:rPr>
              <w:t>11,000.00</w:t>
            </w:r>
          </w:p>
        </w:tc>
        <w:tc>
          <w:tcPr>
            <w:tcW w:w="847" w:type="dxa"/>
            <w:tcBorders>
              <w:bottom w:val="single" w:sz="12" w:space="0" w:color="auto"/>
            </w:tcBorders>
            <w:vAlign w:val="center"/>
          </w:tcPr>
          <w:p>
            <w:pPr>
              <w:spacing w:line="276" w:lineRule="auto"/>
              <w:jc w:val="center"/>
              <w:rPr>
                <w:sz w:val="22"/>
                <w:szCs w:val="22"/>
              </w:rPr>
            </w:pPr>
            <w:r>
              <w:rPr>
                <w:sz w:val="22"/>
                <w:szCs w:val="22"/>
              </w:rPr>
              <w:t>0.44%</w:t>
            </w:r>
          </w:p>
        </w:tc>
        <w:tc>
          <w:tcPr>
            <w:tcW w:w="1440" w:type="dxa"/>
            <w:tcBorders>
              <w:bottom w:val="single" w:sz="12" w:space="0" w:color="auto"/>
            </w:tcBorders>
            <w:vAlign w:val="center"/>
          </w:tcPr>
          <w:p>
            <w:pPr>
              <w:spacing w:line="276" w:lineRule="auto"/>
              <w:jc w:val="center"/>
              <w:rPr>
                <w:sz w:val="22"/>
                <w:szCs w:val="22"/>
              </w:rPr>
            </w:pPr>
            <w:r>
              <w:rPr>
                <w:sz w:val="22"/>
                <w:szCs w:val="22"/>
              </w:rPr>
              <w:t>Gratuity Pay (JOs) 2022</w:t>
            </w:r>
          </w:p>
        </w:tc>
      </w:tr>
      <w:tr>
        <w:trPr>
          <w:trHeight w:val="20"/>
          <w:jc w:val="center"/>
        </w:trPr>
        <w:tc>
          <w:tcPr>
            <w:tcW w:w="2177" w:type="dxa"/>
            <w:gridSpan w:val="2"/>
            <w:tcBorders>
              <w:top w:val="single" w:sz="12" w:space="0" w:color="auto"/>
              <w:bottom w:val="single" w:sz="12" w:space="0" w:color="auto"/>
            </w:tcBorders>
            <w:vAlign w:val="center"/>
          </w:tcPr>
          <w:p>
            <w:pPr>
              <w:spacing w:line="276" w:lineRule="auto"/>
              <w:jc w:val="center"/>
              <w:rPr>
                <w:b/>
                <w:i/>
                <w:sz w:val="22"/>
                <w:szCs w:val="22"/>
              </w:rPr>
            </w:pPr>
            <w:r>
              <w:rPr>
                <w:b/>
                <w:i/>
                <w:sz w:val="22"/>
                <w:szCs w:val="22"/>
              </w:rPr>
              <w:t>Sub-total</w:t>
            </w:r>
          </w:p>
        </w:tc>
        <w:tc>
          <w:tcPr>
            <w:tcW w:w="1598" w:type="dxa"/>
            <w:tcBorders>
              <w:top w:val="single" w:sz="12" w:space="0" w:color="auto"/>
              <w:bottom w:val="single" w:sz="12" w:space="0" w:color="auto"/>
            </w:tcBorders>
            <w:vAlign w:val="center"/>
          </w:tcPr>
          <w:p>
            <w:pPr>
              <w:spacing w:line="276" w:lineRule="auto"/>
              <w:jc w:val="right"/>
              <w:rPr>
                <w:b/>
                <w:i/>
                <w:sz w:val="22"/>
                <w:szCs w:val="22"/>
              </w:rPr>
            </w:pPr>
            <w:r>
              <w:rPr>
                <w:b/>
                <w:i/>
                <w:sz w:val="22"/>
                <w:szCs w:val="22"/>
              </w:rPr>
              <w:t xml:space="preserve">P21,975,703.93 </w:t>
            </w:r>
          </w:p>
        </w:tc>
        <w:tc>
          <w:tcPr>
            <w:tcW w:w="1719" w:type="dxa"/>
            <w:tcBorders>
              <w:top w:val="single" w:sz="12" w:space="0" w:color="auto"/>
              <w:bottom w:val="single" w:sz="12" w:space="0" w:color="auto"/>
            </w:tcBorders>
            <w:vAlign w:val="center"/>
          </w:tcPr>
          <w:p>
            <w:pPr>
              <w:spacing w:line="276" w:lineRule="auto"/>
              <w:jc w:val="right"/>
              <w:rPr>
                <w:b/>
                <w:i/>
                <w:sz w:val="22"/>
                <w:szCs w:val="22"/>
              </w:rPr>
            </w:pPr>
          </w:p>
        </w:tc>
        <w:tc>
          <w:tcPr>
            <w:tcW w:w="1664" w:type="dxa"/>
            <w:tcBorders>
              <w:top w:val="single" w:sz="12" w:space="0" w:color="auto"/>
              <w:bottom w:val="single" w:sz="12" w:space="0" w:color="auto"/>
            </w:tcBorders>
            <w:vAlign w:val="center"/>
          </w:tcPr>
          <w:p>
            <w:pPr>
              <w:spacing w:line="276" w:lineRule="auto"/>
              <w:jc w:val="right"/>
              <w:rPr>
                <w:b/>
                <w:i/>
                <w:sz w:val="22"/>
                <w:szCs w:val="22"/>
              </w:rPr>
            </w:pPr>
            <w:r>
              <w:rPr>
                <w:b/>
                <w:i/>
                <w:sz w:val="22"/>
                <w:szCs w:val="22"/>
              </w:rPr>
              <w:t xml:space="preserve">   P9,475,703.93 </w:t>
            </w:r>
          </w:p>
        </w:tc>
        <w:tc>
          <w:tcPr>
            <w:tcW w:w="847" w:type="dxa"/>
            <w:tcBorders>
              <w:top w:val="single" w:sz="12" w:space="0" w:color="auto"/>
              <w:bottom w:val="single" w:sz="12" w:space="0" w:color="auto"/>
            </w:tcBorders>
          </w:tcPr>
          <w:p>
            <w:pPr>
              <w:spacing w:line="276" w:lineRule="auto"/>
              <w:jc w:val="center"/>
              <w:rPr>
                <w:b/>
                <w:sz w:val="22"/>
                <w:szCs w:val="22"/>
              </w:rPr>
            </w:pPr>
          </w:p>
        </w:tc>
        <w:tc>
          <w:tcPr>
            <w:tcW w:w="1440" w:type="dxa"/>
            <w:tcBorders>
              <w:top w:val="single" w:sz="12" w:space="0" w:color="auto"/>
              <w:bottom w:val="single" w:sz="12" w:space="0" w:color="auto"/>
            </w:tcBorders>
          </w:tcPr>
          <w:p>
            <w:pPr>
              <w:spacing w:line="276" w:lineRule="auto"/>
              <w:jc w:val="center"/>
              <w:rPr>
                <w:b/>
                <w:sz w:val="22"/>
                <w:szCs w:val="22"/>
              </w:rPr>
            </w:pPr>
          </w:p>
        </w:tc>
      </w:tr>
      <w:tr>
        <w:trPr>
          <w:trHeight w:val="20"/>
          <w:jc w:val="center"/>
        </w:trPr>
        <w:tc>
          <w:tcPr>
            <w:tcW w:w="9445" w:type="dxa"/>
            <w:gridSpan w:val="7"/>
            <w:tcBorders>
              <w:top w:val="single" w:sz="12" w:space="0" w:color="auto"/>
            </w:tcBorders>
            <w:vAlign w:val="center"/>
          </w:tcPr>
          <w:p>
            <w:pPr>
              <w:spacing w:line="276" w:lineRule="auto"/>
              <w:rPr>
                <w:sz w:val="22"/>
                <w:szCs w:val="22"/>
              </w:rPr>
            </w:pPr>
            <w:r>
              <w:rPr>
                <w:b/>
                <w:i/>
                <w:sz w:val="22"/>
                <w:szCs w:val="22"/>
              </w:rPr>
              <w:t>SANDY SANGCO</w:t>
            </w:r>
          </w:p>
        </w:tc>
      </w:tr>
      <w:tr>
        <w:trPr>
          <w:trHeight w:val="20"/>
          <w:jc w:val="center"/>
        </w:trPr>
        <w:tc>
          <w:tcPr>
            <w:tcW w:w="1187" w:type="dxa"/>
            <w:vAlign w:val="center"/>
          </w:tcPr>
          <w:p>
            <w:pPr>
              <w:spacing w:line="276" w:lineRule="auto"/>
              <w:jc w:val="center"/>
              <w:rPr>
                <w:sz w:val="22"/>
                <w:szCs w:val="22"/>
              </w:rPr>
            </w:pPr>
            <w:r>
              <w:rPr>
                <w:sz w:val="22"/>
                <w:szCs w:val="22"/>
              </w:rPr>
              <w:t>12/23/2022</w:t>
            </w:r>
          </w:p>
        </w:tc>
        <w:tc>
          <w:tcPr>
            <w:tcW w:w="990" w:type="dxa"/>
            <w:vAlign w:val="center"/>
          </w:tcPr>
          <w:p>
            <w:pPr>
              <w:spacing w:line="276" w:lineRule="auto"/>
              <w:jc w:val="center"/>
              <w:rPr>
                <w:sz w:val="22"/>
                <w:szCs w:val="22"/>
              </w:rPr>
            </w:pPr>
            <w:r>
              <w:rPr>
                <w:sz w:val="22"/>
                <w:szCs w:val="22"/>
              </w:rPr>
              <w:t>1622507</w:t>
            </w:r>
          </w:p>
        </w:tc>
        <w:tc>
          <w:tcPr>
            <w:tcW w:w="1598" w:type="dxa"/>
            <w:vAlign w:val="center"/>
          </w:tcPr>
          <w:p>
            <w:pPr>
              <w:spacing w:line="276" w:lineRule="auto"/>
              <w:jc w:val="right"/>
              <w:rPr>
                <w:sz w:val="22"/>
                <w:szCs w:val="22"/>
              </w:rPr>
            </w:pPr>
            <w:r>
              <w:rPr>
                <w:sz w:val="22"/>
                <w:szCs w:val="22"/>
              </w:rPr>
              <w:t>P11,856,632.58</w:t>
            </w:r>
          </w:p>
        </w:tc>
        <w:tc>
          <w:tcPr>
            <w:tcW w:w="1719" w:type="dxa"/>
            <w:vAlign w:val="center"/>
          </w:tcPr>
          <w:p>
            <w:pPr>
              <w:spacing w:line="276" w:lineRule="auto"/>
              <w:jc w:val="right"/>
              <w:rPr>
                <w:sz w:val="22"/>
                <w:szCs w:val="22"/>
              </w:rPr>
            </w:pPr>
            <w:r>
              <w:rPr>
                <w:sz w:val="22"/>
                <w:szCs w:val="22"/>
              </w:rPr>
              <w:t xml:space="preserve">P750,000.00 </w:t>
            </w:r>
          </w:p>
        </w:tc>
        <w:tc>
          <w:tcPr>
            <w:tcW w:w="1664" w:type="dxa"/>
            <w:vAlign w:val="center"/>
          </w:tcPr>
          <w:p>
            <w:pPr>
              <w:spacing w:line="276" w:lineRule="auto"/>
              <w:jc w:val="right"/>
              <w:rPr>
                <w:sz w:val="22"/>
                <w:szCs w:val="22"/>
              </w:rPr>
            </w:pPr>
            <w:r>
              <w:rPr>
                <w:sz w:val="22"/>
                <w:szCs w:val="22"/>
              </w:rPr>
              <w:t xml:space="preserve">P11,106,632.58 </w:t>
            </w:r>
          </w:p>
        </w:tc>
        <w:tc>
          <w:tcPr>
            <w:tcW w:w="847" w:type="dxa"/>
            <w:vAlign w:val="center"/>
          </w:tcPr>
          <w:p>
            <w:pPr>
              <w:spacing w:line="276" w:lineRule="auto"/>
              <w:jc w:val="center"/>
              <w:rPr>
                <w:sz w:val="22"/>
                <w:szCs w:val="22"/>
              </w:rPr>
            </w:pPr>
            <w:r>
              <w:rPr>
                <w:sz w:val="22"/>
                <w:szCs w:val="22"/>
              </w:rPr>
              <w:t>1,481%</w:t>
            </w:r>
          </w:p>
        </w:tc>
        <w:tc>
          <w:tcPr>
            <w:tcW w:w="1440" w:type="dxa"/>
            <w:vAlign w:val="center"/>
          </w:tcPr>
          <w:p>
            <w:pPr>
              <w:spacing w:line="276" w:lineRule="auto"/>
              <w:jc w:val="center"/>
              <w:rPr>
                <w:sz w:val="22"/>
                <w:szCs w:val="22"/>
              </w:rPr>
            </w:pPr>
            <w:r>
              <w:rPr>
                <w:sz w:val="22"/>
                <w:szCs w:val="22"/>
              </w:rPr>
              <w:t>CNA 2022</w:t>
            </w:r>
          </w:p>
        </w:tc>
      </w:tr>
      <w:tr>
        <w:trPr>
          <w:trHeight w:val="20"/>
          <w:jc w:val="center"/>
        </w:trPr>
        <w:tc>
          <w:tcPr>
            <w:tcW w:w="1187" w:type="dxa"/>
            <w:vAlign w:val="center"/>
          </w:tcPr>
          <w:p>
            <w:pPr>
              <w:spacing w:line="276" w:lineRule="auto"/>
              <w:jc w:val="center"/>
              <w:rPr>
                <w:sz w:val="22"/>
                <w:szCs w:val="22"/>
              </w:rPr>
            </w:pPr>
            <w:r>
              <w:rPr>
                <w:sz w:val="22"/>
                <w:szCs w:val="22"/>
              </w:rPr>
              <w:t>12/23/2022</w:t>
            </w:r>
          </w:p>
        </w:tc>
        <w:tc>
          <w:tcPr>
            <w:tcW w:w="990" w:type="dxa"/>
            <w:vAlign w:val="center"/>
          </w:tcPr>
          <w:p>
            <w:pPr>
              <w:spacing w:line="276" w:lineRule="auto"/>
              <w:jc w:val="center"/>
              <w:rPr>
                <w:sz w:val="22"/>
                <w:szCs w:val="22"/>
              </w:rPr>
            </w:pPr>
            <w:r>
              <w:rPr>
                <w:sz w:val="22"/>
                <w:szCs w:val="22"/>
              </w:rPr>
              <w:t>1622605</w:t>
            </w:r>
          </w:p>
        </w:tc>
        <w:tc>
          <w:tcPr>
            <w:tcW w:w="1598" w:type="dxa"/>
            <w:vAlign w:val="center"/>
          </w:tcPr>
          <w:p>
            <w:pPr>
              <w:spacing w:line="276" w:lineRule="auto"/>
              <w:jc w:val="right"/>
              <w:rPr>
                <w:sz w:val="22"/>
                <w:szCs w:val="22"/>
              </w:rPr>
            </w:pPr>
            <w:r>
              <w:rPr>
                <w:sz w:val="22"/>
                <w:szCs w:val="22"/>
              </w:rPr>
              <w:t>1,631,249.83</w:t>
            </w:r>
          </w:p>
        </w:tc>
        <w:tc>
          <w:tcPr>
            <w:tcW w:w="1719" w:type="dxa"/>
            <w:vAlign w:val="center"/>
          </w:tcPr>
          <w:p>
            <w:pPr>
              <w:spacing w:line="276" w:lineRule="auto"/>
              <w:jc w:val="right"/>
              <w:rPr>
                <w:sz w:val="22"/>
                <w:szCs w:val="22"/>
              </w:rPr>
            </w:pPr>
            <w:r>
              <w:rPr>
                <w:sz w:val="22"/>
                <w:szCs w:val="22"/>
              </w:rPr>
              <w:t xml:space="preserve">         750,000.00 </w:t>
            </w:r>
          </w:p>
        </w:tc>
        <w:tc>
          <w:tcPr>
            <w:tcW w:w="1664" w:type="dxa"/>
            <w:vAlign w:val="center"/>
          </w:tcPr>
          <w:p>
            <w:pPr>
              <w:spacing w:line="276" w:lineRule="auto"/>
              <w:jc w:val="right"/>
              <w:rPr>
                <w:sz w:val="22"/>
                <w:szCs w:val="22"/>
              </w:rPr>
            </w:pPr>
            <w:r>
              <w:rPr>
                <w:sz w:val="22"/>
                <w:szCs w:val="22"/>
              </w:rPr>
              <w:t xml:space="preserve">        881,249.83 </w:t>
            </w:r>
          </w:p>
        </w:tc>
        <w:tc>
          <w:tcPr>
            <w:tcW w:w="847" w:type="dxa"/>
            <w:vAlign w:val="center"/>
          </w:tcPr>
          <w:p>
            <w:pPr>
              <w:spacing w:line="276" w:lineRule="auto"/>
              <w:jc w:val="center"/>
              <w:rPr>
                <w:sz w:val="22"/>
                <w:szCs w:val="22"/>
              </w:rPr>
            </w:pPr>
            <w:r>
              <w:rPr>
                <w:sz w:val="22"/>
                <w:szCs w:val="22"/>
              </w:rPr>
              <w:t>117%</w:t>
            </w:r>
          </w:p>
        </w:tc>
        <w:tc>
          <w:tcPr>
            <w:tcW w:w="1440" w:type="dxa"/>
            <w:vAlign w:val="center"/>
          </w:tcPr>
          <w:p>
            <w:pPr>
              <w:spacing w:line="276" w:lineRule="auto"/>
              <w:jc w:val="center"/>
              <w:rPr>
                <w:sz w:val="22"/>
                <w:szCs w:val="22"/>
              </w:rPr>
            </w:pPr>
            <w:r>
              <w:rPr>
                <w:sz w:val="22"/>
                <w:szCs w:val="22"/>
              </w:rPr>
              <w:t>CNA 2022</w:t>
            </w:r>
          </w:p>
        </w:tc>
      </w:tr>
      <w:tr>
        <w:trPr>
          <w:trHeight w:val="20"/>
          <w:jc w:val="center"/>
        </w:trPr>
        <w:tc>
          <w:tcPr>
            <w:tcW w:w="1187" w:type="dxa"/>
            <w:vAlign w:val="center"/>
          </w:tcPr>
          <w:p>
            <w:pPr>
              <w:spacing w:line="276" w:lineRule="auto"/>
              <w:jc w:val="center"/>
              <w:rPr>
                <w:sz w:val="22"/>
                <w:szCs w:val="22"/>
              </w:rPr>
            </w:pPr>
            <w:r>
              <w:rPr>
                <w:sz w:val="22"/>
                <w:szCs w:val="22"/>
              </w:rPr>
              <w:t>12/27/2022</w:t>
            </w:r>
          </w:p>
        </w:tc>
        <w:tc>
          <w:tcPr>
            <w:tcW w:w="990" w:type="dxa"/>
            <w:vAlign w:val="center"/>
          </w:tcPr>
          <w:p>
            <w:pPr>
              <w:spacing w:line="276" w:lineRule="auto"/>
              <w:jc w:val="center"/>
              <w:rPr>
                <w:sz w:val="22"/>
                <w:szCs w:val="22"/>
              </w:rPr>
            </w:pPr>
            <w:r>
              <w:rPr>
                <w:sz w:val="22"/>
                <w:szCs w:val="22"/>
              </w:rPr>
              <w:t>1622616</w:t>
            </w:r>
          </w:p>
        </w:tc>
        <w:tc>
          <w:tcPr>
            <w:tcW w:w="1598" w:type="dxa"/>
            <w:vAlign w:val="center"/>
          </w:tcPr>
          <w:p>
            <w:pPr>
              <w:spacing w:line="276" w:lineRule="auto"/>
              <w:jc w:val="right"/>
              <w:rPr>
                <w:sz w:val="22"/>
                <w:szCs w:val="22"/>
              </w:rPr>
            </w:pPr>
            <w:r>
              <w:rPr>
                <w:sz w:val="22"/>
                <w:szCs w:val="22"/>
              </w:rPr>
              <w:t>882,760.00</w:t>
            </w:r>
          </w:p>
        </w:tc>
        <w:tc>
          <w:tcPr>
            <w:tcW w:w="1719" w:type="dxa"/>
            <w:vAlign w:val="center"/>
          </w:tcPr>
          <w:p>
            <w:pPr>
              <w:spacing w:line="276" w:lineRule="auto"/>
              <w:jc w:val="right"/>
              <w:rPr>
                <w:sz w:val="22"/>
                <w:szCs w:val="22"/>
              </w:rPr>
            </w:pPr>
            <w:r>
              <w:rPr>
                <w:sz w:val="22"/>
                <w:szCs w:val="22"/>
              </w:rPr>
              <w:t xml:space="preserve">         750,000.00 </w:t>
            </w:r>
          </w:p>
        </w:tc>
        <w:tc>
          <w:tcPr>
            <w:tcW w:w="1664" w:type="dxa"/>
            <w:vAlign w:val="center"/>
          </w:tcPr>
          <w:p>
            <w:pPr>
              <w:spacing w:line="276" w:lineRule="auto"/>
              <w:jc w:val="right"/>
              <w:rPr>
                <w:sz w:val="22"/>
                <w:szCs w:val="22"/>
              </w:rPr>
            </w:pPr>
            <w:r>
              <w:rPr>
                <w:sz w:val="22"/>
                <w:szCs w:val="22"/>
              </w:rPr>
              <w:t xml:space="preserve">        132,760.00 </w:t>
            </w:r>
          </w:p>
        </w:tc>
        <w:tc>
          <w:tcPr>
            <w:tcW w:w="847" w:type="dxa"/>
            <w:vAlign w:val="center"/>
          </w:tcPr>
          <w:p>
            <w:pPr>
              <w:spacing w:line="276" w:lineRule="auto"/>
              <w:jc w:val="center"/>
              <w:rPr>
                <w:sz w:val="22"/>
                <w:szCs w:val="22"/>
              </w:rPr>
            </w:pPr>
            <w:r>
              <w:rPr>
                <w:sz w:val="22"/>
                <w:szCs w:val="22"/>
              </w:rPr>
              <w:t>18%</w:t>
            </w:r>
          </w:p>
        </w:tc>
        <w:tc>
          <w:tcPr>
            <w:tcW w:w="1440" w:type="dxa"/>
            <w:vAlign w:val="center"/>
          </w:tcPr>
          <w:p>
            <w:pPr>
              <w:spacing w:line="276" w:lineRule="auto"/>
              <w:jc w:val="center"/>
              <w:rPr>
                <w:sz w:val="22"/>
                <w:szCs w:val="22"/>
              </w:rPr>
            </w:pPr>
            <w:r>
              <w:rPr>
                <w:sz w:val="22"/>
                <w:szCs w:val="22"/>
              </w:rPr>
              <w:t>Honoraria</w:t>
            </w:r>
          </w:p>
        </w:tc>
      </w:tr>
      <w:tr>
        <w:trPr>
          <w:trHeight w:val="20"/>
          <w:jc w:val="center"/>
        </w:trPr>
        <w:tc>
          <w:tcPr>
            <w:tcW w:w="1187" w:type="dxa"/>
            <w:tcBorders>
              <w:bottom w:val="single" w:sz="12" w:space="0" w:color="auto"/>
            </w:tcBorders>
            <w:vAlign w:val="center"/>
          </w:tcPr>
          <w:p>
            <w:pPr>
              <w:spacing w:line="276" w:lineRule="auto"/>
              <w:jc w:val="center"/>
              <w:rPr>
                <w:sz w:val="22"/>
                <w:szCs w:val="22"/>
              </w:rPr>
            </w:pPr>
            <w:r>
              <w:rPr>
                <w:sz w:val="22"/>
                <w:szCs w:val="22"/>
              </w:rPr>
              <w:t>12/29/2022</w:t>
            </w:r>
          </w:p>
        </w:tc>
        <w:tc>
          <w:tcPr>
            <w:tcW w:w="990" w:type="dxa"/>
            <w:tcBorders>
              <w:bottom w:val="single" w:sz="12" w:space="0" w:color="auto"/>
            </w:tcBorders>
            <w:vAlign w:val="center"/>
          </w:tcPr>
          <w:p>
            <w:pPr>
              <w:spacing w:line="276" w:lineRule="auto"/>
              <w:jc w:val="center"/>
              <w:rPr>
                <w:sz w:val="22"/>
                <w:szCs w:val="22"/>
              </w:rPr>
            </w:pPr>
            <w:r>
              <w:rPr>
                <w:sz w:val="22"/>
                <w:szCs w:val="22"/>
              </w:rPr>
              <w:t>1622765</w:t>
            </w:r>
          </w:p>
        </w:tc>
        <w:tc>
          <w:tcPr>
            <w:tcW w:w="1598" w:type="dxa"/>
            <w:tcBorders>
              <w:bottom w:val="single" w:sz="12" w:space="0" w:color="auto"/>
            </w:tcBorders>
            <w:vAlign w:val="center"/>
          </w:tcPr>
          <w:p>
            <w:pPr>
              <w:spacing w:line="276" w:lineRule="auto"/>
              <w:jc w:val="right"/>
              <w:rPr>
                <w:sz w:val="22"/>
                <w:szCs w:val="22"/>
              </w:rPr>
            </w:pPr>
            <w:r>
              <w:rPr>
                <w:sz w:val="22"/>
                <w:szCs w:val="22"/>
              </w:rPr>
              <w:t>1,992,000.00</w:t>
            </w:r>
          </w:p>
        </w:tc>
        <w:tc>
          <w:tcPr>
            <w:tcW w:w="1719" w:type="dxa"/>
            <w:tcBorders>
              <w:bottom w:val="single" w:sz="12" w:space="0" w:color="auto"/>
            </w:tcBorders>
            <w:vAlign w:val="center"/>
          </w:tcPr>
          <w:p>
            <w:pPr>
              <w:spacing w:line="276" w:lineRule="auto"/>
              <w:jc w:val="right"/>
              <w:rPr>
                <w:sz w:val="22"/>
                <w:szCs w:val="22"/>
              </w:rPr>
            </w:pPr>
            <w:r>
              <w:rPr>
                <w:sz w:val="22"/>
                <w:szCs w:val="22"/>
              </w:rPr>
              <w:t xml:space="preserve">         750,000.00 </w:t>
            </w:r>
          </w:p>
        </w:tc>
        <w:tc>
          <w:tcPr>
            <w:tcW w:w="1664" w:type="dxa"/>
            <w:tcBorders>
              <w:bottom w:val="single" w:sz="12" w:space="0" w:color="auto"/>
            </w:tcBorders>
            <w:vAlign w:val="center"/>
          </w:tcPr>
          <w:p>
            <w:pPr>
              <w:spacing w:line="276" w:lineRule="auto"/>
              <w:jc w:val="right"/>
              <w:rPr>
                <w:sz w:val="22"/>
                <w:szCs w:val="22"/>
              </w:rPr>
            </w:pPr>
            <w:r>
              <w:rPr>
                <w:sz w:val="22"/>
                <w:szCs w:val="22"/>
              </w:rPr>
              <w:t xml:space="preserve">     1,242,000.00 </w:t>
            </w:r>
          </w:p>
        </w:tc>
        <w:tc>
          <w:tcPr>
            <w:tcW w:w="847" w:type="dxa"/>
            <w:tcBorders>
              <w:bottom w:val="single" w:sz="12" w:space="0" w:color="auto"/>
            </w:tcBorders>
            <w:vAlign w:val="center"/>
          </w:tcPr>
          <w:p>
            <w:pPr>
              <w:spacing w:line="276" w:lineRule="auto"/>
              <w:jc w:val="center"/>
              <w:rPr>
                <w:sz w:val="22"/>
                <w:szCs w:val="22"/>
              </w:rPr>
            </w:pPr>
            <w:r>
              <w:rPr>
                <w:sz w:val="22"/>
                <w:szCs w:val="22"/>
              </w:rPr>
              <w:t>166%</w:t>
            </w:r>
          </w:p>
        </w:tc>
        <w:tc>
          <w:tcPr>
            <w:tcW w:w="1440" w:type="dxa"/>
            <w:tcBorders>
              <w:bottom w:val="single" w:sz="12" w:space="0" w:color="auto"/>
            </w:tcBorders>
            <w:vAlign w:val="center"/>
          </w:tcPr>
          <w:p>
            <w:pPr>
              <w:spacing w:line="276" w:lineRule="auto"/>
              <w:jc w:val="center"/>
              <w:rPr>
                <w:sz w:val="22"/>
                <w:szCs w:val="22"/>
              </w:rPr>
            </w:pPr>
            <w:r>
              <w:rPr>
                <w:sz w:val="22"/>
                <w:szCs w:val="22"/>
              </w:rPr>
              <w:t>Gratuity Pay (JOs) 2022</w:t>
            </w:r>
          </w:p>
        </w:tc>
      </w:tr>
      <w:tr>
        <w:trPr>
          <w:trHeight w:val="20"/>
          <w:jc w:val="center"/>
        </w:trPr>
        <w:tc>
          <w:tcPr>
            <w:tcW w:w="2177" w:type="dxa"/>
            <w:gridSpan w:val="2"/>
            <w:tcBorders>
              <w:top w:val="single" w:sz="12" w:space="0" w:color="auto"/>
              <w:bottom w:val="single" w:sz="12" w:space="0" w:color="auto"/>
            </w:tcBorders>
            <w:vAlign w:val="center"/>
          </w:tcPr>
          <w:p>
            <w:pPr>
              <w:spacing w:line="276" w:lineRule="auto"/>
              <w:jc w:val="center"/>
              <w:rPr>
                <w:b/>
                <w:i/>
                <w:sz w:val="22"/>
                <w:szCs w:val="22"/>
              </w:rPr>
            </w:pPr>
            <w:r>
              <w:rPr>
                <w:b/>
                <w:i/>
                <w:sz w:val="22"/>
                <w:szCs w:val="22"/>
              </w:rPr>
              <w:t>Sub-total</w:t>
            </w:r>
          </w:p>
        </w:tc>
        <w:tc>
          <w:tcPr>
            <w:tcW w:w="1598" w:type="dxa"/>
            <w:tcBorders>
              <w:top w:val="single" w:sz="12" w:space="0" w:color="auto"/>
              <w:bottom w:val="single" w:sz="12" w:space="0" w:color="auto"/>
            </w:tcBorders>
            <w:vAlign w:val="center"/>
          </w:tcPr>
          <w:p>
            <w:pPr>
              <w:spacing w:line="276" w:lineRule="auto"/>
              <w:jc w:val="right"/>
              <w:rPr>
                <w:b/>
                <w:i/>
                <w:sz w:val="22"/>
                <w:szCs w:val="22"/>
              </w:rPr>
            </w:pPr>
            <w:r>
              <w:rPr>
                <w:b/>
                <w:i/>
                <w:sz w:val="22"/>
                <w:szCs w:val="22"/>
              </w:rPr>
              <w:t xml:space="preserve">P16,362,642.41 </w:t>
            </w:r>
          </w:p>
        </w:tc>
        <w:tc>
          <w:tcPr>
            <w:tcW w:w="1719" w:type="dxa"/>
            <w:tcBorders>
              <w:top w:val="single" w:sz="12" w:space="0" w:color="auto"/>
              <w:bottom w:val="single" w:sz="12" w:space="0" w:color="auto"/>
            </w:tcBorders>
            <w:vAlign w:val="center"/>
          </w:tcPr>
          <w:p>
            <w:pPr>
              <w:spacing w:line="276" w:lineRule="auto"/>
              <w:jc w:val="right"/>
              <w:rPr>
                <w:b/>
                <w:i/>
                <w:sz w:val="22"/>
                <w:szCs w:val="22"/>
              </w:rPr>
            </w:pPr>
          </w:p>
        </w:tc>
        <w:tc>
          <w:tcPr>
            <w:tcW w:w="1664" w:type="dxa"/>
            <w:tcBorders>
              <w:top w:val="single" w:sz="12" w:space="0" w:color="auto"/>
              <w:bottom w:val="single" w:sz="12" w:space="0" w:color="auto"/>
            </w:tcBorders>
            <w:vAlign w:val="center"/>
          </w:tcPr>
          <w:p>
            <w:pPr>
              <w:spacing w:line="276" w:lineRule="auto"/>
              <w:jc w:val="right"/>
              <w:rPr>
                <w:b/>
                <w:i/>
                <w:sz w:val="22"/>
                <w:szCs w:val="22"/>
              </w:rPr>
            </w:pPr>
            <w:r>
              <w:rPr>
                <w:b/>
                <w:i/>
                <w:sz w:val="22"/>
                <w:szCs w:val="22"/>
              </w:rPr>
              <w:t xml:space="preserve">P13,362,642.41 </w:t>
            </w:r>
          </w:p>
        </w:tc>
        <w:tc>
          <w:tcPr>
            <w:tcW w:w="847" w:type="dxa"/>
            <w:tcBorders>
              <w:top w:val="single" w:sz="12" w:space="0" w:color="auto"/>
              <w:bottom w:val="single" w:sz="12" w:space="0" w:color="auto"/>
            </w:tcBorders>
          </w:tcPr>
          <w:p>
            <w:pPr>
              <w:spacing w:line="276" w:lineRule="auto"/>
              <w:jc w:val="center"/>
              <w:rPr>
                <w:sz w:val="22"/>
                <w:szCs w:val="22"/>
              </w:rPr>
            </w:pPr>
          </w:p>
        </w:tc>
        <w:tc>
          <w:tcPr>
            <w:tcW w:w="1440" w:type="dxa"/>
            <w:tcBorders>
              <w:top w:val="single" w:sz="12" w:space="0" w:color="auto"/>
              <w:bottom w:val="single" w:sz="12" w:space="0" w:color="auto"/>
            </w:tcBorders>
          </w:tcPr>
          <w:p>
            <w:pPr>
              <w:spacing w:line="276" w:lineRule="auto"/>
              <w:jc w:val="center"/>
              <w:rPr>
                <w:sz w:val="22"/>
                <w:szCs w:val="22"/>
              </w:rPr>
            </w:pPr>
          </w:p>
        </w:tc>
      </w:tr>
      <w:tr>
        <w:trPr>
          <w:trHeight w:val="20"/>
          <w:jc w:val="center"/>
        </w:trPr>
        <w:tc>
          <w:tcPr>
            <w:tcW w:w="2177" w:type="dxa"/>
            <w:gridSpan w:val="2"/>
            <w:tcBorders>
              <w:top w:val="single" w:sz="12" w:space="0" w:color="auto"/>
              <w:bottom w:val="double" w:sz="4" w:space="0" w:color="auto"/>
            </w:tcBorders>
            <w:vAlign w:val="center"/>
          </w:tcPr>
          <w:p>
            <w:pPr>
              <w:spacing w:line="276" w:lineRule="auto"/>
              <w:jc w:val="center"/>
              <w:rPr>
                <w:b/>
                <w:sz w:val="22"/>
                <w:szCs w:val="22"/>
              </w:rPr>
            </w:pPr>
            <w:r>
              <w:rPr>
                <w:b/>
                <w:sz w:val="22"/>
                <w:szCs w:val="22"/>
              </w:rPr>
              <w:t>TOTAL</w:t>
            </w:r>
          </w:p>
        </w:tc>
        <w:tc>
          <w:tcPr>
            <w:tcW w:w="1598" w:type="dxa"/>
            <w:tcBorders>
              <w:top w:val="single" w:sz="12" w:space="0" w:color="auto"/>
              <w:bottom w:val="double" w:sz="4" w:space="0" w:color="auto"/>
            </w:tcBorders>
            <w:vAlign w:val="center"/>
          </w:tcPr>
          <w:p>
            <w:pPr>
              <w:spacing w:line="276" w:lineRule="auto"/>
              <w:jc w:val="right"/>
              <w:rPr>
                <w:b/>
                <w:sz w:val="22"/>
                <w:szCs w:val="22"/>
              </w:rPr>
            </w:pPr>
            <w:r>
              <w:rPr>
                <w:b/>
                <w:sz w:val="22"/>
                <w:szCs w:val="22"/>
              </w:rPr>
              <w:t xml:space="preserve">P74,889,735.26 </w:t>
            </w:r>
          </w:p>
        </w:tc>
        <w:tc>
          <w:tcPr>
            <w:tcW w:w="1719" w:type="dxa"/>
            <w:tcBorders>
              <w:top w:val="single" w:sz="12" w:space="0" w:color="auto"/>
              <w:bottom w:val="double" w:sz="4" w:space="0" w:color="auto"/>
            </w:tcBorders>
            <w:vAlign w:val="center"/>
          </w:tcPr>
          <w:p>
            <w:pPr>
              <w:spacing w:line="276" w:lineRule="auto"/>
              <w:jc w:val="right"/>
              <w:rPr>
                <w:b/>
                <w:sz w:val="22"/>
                <w:szCs w:val="22"/>
              </w:rPr>
            </w:pPr>
          </w:p>
        </w:tc>
        <w:tc>
          <w:tcPr>
            <w:tcW w:w="1664" w:type="dxa"/>
            <w:tcBorders>
              <w:top w:val="single" w:sz="12" w:space="0" w:color="auto"/>
              <w:bottom w:val="double" w:sz="4" w:space="0" w:color="auto"/>
            </w:tcBorders>
            <w:vAlign w:val="center"/>
          </w:tcPr>
          <w:p>
            <w:pPr>
              <w:spacing w:line="276" w:lineRule="auto"/>
              <w:jc w:val="right"/>
              <w:rPr>
                <w:b/>
                <w:sz w:val="22"/>
                <w:szCs w:val="22"/>
              </w:rPr>
            </w:pPr>
            <w:r>
              <w:rPr>
                <w:b/>
                <w:sz w:val="22"/>
                <w:szCs w:val="22"/>
              </w:rPr>
              <w:t xml:space="preserve">P44,389,735.26 </w:t>
            </w:r>
          </w:p>
        </w:tc>
        <w:tc>
          <w:tcPr>
            <w:tcW w:w="847" w:type="dxa"/>
            <w:tcBorders>
              <w:top w:val="single" w:sz="12" w:space="0" w:color="auto"/>
              <w:bottom w:val="double" w:sz="4" w:space="0" w:color="auto"/>
            </w:tcBorders>
          </w:tcPr>
          <w:p>
            <w:pPr>
              <w:spacing w:line="276" w:lineRule="auto"/>
              <w:jc w:val="right"/>
              <w:rPr>
                <w:b/>
                <w:sz w:val="22"/>
                <w:szCs w:val="22"/>
              </w:rPr>
            </w:pPr>
          </w:p>
        </w:tc>
        <w:tc>
          <w:tcPr>
            <w:tcW w:w="1440" w:type="dxa"/>
            <w:tcBorders>
              <w:top w:val="single" w:sz="12" w:space="0" w:color="auto"/>
              <w:bottom w:val="double" w:sz="4" w:space="0" w:color="auto"/>
            </w:tcBorders>
          </w:tcPr>
          <w:p>
            <w:pPr>
              <w:spacing w:line="276" w:lineRule="auto"/>
              <w:jc w:val="right"/>
              <w:rPr>
                <w:b/>
                <w:sz w:val="22"/>
                <w:szCs w:val="22"/>
              </w:rPr>
            </w:pPr>
          </w:p>
        </w:tc>
      </w:tr>
    </w:tbl>
    <w:p>
      <w:pPr>
        <w:autoSpaceDE w:val="0"/>
        <w:autoSpaceDN w:val="0"/>
        <w:adjustRightInd w:val="0"/>
        <w:spacing w:line="276" w:lineRule="auto"/>
        <w:jc w:val="both"/>
        <w:rPr>
          <w:rFonts w:eastAsia="Calibri"/>
          <w:b/>
          <w:bCs/>
          <w:i/>
        </w:rPr>
      </w:pPr>
    </w:p>
    <w:p>
      <w:pPr>
        <w:autoSpaceDE w:val="0"/>
        <w:autoSpaceDN w:val="0"/>
        <w:adjustRightInd w:val="0"/>
        <w:spacing w:line="276" w:lineRule="auto"/>
        <w:jc w:val="both"/>
        <w:rPr>
          <w:rFonts w:eastAsia="Calibri"/>
          <w:bCs/>
        </w:rPr>
      </w:pPr>
      <w:r>
        <w:rPr>
          <w:rFonts w:eastAsia="Calibri"/>
          <w:bCs/>
        </w:rPr>
        <w:t xml:space="preserve">As shown in the table above, the total excess on the maximum cash accountability totaled to P44,389,735.26 which range from 0.44% to 1,481% of the maximum cash accountability. The cash advances included the payments of gratuity pay for job order personnel and honoraria for </w:t>
      </w:r>
      <w:proofErr w:type="spellStart"/>
      <w:r>
        <w:rPr>
          <w:rFonts w:eastAsia="Calibri"/>
          <w:bCs/>
        </w:rPr>
        <w:t>Lupong</w:t>
      </w:r>
      <w:proofErr w:type="spellEnd"/>
      <w:r>
        <w:rPr>
          <w:rFonts w:eastAsia="Calibri"/>
          <w:bCs/>
        </w:rPr>
        <w:t xml:space="preserve"> </w:t>
      </w:r>
      <w:proofErr w:type="spellStart"/>
      <w:r>
        <w:rPr>
          <w:rFonts w:eastAsia="Calibri"/>
          <w:bCs/>
        </w:rPr>
        <w:t>Tagapamayapa</w:t>
      </w:r>
      <w:proofErr w:type="spellEnd"/>
      <w:r>
        <w:rPr>
          <w:rFonts w:eastAsia="Calibri"/>
          <w:bCs/>
        </w:rPr>
        <w:t xml:space="preserve"> for the months of October to December 2022. It also includes payments of Collective Negotiation Agreement (CNA), </w:t>
      </w:r>
      <w:r>
        <w:rPr>
          <w:rFonts w:eastAsia="Calibri"/>
          <w:bCs/>
        </w:rPr>
        <w:lastRenderedPageBreak/>
        <w:t>Program on Awards &amp; Incentives for Service Excellence (PRAISE) and Service Recognition Incentive (SRI) to the City’s regular and casual employees; even though, the City Government is using the Automated Tellers Machine (ATM) payroll system for the payment of salaries and wages of its regular and casual employees.</w:t>
      </w:r>
    </w:p>
    <w:p>
      <w:pPr>
        <w:autoSpaceDE w:val="0"/>
        <w:autoSpaceDN w:val="0"/>
        <w:adjustRightInd w:val="0"/>
        <w:spacing w:line="276" w:lineRule="auto"/>
        <w:ind w:firstLine="720"/>
        <w:jc w:val="both"/>
        <w:rPr>
          <w:rFonts w:eastAsia="Calibri"/>
          <w:bCs/>
        </w:rPr>
      </w:pPr>
    </w:p>
    <w:p>
      <w:pPr>
        <w:autoSpaceDE w:val="0"/>
        <w:autoSpaceDN w:val="0"/>
        <w:adjustRightInd w:val="0"/>
        <w:spacing w:line="276" w:lineRule="auto"/>
        <w:jc w:val="both"/>
        <w:rPr>
          <w:rFonts w:eastAsia="Calibri"/>
          <w:bCs/>
        </w:rPr>
      </w:pPr>
      <w:r>
        <w:rPr>
          <w:rFonts w:eastAsia="Calibri"/>
          <w:bCs/>
        </w:rPr>
        <w:t xml:space="preserve">According to the management, it has been the practice of the City Government to pay CNA, PRAISE, SRI and other personnel benefits in cash instead through ATM payroll system to ensure that deductions and net amounts released were duly acknowledged by the individual employees. Further, ATM payroll system for all job personnel was supposed to commence in CY 2022. However, the implementation was postponed to CY 2023 due to issues encountered with the Land Bank of the Philippines – </w:t>
      </w:r>
      <w:proofErr w:type="spellStart"/>
      <w:r>
        <w:rPr>
          <w:rFonts w:eastAsia="Calibri"/>
          <w:bCs/>
        </w:rPr>
        <w:t>Panabo</w:t>
      </w:r>
      <w:proofErr w:type="spellEnd"/>
      <w:r>
        <w:rPr>
          <w:rFonts w:eastAsia="Calibri"/>
          <w:bCs/>
        </w:rPr>
        <w:t xml:space="preserve"> Branch which is beyond their control. Finally, the management added that this incidence only happens during the month December due to various benefits and incentives given to agency personnel during this period.</w:t>
      </w:r>
    </w:p>
    <w:p>
      <w:pPr>
        <w:autoSpaceDE w:val="0"/>
        <w:autoSpaceDN w:val="0"/>
        <w:adjustRightInd w:val="0"/>
        <w:spacing w:line="276" w:lineRule="auto"/>
        <w:ind w:firstLine="720"/>
        <w:jc w:val="both"/>
        <w:rPr>
          <w:rFonts w:eastAsia="Calibri"/>
          <w:bCs/>
        </w:rPr>
      </w:pPr>
    </w:p>
    <w:p>
      <w:pPr>
        <w:autoSpaceDE w:val="0"/>
        <w:autoSpaceDN w:val="0"/>
        <w:adjustRightInd w:val="0"/>
        <w:spacing w:line="276" w:lineRule="auto"/>
        <w:jc w:val="both"/>
        <w:rPr>
          <w:rFonts w:eastAsia="Calibri"/>
          <w:bCs/>
        </w:rPr>
      </w:pPr>
      <w:r>
        <w:rPr>
          <w:rFonts w:eastAsia="Calibri"/>
          <w:bCs/>
        </w:rPr>
        <w:t>Cash payment of benefits and incentives through the disbursing officers increases the risk of losing the funds through misuse and/or robbery. However, due to practical reasons, cash payment for these types of expenses is allowed by law. To protect the government, in case of loss, all accountable officials are required to be covered with duly approved fidelity bond.  Thus, granting cash advance in excess of the maximum cash accountability covered by the approved fidelity bond is contrary to sound internal control of cash management because it poses the risk of non-recovery of probable losses in case the accountable officer incurs shortage or defalcation.</w:t>
      </w:r>
    </w:p>
    <w:p>
      <w:pPr>
        <w:autoSpaceDE w:val="0"/>
        <w:autoSpaceDN w:val="0"/>
        <w:adjustRightInd w:val="0"/>
        <w:spacing w:line="276" w:lineRule="auto"/>
        <w:ind w:firstLine="720"/>
        <w:jc w:val="both"/>
        <w:rPr>
          <w:rFonts w:eastAsia="Calibri"/>
          <w:bCs/>
        </w:rPr>
      </w:pPr>
    </w:p>
    <w:p>
      <w:pPr>
        <w:autoSpaceDE w:val="0"/>
        <w:autoSpaceDN w:val="0"/>
        <w:adjustRightInd w:val="0"/>
        <w:spacing w:line="276" w:lineRule="auto"/>
        <w:jc w:val="both"/>
        <w:rPr>
          <w:rFonts w:eastAsia="Calibri"/>
          <w:bCs/>
        </w:rPr>
      </w:pPr>
      <w:r>
        <w:rPr>
          <w:rFonts w:eastAsia="Calibri"/>
          <w:bCs/>
        </w:rPr>
        <w:t>The City Treasurer’s Office is expecting higher amount of cash advances every month of December; thus, they could have increased the amount of bond coverage of the three disbursing officers in accordance with Treasury Office Order No. 11-2021. They could also have designated more disbursing officer with approved fidelity bond to enforce the three existing disbursing officers. Further, this observation is a reiteration of AOM No. 19-012 dated January 14, 2020 which remains unimplemented as to date.</w:t>
      </w:r>
    </w:p>
    <w:p>
      <w:pPr>
        <w:autoSpaceDE w:val="0"/>
        <w:autoSpaceDN w:val="0"/>
        <w:adjustRightInd w:val="0"/>
        <w:spacing w:line="276" w:lineRule="auto"/>
        <w:ind w:firstLine="720"/>
        <w:jc w:val="both"/>
        <w:rPr>
          <w:rFonts w:eastAsia="Calibri"/>
          <w:bCs/>
        </w:rPr>
      </w:pPr>
    </w:p>
    <w:p>
      <w:pPr>
        <w:autoSpaceDE w:val="0"/>
        <w:autoSpaceDN w:val="0"/>
        <w:adjustRightInd w:val="0"/>
        <w:spacing w:line="276" w:lineRule="auto"/>
        <w:jc w:val="both"/>
        <w:rPr>
          <w:rFonts w:eastAsia="Calibri"/>
          <w:bCs/>
        </w:rPr>
      </w:pPr>
      <w:r>
        <w:rPr>
          <w:rFonts w:eastAsia="Calibri"/>
          <w:bCs/>
        </w:rPr>
        <w:t>Finally, payment of benefits and incentives to agency personnel through ATM payroll system will help reduce the instances of granting of cash advances to disbursing officers ultimately avoiding going beyond their approved maximum cash accountability. ATM payroll system strengthens internal control for cash management as it requires lesser human intervention especially in the handling of cash during payment.</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
          <w:bCs/>
        </w:rPr>
      </w:pPr>
      <w:r>
        <w:rPr>
          <w:rFonts w:eastAsia="Calibri"/>
          <w:b/>
          <w:bCs/>
        </w:rPr>
        <w:t>Recommendations:</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We recommended the City Mayor the following:</w:t>
      </w:r>
    </w:p>
    <w:p>
      <w:pPr>
        <w:numPr>
          <w:ilvl w:val="0"/>
          <w:numId w:val="48"/>
        </w:numPr>
        <w:autoSpaceDE w:val="0"/>
        <w:autoSpaceDN w:val="0"/>
        <w:adjustRightInd w:val="0"/>
        <w:spacing w:line="276" w:lineRule="auto"/>
        <w:ind w:left="360"/>
        <w:jc w:val="both"/>
        <w:rPr>
          <w:rFonts w:eastAsia="Calibri"/>
          <w:bCs/>
        </w:rPr>
      </w:pPr>
      <w:r>
        <w:rPr>
          <w:rFonts w:eastAsia="Calibri"/>
          <w:bCs/>
        </w:rPr>
        <w:lastRenderedPageBreak/>
        <w:t>Refrain from granting cash advances to accountable officers beyond their allowed maximum cash accountabilities; to designate additional disbursing officers duly covered with fidelity bond; and/or to increase the bond coverage of the Disbursing Officers sufficient to cover their actual accountabilities; and</w:t>
      </w:r>
    </w:p>
    <w:p>
      <w:pPr>
        <w:autoSpaceDE w:val="0"/>
        <w:autoSpaceDN w:val="0"/>
        <w:adjustRightInd w:val="0"/>
        <w:spacing w:line="276" w:lineRule="auto"/>
        <w:ind w:left="1080"/>
        <w:contextualSpacing/>
        <w:jc w:val="both"/>
        <w:rPr>
          <w:rFonts w:eastAsia="Calibri"/>
          <w:bCs/>
        </w:rPr>
      </w:pPr>
    </w:p>
    <w:p>
      <w:pPr>
        <w:numPr>
          <w:ilvl w:val="0"/>
          <w:numId w:val="48"/>
        </w:numPr>
        <w:autoSpaceDE w:val="0"/>
        <w:autoSpaceDN w:val="0"/>
        <w:adjustRightInd w:val="0"/>
        <w:spacing w:line="276" w:lineRule="auto"/>
        <w:ind w:left="360"/>
        <w:jc w:val="both"/>
        <w:rPr>
          <w:rFonts w:eastAsia="Calibri"/>
          <w:bCs/>
        </w:rPr>
      </w:pPr>
      <w:r>
        <w:rPr>
          <w:rFonts w:eastAsia="Calibri"/>
          <w:bCs/>
        </w:rPr>
        <w:t>Direct the City Treasurer’s Office and the City Human Resource Management Office to fast tract the ATM Payroll System for job order personnel and refrain from releasing the benefits and/or incentives of regular and casual employees through the disbursing officers.</w:t>
      </w:r>
    </w:p>
    <w:p>
      <w:pPr>
        <w:pStyle w:val="ListParagraph"/>
        <w:spacing w:after="0"/>
        <w:ind w:left="0"/>
        <w:contextualSpacing w:val="0"/>
        <w:jc w:val="both"/>
        <w:rPr>
          <w:rFonts w:ascii="Times New Roman" w:hAnsi="Times New Roman"/>
          <w:sz w:val="24"/>
          <w:szCs w:val="24"/>
        </w:rPr>
      </w:pPr>
    </w:p>
    <w:p>
      <w:pPr>
        <w:spacing w:line="276" w:lineRule="auto"/>
        <w:ind w:right="162"/>
        <w:jc w:val="both"/>
        <w:rPr>
          <w:b/>
          <w:bCs/>
        </w:rPr>
      </w:pPr>
      <w:r>
        <w:rPr>
          <w:b/>
          <w:bCs/>
        </w:rPr>
        <w:t>Management’s Comments:</w:t>
      </w:r>
    </w:p>
    <w:p>
      <w:pPr>
        <w:spacing w:line="276" w:lineRule="auto"/>
        <w:jc w:val="both"/>
        <w:rPr>
          <w:color w:val="FF0000"/>
        </w:rPr>
      </w:pPr>
    </w:p>
    <w:p>
      <w:pPr>
        <w:spacing w:line="276" w:lineRule="auto"/>
        <w:jc w:val="both"/>
      </w:pPr>
      <w:r>
        <w:t xml:space="preserve">The management was amenable to the audit observations and recommendations. CTO explained that due to the necessity for the management to conduct reshuffling of personnel, the City Treasurer issued Office Memorandum No. 2022-12-0332 to designated Mr. Sandy Sangco, LRCO I, as Disbursing Officer effective December 16, 2022. However, the increase on the fidelity bond of Mr. Sangco was not processed due to the early closing of incurrence of obligations last December 2, 2022. Nevertheless, the increase in his fidelity bond was already processed last January 18, 2023. </w:t>
      </w:r>
    </w:p>
    <w:p>
      <w:pPr>
        <w:spacing w:line="276" w:lineRule="auto"/>
        <w:jc w:val="both"/>
      </w:pPr>
    </w:p>
    <w:p>
      <w:pPr>
        <w:spacing w:line="276" w:lineRule="auto"/>
        <w:jc w:val="both"/>
      </w:pPr>
      <w:r>
        <w:t xml:space="preserve">The CTO pledged to coordinate with the concerned office(s) with regards to the preparation of payrolls and DVs and to furnish copy of Bureau of Treasury confirmation letter for reference to avoid granting of cash advances in excess of the maximum cash accountability of each DO. </w:t>
      </w:r>
    </w:p>
    <w:p>
      <w:pPr>
        <w:spacing w:line="276" w:lineRule="auto"/>
        <w:jc w:val="both"/>
      </w:pPr>
    </w:p>
    <w:p>
      <w:pPr>
        <w:spacing w:line="276" w:lineRule="auto"/>
        <w:jc w:val="both"/>
      </w:pPr>
      <w:r>
        <w:t>They added that due to inadequacy on the number of personnels, only two staff were designated as Disbursing Officers. The City Treasurer agrees of the need to increase maximum cash accountability in accordance with Treasury Circular No. 02-2019. However, due to limited existing appropriations on fidelity bond premiums, the City Treasurer planned to request an additional appropriation for said purpose.</w:t>
      </w:r>
    </w:p>
    <w:p>
      <w:pPr>
        <w:spacing w:line="276" w:lineRule="auto"/>
        <w:jc w:val="both"/>
      </w:pPr>
    </w:p>
    <w:p>
      <w:pPr>
        <w:spacing w:line="276" w:lineRule="auto"/>
        <w:jc w:val="both"/>
      </w:pPr>
      <w:r>
        <w:t xml:space="preserve">Finally, the ATM Payroll system for job orders were already implemented starting January 2023. The CTO acknowledged its benefit in minimizing the bulk of cash handled by the DOs as well as the face-to-face interaction with claimants considering the pandemic. </w:t>
      </w:r>
    </w:p>
    <w:p>
      <w:pPr>
        <w:spacing w:line="276" w:lineRule="auto"/>
        <w:jc w:val="both"/>
      </w:pPr>
    </w:p>
    <w:p>
      <w:pPr>
        <w:spacing w:line="276" w:lineRule="auto"/>
        <w:jc w:val="both"/>
      </w:pPr>
      <w:r>
        <w:t>The CTO assured the compliance with relevant rules and procedures in handling public funds and endeavored the implementation of ATM payroll scheme for all money claims by regular, casual and job order personnel.</w:t>
      </w:r>
    </w:p>
    <w:p>
      <w:pPr>
        <w:spacing w:line="276" w:lineRule="auto"/>
        <w:jc w:val="both"/>
      </w:pPr>
    </w:p>
    <w:p>
      <w:pPr>
        <w:spacing w:line="276" w:lineRule="auto"/>
        <w:jc w:val="both"/>
      </w:pPr>
      <w:r>
        <w:lastRenderedPageBreak/>
        <w:t>On the other hand, the City Accountant and City Budget Officer in collaboration with CHRMO planned to come up for alternate proposals to improve the remunerations received by JOs and also undertake to revisit the disbursement process of the CNA incentives in full consideration of strengthening the management’s internal controls in protection of the LGUs interests and that of its stakeholders as well.</w:t>
      </w:r>
    </w:p>
    <w:p>
      <w:pPr>
        <w:spacing w:line="276" w:lineRule="auto"/>
        <w:jc w:val="both"/>
      </w:pPr>
    </w:p>
    <w:p>
      <w:pPr>
        <w:spacing w:line="276" w:lineRule="auto"/>
        <w:jc w:val="both"/>
      </w:pPr>
      <w:r>
        <w:t xml:space="preserve">The CHRMO further informed that migration of the payroll system of the JOs to ATM scheme took effect for the January 2023 salaries. The Office originally intended for its implementation in the middle of CY 2022, however, LBP could not cater the 1,000 plus personnel immediately as they only allowed a maximum of 30 applications per day. Furthermore, issues were also encountered in the bank’s enrollment system for new accounts which was halted in the middle of September up to December 2022. In addition, the Office have also applied for the activation of more features in the City Government’s </w:t>
      </w:r>
      <w:proofErr w:type="spellStart"/>
      <w:r>
        <w:t>weAccess</w:t>
      </w:r>
      <w:proofErr w:type="spellEnd"/>
      <w:r>
        <w:t xml:space="preserve"> system to enable the disbursing of salaries through auto credit to the respective payroll/savings account without the need for check preparation or manual delivery to the bank for crediting.</w:t>
      </w:r>
    </w:p>
    <w:p>
      <w:pPr>
        <w:spacing w:line="276" w:lineRule="auto"/>
        <w:jc w:val="both"/>
      </w:pPr>
    </w:p>
    <w:p>
      <w:pPr>
        <w:spacing w:line="276" w:lineRule="auto"/>
        <w:jc w:val="both"/>
      </w:pPr>
      <w:r>
        <w:t>The management assured the full commitment towards the provision of public service and the improvement of performance for the interest of good governance.</w:t>
      </w:r>
    </w:p>
    <w:p>
      <w:pPr>
        <w:pStyle w:val="ListParagraph"/>
        <w:spacing w:after="0"/>
        <w:ind w:left="0"/>
        <w:contextualSpacing w:val="0"/>
        <w:jc w:val="both"/>
        <w:rPr>
          <w:rFonts w:ascii="Times New Roman" w:hAnsi="Times New Roman"/>
          <w:b/>
          <w:sz w:val="24"/>
          <w:szCs w:val="24"/>
        </w:rPr>
      </w:pPr>
    </w:p>
    <w:p>
      <w:pPr>
        <w:pStyle w:val="ListParagraph"/>
        <w:spacing w:after="0"/>
        <w:ind w:left="0"/>
        <w:contextualSpacing w:val="0"/>
        <w:jc w:val="both"/>
        <w:rPr>
          <w:rFonts w:ascii="Times New Roman" w:hAnsi="Times New Roman"/>
          <w:b/>
          <w:sz w:val="24"/>
          <w:szCs w:val="24"/>
        </w:rPr>
      </w:pPr>
    </w:p>
    <w:p>
      <w:pPr>
        <w:pStyle w:val="ListParagraph"/>
        <w:numPr>
          <w:ilvl w:val="0"/>
          <w:numId w:val="1"/>
        </w:numPr>
        <w:spacing w:after="0"/>
        <w:ind w:left="426" w:right="270" w:hanging="426"/>
        <w:rPr>
          <w:rFonts w:ascii="Times New Roman" w:hAnsi="Times New Roman"/>
          <w:b/>
          <w:sz w:val="24"/>
          <w:szCs w:val="24"/>
        </w:rPr>
      </w:pPr>
      <w:r>
        <w:rPr>
          <w:rFonts w:ascii="Times New Roman" w:hAnsi="Times New Roman"/>
          <w:b/>
          <w:sz w:val="24"/>
          <w:szCs w:val="24"/>
        </w:rPr>
        <w:t>UTILIZATION OF FUND</w:t>
      </w:r>
    </w:p>
    <w:p>
      <w:pPr>
        <w:pStyle w:val="ListParagraph"/>
        <w:spacing w:after="0"/>
        <w:ind w:left="0"/>
        <w:contextualSpacing w:val="0"/>
        <w:jc w:val="both"/>
        <w:rPr>
          <w:rFonts w:ascii="Times New Roman" w:hAnsi="Times New Roman"/>
          <w:b/>
          <w:sz w:val="24"/>
          <w:szCs w:val="24"/>
        </w:rPr>
      </w:pPr>
    </w:p>
    <w:p>
      <w:pPr>
        <w:pStyle w:val="ListParagraph"/>
        <w:spacing w:after="0"/>
        <w:ind w:left="0"/>
        <w:contextualSpacing w:val="0"/>
        <w:jc w:val="both"/>
        <w:rPr>
          <w:rFonts w:ascii="Times New Roman" w:hAnsi="Times New Roman"/>
          <w:b/>
          <w:bCs/>
          <w:i/>
          <w:sz w:val="24"/>
          <w:szCs w:val="24"/>
        </w:rPr>
      </w:pPr>
      <w:r>
        <w:rPr>
          <w:rFonts w:ascii="Times New Roman" w:hAnsi="Times New Roman"/>
          <w:b/>
          <w:bCs/>
          <w:i/>
          <w:sz w:val="24"/>
          <w:szCs w:val="24"/>
        </w:rPr>
        <w:t xml:space="preserve">Underutilization of funds and delayed implementation of projects </w:t>
      </w:r>
    </w:p>
    <w:p>
      <w:pPr>
        <w:pStyle w:val="ListParagraph"/>
        <w:spacing w:after="0"/>
        <w:ind w:left="0"/>
        <w:contextualSpacing w:val="0"/>
        <w:jc w:val="both"/>
        <w:rPr>
          <w:rFonts w:ascii="Times New Roman" w:hAnsi="Times New Roman"/>
          <w:b/>
          <w:sz w:val="24"/>
          <w:szCs w:val="24"/>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lang w:eastAsia="en-PH"/>
        </w:rPr>
        <w:t xml:space="preserve">Underutilization of allotted funds totaling P415,712,134.30 and delay in the implementation of projects </w:t>
      </w:r>
      <w:proofErr w:type="spellStart"/>
      <w:r>
        <w:rPr>
          <w:rFonts w:ascii="Times New Roman" w:hAnsi="Times New Roman"/>
          <w:b/>
          <w:sz w:val="24"/>
          <w:szCs w:val="24"/>
          <w:lang w:eastAsia="en-PH"/>
        </w:rPr>
        <w:t>totalling</w:t>
      </w:r>
      <w:proofErr w:type="spellEnd"/>
      <w:r>
        <w:rPr>
          <w:rFonts w:ascii="Times New Roman" w:hAnsi="Times New Roman"/>
          <w:b/>
          <w:sz w:val="24"/>
          <w:szCs w:val="24"/>
          <w:lang w:eastAsia="en-PH"/>
        </w:rPr>
        <w:t xml:space="preserve"> P154,489,595.30 affects the efficiency and economy in the government operation and deprives the constituents of the expected benefits that could have been derived therefrom; while, unexpended balances totaling P5,080,330.04 of completed projects with continuing appropriation were not reverted to the unappropriated surplus </w:t>
      </w:r>
      <w:r>
        <w:rPr>
          <w:rFonts w:ascii="Times New Roman" w:hAnsi="Times New Roman"/>
          <w:b/>
          <w:bCs/>
          <w:sz w:val="24"/>
          <w:szCs w:val="24"/>
          <w:lang w:eastAsia="en-PH"/>
        </w:rPr>
        <w:t>which could have been utilized to fund other priority projects/programs/activities of the government.</w:t>
      </w:r>
    </w:p>
    <w:p>
      <w:pPr>
        <w:spacing w:line="276" w:lineRule="auto"/>
        <w:ind w:left="720" w:right="360"/>
        <w:jc w:val="both"/>
        <w:rPr>
          <w:lang w:eastAsia="en-PH"/>
        </w:rPr>
      </w:pPr>
    </w:p>
    <w:p>
      <w:pPr>
        <w:spacing w:line="276" w:lineRule="auto"/>
        <w:jc w:val="both"/>
        <w:rPr>
          <w:lang w:eastAsia="en-PH"/>
        </w:rPr>
      </w:pPr>
      <w:r>
        <w:rPr>
          <w:lang w:eastAsia="en-PH"/>
        </w:rPr>
        <w:t xml:space="preserve">Based on the Statement of Appropriation, Allotment, Obligations and Balances as of December 31, 2022, the total allotted funds for all Programs/Projects/Activities under Current and Continuing Appropriations totaled to more than P2.5 Billion.  On the other hand, the total obligations incurred were more than P1.7 Billion or equivalent to a 70.23% utilization rate. However, the utilization rate for the allotments for continuing appropriations was only at 58.51%. Continuing appropriations mainly consist of PPAs under capital outlay which pertains to either infrastructure or non-infrastructure projects. </w:t>
      </w:r>
      <w:r>
        <w:rPr>
          <w:lang w:eastAsia="en-PH"/>
        </w:rPr>
        <w:lastRenderedPageBreak/>
        <w:t>Infrastructure projects pertain to the constructions/rehabilitation/completion of buildings, roads, water system, and other facilities while non-infrastructure projects pertain mostly to the procurement of property, plant and equipment. Table 22.1 presents the details of the total allotment and obligations per fund under the current and continuing appropriations. On the other hand, Table 22.2 presents the percentage of utilization of allotted fund based on the obligations incurred.</w:t>
      </w:r>
    </w:p>
    <w:p>
      <w:pPr>
        <w:spacing w:line="276" w:lineRule="auto"/>
        <w:ind w:right="360"/>
        <w:jc w:val="both"/>
        <w:rPr>
          <w:lang w:eastAsia="en-PH"/>
        </w:rPr>
      </w:pPr>
    </w:p>
    <w:p>
      <w:pPr>
        <w:spacing w:line="276" w:lineRule="auto"/>
        <w:ind w:right="360"/>
        <w:jc w:val="both"/>
        <w:rPr>
          <w:i/>
          <w:lang w:eastAsia="en-PH"/>
        </w:rPr>
      </w:pPr>
      <w:r>
        <w:rPr>
          <w:lang w:eastAsia="en-PH"/>
        </w:rPr>
        <w:t xml:space="preserve">    </w:t>
      </w:r>
      <w:r>
        <w:rPr>
          <w:i/>
          <w:lang w:eastAsia="en-PH"/>
        </w:rPr>
        <w:t>Table 22.1. Schedule of allotment and obligations as at December 31, 2022</w:t>
      </w:r>
    </w:p>
    <w:tbl>
      <w:tblPr>
        <w:tblW w:w="8237" w:type="dxa"/>
        <w:jc w:val="center"/>
        <w:tblLayout w:type="fixed"/>
        <w:tblLook w:val="04A0" w:firstRow="1" w:lastRow="0" w:firstColumn="1" w:lastColumn="0" w:noHBand="0" w:noVBand="1"/>
      </w:tblPr>
      <w:tblGrid>
        <w:gridCol w:w="3701"/>
        <w:gridCol w:w="2268"/>
        <w:gridCol w:w="2268"/>
      </w:tblGrid>
      <w:tr>
        <w:trPr>
          <w:trHeight w:val="227"/>
          <w:tblHeader/>
          <w:jc w:val="center"/>
        </w:trPr>
        <w:tc>
          <w:tcPr>
            <w:tcW w:w="370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pPr>
              <w:spacing w:line="276" w:lineRule="auto"/>
              <w:rPr>
                <w:b/>
                <w:color w:val="000000"/>
                <w:sz w:val="22"/>
                <w:szCs w:val="22"/>
                <w:lang w:val="en-PH" w:eastAsia="en-PH"/>
              </w:rPr>
            </w:pPr>
            <w:r>
              <w:rPr>
                <w:b/>
                <w:color w:val="000000"/>
                <w:sz w:val="22"/>
                <w:szCs w:val="22"/>
                <w:lang w:val="en-PH" w:eastAsia="en-PH"/>
              </w:rPr>
              <w:t> </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pPr>
              <w:spacing w:line="276" w:lineRule="auto"/>
              <w:jc w:val="center"/>
              <w:rPr>
                <w:b/>
                <w:color w:val="000000"/>
                <w:sz w:val="22"/>
                <w:szCs w:val="22"/>
                <w:lang w:val="en-PH" w:eastAsia="en-PH"/>
              </w:rPr>
            </w:pPr>
            <w:r>
              <w:rPr>
                <w:b/>
                <w:color w:val="000000"/>
                <w:sz w:val="22"/>
                <w:szCs w:val="22"/>
                <w:lang w:val="en-PH" w:eastAsia="en-PH"/>
              </w:rPr>
              <w:t xml:space="preserve"> Allotment </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pPr>
              <w:spacing w:line="276" w:lineRule="auto"/>
              <w:jc w:val="center"/>
              <w:rPr>
                <w:b/>
                <w:color w:val="000000"/>
                <w:sz w:val="22"/>
                <w:szCs w:val="22"/>
                <w:lang w:val="en-PH" w:eastAsia="en-PH"/>
              </w:rPr>
            </w:pPr>
            <w:r>
              <w:rPr>
                <w:b/>
                <w:color w:val="000000"/>
                <w:sz w:val="22"/>
                <w:szCs w:val="22"/>
                <w:lang w:val="en-PH" w:eastAsia="en-PH"/>
              </w:rPr>
              <w:t xml:space="preserve"> Obligations </w:t>
            </w:r>
          </w:p>
        </w:tc>
      </w:tr>
      <w:tr>
        <w:trPr>
          <w:trHeight w:val="227"/>
          <w:jc w:val="center"/>
        </w:trPr>
        <w:tc>
          <w:tcPr>
            <w:tcW w:w="8237" w:type="dxa"/>
            <w:gridSpan w:val="3"/>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jc w:val="center"/>
              <w:rPr>
                <w:color w:val="000000"/>
                <w:sz w:val="22"/>
                <w:szCs w:val="22"/>
                <w:lang w:val="en-PH" w:eastAsia="en-PH"/>
              </w:rPr>
            </w:pPr>
            <w:r>
              <w:rPr>
                <w:color w:val="000000"/>
                <w:sz w:val="22"/>
                <w:szCs w:val="22"/>
                <w:lang w:val="en-PH" w:eastAsia="en-PH"/>
              </w:rPr>
              <w:t>CURRENT APPROPRIATION</w:t>
            </w:r>
          </w:p>
        </w:tc>
      </w:tr>
      <w:tr>
        <w:trPr>
          <w:trHeight w:val="227"/>
          <w:jc w:val="center"/>
        </w:trPr>
        <w:tc>
          <w:tcPr>
            <w:tcW w:w="3701"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General fund</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P1,655,635,702.40 </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P1,258,754,183.91 </w:t>
            </w:r>
          </w:p>
        </w:tc>
      </w:tr>
      <w:tr>
        <w:trPr>
          <w:trHeight w:val="227"/>
          <w:jc w:val="center"/>
        </w:trPr>
        <w:tc>
          <w:tcPr>
            <w:tcW w:w="3701"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Special education fund</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69,164,680.85 </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48,093,142.84 </w:t>
            </w:r>
          </w:p>
        </w:tc>
      </w:tr>
      <w:tr>
        <w:trPr>
          <w:trHeight w:val="227"/>
          <w:jc w:val="center"/>
        </w:trPr>
        <w:tc>
          <w:tcPr>
            <w:tcW w:w="3701"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i/>
                <w:color w:val="000000"/>
                <w:sz w:val="22"/>
                <w:szCs w:val="22"/>
                <w:lang w:val="en-PH" w:eastAsia="en-PH"/>
              </w:rPr>
            </w:pPr>
            <w:r>
              <w:rPr>
                <w:b/>
                <w:i/>
                <w:color w:val="000000"/>
                <w:sz w:val="22"/>
                <w:szCs w:val="22"/>
                <w:lang w:val="en-PH" w:eastAsia="en-PH"/>
              </w:rPr>
              <w:t>Total current appropriation</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b/>
                <w:i/>
                <w:color w:val="000000"/>
                <w:sz w:val="22"/>
                <w:szCs w:val="22"/>
                <w:lang w:val="en-PH" w:eastAsia="en-PH"/>
              </w:rPr>
            </w:pPr>
            <w:r>
              <w:rPr>
                <w:b/>
                <w:i/>
                <w:color w:val="000000"/>
                <w:sz w:val="22"/>
                <w:szCs w:val="22"/>
                <w:lang w:val="en-PH" w:eastAsia="en-PH"/>
              </w:rPr>
              <w:t xml:space="preserve">  1,724,800,383.25 </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b/>
                <w:i/>
                <w:color w:val="000000"/>
                <w:sz w:val="22"/>
                <w:szCs w:val="22"/>
                <w:lang w:val="en-PH" w:eastAsia="en-PH"/>
              </w:rPr>
            </w:pPr>
            <w:r>
              <w:rPr>
                <w:b/>
                <w:i/>
                <w:color w:val="000000"/>
                <w:sz w:val="22"/>
                <w:szCs w:val="22"/>
                <w:lang w:val="en-PH" w:eastAsia="en-PH"/>
              </w:rPr>
              <w:t xml:space="preserve">  1,306,847,326.75 </w:t>
            </w:r>
          </w:p>
        </w:tc>
      </w:tr>
      <w:tr>
        <w:trPr>
          <w:trHeight w:val="227"/>
          <w:jc w:val="center"/>
        </w:trPr>
        <w:tc>
          <w:tcPr>
            <w:tcW w:w="8237" w:type="dxa"/>
            <w:gridSpan w:val="3"/>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jc w:val="center"/>
              <w:rPr>
                <w:color w:val="000000"/>
                <w:sz w:val="22"/>
                <w:szCs w:val="22"/>
                <w:lang w:val="en-PH" w:eastAsia="en-PH"/>
              </w:rPr>
            </w:pPr>
            <w:r>
              <w:rPr>
                <w:color w:val="000000"/>
                <w:sz w:val="22"/>
                <w:szCs w:val="22"/>
                <w:lang w:val="en-PH" w:eastAsia="en-PH"/>
              </w:rPr>
              <w:t>CONTINUING APPROPRIATION</w:t>
            </w:r>
          </w:p>
        </w:tc>
      </w:tr>
      <w:tr>
        <w:trPr>
          <w:trHeight w:val="227"/>
          <w:jc w:val="center"/>
        </w:trPr>
        <w:tc>
          <w:tcPr>
            <w:tcW w:w="3701" w:type="dxa"/>
            <w:tcBorders>
              <w:top w:val="nil"/>
              <w:left w:val="single" w:sz="4" w:space="0" w:color="auto"/>
              <w:right w:val="single" w:sz="4" w:space="0" w:color="auto"/>
            </w:tcBorders>
            <w:shd w:val="clear" w:color="auto" w:fill="auto"/>
            <w:noWrap/>
            <w:vAlign w:val="bottom"/>
            <w:hideMark/>
          </w:tcPr>
          <w:p>
            <w:pPr>
              <w:spacing w:line="276" w:lineRule="auto"/>
              <w:rPr>
                <w:color w:val="000000"/>
                <w:sz w:val="22"/>
                <w:szCs w:val="22"/>
                <w:u w:val="single"/>
                <w:lang w:val="en-PH" w:eastAsia="en-PH"/>
              </w:rPr>
            </w:pPr>
            <w:r>
              <w:rPr>
                <w:color w:val="000000"/>
                <w:sz w:val="22"/>
                <w:szCs w:val="22"/>
                <w:u w:val="single"/>
                <w:lang w:val="en-PH" w:eastAsia="en-PH"/>
              </w:rPr>
              <w:t>General fund</w:t>
            </w:r>
          </w:p>
        </w:tc>
        <w:tc>
          <w:tcPr>
            <w:tcW w:w="2268" w:type="dxa"/>
            <w:tcBorders>
              <w:top w:val="nil"/>
              <w:left w:val="nil"/>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w:t>
            </w:r>
          </w:p>
        </w:tc>
        <w:tc>
          <w:tcPr>
            <w:tcW w:w="2268" w:type="dxa"/>
            <w:tcBorders>
              <w:top w:val="nil"/>
              <w:left w:val="nil"/>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w:t>
            </w:r>
          </w:p>
        </w:tc>
      </w:tr>
      <w:tr>
        <w:trPr>
          <w:trHeight w:val="227"/>
          <w:jc w:val="center"/>
        </w:trPr>
        <w:tc>
          <w:tcPr>
            <w:tcW w:w="3701" w:type="dxa"/>
            <w:tcBorders>
              <w:top w:val="nil"/>
              <w:left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       CY 2017</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2,262,192.41 </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295,962.24 </w:t>
            </w:r>
          </w:p>
        </w:tc>
      </w:tr>
      <w:tr>
        <w:trPr>
          <w:trHeight w:val="227"/>
          <w:jc w:val="center"/>
        </w:trPr>
        <w:tc>
          <w:tcPr>
            <w:tcW w:w="3701" w:type="dxa"/>
            <w:tcBorders>
              <w:top w:val="nil"/>
              <w:left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       CY 2018</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81,085,674.37 </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436,183.00 </w:t>
            </w:r>
          </w:p>
        </w:tc>
      </w:tr>
      <w:tr>
        <w:trPr>
          <w:trHeight w:val="227"/>
          <w:jc w:val="center"/>
        </w:trPr>
        <w:tc>
          <w:tcPr>
            <w:tcW w:w="3701" w:type="dxa"/>
            <w:tcBorders>
              <w:top w:val="nil"/>
              <w:left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       CY 2019</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22,371,954.57 </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3,312,111.84 </w:t>
            </w:r>
          </w:p>
        </w:tc>
      </w:tr>
      <w:tr>
        <w:trPr>
          <w:trHeight w:val="227"/>
          <w:jc w:val="center"/>
        </w:trPr>
        <w:tc>
          <w:tcPr>
            <w:tcW w:w="3701" w:type="dxa"/>
            <w:tcBorders>
              <w:top w:val="nil"/>
              <w:left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       CY 2020</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47,411,967.25 </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36,452,944.59 </w:t>
            </w:r>
          </w:p>
        </w:tc>
      </w:tr>
      <w:tr>
        <w:trPr>
          <w:trHeight w:val="227"/>
          <w:jc w:val="center"/>
        </w:trPr>
        <w:tc>
          <w:tcPr>
            <w:tcW w:w="3701" w:type="dxa"/>
            <w:tcBorders>
              <w:left w:val="single" w:sz="4" w:space="0" w:color="auto"/>
              <w:bottom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       CY 2021</w:t>
            </w:r>
          </w:p>
        </w:tc>
        <w:tc>
          <w:tcPr>
            <w:tcW w:w="2268" w:type="dxa"/>
            <w:tcBorders>
              <w:left w:val="nil"/>
              <w:bottom w:val="single" w:sz="4" w:space="0" w:color="auto"/>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625,293,560.37 </w:t>
            </w:r>
          </w:p>
        </w:tc>
        <w:tc>
          <w:tcPr>
            <w:tcW w:w="2268" w:type="dxa"/>
            <w:tcBorders>
              <w:left w:val="nil"/>
              <w:bottom w:val="single" w:sz="4" w:space="0" w:color="auto"/>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404,492,325.75 </w:t>
            </w:r>
          </w:p>
        </w:tc>
      </w:tr>
      <w:tr>
        <w:trPr>
          <w:trHeight w:val="227"/>
          <w:jc w:val="center"/>
        </w:trPr>
        <w:tc>
          <w:tcPr>
            <w:tcW w:w="3701"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jc w:val="right"/>
              <w:rPr>
                <w:i/>
                <w:color w:val="000000"/>
                <w:sz w:val="22"/>
                <w:szCs w:val="22"/>
                <w:lang w:val="en-PH" w:eastAsia="en-PH"/>
              </w:rPr>
            </w:pPr>
            <w:r>
              <w:rPr>
                <w:i/>
                <w:color w:val="000000"/>
                <w:sz w:val="22"/>
                <w:szCs w:val="22"/>
                <w:lang w:val="en-PH" w:eastAsia="en-PH"/>
              </w:rPr>
              <w:t> Sub-total</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i/>
                <w:color w:val="000000"/>
                <w:sz w:val="22"/>
                <w:szCs w:val="22"/>
                <w:lang w:val="en-PH" w:eastAsia="en-PH"/>
              </w:rPr>
            </w:pPr>
            <w:r>
              <w:rPr>
                <w:i/>
                <w:color w:val="000000"/>
                <w:sz w:val="22"/>
                <w:szCs w:val="22"/>
                <w:lang w:val="en-PH" w:eastAsia="en-PH"/>
              </w:rPr>
              <w:t xml:space="preserve">    778,425,348.97 </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i/>
                <w:color w:val="000000"/>
                <w:sz w:val="22"/>
                <w:szCs w:val="22"/>
                <w:lang w:val="en-PH" w:eastAsia="en-PH"/>
              </w:rPr>
            </w:pPr>
            <w:r>
              <w:rPr>
                <w:i/>
                <w:color w:val="000000"/>
                <w:sz w:val="22"/>
                <w:szCs w:val="22"/>
                <w:lang w:val="en-PH" w:eastAsia="en-PH"/>
              </w:rPr>
              <w:t xml:space="preserve">    444,989,527.42 </w:t>
            </w:r>
          </w:p>
        </w:tc>
      </w:tr>
      <w:tr>
        <w:trPr>
          <w:trHeight w:val="227"/>
          <w:jc w:val="center"/>
        </w:trPr>
        <w:tc>
          <w:tcPr>
            <w:tcW w:w="3701" w:type="dxa"/>
            <w:tcBorders>
              <w:top w:val="nil"/>
              <w:left w:val="single" w:sz="4" w:space="0" w:color="auto"/>
              <w:right w:val="single" w:sz="4" w:space="0" w:color="auto"/>
            </w:tcBorders>
            <w:shd w:val="clear" w:color="auto" w:fill="auto"/>
            <w:noWrap/>
            <w:vAlign w:val="bottom"/>
            <w:hideMark/>
          </w:tcPr>
          <w:p>
            <w:pPr>
              <w:spacing w:line="276" w:lineRule="auto"/>
              <w:rPr>
                <w:color w:val="000000"/>
                <w:sz w:val="22"/>
                <w:szCs w:val="22"/>
                <w:u w:val="single"/>
                <w:lang w:val="en-PH" w:eastAsia="en-PH"/>
              </w:rPr>
            </w:pPr>
            <w:r>
              <w:rPr>
                <w:color w:val="000000"/>
                <w:sz w:val="22"/>
                <w:szCs w:val="22"/>
                <w:u w:val="single"/>
                <w:lang w:val="en-PH" w:eastAsia="en-PH"/>
              </w:rPr>
              <w:t>Special education fund</w:t>
            </w:r>
          </w:p>
        </w:tc>
        <w:tc>
          <w:tcPr>
            <w:tcW w:w="2268" w:type="dxa"/>
            <w:tcBorders>
              <w:top w:val="nil"/>
              <w:left w:val="nil"/>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w:t>
            </w:r>
          </w:p>
        </w:tc>
      </w:tr>
      <w:tr>
        <w:trPr>
          <w:trHeight w:val="227"/>
          <w:jc w:val="center"/>
        </w:trPr>
        <w:tc>
          <w:tcPr>
            <w:tcW w:w="3701" w:type="dxa"/>
            <w:tcBorders>
              <w:top w:val="nil"/>
              <w:left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       CY 2019</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4,496,543.99 </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3,996,543.99 </w:t>
            </w:r>
          </w:p>
        </w:tc>
      </w:tr>
      <w:tr>
        <w:trPr>
          <w:trHeight w:val="227"/>
          <w:jc w:val="center"/>
        </w:trPr>
        <w:tc>
          <w:tcPr>
            <w:tcW w:w="3701" w:type="dxa"/>
            <w:tcBorders>
              <w:top w:val="nil"/>
              <w:left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       CY 2020</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3,816,653.05 </w:t>
            </w:r>
          </w:p>
        </w:tc>
        <w:tc>
          <w:tcPr>
            <w:tcW w:w="2268" w:type="dxa"/>
            <w:tcBorders>
              <w:top w:val="nil"/>
              <w:left w:val="nil"/>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3,816,653.05 </w:t>
            </w:r>
          </w:p>
        </w:tc>
      </w:tr>
      <w:tr>
        <w:trPr>
          <w:trHeight w:val="227"/>
          <w:jc w:val="center"/>
        </w:trPr>
        <w:tc>
          <w:tcPr>
            <w:tcW w:w="3701" w:type="dxa"/>
            <w:tcBorders>
              <w:left w:val="single" w:sz="4" w:space="0" w:color="auto"/>
              <w:bottom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xml:space="preserve">       CY 2021</w:t>
            </w:r>
          </w:p>
        </w:tc>
        <w:tc>
          <w:tcPr>
            <w:tcW w:w="2268" w:type="dxa"/>
            <w:tcBorders>
              <w:left w:val="nil"/>
              <w:bottom w:val="single" w:sz="4" w:space="0" w:color="auto"/>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27,540,448.71 </w:t>
            </w:r>
          </w:p>
        </w:tc>
        <w:tc>
          <w:tcPr>
            <w:tcW w:w="2268" w:type="dxa"/>
            <w:tcBorders>
              <w:left w:val="nil"/>
              <w:bottom w:val="single" w:sz="4" w:space="0" w:color="auto"/>
              <w:right w:val="single" w:sz="4" w:space="0" w:color="auto"/>
            </w:tcBorders>
            <w:shd w:val="clear" w:color="auto" w:fill="auto"/>
            <w:noWrap/>
            <w:vAlign w:val="bottom"/>
            <w:hideMark/>
          </w:tcPr>
          <w:p>
            <w:pPr>
              <w:spacing w:line="276" w:lineRule="auto"/>
              <w:jc w:val="right"/>
              <w:rPr>
                <w:color w:val="000000"/>
                <w:sz w:val="22"/>
                <w:szCs w:val="22"/>
                <w:lang w:val="en-PH" w:eastAsia="en-PH"/>
              </w:rPr>
            </w:pPr>
            <w:r>
              <w:rPr>
                <w:color w:val="000000"/>
                <w:sz w:val="22"/>
                <w:szCs w:val="22"/>
                <w:lang w:val="en-PH" w:eastAsia="en-PH"/>
              </w:rPr>
              <w:t xml:space="preserve">      23,670,498.31 </w:t>
            </w:r>
          </w:p>
        </w:tc>
      </w:tr>
      <w:tr>
        <w:trPr>
          <w:trHeight w:val="227"/>
          <w:jc w:val="center"/>
        </w:trPr>
        <w:tc>
          <w:tcPr>
            <w:tcW w:w="3701"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jc w:val="right"/>
              <w:rPr>
                <w:i/>
                <w:color w:val="000000"/>
                <w:sz w:val="22"/>
                <w:szCs w:val="22"/>
                <w:lang w:val="en-PH" w:eastAsia="en-PH"/>
              </w:rPr>
            </w:pPr>
            <w:r>
              <w:rPr>
                <w:i/>
                <w:color w:val="000000"/>
                <w:sz w:val="22"/>
                <w:szCs w:val="22"/>
                <w:lang w:val="en-PH" w:eastAsia="en-PH"/>
              </w:rPr>
              <w:t> Sub-total</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i/>
                <w:color w:val="000000"/>
                <w:sz w:val="22"/>
                <w:szCs w:val="22"/>
                <w:lang w:val="en-PH" w:eastAsia="en-PH"/>
              </w:rPr>
            </w:pPr>
            <w:r>
              <w:rPr>
                <w:i/>
                <w:color w:val="000000"/>
                <w:sz w:val="22"/>
                <w:szCs w:val="22"/>
                <w:lang w:val="en-PH" w:eastAsia="en-PH"/>
              </w:rPr>
              <w:t xml:space="preserve">      35,853,645.75 </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i/>
                <w:color w:val="000000"/>
                <w:sz w:val="22"/>
                <w:szCs w:val="22"/>
                <w:lang w:val="en-PH" w:eastAsia="en-PH"/>
              </w:rPr>
            </w:pPr>
            <w:r>
              <w:rPr>
                <w:i/>
                <w:color w:val="000000"/>
                <w:sz w:val="22"/>
                <w:szCs w:val="22"/>
                <w:lang w:val="en-PH" w:eastAsia="en-PH"/>
              </w:rPr>
              <w:t xml:space="preserve">      31,483,695.35 </w:t>
            </w:r>
          </w:p>
        </w:tc>
      </w:tr>
      <w:tr>
        <w:trPr>
          <w:trHeight w:val="227"/>
          <w:jc w:val="center"/>
        </w:trPr>
        <w:tc>
          <w:tcPr>
            <w:tcW w:w="3701"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i/>
                <w:color w:val="000000"/>
                <w:sz w:val="22"/>
                <w:szCs w:val="22"/>
                <w:lang w:val="en-PH" w:eastAsia="en-PH"/>
              </w:rPr>
            </w:pPr>
            <w:r>
              <w:rPr>
                <w:b/>
                <w:i/>
                <w:color w:val="000000"/>
                <w:sz w:val="22"/>
                <w:szCs w:val="22"/>
                <w:lang w:val="en-PH" w:eastAsia="en-PH"/>
              </w:rPr>
              <w:t>Total continuing appropriation</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b/>
                <w:i/>
                <w:color w:val="000000"/>
                <w:sz w:val="22"/>
                <w:szCs w:val="22"/>
                <w:lang w:val="en-PH" w:eastAsia="en-PH"/>
              </w:rPr>
            </w:pPr>
            <w:r>
              <w:rPr>
                <w:b/>
                <w:i/>
                <w:color w:val="000000"/>
                <w:sz w:val="22"/>
                <w:szCs w:val="22"/>
                <w:lang w:val="en-PH" w:eastAsia="en-PH"/>
              </w:rPr>
              <w:t xml:space="preserve">    814,278,994.72 </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b/>
                <w:i/>
                <w:color w:val="000000"/>
                <w:sz w:val="22"/>
                <w:szCs w:val="22"/>
                <w:lang w:val="en-PH" w:eastAsia="en-PH"/>
              </w:rPr>
            </w:pPr>
            <w:r>
              <w:rPr>
                <w:b/>
                <w:i/>
                <w:color w:val="000000"/>
                <w:sz w:val="22"/>
                <w:szCs w:val="22"/>
                <w:lang w:val="en-PH" w:eastAsia="en-PH"/>
              </w:rPr>
              <w:t xml:space="preserve">    476,473,222.77 </w:t>
            </w:r>
          </w:p>
        </w:tc>
      </w:tr>
      <w:tr>
        <w:trPr>
          <w:trHeight w:val="227"/>
          <w:jc w:val="center"/>
        </w:trPr>
        <w:tc>
          <w:tcPr>
            <w:tcW w:w="3701"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color w:val="000000"/>
                <w:sz w:val="22"/>
                <w:szCs w:val="22"/>
                <w:lang w:val="en-PH" w:eastAsia="en-PH"/>
              </w:rPr>
            </w:pPr>
            <w:r>
              <w:rPr>
                <w:b/>
                <w:color w:val="000000"/>
                <w:sz w:val="22"/>
                <w:szCs w:val="22"/>
                <w:lang w:val="en-PH" w:eastAsia="en-PH"/>
              </w:rPr>
              <w:t>GRAND TOTAL</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b/>
                <w:color w:val="000000"/>
                <w:sz w:val="22"/>
                <w:szCs w:val="22"/>
                <w:lang w:val="en-PH" w:eastAsia="en-PH"/>
              </w:rPr>
            </w:pPr>
            <w:r>
              <w:rPr>
                <w:b/>
                <w:color w:val="000000"/>
                <w:sz w:val="22"/>
                <w:szCs w:val="22"/>
                <w:lang w:val="en-PH" w:eastAsia="en-PH"/>
              </w:rPr>
              <w:t xml:space="preserve"> P2,539,079,377.97 </w:t>
            </w:r>
          </w:p>
        </w:tc>
        <w:tc>
          <w:tcPr>
            <w:tcW w:w="2268"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b/>
                <w:color w:val="000000"/>
                <w:sz w:val="22"/>
                <w:szCs w:val="22"/>
                <w:lang w:val="en-PH" w:eastAsia="en-PH"/>
              </w:rPr>
            </w:pPr>
            <w:r>
              <w:rPr>
                <w:b/>
                <w:color w:val="000000"/>
                <w:sz w:val="22"/>
                <w:szCs w:val="22"/>
                <w:lang w:val="en-PH" w:eastAsia="en-PH"/>
              </w:rPr>
              <w:t xml:space="preserve">  P1,783,320,549.52 </w:t>
            </w:r>
          </w:p>
        </w:tc>
      </w:tr>
    </w:tbl>
    <w:p>
      <w:pPr>
        <w:spacing w:line="276" w:lineRule="auto"/>
        <w:ind w:right="360"/>
        <w:jc w:val="both"/>
        <w:rPr>
          <w:lang w:eastAsia="en-PH"/>
        </w:rPr>
      </w:pPr>
    </w:p>
    <w:p>
      <w:pPr>
        <w:spacing w:line="276" w:lineRule="auto"/>
        <w:ind w:right="360"/>
        <w:jc w:val="both"/>
        <w:rPr>
          <w:i/>
          <w:lang w:eastAsia="en-PH"/>
        </w:rPr>
      </w:pPr>
      <w:r>
        <w:rPr>
          <w:lang w:eastAsia="en-PH"/>
        </w:rPr>
        <w:t xml:space="preserve">    </w:t>
      </w:r>
      <w:r>
        <w:rPr>
          <w:i/>
          <w:lang w:eastAsia="en-PH"/>
        </w:rPr>
        <w:t>Table 22.2. Percentage of utilization of allotments provided in CY2022</w:t>
      </w:r>
    </w:p>
    <w:tbl>
      <w:tblPr>
        <w:tblW w:w="8263" w:type="dxa"/>
        <w:jc w:val="center"/>
        <w:tblLook w:val="04A0" w:firstRow="1" w:lastRow="0" w:firstColumn="1" w:lastColumn="0" w:noHBand="0" w:noVBand="1"/>
      </w:tblPr>
      <w:tblGrid>
        <w:gridCol w:w="6111"/>
        <w:gridCol w:w="2152"/>
      </w:tblGrid>
      <w:tr>
        <w:trPr>
          <w:trHeight w:val="227"/>
          <w:jc w:val="center"/>
        </w:trPr>
        <w:tc>
          <w:tcPr>
            <w:tcW w:w="61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w:t>
            </w:r>
          </w:p>
        </w:tc>
        <w:tc>
          <w:tcPr>
            <w:tcW w:w="2152" w:type="dxa"/>
            <w:tcBorders>
              <w:top w:val="single" w:sz="4" w:space="0" w:color="auto"/>
              <w:left w:val="nil"/>
              <w:bottom w:val="single" w:sz="4" w:space="0" w:color="auto"/>
              <w:right w:val="single" w:sz="4" w:space="0" w:color="auto"/>
            </w:tcBorders>
            <w:shd w:val="clear" w:color="auto" w:fill="auto"/>
            <w:noWrap/>
            <w:vAlign w:val="center"/>
            <w:hideMark/>
          </w:tcPr>
          <w:p>
            <w:pPr>
              <w:spacing w:line="276" w:lineRule="auto"/>
              <w:jc w:val="center"/>
              <w:rPr>
                <w:color w:val="000000"/>
                <w:sz w:val="22"/>
                <w:szCs w:val="22"/>
                <w:lang w:val="en-PH" w:eastAsia="en-PH"/>
              </w:rPr>
            </w:pPr>
            <w:r>
              <w:rPr>
                <w:color w:val="000000"/>
                <w:sz w:val="22"/>
                <w:szCs w:val="22"/>
                <w:lang w:val="en-PH" w:eastAsia="en-PH"/>
              </w:rPr>
              <w:t>% of Utilization of Allotments</w:t>
            </w:r>
          </w:p>
        </w:tc>
      </w:tr>
      <w:tr>
        <w:trPr>
          <w:trHeight w:val="371"/>
          <w:jc w:val="center"/>
        </w:trPr>
        <w:tc>
          <w:tcPr>
            <w:tcW w:w="8263" w:type="dxa"/>
            <w:gridSpan w:val="2"/>
            <w:tcBorders>
              <w:top w:val="nil"/>
              <w:left w:val="single" w:sz="4" w:space="0" w:color="auto"/>
              <w:bottom w:val="single" w:sz="4" w:space="0" w:color="auto"/>
              <w:right w:val="single" w:sz="4" w:space="0" w:color="auto"/>
            </w:tcBorders>
            <w:shd w:val="clear" w:color="auto" w:fill="auto"/>
            <w:noWrap/>
            <w:vAlign w:val="center"/>
            <w:hideMark/>
          </w:tcPr>
          <w:p>
            <w:pPr>
              <w:spacing w:line="276" w:lineRule="auto"/>
              <w:rPr>
                <w:color w:val="000000"/>
                <w:sz w:val="22"/>
                <w:szCs w:val="22"/>
                <w:lang w:val="en-PH" w:eastAsia="en-PH"/>
              </w:rPr>
            </w:pPr>
            <w:r>
              <w:rPr>
                <w:color w:val="000000"/>
                <w:sz w:val="22"/>
                <w:szCs w:val="22"/>
                <w:lang w:val="en-PH" w:eastAsia="en-PH"/>
              </w:rPr>
              <w:t>CURRENT APPROPRIATION</w:t>
            </w:r>
          </w:p>
        </w:tc>
      </w:tr>
      <w:tr>
        <w:trPr>
          <w:trHeight w:val="227"/>
          <w:jc w:val="center"/>
        </w:trPr>
        <w:tc>
          <w:tcPr>
            <w:tcW w:w="6111" w:type="dxa"/>
            <w:tcBorders>
              <w:top w:val="nil"/>
              <w:left w:val="single" w:sz="4" w:space="0" w:color="auto"/>
              <w:bottom w:val="single" w:sz="4" w:space="0" w:color="auto"/>
              <w:right w:val="single" w:sz="4" w:space="0" w:color="auto"/>
            </w:tcBorders>
            <w:shd w:val="clear" w:color="auto" w:fill="auto"/>
            <w:noWrap/>
            <w:vAlign w:val="center"/>
            <w:hideMark/>
          </w:tcPr>
          <w:p>
            <w:pPr>
              <w:spacing w:line="276" w:lineRule="auto"/>
              <w:rPr>
                <w:color w:val="000000"/>
                <w:sz w:val="22"/>
                <w:szCs w:val="22"/>
                <w:lang w:val="en-PH" w:eastAsia="en-PH"/>
              </w:rPr>
            </w:pPr>
            <w:r>
              <w:rPr>
                <w:color w:val="000000"/>
                <w:sz w:val="22"/>
                <w:szCs w:val="22"/>
                <w:lang w:val="en-PH" w:eastAsia="en-PH"/>
              </w:rPr>
              <w:t>General fund</w:t>
            </w:r>
          </w:p>
        </w:tc>
        <w:tc>
          <w:tcPr>
            <w:tcW w:w="2152" w:type="dxa"/>
            <w:tcBorders>
              <w:top w:val="nil"/>
              <w:left w:val="nil"/>
              <w:bottom w:val="single" w:sz="4" w:space="0" w:color="auto"/>
              <w:right w:val="single" w:sz="4" w:space="0" w:color="auto"/>
            </w:tcBorders>
            <w:shd w:val="clear" w:color="auto" w:fill="auto"/>
            <w:noWrap/>
            <w:vAlign w:val="bottom"/>
            <w:hideMark/>
          </w:tcPr>
          <w:p>
            <w:pPr>
              <w:spacing w:line="276" w:lineRule="auto"/>
              <w:jc w:val="center"/>
              <w:rPr>
                <w:color w:val="000000"/>
                <w:sz w:val="22"/>
                <w:szCs w:val="22"/>
                <w:lang w:val="en-PH" w:eastAsia="en-PH"/>
              </w:rPr>
            </w:pPr>
            <w:r>
              <w:rPr>
                <w:color w:val="000000"/>
                <w:sz w:val="22"/>
                <w:szCs w:val="22"/>
                <w:lang w:val="en-PH" w:eastAsia="en-PH"/>
              </w:rPr>
              <w:t>76.03%</w:t>
            </w:r>
          </w:p>
        </w:tc>
      </w:tr>
      <w:tr>
        <w:trPr>
          <w:trHeight w:val="227"/>
          <w:jc w:val="center"/>
        </w:trPr>
        <w:tc>
          <w:tcPr>
            <w:tcW w:w="6111" w:type="dxa"/>
            <w:tcBorders>
              <w:top w:val="nil"/>
              <w:left w:val="single" w:sz="4" w:space="0" w:color="auto"/>
              <w:bottom w:val="single" w:sz="4" w:space="0" w:color="auto"/>
              <w:right w:val="single" w:sz="4" w:space="0" w:color="auto"/>
            </w:tcBorders>
            <w:shd w:val="clear" w:color="auto" w:fill="auto"/>
            <w:noWrap/>
            <w:vAlign w:val="center"/>
            <w:hideMark/>
          </w:tcPr>
          <w:p>
            <w:pPr>
              <w:spacing w:line="276" w:lineRule="auto"/>
              <w:rPr>
                <w:color w:val="000000"/>
                <w:sz w:val="22"/>
                <w:szCs w:val="22"/>
                <w:lang w:val="en-PH" w:eastAsia="en-PH"/>
              </w:rPr>
            </w:pPr>
            <w:r>
              <w:rPr>
                <w:color w:val="000000"/>
                <w:sz w:val="22"/>
                <w:szCs w:val="22"/>
                <w:lang w:val="en-PH" w:eastAsia="en-PH"/>
              </w:rPr>
              <w:t>Special education fund</w:t>
            </w:r>
          </w:p>
        </w:tc>
        <w:tc>
          <w:tcPr>
            <w:tcW w:w="2152" w:type="dxa"/>
            <w:tcBorders>
              <w:top w:val="nil"/>
              <w:left w:val="nil"/>
              <w:bottom w:val="single" w:sz="4" w:space="0" w:color="auto"/>
              <w:right w:val="single" w:sz="4" w:space="0" w:color="auto"/>
            </w:tcBorders>
            <w:shd w:val="clear" w:color="auto" w:fill="auto"/>
            <w:noWrap/>
            <w:vAlign w:val="bottom"/>
            <w:hideMark/>
          </w:tcPr>
          <w:p>
            <w:pPr>
              <w:spacing w:line="276" w:lineRule="auto"/>
              <w:jc w:val="center"/>
              <w:rPr>
                <w:color w:val="000000"/>
                <w:sz w:val="22"/>
                <w:szCs w:val="22"/>
                <w:lang w:val="en-PH" w:eastAsia="en-PH"/>
              </w:rPr>
            </w:pPr>
            <w:r>
              <w:rPr>
                <w:color w:val="000000"/>
                <w:sz w:val="22"/>
                <w:szCs w:val="22"/>
                <w:lang w:val="en-PH" w:eastAsia="en-PH"/>
              </w:rPr>
              <w:t>69.53%</w:t>
            </w:r>
          </w:p>
        </w:tc>
      </w:tr>
      <w:tr>
        <w:trPr>
          <w:trHeight w:val="227"/>
          <w:jc w:val="center"/>
        </w:trPr>
        <w:tc>
          <w:tcPr>
            <w:tcW w:w="6111" w:type="dxa"/>
            <w:tcBorders>
              <w:top w:val="nil"/>
              <w:left w:val="single" w:sz="4" w:space="0" w:color="auto"/>
              <w:bottom w:val="single" w:sz="4" w:space="0" w:color="auto"/>
              <w:right w:val="single" w:sz="4" w:space="0" w:color="auto"/>
            </w:tcBorders>
            <w:shd w:val="clear" w:color="auto" w:fill="auto"/>
            <w:noWrap/>
            <w:vAlign w:val="center"/>
            <w:hideMark/>
          </w:tcPr>
          <w:p>
            <w:pPr>
              <w:spacing w:line="276" w:lineRule="auto"/>
              <w:jc w:val="right"/>
              <w:rPr>
                <w:b/>
                <w:i/>
                <w:color w:val="000000"/>
                <w:sz w:val="22"/>
                <w:szCs w:val="22"/>
                <w:lang w:val="en-PH" w:eastAsia="en-PH"/>
              </w:rPr>
            </w:pPr>
            <w:r>
              <w:rPr>
                <w:b/>
                <w:i/>
                <w:color w:val="000000"/>
                <w:sz w:val="22"/>
                <w:szCs w:val="22"/>
                <w:lang w:val="en-PH" w:eastAsia="en-PH"/>
              </w:rPr>
              <w:t>Total current appropriation</w:t>
            </w:r>
          </w:p>
        </w:tc>
        <w:tc>
          <w:tcPr>
            <w:tcW w:w="2152" w:type="dxa"/>
            <w:tcBorders>
              <w:top w:val="nil"/>
              <w:left w:val="nil"/>
              <w:bottom w:val="single" w:sz="4" w:space="0" w:color="auto"/>
              <w:right w:val="single" w:sz="4" w:space="0" w:color="auto"/>
            </w:tcBorders>
            <w:shd w:val="clear" w:color="auto" w:fill="auto"/>
            <w:noWrap/>
            <w:vAlign w:val="bottom"/>
            <w:hideMark/>
          </w:tcPr>
          <w:p>
            <w:pPr>
              <w:spacing w:line="276" w:lineRule="auto"/>
              <w:jc w:val="center"/>
              <w:rPr>
                <w:b/>
                <w:i/>
                <w:color w:val="000000"/>
                <w:sz w:val="22"/>
                <w:szCs w:val="22"/>
                <w:lang w:val="en-PH" w:eastAsia="en-PH"/>
              </w:rPr>
            </w:pPr>
            <w:r>
              <w:rPr>
                <w:b/>
                <w:i/>
                <w:color w:val="000000"/>
                <w:sz w:val="22"/>
                <w:szCs w:val="22"/>
                <w:lang w:val="en-PH" w:eastAsia="en-PH"/>
              </w:rPr>
              <w:t>75.77%</w:t>
            </w:r>
          </w:p>
        </w:tc>
      </w:tr>
      <w:tr>
        <w:trPr>
          <w:trHeight w:val="227"/>
          <w:jc w:val="center"/>
        </w:trPr>
        <w:tc>
          <w:tcPr>
            <w:tcW w:w="8263" w:type="dxa"/>
            <w:gridSpan w:val="2"/>
            <w:tcBorders>
              <w:top w:val="nil"/>
              <w:left w:val="single" w:sz="4" w:space="0" w:color="auto"/>
              <w:bottom w:val="single" w:sz="4" w:space="0" w:color="auto"/>
              <w:right w:val="single" w:sz="4" w:space="0" w:color="auto"/>
            </w:tcBorders>
            <w:shd w:val="clear" w:color="auto" w:fill="auto"/>
            <w:noWrap/>
            <w:vAlign w:val="center"/>
            <w:hideMark/>
          </w:tcPr>
          <w:p>
            <w:pPr>
              <w:spacing w:line="276" w:lineRule="auto"/>
              <w:rPr>
                <w:color w:val="000000"/>
                <w:sz w:val="22"/>
                <w:szCs w:val="22"/>
                <w:lang w:val="en-PH" w:eastAsia="en-PH"/>
              </w:rPr>
            </w:pPr>
            <w:r>
              <w:rPr>
                <w:color w:val="000000"/>
                <w:sz w:val="22"/>
                <w:szCs w:val="22"/>
                <w:lang w:val="en-PH" w:eastAsia="en-PH"/>
              </w:rPr>
              <w:t>CONTINUING APPROPRIATION</w:t>
            </w:r>
          </w:p>
        </w:tc>
      </w:tr>
      <w:tr>
        <w:trPr>
          <w:trHeight w:val="227"/>
          <w:jc w:val="center"/>
        </w:trPr>
        <w:tc>
          <w:tcPr>
            <w:tcW w:w="6111" w:type="dxa"/>
            <w:tcBorders>
              <w:top w:val="nil"/>
              <w:left w:val="single" w:sz="4" w:space="0" w:color="auto"/>
              <w:bottom w:val="single" w:sz="4" w:space="0" w:color="auto"/>
              <w:right w:val="single" w:sz="4" w:space="0" w:color="auto"/>
            </w:tcBorders>
            <w:shd w:val="clear" w:color="auto" w:fill="auto"/>
            <w:noWrap/>
            <w:vAlign w:val="center"/>
            <w:hideMark/>
          </w:tcPr>
          <w:p>
            <w:pPr>
              <w:spacing w:line="276" w:lineRule="auto"/>
              <w:rPr>
                <w:color w:val="000000"/>
                <w:sz w:val="22"/>
                <w:szCs w:val="22"/>
                <w:lang w:val="en-PH" w:eastAsia="en-PH"/>
              </w:rPr>
            </w:pPr>
            <w:r>
              <w:rPr>
                <w:color w:val="000000"/>
                <w:sz w:val="22"/>
                <w:szCs w:val="22"/>
                <w:lang w:val="en-PH" w:eastAsia="en-PH"/>
              </w:rPr>
              <w:t>General fund</w:t>
            </w:r>
          </w:p>
        </w:tc>
        <w:tc>
          <w:tcPr>
            <w:tcW w:w="2152" w:type="dxa"/>
            <w:tcBorders>
              <w:top w:val="nil"/>
              <w:left w:val="nil"/>
              <w:bottom w:val="single" w:sz="4" w:space="0" w:color="auto"/>
              <w:right w:val="single" w:sz="4" w:space="0" w:color="auto"/>
            </w:tcBorders>
            <w:shd w:val="clear" w:color="auto" w:fill="auto"/>
            <w:noWrap/>
            <w:vAlign w:val="bottom"/>
            <w:hideMark/>
          </w:tcPr>
          <w:p>
            <w:pPr>
              <w:spacing w:line="276" w:lineRule="auto"/>
              <w:jc w:val="center"/>
              <w:rPr>
                <w:color w:val="000000"/>
                <w:sz w:val="22"/>
                <w:szCs w:val="22"/>
                <w:lang w:val="en-PH" w:eastAsia="en-PH"/>
              </w:rPr>
            </w:pPr>
            <w:r>
              <w:rPr>
                <w:color w:val="000000"/>
                <w:sz w:val="22"/>
                <w:szCs w:val="22"/>
                <w:lang w:val="en-PH" w:eastAsia="en-PH"/>
              </w:rPr>
              <w:t>57.17%</w:t>
            </w:r>
          </w:p>
        </w:tc>
      </w:tr>
      <w:tr>
        <w:trPr>
          <w:trHeight w:val="227"/>
          <w:jc w:val="center"/>
        </w:trPr>
        <w:tc>
          <w:tcPr>
            <w:tcW w:w="6111" w:type="dxa"/>
            <w:tcBorders>
              <w:top w:val="nil"/>
              <w:left w:val="single" w:sz="4" w:space="0" w:color="auto"/>
              <w:bottom w:val="single" w:sz="4" w:space="0" w:color="auto"/>
              <w:right w:val="single" w:sz="4" w:space="0" w:color="auto"/>
            </w:tcBorders>
            <w:shd w:val="clear" w:color="auto" w:fill="auto"/>
            <w:noWrap/>
            <w:vAlign w:val="center"/>
            <w:hideMark/>
          </w:tcPr>
          <w:p>
            <w:pPr>
              <w:spacing w:line="276" w:lineRule="auto"/>
              <w:rPr>
                <w:color w:val="000000"/>
                <w:sz w:val="22"/>
                <w:szCs w:val="22"/>
                <w:lang w:val="en-PH" w:eastAsia="en-PH"/>
              </w:rPr>
            </w:pPr>
            <w:r>
              <w:rPr>
                <w:color w:val="000000"/>
                <w:sz w:val="22"/>
                <w:szCs w:val="22"/>
                <w:lang w:val="en-PH" w:eastAsia="en-PH"/>
              </w:rPr>
              <w:t>Special education fund</w:t>
            </w:r>
          </w:p>
        </w:tc>
        <w:tc>
          <w:tcPr>
            <w:tcW w:w="2152" w:type="dxa"/>
            <w:tcBorders>
              <w:top w:val="nil"/>
              <w:left w:val="nil"/>
              <w:bottom w:val="single" w:sz="4" w:space="0" w:color="auto"/>
              <w:right w:val="single" w:sz="4" w:space="0" w:color="auto"/>
            </w:tcBorders>
            <w:shd w:val="clear" w:color="auto" w:fill="auto"/>
            <w:noWrap/>
            <w:vAlign w:val="bottom"/>
            <w:hideMark/>
          </w:tcPr>
          <w:p>
            <w:pPr>
              <w:spacing w:line="276" w:lineRule="auto"/>
              <w:jc w:val="center"/>
              <w:rPr>
                <w:color w:val="000000"/>
                <w:sz w:val="22"/>
                <w:szCs w:val="22"/>
                <w:lang w:val="en-PH" w:eastAsia="en-PH"/>
              </w:rPr>
            </w:pPr>
            <w:r>
              <w:rPr>
                <w:color w:val="000000"/>
                <w:sz w:val="22"/>
                <w:szCs w:val="22"/>
                <w:lang w:val="en-PH" w:eastAsia="en-PH"/>
              </w:rPr>
              <w:t>87.81%</w:t>
            </w:r>
          </w:p>
        </w:tc>
      </w:tr>
      <w:tr>
        <w:trPr>
          <w:trHeight w:val="227"/>
          <w:jc w:val="center"/>
        </w:trPr>
        <w:tc>
          <w:tcPr>
            <w:tcW w:w="6111" w:type="dxa"/>
            <w:tcBorders>
              <w:top w:val="nil"/>
              <w:left w:val="single" w:sz="4" w:space="0" w:color="auto"/>
              <w:bottom w:val="single" w:sz="4" w:space="0" w:color="auto"/>
              <w:right w:val="single" w:sz="4" w:space="0" w:color="auto"/>
            </w:tcBorders>
            <w:shd w:val="clear" w:color="auto" w:fill="auto"/>
            <w:noWrap/>
            <w:vAlign w:val="center"/>
            <w:hideMark/>
          </w:tcPr>
          <w:p>
            <w:pPr>
              <w:spacing w:line="276" w:lineRule="auto"/>
              <w:jc w:val="right"/>
              <w:rPr>
                <w:b/>
                <w:i/>
                <w:color w:val="000000"/>
                <w:sz w:val="22"/>
                <w:szCs w:val="22"/>
                <w:lang w:val="en-PH" w:eastAsia="en-PH"/>
              </w:rPr>
            </w:pPr>
            <w:r>
              <w:rPr>
                <w:b/>
                <w:i/>
                <w:color w:val="000000"/>
                <w:sz w:val="22"/>
                <w:szCs w:val="22"/>
                <w:lang w:val="en-PH" w:eastAsia="en-PH"/>
              </w:rPr>
              <w:t>Total continuing appropriation</w:t>
            </w:r>
          </w:p>
        </w:tc>
        <w:tc>
          <w:tcPr>
            <w:tcW w:w="2152" w:type="dxa"/>
            <w:tcBorders>
              <w:top w:val="nil"/>
              <w:left w:val="nil"/>
              <w:bottom w:val="single" w:sz="4" w:space="0" w:color="auto"/>
              <w:right w:val="single" w:sz="4" w:space="0" w:color="auto"/>
            </w:tcBorders>
            <w:shd w:val="clear" w:color="auto" w:fill="auto"/>
            <w:noWrap/>
            <w:vAlign w:val="bottom"/>
            <w:hideMark/>
          </w:tcPr>
          <w:p>
            <w:pPr>
              <w:spacing w:line="276" w:lineRule="auto"/>
              <w:jc w:val="center"/>
              <w:rPr>
                <w:b/>
                <w:i/>
                <w:color w:val="000000"/>
                <w:sz w:val="22"/>
                <w:szCs w:val="22"/>
                <w:lang w:val="en-PH" w:eastAsia="en-PH"/>
              </w:rPr>
            </w:pPr>
            <w:r>
              <w:rPr>
                <w:b/>
                <w:i/>
                <w:color w:val="000000"/>
                <w:sz w:val="22"/>
                <w:szCs w:val="22"/>
                <w:lang w:val="en-PH" w:eastAsia="en-PH"/>
              </w:rPr>
              <w:t>58.51%</w:t>
            </w:r>
          </w:p>
        </w:tc>
      </w:tr>
      <w:tr>
        <w:trPr>
          <w:trHeight w:val="227"/>
          <w:jc w:val="center"/>
        </w:trPr>
        <w:tc>
          <w:tcPr>
            <w:tcW w:w="61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pPr>
              <w:spacing w:line="276" w:lineRule="auto"/>
              <w:rPr>
                <w:b/>
                <w:color w:val="000000"/>
                <w:sz w:val="22"/>
                <w:szCs w:val="22"/>
                <w:lang w:val="en-PH" w:eastAsia="en-PH"/>
              </w:rPr>
            </w:pPr>
            <w:r>
              <w:rPr>
                <w:b/>
                <w:color w:val="000000"/>
                <w:sz w:val="22"/>
                <w:szCs w:val="22"/>
                <w:lang w:val="en-PH" w:eastAsia="en-PH"/>
              </w:rPr>
              <w:t>GRAND TOTAL</w:t>
            </w:r>
          </w:p>
        </w:tc>
        <w:tc>
          <w:tcPr>
            <w:tcW w:w="2152" w:type="dxa"/>
            <w:tcBorders>
              <w:top w:val="single" w:sz="4" w:space="0" w:color="auto"/>
              <w:left w:val="nil"/>
              <w:bottom w:val="single" w:sz="4" w:space="0" w:color="auto"/>
              <w:right w:val="single" w:sz="4" w:space="0" w:color="auto"/>
            </w:tcBorders>
            <w:shd w:val="clear" w:color="auto" w:fill="auto"/>
            <w:noWrap/>
            <w:vAlign w:val="bottom"/>
            <w:hideMark/>
          </w:tcPr>
          <w:p>
            <w:pPr>
              <w:spacing w:line="276" w:lineRule="auto"/>
              <w:jc w:val="center"/>
              <w:rPr>
                <w:b/>
                <w:color w:val="000000"/>
                <w:sz w:val="22"/>
                <w:szCs w:val="22"/>
                <w:lang w:val="en-PH" w:eastAsia="en-PH"/>
              </w:rPr>
            </w:pPr>
            <w:r>
              <w:rPr>
                <w:b/>
                <w:color w:val="000000"/>
                <w:sz w:val="22"/>
                <w:szCs w:val="22"/>
                <w:lang w:val="en-PH" w:eastAsia="en-PH"/>
              </w:rPr>
              <w:t>70.23%</w:t>
            </w:r>
          </w:p>
        </w:tc>
      </w:tr>
    </w:tbl>
    <w:p>
      <w:pPr>
        <w:tabs>
          <w:tab w:val="left" w:pos="8280"/>
        </w:tabs>
        <w:ind w:left="284"/>
        <w:jc w:val="both"/>
        <w:rPr>
          <w:lang w:val="en-GB" w:eastAsia="en-PH"/>
        </w:rPr>
      </w:pPr>
    </w:p>
    <w:p>
      <w:pPr>
        <w:pStyle w:val="ListParagraph"/>
        <w:numPr>
          <w:ilvl w:val="0"/>
          <w:numId w:val="68"/>
        </w:numPr>
        <w:tabs>
          <w:tab w:val="left" w:pos="8280"/>
        </w:tabs>
        <w:spacing w:after="0"/>
        <w:ind w:left="426"/>
        <w:jc w:val="both"/>
        <w:rPr>
          <w:rFonts w:ascii="Times New Roman" w:hAnsi="Times New Roman"/>
          <w:sz w:val="24"/>
          <w:szCs w:val="24"/>
          <w:lang w:val="en-GB" w:eastAsia="en-PH"/>
        </w:rPr>
      </w:pPr>
      <w:r>
        <w:rPr>
          <w:rFonts w:ascii="Times New Roman" w:hAnsi="Times New Roman"/>
          <w:b/>
          <w:sz w:val="24"/>
          <w:szCs w:val="24"/>
          <w:lang w:val="en-GB" w:eastAsia="en-PH"/>
        </w:rPr>
        <w:lastRenderedPageBreak/>
        <w:t>Underutilization of allotted funds totalling P415,712,134.30 due to non-implementation</w:t>
      </w:r>
    </w:p>
    <w:p>
      <w:pPr>
        <w:spacing w:line="276" w:lineRule="auto"/>
        <w:ind w:left="720" w:right="360"/>
        <w:jc w:val="both"/>
        <w:rPr>
          <w:lang w:eastAsia="en-PH"/>
        </w:rPr>
      </w:pPr>
    </w:p>
    <w:p>
      <w:pPr>
        <w:spacing w:line="276" w:lineRule="auto"/>
        <w:ind w:right="-86"/>
        <w:jc w:val="both"/>
        <w:rPr>
          <w:lang w:eastAsia="en-PH"/>
        </w:rPr>
      </w:pPr>
      <w:r>
        <w:rPr>
          <w:lang w:eastAsia="en-PH"/>
        </w:rPr>
        <w:t>Due to low utilization of allotments for capital outlays under continuing appropriation, we conducted a further review on which department/office and what projects are affected of the underutilization. We also included the unutilized capital outlays under CY2022 current appropriations. Our evaluation disclosed that 104 infrastructure projects (see Table 22.3) and 92 non-infrastructure projects (see Table 22.4) funded under the General Fund (5% Calamity Fund not included) and Special Education Funds incurred no obligations during the CY2022.</w:t>
      </w:r>
    </w:p>
    <w:p>
      <w:pPr>
        <w:spacing w:line="276" w:lineRule="auto"/>
        <w:ind w:right="-86"/>
        <w:jc w:val="both"/>
        <w:rPr>
          <w:lang w:eastAsia="en-PH"/>
        </w:rPr>
      </w:pPr>
    </w:p>
    <w:p>
      <w:pPr>
        <w:autoSpaceDE w:val="0"/>
        <w:autoSpaceDN w:val="0"/>
        <w:adjustRightInd w:val="0"/>
        <w:spacing w:line="276" w:lineRule="auto"/>
        <w:contextualSpacing/>
        <w:jc w:val="both"/>
        <w:rPr>
          <w:lang w:val="en-PH" w:eastAsia="en-PH"/>
        </w:rPr>
      </w:pPr>
      <w:r>
        <w:rPr>
          <w:lang w:val="en-PH" w:eastAsia="en-PH"/>
        </w:rPr>
        <w:t xml:space="preserve">As of December 31, 2022, full allotments </w:t>
      </w:r>
      <w:proofErr w:type="spellStart"/>
      <w:r>
        <w:rPr>
          <w:lang w:val="en-PH" w:eastAsia="en-PH"/>
        </w:rPr>
        <w:t>totalling</w:t>
      </w:r>
      <w:proofErr w:type="spellEnd"/>
      <w:r>
        <w:rPr>
          <w:lang w:val="en-PH" w:eastAsia="en-PH"/>
        </w:rPr>
        <w:t xml:space="preserve"> to P415,712,134.30 which composed of P</w:t>
      </w:r>
      <w:r>
        <w:rPr>
          <w:bCs/>
          <w:lang w:val="en-PH" w:eastAsia="en-PH"/>
        </w:rPr>
        <w:t>378,910,529.69 (see Table 22.3) and P</w:t>
      </w:r>
      <w:r>
        <w:rPr>
          <w:bCs/>
          <w:lang w:eastAsia="en-PH"/>
        </w:rPr>
        <w:t>36,801,604.62 (see Table 22.4)</w:t>
      </w:r>
      <w:r>
        <w:rPr>
          <w:lang w:val="en-PH" w:eastAsia="en-PH"/>
        </w:rPr>
        <w:t xml:space="preserve"> for infrastructure and non-infrastructure projects, respectively, have already been provided for all 196 projects which indicate that cash is already available for utilization. However, no obligations were incurred because the projects were not ready for implementation.</w:t>
      </w:r>
    </w:p>
    <w:p>
      <w:pPr>
        <w:spacing w:line="276" w:lineRule="auto"/>
        <w:ind w:right="-86"/>
        <w:jc w:val="both"/>
        <w:rPr>
          <w:lang w:eastAsia="en-PH"/>
        </w:rPr>
      </w:pPr>
    </w:p>
    <w:p>
      <w:pPr>
        <w:spacing w:line="276" w:lineRule="auto"/>
        <w:ind w:right="-86"/>
        <w:jc w:val="both"/>
        <w:rPr>
          <w:i/>
          <w:lang w:eastAsia="en-PH"/>
        </w:rPr>
      </w:pPr>
      <w:r>
        <w:rPr>
          <w:i/>
          <w:lang w:eastAsia="en-PH"/>
        </w:rPr>
        <w:t>Table 22.3. Schedule of infrastructure projects with no incurred obligations in CY2022</w:t>
      </w:r>
    </w:p>
    <w:tbl>
      <w:tblPr>
        <w:tblW w:w="8455" w:type="dxa"/>
        <w:jc w:val="center"/>
        <w:tblLook w:val="04A0" w:firstRow="1" w:lastRow="0" w:firstColumn="1" w:lastColumn="0" w:noHBand="0" w:noVBand="1"/>
      </w:tblPr>
      <w:tblGrid>
        <w:gridCol w:w="3865"/>
        <w:gridCol w:w="2250"/>
        <w:gridCol w:w="1260"/>
        <w:gridCol w:w="1080"/>
      </w:tblGrid>
      <w:tr>
        <w:trPr>
          <w:trHeight w:val="20"/>
          <w:tblHeader/>
          <w:jc w:val="center"/>
        </w:trPr>
        <w:tc>
          <w:tcPr>
            <w:tcW w:w="3865" w:type="dxa"/>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center"/>
              <w:rPr>
                <w:b/>
                <w:bCs/>
                <w:sz w:val="21"/>
                <w:szCs w:val="21"/>
                <w:lang w:val="en-PH" w:eastAsia="en-PH"/>
              </w:rPr>
            </w:pPr>
            <w:r>
              <w:rPr>
                <w:b/>
                <w:bCs/>
                <w:sz w:val="21"/>
                <w:szCs w:val="21"/>
                <w:lang w:val="en-PH" w:eastAsia="en-PH"/>
              </w:rPr>
              <w:t>Department/ Office/ Fund Source</w:t>
            </w:r>
          </w:p>
        </w:tc>
        <w:tc>
          <w:tcPr>
            <w:tcW w:w="2250" w:type="dxa"/>
            <w:tcBorders>
              <w:top w:val="single" w:sz="4" w:space="0" w:color="auto"/>
              <w:left w:val="nil"/>
              <w:bottom w:val="single" w:sz="4" w:space="0" w:color="auto"/>
              <w:right w:val="single" w:sz="4" w:space="0" w:color="auto"/>
            </w:tcBorders>
            <w:shd w:val="clear" w:color="auto" w:fill="auto"/>
            <w:noWrap/>
            <w:vAlign w:val="center"/>
            <w:hideMark/>
          </w:tcPr>
          <w:p>
            <w:pPr>
              <w:spacing w:line="276" w:lineRule="auto"/>
              <w:jc w:val="center"/>
              <w:rPr>
                <w:b/>
                <w:bCs/>
                <w:sz w:val="21"/>
                <w:szCs w:val="21"/>
                <w:lang w:val="en-PH" w:eastAsia="en-PH"/>
              </w:rPr>
            </w:pPr>
            <w:r>
              <w:rPr>
                <w:b/>
                <w:bCs/>
                <w:sz w:val="21"/>
                <w:szCs w:val="21"/>
                <w:lang w:val="en-PH" w:eastAsia="en-PH"/>
              </w:rPr>
              <w:t xml:space="preserve"> Allotment </w:t>
            </w:r>
          </w:p>
        </w:tc>
        <w:tc>
          <w:tcPr>
            <w:tcW w:w="1260" w:type="dxa"/>
            <w:tcBorders>
              <w:top w:val="single" w:sz="4" w:space="0" w:color="auto"/>
              <w:left w:val="nil"/>
              <w:bottom w:val="single" w:sz="4" w:space="0" w:color="auto"/>
              <w:right w:val="single" w:sz="4" w:space="0" w:color="auto"/>
            </w:tcBorders>
            <w:shd w:val="clear" w:color="auto" w:fill="auto"/>
            <w:noWrap/>
            <w:vAlign w:val="center"/>
            <w:hideMark/>
          </w:tcPr>
          <w:p>
            <w:pPr>
              <w:spacing w:line="276" w:lineRule="auto"/>
              <w:jc w:val="center"/>
              <w:rPr>
                <w:b/>
                <w:bCs/>
                <w:sz w:val="21"/>
                <w:szCs w:val="21"/>
                <w:lang w:val="en-PH" w:eastAsia="en-PH"/>
              </w:rPr>
            </w:pPr>
            <w:r>
              <w:rPr>
                <w:b/>
                <w:bCs/>
                <w:sz w:val="21"/>
                <w:szCs w:val="21"/>
                <w:lang w:val="en-PH" w:eastAsia="en-PH"/>
              </w:rPr>
              <w:t xml:space="preserve"> Obligation </w:t>
            </w:r>
          </w:p>
        </w:tc>
        <w:tc>
          <w:tcPr>
            <w:tcW w:w="1080" w:type="dxa"/>
            <w:tcBorders>
              <w:top w:val="single" w:sz="4" w:space="0" w:color="auto"/>
              <w:left w:val="nil"/>
              <w:bottom w:val="single" w:sz="4" w:space="0" w:color="auto"/>
              <w:right w:val="single" w:sz="4" w:space="0" w:color="auto"/>
            </w:tcBorders>
            <w:shd w:val="clear" w:color="auto" w:fill="auto"/>
            <w:vAlign w:val="center"/>
            <w:hideMark/>
          </w:tcPr>
          <w:p>
            <w:pPr>
              <w:spacing w:line="276" w:lineRule="auto"/>
              <w:jc w:val="center"/>
              <w:rPr>
                <w:b/>
                <w:bCs/>
                <w:sz w:val="21"/>
                <w:szCs w:val="21"/>
                <w:lang w:val="en-PH" w:eastAsia="en-PH"/>
              </w:rPr>
            </w:pPr>
            <w:r>
              <w:rPr>
                <w:b/>
                <w:bCs/>
                <w:sz w:val="21"/>
                <w:szCs w:val="21"/>
                <w:lang w:val="en-PH" w:eastAsia="en-PH"/>
              </w:rPr>
              <w:t>No. of Infra. Projects</w:t>
            </w:r>
          </w:p>
        </w:tc>
      </w:tr>
      <w:tr>
        <w:trPr>
          <w:trHeight w:val="20"/>
          <w:jc w:val="center"/>
        </w:trPr>
        <w:tc>
          <w:tcPr>
            <w:tcW w:w="8455" w:type="dxa"/>
            <w:gridSpan w:val="4"/>
            <w:tcBorders>
              <w:top w:val="single" w:sz="4" w:space="0" w:color="auto"/>
              <w:left w:val="single" w:sz="4" w:space="0" w:color="auto"/>
              <w:bottom w:val="single" w:sz="4" w:space="0" w:color="auto"/>
              <w:right w:val="single" w:sz="4" w:space="0" w:color="auto"/>
            </w:tcBorders>
            <w:shd w:val="clear" w:color="auto" w:fill="auto"/>
            <w:noWrap/>
          </w:tcPr>
          <w:p>
            <w:pPr>
              <w:spacing w:line="276" w:lineRule="auto"/>
              <w:rPr>
                <w:b/>
                <w:sz w:val="21"/>
                <w:szCs w:val="21"/>
                <w:lang w:val="en-PH" w:eastAsia="en-PH"/>
              </w:rPr>
            </w:pPr>
            <w:r>
              <w:rPr>
                <w:b/>
                <w:sz w:val="21"/>
                <w:szCs w:val="21"/>
                <w:lang w:val="en-PH" w:eastAsia="en-PH"/>
              </w:rPr>
              <w:t>INFRASTRUCTURE PROJECTS</w:t>
            </w:r>
          </w:p>
        </w:tc>
      </w:tr>
      <w:tr>
        <w:trPr>
          <w:trHeight w:val="20"/>
          <w:jc w:val="center"/>
        </w:trPr>
        <w:tc>
          <w:tcPr>
            <w:tcW w:w="7375" w:type="dxa"/>
            <w:gridSpan w:val="3"/>
            <w:tcBorders>
              <w:top w:val="single" w:sz="4" w:space="0" w:color="auto"/>
              <w:left w:val="single" w:sz="4" w:space="0" w:color="auto"/>
              <w:bottom w:val="single" w:sz="4" w:space="0" w:color="auto"/>
              <w:right w:val="single" w:sz="4" w:space="0" w:color="000000"/>
            </w:tcBorders>
            <w:shd w:val="clear" w:color="auto" w:fill="auto"/>
            <w:noWrap/>
            <w:hideMark/>
          </w:tcPr>
          <w:p>
            <w:pPr>
              <w:spacing w:line="276" w:lineRule="auto"/>
              <w:jc w:val="center"/>
              <w:rPr>
                <w:b/>
                <w:bCs/>
                <w:sz w:val="21"/>
                <w:szCs w:val="21"/>
                <w:lang w:val="en-PH" w:eastAsia="en-PH"/>
              </w:rPr>
            </w:pPr>
            <w:r>
              <w:rPr>
                <w:b/>
                <w:bCs/>
                <w:sz w:val="21"/>
                <w:szCs w:val="21"/>
                <w:lang w:val="en-PH" w:eastAsia="en-PH"/>
              </w:rPr>
              <w:t>Current Appropriation (CY2022)</w:t>
            </w:r>
          </w:p>
        </w:tc>
        <w:tc>
          <w:tcPr>
            <w:tcW w:w="1080" w:type="dxa"/>
            <w:vMerge w:val="restart"/>
            <w:tcBorders>
              <w:top w:val="nil"/>
              <w:left w:val="nil"/>
              <w:right w:val="single" w:sz="4" w:space="0" w:color="auto"/>
            </w:tcBorders>
            <w:shd w:val="clear" w:color="auto" w:fill="auto"/>
            <w:noWrap/>
            <w:hideMark/>
          </w:tcPr>
          <w:p>
            <w:pPr>
              <w:spacing w:line="276" w:lineRule="auto"/>
              <w:jc w:val="center"/>
              <w:rPr>
                <w:sz w:val="21"/>
                <w:szCs w:val="21"/>
                <w:lang w:val="en-PH" w:eastAsia="en-PH"/>
              </w:rPr>
            </w:pPr>
            <w:r>
              <w:rPr>
                <w:sz w:val="21"/>
                <w:szCs w:val="21"/>
                <w:lang w:val="en-PH" w:eastAsia="en-PH"/>
              </w:rPr>
              <w:t>74</w:t>
            </w:r>
          </w:p>
          <w:p>
            <w:pPr>
              <w:spacing w:line="276" w:lineRule="auto"/>
              <w:jc w:val="center"/>
              <w:rPr>
                <w:sz w:val="21"/>
                <w:szCs w:val="21"/>
                <w:lang w:val="en-PH" w:eastAsia="en-PH"/>
              </w:rPr>
            </w:pPr>
            <w:r>
              <w:rPr>
                <w:sz w:val="21"/>
                <w:szCs w:val="21"/>
                <w:lang w:val="en-PH" w:eastAsia="en-PH"/>
              </w:rPr>
              <w:t> </w:t>
            </w:r>
          </w:p>
          <w:p>
            <w:pPr>
              <w:spacing w:line="276" w:lineRule="auto"/>
              <w:jc w:val="center"/>
              <w:rPr>
                <w:sz w:val="21"/>
                <w:szCs w:val="21"/>
                <w:lang w:val="en-PH" w:eastAsia="en-PH"/>
              </w:rPr>
            </w:pPr>
            <w:r>
              <w:rPr>
                <w:sz w:val="21"/>
                <w:szCs w:val="21"/>
                <w:lang w:val="en-PH" w:eastAsia="en-PH"/>
              </w:rPr>
              <w:t> </w:t>
            </w:r>
          </w:p>
          <w:p>
            <w:pPr>
              <w:spacing w:line="276" w:lineRule="auto"/>
              <w:jc w:val="center"/>
              <w:rPr>
                <w:sz w:val="21"/>
                <w:szCs w:val="21"/>
                <w:lang w:val="en-PH" w:eastAsia="en-PH"/>
              </w:rPr>
            </w:pPr>
            <w:r>
              <w:rPr>
                <w:sz w:val="21"/>
                <w:szCs w:val="21"/>
                <w:lang w:val="en-PH" w:eastAsia="en-PH"/>
              </w:rPr>
              <w:t> </w:t>
            </w:r>
          </w:p>
          <w:p>
            <w:pPr>
              <w:spacing w:line="276" w:lineRule="auto"/>
              <w:rPr>
                <w:sz w:val="21"/>
                <w:szCs w:val="21"/>
                <w:lang w:val="en-PH" w:eastAsia="en-PH"/>
              </w:rPr>
            </w:pPr>
            <w:r>
              <w:rPr>
                <w:b/>
                <w:bCs/>
                <w:i/>
                <w:iCs/>
                <w:sz w:val="21"/>
                <w:szCs w:val="21"/>
                <w:lang w:val="en-PH" w:eastAsia="en-PH"/>
              </w:rPr>
              <w:t> </w:t>
            </w: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hideMark/>
          </w:tcPr>
          <w:p>
            <w:pPr>
              <w:spacing w:line="276" w:lineRule="auto"/>
              <w:rPr>
                <w:sz w:val="21"/>
                <w:szCs w:val="21"/>
                <w:lang w:val="en-PH" w:eastAsia="en-PH"/>
              </w:rPr>
            </w:pPr>
            <w:r>
              <w:rPr>
                <w:sz w:val="21"/>
                <w:szCs w:val="21"/>
                <w:lang w:val="en-PH" w:eastAsia="en-PH"/>
              </w:rPr>
              <w:t>City Engineering Office</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P218,430,000.00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-P0.00-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hideMark/>
          </w:tcPr>
          <w:p>
            <w:pPr>
              <w:spacing w:line="276" w:lineRule="auto"/>
              <w:rPr>
                <w:sz w:val="21"/>
                <w:szCs w:val="21"/>
                <w:lang w:val="en-PH" w:eastAsia="en-PH"/>
              </w:rPr>
            </w:pPr>
            <w:r>
              <w:rPr>
                <w:sz w:val="21"/>
                <w:szCs w:val="21"/>
                <w:lang w:val="en-PH" w:eastAsia="en-PH"/>
              </w:rPr>
              <w:t>City Economic Enterprise Management and Development Office (CEEMDO)</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33,200,000.00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Special Education Fund</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color w:val="000000"/>
                <w:sz w:val="21"/>
                <w:szCs w:val="21"/>
                <w:lang w:val="en-PH" w:eastAsia="en-PH"/>
              </w:rPr>
            </w:pPr>
            <w:r>
              <w:rPr>
                <w:color w:val="000000"/>
                <w:sz w:val="21"/>
                <w:szCs w:val="21"/>
                <w:lang w:val="en-PH" w:eastAsia="en-PH"/>
              </w:rPr>
              <w:t xml:space="preserve">14,350,000.00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b/>
                <w:bCs/>
                <w:i/>
                <w:iCs/>
                <w:sz w:val="21"/>
                <w:szCs w:val="21"/>
                <w:lang w:val="en-PH" w:eastAsia="en-PH"/>
              </w:rPr>
            </w:pPr>
            <w:r>
              <w:rPr>
                <w:b/>
                <w:bCs/>
                <w:i/>
                <w:iCs/>
                <w:sz w:val="21"/>
                <w:szCs w:val="21"/>
                <w:lang w:val="en-PH" w:eastAsia="en-PH"/>
              </w:rPr>
              <w:t>Sub-total</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b/>
                <w:bCs/>
                <w:i/>
                <w:iCs/>
                <w:color w:val="000000"/>
                <w:sz w:val="21"/>
                <w:szCs w:val="21"/>
                <w:lang w:val="en-PH" w:eastAsia="en-PH"/>
              </w:rPr>
            </w:pPr>
            <w:r>
              <w:rPr>
                <w:b/>
                <w:bCs/>
                <w:i/>
                <w:iCs/>
                <w:color w:val="000000"/>
                <w:sz w:val="21"/>
                <w:szCs w:val="21"/>
                <w:lang w:val="en-PH" w:eastAsia="en-PH"/>
              </w:rPr>
              <w:t xml:space="preserve">    265,980,000.00</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b/>
                <w:i/>
                <w:sz w:val="21"/>
                <w:szCs w:val="21"/>
                <w:lang w:val="en-PH" w:eastAsia="en-PH"/>
              </w:rPr>
            </w:pPr>
            <w:r>
              <w:rPr>
                <w:b/>
                <w:i/>
                <w:sz w:val="21"/>
                <w:szCs w:val="21"/>
                <w:lang w:val="en-PH" w:eastAsia="en-PH"/>
              </w:rPr>
              <w:t>-0.00-</w:t>
            </w:r>
          </w:p>
          <w:p>
            <w:pPr>
              <w:spacing w:line="276" w:lineRule="auto"/>
              <w:jc w:val="center"/>
              <w:rPr>
                <w:b/>
                <w:i/>
                <w:sz w:val="21"/>
                <w:szCs w:val="21"/>
                <w:lang w:val="en-PH" w:eastAsia="en-PH"/>
              </w:rPr>
            </w:pPr>
          </w:p>
        </w:tc>
        <w:tc>
          <w:tcPr>
            <w:tcW w:w="1080" w:type="dxa"/>
            <w:vMerge/>
            <w:tcBorders>
              <w:left w:val="nil"/>
              <w:bottom w:val="single" w:sz="4" w:space="0" w:color="auto"/>
              <w:right w:val="single" w:sz="4" w:space="0" w:color="auto"/>
            </w:tcBorders>
            <w:shd w:val="clear" w:color="auto" w:fill="auto"/>
            <w:noWrap/>
            <w:vAlign w:val="bottom"/>
            <w:hideMark/>
          </w:tcPr>
          <w:p>
            <w:pPr>
              <w:spacing w:line="276" w:lineRule="auto"/>
              <w:rPr>
                <w:b/>
                <w:bCs/>
                <w:i/>
                <w:iCs/>
                <w:sz w:val="21"/>
                <w:szCs w:val="21"/>
                <w:lang w:val="en-PH" w:eastAsia="en-PH"/>
              </w:rPr>
            </w:pPr>
          </w:p>
        </w:tc>
      </w:tr>
      <w:tr>
        <w:trPr>
          <w:trHeight w:val="20"/>
          <w:jc w:val="center"/>
        </w:trPr>
        <w:tc>
          <w:tcPr>
            <w:tcW w:w="7375" w:type="dxa"/>
            <w:gridSpan w:val="3"/>
            <w:tcBorders>
              <w:top w:val="single" w:sz="4" w:space="0" w:color="auto"/>
              <w:left w:val="single" w:sz="4" w:space="0" w:color="auto"/>
              <w:bottom w:val="single" w:sz="4" w:space="0" w:color="auto"/>
              <w:right w:val="single" w:sz="4" w:space="0" w:color="000000"/>
            </w:tcBorders>
            <w:shd w:val="clear" w:color="auto" w:fill="auto"/>
            <w:noWrap/>
            <w:hideMark/>
          </w:tcPr>
          <w:p>
            <w:pPr>
              <w:spacing w:line="276" w:lineRule="auto"/>
              <w:jc w:val="center"/>
              <w:rPr>
                <w:b/>
                <w:bCs/>
                <w:sz w:val="21"/>
                <w:szCs w:val="21"/>
                <w:lang w:val="en-PH" w:eastAsia="en-PH"/>
              </w:rPr>
            </w:pPr>
            <w:r>
              <w:rPr>
                <w:b/>
                <w:bCs/>
                <w:sz w:val="21"/>
                <w:szCs w:val="21"/>
                <w:lang w:val="en-PH" w:eastAsia="en-PH"/>
              </w:rPr>
              <w:t>Continuing Appropriation (CY2021)</w:t>
            </w:r>
          </w:p>
        </w:tc>
        <w:tc>
          <w:tcPr>
            <w:tcW w:w="1080" w:type="dxa"/>
            <w:vMerge w:val="restart"/>
            <w:tcBorders>
              <w:top w:val="nil"/>
              <w:left w:val="nil"/>
              <w:right w:val="single" w:sz="4" w:space="0" w:color="auto"/>
            </w:tcBorders>
            <w:shd w:val="clear" w:color="auto" w:fill="auto"/>
            <w:noWrap/>
            <w:hideMark/>
          </w:tcPr>
          <w:p>
            <w:pPr>
              <w:spacing w:line="276" w:lineRule="auto"/>
              <w:jc w:val="center"/>
              <w:rPr>
                <w:sz w:val="21"/>
                <w:szCs w:val="21"/>
                <w:lang w:val="en-PH" w:eastAsia="en-PH"/>
              </w:rPr>
            </w:pPr>
            <w:r>
              <w:rPr>
                <w:sz w:val="21"/>
                <w:szCs w:val="21"/>
                <w:lang w:val="en-PH" w:eastAsia="en-PH"/>
              </w:rPr>
              <w:t>9</w:t>
            </w:r>
          </w:p>
          <w:p>
            <w:pPr>
              <w:spacing w:line="276" w:lineRule="auto"/>
              <w:jc w:val="center"/>
              <w:rPr>
                <w:sz w:val="21"/>
                <w:szCs w:val="21"/>
                <w:lang w:val="en-PH" w:eastAsia="en-PH"/>
              </w:rPr>
            </w:pPr>
            <w:r>
              <w:rPr>
                <w:sz w:val="21"/>
                <w:szCs w:val="21"/>
                <w:lang w:val="en-PH" w:eastAsia="en-PH"/>
              </w:rPr>
              <w:t> </w:t>
            </w:r>
          </w:p>
          <w:p>
            <w:pPr>
              <w:spacing w:line="276" w:lineRule="auto"/>
              <w:jc w:val="center"/>
              <w:rPr>
                <w:sz w:val="21"/>
                <w:szCs w:val="21"/>
                <w:lang w:val="en-PH" w:eastAsia="en-PH"/>
              </w:rPr>
            </w:pPr>
            <w:r>
              <w:rPr>
                <w:sz w:val="21"/>
                <w:szCs w:val="21"/>
                <w:lang w:val="en-PH" w:eastAsia="en-PH"/>
              </w:rPr>
              <w:t> </w:t>
            </w:r>
          </w:p>
          <w:p>
            <w:pPr>
              <w:spacing w:line="276" w:lineRule="auto"/>
              <w:jc w:val="center"/>
              <w:rPr>
                <w:sz w:val="21"/>
                <w:szCs w:val="21"/>
                <w:lang w:val="en-PH" w:eastAsia="en-PH"/>
              </w:rPr>
            </w:pPr>
            <w:r>
              <w:rPr>
                <w:sz w:val="21"/>
                <w:szCs w:val="21"/>
                <w:lang w:val="en-PH" w:eastAsia="en-PH"/>
              </w:rPr>
              <w:t> </w:t>
            </w:r>
          </w:p>
          <w:p>
            <w:pPr>
              <w:spacing w:line="276" w:lineRule="auto"/>
              <w:rPr>
                <w:sz w:val="21"/>
                <w:szCs w:val="21"/>
                <w:lang w:val="en-PH" w:eastAsia="en-PH"/>
              </w:rPr>
            </w:pPr>
            <w:r>
              <w:rPr>
                <w:i/>
                <w:iCs/>
                <w:sz w:val="21"/>
                <w:szCs w:val="21"/>
                <w:lang w:val="en-PH" w:eastAsia="en-PH"/>
              </w:rPr>
              <w:t> </w:t>
            </w: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CEEMDO-Market Operations</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11,000,000.00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City Engineering Office</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532,062.93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Special Education Fund</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1,256,010.00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b/>
                <w:i/>
                <w:iCs/>
                <w:sz w:val="21"/>
                <w:szCs w:val="21"/>
                <w:lang w:val="en-PH" w:eastAsia="en-PH"/>
              </w:rPr>
            </w:pPr>
            <w:r>
              <w:rPr>
                <w:b/>
                <w:i/>
                <w:iCs/>
                <w:sz w:val="21"/>
                <w:szCs w:val="21"/>
                <w:lang w:val="en-PH" w:eastAsia="en-PH"/>
              </w:rPr>
              <w:t>Sub-total</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b/>
                <w:i/>
                <w:iCs/>
                <w:sz w:val="21"/>
                <w:szCs w:val="21"/>
                <w:lang w:val="en-PH" w:eastAsia="en-PH"/>
              </w:rPr>
            </w:pPr>
            <w:r>
              <w:rPr>
                <w:b/>
                <w:i/>
                <w:iCs/>
                <w:sz w:val="21"/>
                <w:szCs w:val="21"/>
                <w:lang w:val="en-PH" w:eastAsia="en-PH"/>
              </w:rPr>
              <w:t xml:space="preserve">      12,788,072.93</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b/>
                <w:i/>
                <w:sz w:val="21"/>
                <w:szCs w:val="21"/>
                <w:lang w:val="en-PH" w:eastAsia="en-PH"/>
              </w:rPr>
            </w:pPr>
            <w:r>
              <w:rPr>
                <w:b/>
                <w:i/>
                <w:sz w:val="21"/>
                <w:szCs w:val="21"/>
                <w:lang w:val="en-PH" w:eastAsia="en-PH"/>
              </w:rPr>
              <w:t>-0.00-</w:t>
            </w:r>
          </w:p>
        </w:tc>
        <w:tc>
          <w:tcPr>
            <w:tcW w:w="1080" w:type="dxa"/>
            <w:vMerge/>
            <w:tcBorders>
              <w:left w:val="nil"/>
              <w:bottom w:val="single" w:sz="4" w:space="0" w:color="auto"/>
              <w:right w:val="single" w:sz="4" w:space="0" w:color="auto"/>
            </w:tcBorders>
            <w:shd w:val="clear" w:color="auto" w:fill="auto"/>
            <w:noWrap/>
            <w:vAlign w:val="bottom"/>
            <w:hideMark/>
          </w:tcPr>
          <w:p>
            <w:pPr>
              <w:spacing w:line="276" w:lineRule="auto"/>
              <w:rPr>
                <w:i/>
                <w:iCs/>
                <w:sz w:val="21"/>
                <w:szCs w:val="21"/>
                <w:lang w:val="en-PH" w:eastAsia="en-PH"/>
              </w:rPr>
            </w:pPr>
          </w:p>
        </w:tc>
      </w:tr>
      <w:tr>
        <w:trPr>
          <w:trHeight w:val="20"/>
          <w:jc w:val="center"/>
        </w:trPr>
        <w:tc>
          <w:tcPr>
            <w:tcW w:w="7375" w:type="dxa"/>
            <w:gridSpan w:val="3"/>
            <w:tcBorders>
              <w:top w:val="single" w:sz="4" w:space="0" w:color="auto"/>
              <w:left w:val="single" w:sz="4" w:space="0" w:color="auto"/>
              <w:bottom w:val="single" w:sz="4" w:space="0" w:color="auto"/>
              <w:right w:val="single" w:sz="4" w:space="0" w:color="000000"/>
            </w:tcBorders>
            <w:shd w:val="clear" w:color="auto" w:fill="auto"/>
            <w:noWrap/>
            <w:hideMark/>
          </w:tcPr>
          <w:p>
            <w:pPr>
              <w:spacing w:line="276" w:lineRule="auto"/>
              <w:jc w:val="center"/>
              <w:rPr>
                <w:b/>
                <w:bCs/>
                <w:sz w:val="21"/>
                <w:szCs w:val="21"/>
                <w:lang w:val="en-PH" w:eastAsia="en-PH"/>
              </w:rPr>
            </w:pPr>
            <w:r>
              <w:rPr>
                <w:b/>
                <w:bCs/>
                <w:sz w:val="21"/>
                <w:szCs w:val="21"/>
                <w:lang w:val="en-PH" w:eastAsia="en-PH"/>
              </w:rPr>
              <w:t>Continuing Appropriation (CY2020)</w:t>
            </w:r>
          </w:p>
        </w:tc>
        <w:tc>
          <w:tcPr>
            <w:tcW w:w="1080" w:type="dxa"/>
            <w:vMerge w:val="restart"/>
            <w:tcBorders>
              <w:top w:val="nil"/>
              <w:left w:val="nil"/>
              <w:right w:val="single" w:sz="4" w:space="0" w:color="auto"/>
            </w:tcBorders>
            <w:shd w:val="clear" w:color="auto" w:fill="auto"/>
            <w:hideMark/>
          </w:tcPr>
          <w:p>
            <w:pPr>
              <w:spacing w:line="276" w:lineRule="auto"/>
              <w:jc w:val="center"/>
              <w:rPr>
                <w:sz w:val="21"/>
                <w:szCs w:val="21"/>
                <w:lang w:val="en-PH" w:eastAsia="en-PH"/>
              </w:rPr>
            </w:pPr>
            <w:r>
              <w:rPr>
                <w:sz w:val="21"/>
                <w:szCs w:val="21"/>
                <w:lang w:val="en-PH" w:eastAsia="en-PH"/>
              </w:rPr>
              <w:t>7</w:t>
            </w:r>
          </w:p>
          <w:p>
            <w:pPr>
              <w:spacing w:line="276" w:lineRule="auto"/>
              <w:jc w:val="center"/>
              <w:rPr>
                <w:sz w:val="21"/>
                <w:szCs w:val="21"/>
                <w:lang w:val="en-PH" w:eastAsia="en-PH"/>
              </w:rPr>
            </w:pPr>
            <w:r>
              <w:rPr>
                <w:sz w:val="21"/>
                <w:szCs w:val="21"/>
                <w:lang w:val="en-PH" w:eastAsia="en-PH"/>
              </w:rPr>
              <w:t> </w:t>
            </w:r>
          </w:p>
          <w:p>
            <w:pPr>
              <w:spacing w:line="276" w:lineRule="auto"/>
              <w:jc w:val="center"/>
              <w:rPr>
                <w:sz w:val="21"/>
                <w:szCs w:val="21"/>
                <w:lang w:val="en-PH" w:eastAsia="en-PH"/>
              </w:rPr>
            </w:pPr>
            <w:r>
              <w:rPr>
                <w:sz w:val="21"/>
                <w:szCs w:val="21"/>
                <w:lang w:val="en-PH" w:eastAsia="en-PH"/>
              </w:rPr>
              <w:t> </w:t>
            </w:r>
          </w:p>
          <w:p>
            <w:pPr>
              <w:spacing w:line="276" w:lineRule="auto"/>
              <w:rPr>
                <w:sz w:val="21"/>
                <w:szCs w:val="21"/>
                <w:lang w:val="en-PH" w:eastAsia="en-PH"/>
              </w:rPr>
            </w:pPr>
            <w:r>
              <w:rPr>
                <w:i/>
                <w:iCs/>
                <w:sz w:val="21"/>
                <w:szCs w:val="21"/>
                <w:lang w:val="en-PH" w:eastAsia="en-PH"/>
              </w:rPr>
              <w:t> </w:t>
            </w: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CEEMDO-Terminal Operations</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4,450,000.00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hideMark/>
          </w:tcPr>
          <w:p>
            <w:pPr>
              <w:spacing w:line="276" w:lineRule="auto"/>
              <w:rPr>
                <w:sz w:val="21"/>
                <w:szCs w:val="21"/>
                <w:lang w:val="en-PH" w:eastAsia="en-PH"/>
              </w:rPr>
            </w:pPr>
            <w:r>
              <w:rPr>
                <w:sz w:val="21"/>
                <w:szCs w:val="21"/>
                <w:lang w:val="en-PH" w:eastAsia="en-PH"/>
              </w:rPr>
              <w:t>City Engineering Office</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1,007,786.86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b/>
                <w:i/>
                <w:iCs/>
                <w:sz w:val="21"/>
                <w:szCs w:val="21"/>
                <w:lang w:val="en-PH" w:eastAsia="en-PH"/>
              </w:rPr>
            </w:pPr>
            <w:r>
              <w:rPr>
                <w:b/>
                <w:i/>
                <w:iCs/>
                <w:sz w:val="21"/>
                <w:szCs w:val="21"/>
                <w:lang w:val="en-PH" w:eastAsia="en-PH"/>
              </w:rPr>
              <w:t>Sub-total</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b/>
                <w:i/>
                <w:iCs/>
                <w:sz w:val="21"/>
                <w:szCs w:val="21"/>
                <w:lang w:val="en-PH" w:eastAsia="en-PH"/>
              </w:rPr>
            </w:pPr>
            <w:r>
              <w:rPr>
                <w:b/>
                <w:i/>
                <w:iCs/>
                <w:sz w:val="21"/>
                <w:szCs w:val="21"/>
                <w:lang w:val="en-PH" w:eastAsia="en-PH"/>
              </w:rPr>
              <w:t xml:space="preserve">       5,457,786.86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b/>
                <w:i/>
                <w:sz w:val="21"/>
                <w:szCs w:val="21"/>
                <w:lang w:val="en-PH" w:eastAsia="en-PH"/>
              </w:rPr>
            </w:pPr>
            <w:r>
              <w:rPr>
                <w:b/>
                <w:i/>
                <w:sz w:val="21"/>
                <w:szCs w:val="21"/>
                <w:lang w:val="en-PH" w:eastAsia="en-PH"/>
              </w:rPr>
              <w:t>-0.00-</w:t>
            </w:r>
          </w:p>
        </w:tc>
        <w:tc>
          <w:tcPr>
            <w:tcW w:w="1080" w:type="dxa"/>
            <w:vMerge/>
            <w:tcBorders>
              <w:left w:val="nil"/>
              <w:bottom w:val="single" w:sz="4" w:space="0" w:color="auto"/>
              <w:right w:val="single" w:sz="4" w:space="0" w:color="auto"/>
            </w:tcBorders>
            <w:shd w:val="clear" w:color="auto" w:fill="auto"/>
            <w:noWrap/>
            <w:vAlign w:val="bottom"/>
            <w:hideMark/>
          </w:tcPr>
          <w:p>
            <w:pPr>
              <w:spacing w:line="276" w:lineRule="auto"/>
              <w:rPr>
                <w:i/>
                <w:iCs/>
                <w:sz w:val="21"/>
                <w:szCs w:val="21"/>
                <w:lang w:val="en-PH" w:eastAsia="en-PH"/>
              </w:rPr>
            </w:pPr>
          </w:p>
        </w:tc>
      </w:tr>
      <w:tr>
        <w:trPr>
          <w:trHeight w:val="20"/>
          <w:jc w:val="center"/>
        </w:trPr>
        <w:tc>
          <w:tcPr>
            <w:tcW w:w="7375" w:type="dxa"/>
            <w:gridSpan w:val="3"/>
            <w:tcBorders>
              <w:top w:val="single" w:sz="4" w:space="0" w:color="auto"/>
              <w:left w:val="single" w:sz="4" w:space="0" w:color="auto"/>
              <w:bottom w:val="single" w:sz="4" w:space="0" w:color="auto"/>
              <w:right w:val="single" w:sz="4" w:space="0" w:color="000000"/>
            </w:tcBorders>
            <w:shd w:val="clear" w:color="auto" w:fill="auto"/>
            <w:noWrap/>
            <w:hideMark/>
          </w:tcPr>
          <w:p>
            <w:pPr>
              <w:spacing w:line="276" w:lineRule="auto"/>
              <w:jc w:val="center"/>
              <w:rPr>
                <w:b/>
                <w:bCs/>
                <w:sz w:val="21"/>
                <w:szCs w:val="21"/>
                <w:lang w:val="en-PH" w:eastAsia="en-PH"/>
              </w:rPr>
            </w:pPr>
            <w:r>
              <w:rPr>
                <w:b/>
                <w:bCs/>
                <w:sz w:val="21"/>
                <w:szCs w:val="21"/>
                <w:lang w:val="en-PH" w:eastAsia="en-PH"/>
              </w:rPr>
              <w:t>Continuing Appropriation (CY2019)</w:t>
            </w:r>
          </w:p>
        </w:tc>
        <w:tc>
          <w:tcPr>
            <w:tcW w:w="1080" w:type="dxa"/>
            <w:vMerge w:val="restart"/>
            <w:tcBorders>
              <w:top w:val="nil"/>
              <w:left w:val="nil"/>
              <w:right w:val="single" w:sz="4" w:space="0" w:color="auto"/>
            </w:tcBorders>
            <w:shd w:val="clear" w:color="auto" w:fill="auto"/>
            <w:hideMark/>
          </w:tcPr>
          <w:p>
            <w:pPr>
              <w:spacing w:line="276" w:lineRule="auto"/>
              <w:jc w:val="center"/>
              <w:rPr>
                <w:sz w:val="21"/>
                <w:szCs w:val="21"/>
                <w:lang w:val="en-PH" w:eastAsia="en-PH"/>
              </w:rPr>
            </w:pPr>
            <w:r>
              <w:rPr>
                <w:sz w:val="21"/>
                <w:szCs w:val="21"/>
                <w:lang w:val="en-PH" w:eastAsia="en-PH"/>
              </w:rPr>
              <w:t>9</w:t>
            </w:r>
          </w:p>
          <w:p>
            <w:pPr>
              <w:spacing w:line="276" w:lineRule="auto"/>
              <w:jc w:val="center"/>
              <w:rPr>
                <w:sz w:val="21"/>
                <w:szCs w:val="21"/>
                <w:lang w:val="en-PH" w:eastAsia="en-PH"/>
              </w:rPr>
            </w:pPr>
            <w:r>
              <w:rPr>
                <w:sz w:val="21"/>
                <w:szCs w:val="21"/>
                <w:lang w:val="en-PH" w:eastAsia="en-PH"/>
              </w:rPr>
              <w:t> </w:t>
            </w:r>
          </w:p>
          <w:p>
            <w:pPr>
              <w:spacing w:line="276" w:lineRule="auto"/>
              <w:jc w:val="center"/>
              <w:rPr>
                <w:sz w:val="21"/>
                <w:szCs w:val="21"/>
                <w:lang w:val="en-PH" w:eastAsia="en-PH"/>
              </w:rPr>
            </w:pPr>
            <w:r>
              <w:rPr>
                <w:sz w:val="21"/>
                <w:szCs w:val="21"/>
                <w:lang w:val="en-PH" w:eastAsia="en-PH"/>
              </w:rPr>
              <w:t> </w:t>
            </w:r>
          </w:p>
          <w:p>
            <w:pPr>
              <w:spacing w:line="276" w:lineRule="auto"/>
              <w:jc w:val="center"/>
              <w:rPr>
                <w:sz w:val="21"/>
                <w:szCs w:val="21"/>
                <w:lang w:val="en-PH" w:eastAsia="en-PH"/>
              </w:rPr>
            </w:pPr>
            <w:r>
              <w:rPr>
                <w:sz w:val="21"/>
                <w:szCs w:val="21"/>
                <w:lang w:val="en-PH" w:eastAsia="en-PH"/>
              </w:rPr>
              <w:t> </w:t>
            </w:r>
          </w:p>
          <w:p>
            <w:pPr>
              <w:spacing w:line="276" w:lineRule="auto"/>
              <w:rPr>
                <w:sz w:val="21"/>
                <w:szCs w:val="21"/>
                <w:lang w:val="en-PH" w:eastAsia="en-PH"/>
              </w:rPr>
            </w:pPr>
            <w:r>
              <w:rPr>
                <w:i/>
                <w:iCs/>
                <w:sz w:val="21"/>
                <w:szCs w:val="21"/>
                <w:lang w:val="en-PH" w:eastAsia="en-PH"/>
              </w:rPr>
              <w:t> </w:t>
            </w: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CEEMDO-Terminal Operations</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1,216,209.23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City Engineering Office</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13,487,230.50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Special Education Fund</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500,000.00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b/>
                <w:i/>
                <w:iCs/>
                <w:sz w:val="21"/>
                <w:szCs w:val="21"/>
                <w:lang w:val="en-PH" w:eastAsia="en-PH"/>
              </w:rPr>
            </w:pPr>
            <w:r>
              <w:rPr>
                <w:b/>
                <w:i/>
                <w:iCs/>
                <w:sz w:val="21"/>
                <w:szCs w:val="21"/>
                <w:lang w:val="en-PH" w:eastAsia="en-PH"/>
              </w:rPr>
              <w:t>Sub-total</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b/>
                <w:i/>
                <w:iCs/>
                <w:sz w:val="21"/>
                <w:szCs w:val="21"/>
                <w:lang w:val="en-PH" w:eastAsia="en-PH"/>
              </w:rPr>
            </w:pPr>
            <w:r>
              <w:rPr>
                <w:b/>
                <w:i/>
                <w:iCs/>
                <w:sz w:val="21"/>
                <w:szCs w:val="21"/>
                <w:lang w:val="en-PH" w:eastAsia="en-PH"/>
              </w:rPr>
              <w:t xml:space="preserve">     15,203,439.73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b/>
                <w:i/>
                <w:sz w:val="21"/>
                <w:szCs w:val="21"/>
                <w:lang w:val="en-PH" w:eastAsia="en-PH"/>
              </w:rPr>
            </w:pPr>
            <w:r>
              <w:rPr>
                <w:b/>
                <w:i/>
                <w:sz w:val="21"/>
                <w:szCs w:val="21"/>
                <w:lang w:val="en-PH" w:eastAsia="en-PH"/>
              </w:rPr>
              <w:t>-0.00-</w:t>
            </w:r>
          </w:p>
        </w:tc>
        <w:tc>
          <w:tcPr>
            <w:tcW w:w="1080" w:type="dxa"/>
            <w:vMerge/>
            <w:tcBorders>
              <w:left w:val="nil"/>
              <w:bottom w:val="single" w:sz="4" w:space="0" w:color="auto"/>
              <w:right w:val="single" w:sz="4" w:space="0" w:color="auto"/>
            </w:tcBorders>
            <w:shd w:val="clear" w:color="auto" w:fill="auto"/>
            <w:noWrap/>
            <w:vAlign w:val="bottom"/>
            <w:hideMark/>
          </w:tcPr>
          <w:p>
            <w:pPr>
              <w:spacing w:line="276" w:lineRule="auto"/>
              <w:rPr>
                <w:i/>
                <w:iCs/>
                <w:sz w:val="21"/>
                <w:szCs w:val="21"/>
                <w:lang w:val="en-PH" w:eastAsia="en-PH"/>
              </w:rPr>
            </w:pPr>
          </w:p>
        </w:tc>
      </w:tr>
      <w:tr>
        <w:trPr>
          <w:trHeight w:val="20"/>
          <w:jc w:val="center"/>
        </w:trPr>
        <w:tc>
          <w:tcPr>
            <w:tcW w:w="7375" w:type="dxa"/>
            <w:gridSpan w:val="3"/>
            <w:tcBorders>
              <w:top w:val="single" w:sz="4" w:space="0" w:color="auto"/>
              <w:left w:val="single" w:sz="4" w:space="0" w:color="auto"/>
              <w:bottom w:val="single" w:sz="4" w:space="0" w:color="auto"/>
              <w:right w:val="single" w:sz="4" w:space="0" w:color="000000"/>
            </w:tcBorders>
            <w:shd w:val="clear" w:color="auto" w:fill="auto"/>
            <w:noWrap/>
            <w:hideMark/>
          </w:tcPr>
          <w:p>
            <w:pPr>
              <w:spacing w:line="276" w:lineRule="auto"/>
              <w:jc w:val="center"/>
              <w:rPr>
                <w:b/>
                <w:bCs/>
                <w:sz w:val="21"/>
                <w:szCs w:val="21"/>
                <w:lang w:val="en-PH" w:eastAsia="en-PH"/>
              </w:rPr>
            </w:pPr>
            <w:r>
              <w:rPr>
                <w:b/>
                <w:bCs/>
                <w:sz w:val="21"/>
                <w:szCs w:val="21"/>
                <w:lang w:val="en-PH" w:eastAsia="en-PH"/>
              </w:rPr>
              <w:lastRenderedPageBreak/>
              <w:t>Continuing Appropriation (CY2018)</w:t>
            </w:r>
          </w:p>
        </w:tc>
        <w:tc>
          <w:tcPr>
            <w:tcW w:w="1080" w:type="dxa"/>
            <w:vMerge w:val="restart"/>
            <w:tcBorders>
              <w:top w:val="nil"/>
              <w:left w:val="nil"/>
              <w:right w:val="single" w:sz="4" w:space="0" w:color="auto"/>
            </w:tcBorders>
            <w:shd w:val="clear" w:color="auto" w:fill="auto"/>
            <w:hideMark/>
          </w:tcPr>
          <w:p>
            <w:pPr>
              <w:spacing w:line="276" w:lineRule="auto"/>
              <w:jc w:val="center"/>
              <w:rPr>
                <w:sz w:val="21"/>
                <w:szCs w:val="21"/>
                <w:lang w:val="en-PH" w:eastAsia="en-PH"/>
              </w:rPr>
            </w:pPr>
            <w:r>
              <w:rPr>
                <w:sz w:val="21"/>
                <w:szCs w:val="21"/>
                <w:lang w:val="en-PH" w:eastAsia="en-PH"/>
              </w:rPr>
              <w:t>1</w:t>
            </w:r>
          </w:p>
          <w:p>
            <w:pPr>
              <w:spacing w:line="276" w:lineRule="auto"/>
              <w:jc w:val="center"/>
              <w:rPr>
                <w:sz w:val="21"/>
                <w:szCs w:val="21"/>
                <w:lang w:val="en-PH" w:eastAsia="en-PH"/>
              </w:rPr>
            </w:pPr>
            <w:r>
              <w:rPr>
                <w:sz w:val="21"/>
                <w:szCs w:val="21"/>
                <w:lang w:val="en-PH" w:eastAsia="en-PH"/>
              </w:rPr>
              <w:t> </w:t>
            </w:r>
          </w:p>
          <w:p>
            <w:pPr>
              <w:spacing w:line="276" w:lineRule="auto"/>
              <w:rPr>
                <w:sz w:val="21"/>
                <w:szCs w:val="21"/>
                <w:lang w:val="en-PH" w:eastAsia="en-PH"/>
              </w:rPr>
            </w:pPr>
            <w:r>
              <w:rPr>
                <w:i/>
                <w:iCs/>
                <w:sz w:val="21"/>
                <w:szCs w:val="21"/>
                <w:lang w:val="en-PH" w:eastAsia="en-PH"/>
              </w:rPr>
              <w:t> </w:t>
            </w: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City Engineering Office</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73,500,000.00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b/>
                <w:i/>
                <w:iCs/>
                <w:sz w:val="21"/>
                <w:szCs w:val="21"/>
                <w:lang w:val="en-PH" w:eastAsia="en-PH"/>
              </w:rPr>
            </w:pPr>
            <w:r>
              <w:rPr>
                <w:b/>
                <w:i/>
                <w:iCs/>
                <w:sz w:val="21"/>
                <w:szCs w:val="21"/>
                <w:lang w:val="en-PH" w:eastAsia="en-PH"/>
              </w:rPr>
              <w:t>Sub-total</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b/>
                <w:i/>
                <w:iCs/>
                <w:sz w:val="21"/>
                <w:szCs w:val="21"/>
                <w:lang w:val="en-PH" w:eastAsia="en-PH"/>
              </w:rPr>
            </w:pPr>
            <w:r>
              <w:rPr>
                <w:b/>
                <w:i/>
                <w:iCs/>
                <w:sz w:val="21"/>
                <w:szCs w:val="21"/>
                <w:lang w:val="en-PH" w:eastAsia="en-PH"/>
              </w:rPr>
              <w:t xml:space="preserve">     73,500,000.00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b/>
                <w:i/>
                <w:sz w:val="21"/>
                <w:szCs w:val="21"/>
                <w:lang w:val="en-PH" w:eastAsia="en-PH"/>
              </w:rPr>
            </w:pPr>
            <w:r>
              <w:rPr>
                <w:b/>
                <w:i/>
                <w:sz w:val="21"/>
                <w:szCs w:val="21"/>
                <w:lang w:val="en-PH" w:eastAsia="en-PH"/>
              </w:rPr>
              <w:t>-0.00-</w:t>
            </w:r>
          </w:p>
        </w:tc>
        <w:tc>
          <w:tcPr>
            <w:tcW w:w="1080" w:type="dxa"/>
            <w:vMerge/>
            <w:tcBorders>
              <w:left w:val="nil"/>
              <w:bottom w:val="single" w:sz="4" w:space="0" w:color="auto"/>
              <w:right w:val="single" w:sz="4" w:space="0" w:color="auto"/>
            </w:tcBorders>
            <w:shd w:val="clear" w:color="auto" w:fill="auto"/>
            <w:noWrap/>
            <w:vAlign w:val="bottom"/>
            <w:hideMark/>
          </w:tcPr>
          <w:p>
            <w:pPr>
              <w:spacing w:line="276" w:lineRule="auto"/>
              <w:rPr>
                <w:i/>
                <w:iCs/>
                <w:sz w:val="21"/>
                <w:szCs w:val="21"/>
                <w:lang w:val="en-PH" w:eastAsia="en-PH"/>
              </w:rPr>
            </w:pPr>
          </w:p>
        </w:tc>
      </w:tr>
      <w:tr>
        <w:trPr>
          <w:trHeight w:val="20"/>
          <w:jc w:val="center"/>
        </w:trPr>
        <w:tc>
          <w:tcPr>
            <w:tcW w:w="7375" w:type="dxa"/>
            <w:gridSpan w:val="3"/>
            <w:tcBorders>
              <w:top w:val="single" w:sz="4" w:space="0" w:color="auto"/>
              <w:left w:val="single" w:sz="4" w:space="0" w:color="auto"/>
              <w:bottom w:val="single" w:sz="4" w:space="0" w:color="auto"/>
              <w:right w:val="single" w:sz="4" w:space="0" w:color="000000"/>
            </w:tcBorders>
            <w:shd w:val="clear" w:color="auto" w:fill="auto"/>
            <w:noWrap/>
            <w:hideMark/>
          </w:tcPr>
          <w:p>
            <w:pPr>
              <w:spacing w:line="276" w:lineRule="auto"/>
              <w:jc w:val="center"/>
              <w:rPr>
                <w:b/>
                <w:bCs/>
                <w:sz w:val="21"/>
                <w:szCs w:val="21"/>
                <w:lang w:val="en-PH" w:eastAsia="en-PH"/>
              </w:rPr>
            </w:pPr>
            <w:r>
              <w:rPr>
                <w:b/>
                <w:bCs/>
                <w:sz w:val="21"/>
                <w:szCs w:val="21"/>
                <w:lang w:val="en-PH" w:eastAsia="en-PH"/>
              </w:rPr>
              <w:t>Continuing Appropriation (CY2017)</w:t>
            </w:r>
          </w:p>
        </w:tc>
        <w:tc>
          <w:tcPr>
            <w:tcW w:w="1080" w:type="dxa"/>
            <w:vMerge w:val="restart"/>
            <w:tcBorders>
              <w:top w:val="nil"/>
              <w:left w:val="nil"/>
              <w:right w:val="single" w:sz="4" w:space="0" w:color="auto"/>
            </w:tcBorders>
            <w:shd w:val="clear" w:color="auto" w:fill="auto"/>
            <w:hideMark/>
          </w:tcPr>
          <w:p>
            <w:pPr>
              <w:spacing w:line="276" w:lineRule="auto"/>
              <w:jc w:val="center"/>
              <w:rPr>
                <w:sz w:val="21"/>
                <w:szCs w:val="21"/>
                <w:lang w:val="en-PH" w:eastAsia="en-PH"/>
              </w:rPr>
            </w:pPr>
            <w:r>
              <w:rPr>
                <w:sz w:val="21"/>
                <w:szCs w:val="21"/>
                <w:lang w:val="en-PH" w:eastAsia="en-PH"/>
              </w:rPr>
              <w:t>4</w:t>
            </w:r>
          </w:p>
          <w:p>
            <w:pPr>
              <w:spacing w:line="276" w:lineRule="auto"/>
              <w:jc w:val="center"/>
              <w:rPr>
                <w:sz w:val="21"/>
                <w:szCs w:val="21"/>
                <w:lang w:val="en-PH" w:eastAsia="en-PH"/>
              </w:rPr>
            </w:pPr>
            <w:r>
              <w:rPr>
                <w:sz w:val="21"/>
                <w:szCs w:val="21"/>
                <w:lang w:val="en-PH" w:eastAsia="en-PH"/>
              </w:rPr>
              <w:t> </w:t>
            </w:r>
          </w:p>
          <w:p>
            <w:pPr>
              <w:spacing w:line="276" w:lineRule="auto"/>
              <w:jc w:val="center"/>
              <w:rPr>
                <w:sz w:val="21"/>
                <w:szCs w:val="21"/>
                <w:lang w:val="en-PH" w:eastAsia="en-PH"/>
              </w:rPr>
            </w:pPr>
            <w:r>
              <w:rPr>
                <w:sz w:val="21"/>
                <w:szCs w:val="21"/>
                <w:lang w:val="en-PH" w:eastAsia="en-PH"/>
              </w:rPr>
              <w:t> </w:t>
            </w:r>
          </w:p>
          <w:p>
            <w:pPr>
              <w:spacing w:line="276" w:lineRule="auto"/>
              <w:rPr>
                <w:sz w:val="21"/>
                <w:szCs w:val="21"/>
                <w:lang w:val="en-PH" w:eastAsia="en-PH"/>
              </w:rPr>
            </w:pPr>
            <w:r>
              <w:rPr>
                <w:i/>
                <w:iCs/>
                <w:sz w:val="21"/>
                <w:szCs w:val="21"/>
                <w:lang w:val="en-PH" w:eastAsia="en-PH"/>
              </w:rPr>
              <w:t> </w:t>
            </w: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CEEMDO-Terminal Operations</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1,481,230.17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1"/>
                <w:szCs w:val="21"/>
                <w:lang w:val="en-PH" w:eastAsia="en-PH"/>
              </w:rPr>
            </w:pPr>
            <w:r>
              <w:rPr>
                <w:sz w:val="21"/>
                <w:szCs w:val="21"/>
                <w:lang w:val="en-PH" w:eastAsia="en-PH"/>
              </w:rPr>
              <w:t>City Engineering Office</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sz w:val="21"/>
                <w:szCs w:val="21"/>
                <w:lang w:val="en-PH" w:eastAsia="en-PH"/>
              </w:rPr>
            </w:pPr>
            <w:r>
              <w:rPr>
                <w:sz w:val="21"/>
                <w:szCs w:val="21"/>
                <w:lang w:val="en-PH" w:eastAsia="en-PH"/>
              </w:rPr>
              <w:t xml:space="preserve">4,500,000.00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sz w:val="21"/>
                <w:szCs w:val="21"/>
                <w:lang w:val="en-PH" w:eastAsia="en-PH"/>
              </w:rPr>
            </w:pPr>
            <w:r>
              <w:rPr>
                <w:sz w:val="21"/>
                <w:szCs w:val="21"/>
                <w:lang w:val="en-PH" w:eastAsia="en-PH"/>
              </w:rPr>
              <w:t>-0.00-</w:t>
            </w:r>
          </w:p>
        </w:tc>
        <w:tc>
          <w:tcPr>
            <w:tcW w:w="1080" w:type="dxa"/>
            <w:vMerge/>
            <w:tcBorders>
              <w:left w:val="nil"/>
              <w:right w:val="single" w:sz="4" w:space="0" w:color="auto"/>
            </w:tcBorders>
            <w:shd w:val="clear" w:color="auto" w:fill="auto"/>
            <w:hideMark/>
          </w:tcPr>
          <w:p>
            <w:pPr>
              <w:spacing w:line="276" w:lineRule="auto"/>
              <w:rPr>
                <w:sz w:val="21"/>
                <w:szCs w:val="21"/>
                <w:lang w:val="en-PH" w:eastAsia="en-PH"/>
              </w:rPr>
            </w:pPr>
          </w:p>
        </w:tc>
      </w:tr>
      <w:tr>
        <w:trPr>
          <w:trHeight w:val="20"/>
          <w:jc w:val="center"/>
        </w:trPr>
        <w:tc>
          <w:tcPr>
            <w:tcW w:w="3865" w:type="dxa"/>
            <w:tcBorders>
              <w:top w:val="nil"/>
              <w:left w:val="single" w:sz="4" w:space="0" w:color="auto"/>
              <w:bottom w:val="single" w:sz="4" w:space="0" w:color="auto"/>
              <w:right w:val="single" w:sz="4" w:space="0" w:color="auto"/>
            </w:tcBorders>
            <w:shd w:val="clear" w:color="auto" w:fill="auto"/>
            <w:noWrap/>
            <w:hideMark/>
          </w:tcPr>
          <w:p>
            <w:pPr>
              <w:spacing w:line="276" w:lineRule="auto"/>
              <w:rPr>
                <w:b/>
                <w:i/>
                <w:iCs/>
                <w:sz w:val="21"/>
                <w:szCs w:val="21"/>
                <w:lang w:val="en-PH" w:eastAsia="en-PH"/>
              </w:rPr>
            </w:pPr>
            <w:r>
              <w:rPr>
                <w:b/>
                <w:i/>
                <w:iCs/>
                <w:sz w:val="21"/>
                <w:szCs w:val="21"/>
                <w:lang w:val="en-PH" w:eastAsia="en-PH"/>
              </w:rPr>
              <w:t>Sub-total</w:t>
            </w:r>
          </w:p>
        </w:tc>
        <w:tc>
          <w:tcPr>
            <w:tcW w:w="2250" w:type="dxa"/>
            <w:tcBorders>
              <w:top w:val="nil"/>
              <w:left w:val="nil"/>
              <w:bottom w:val="single" w:sz="4" w:space="0" w:color="auto"/>
              <w:right w:val="single" w:sz="4" w:space="0" w:color="auto"/>
            </w:tcBorders>
            <w:shd w:val="clear" w:color="auto" w:fill="auto"/>
            <w:noWrap/>
            <w:hideMark/>
          </w:tcPr>
          <w:p>
            <w:pPr>
              <w:spacing w:line="276" w:lineRule="auto"/>
              <w:jc w:val="right"/>
              <w:rPr>
                <w:b/>
                <w:i/>
                <w:iCs/>
                <w:sz w:val="21"/>
                <w:szCs w:val="21"/>
                <w:lang w:val="en-PH" w:eastAsia="en-PH"/>
              </w:rPr>
            </w:pPr>
            <w:r>
              <w:rPr>
                <w:b/>
                <w:i/>
                <w:iCs/>
                <w:sz w:val="21"/>
                <w:szCs w:val="21"/>
                <w:lang w:val="en-PH" w:eastAsia="en-PH"/>
              </w:rPr>
              <w:t xml:space="preserve">5,981,230.17  </w:t>
            </w:r>
          </w:p>
        </w:tc>
        <w:tc>
          <w:tcPr>
            <w:tcW w:w="1260" w:type="dxa"/>
            <w:tcBorders>
              <w:top w:val="nil"/>
              <w:left w:val="nil"/>
              <w:bottom w:val="single" w:sz="4" w:space="0" w:color="auto"/>
              <w:right w:val="single" w:sz="4" w:space="0" w:color="auto"/>
            </w:tcBorders>
            <w:shd w:val="clear" w:color="auto" w:fill="auto"/>
            <w:noWrap/>
          </w:tcPr>
          <w:p>
            <w:pPr>
              <w:spacing w:line="276" w:lineRule="auto"/>
              <w:jc w:val="center"/>
              <w:rPr>
                <w:b/>
                <w:i/>
                <w:sz w:val="21"/>
                <w:szCs w:val="21"/>
                <w:lang w:val="en-PH" w:eastAsia="en-PH"/>
              </w:rPr>
            </w:pPr>
            <w:r>
              <w:rPr>
                <w:b/>
                <w:i/>
                <w:sz w:val="21"/>
                <w:szCs w:val="21"/>
                <w:lang w:val="en-PH" w:eastAsia="en-PH"/>
              </w:rPr>
              <w:t>-0.00-</w:t>
            </w:r>
          </w:p>
        </w:tc>
        <w:tc>
          <w:tcPr>
            <w:tcW w:w="1080" w:type="dxa"/>
            <w:vMerge/>
            <w:tcBorders>
              <w:left w:val="nil"/>
              <w:bottom w:val="single" w:sz="4" w:space="0" w:color="auto"/>
              <w:right w:val="single" w:sz="4" w:space="0" w:color="auto"/>
            </w:tcBorders>
            <w:shd w:val="clear" w:color="auto" w:fill="auto"/>
            <w:noWrap/>
            <w:vAlign w:val="bottom"/>
            <w:hideMark/>
          </w:tcPr>
          <w:p>
            <w:pPr>
              <w:spacing w:line="276" w:lineRule="auto"/>
              <w:rPr>
                <w:i/>
                <w:iCs/>
                <w:sz w:val="21"/>
                <w:szCs w:val="21"/>
                <w:lang w:val="en-PH" w:eastAsia="en-PH"/>
              </w:rPr>
            </w:pPr>
          </w:p>
        </w:tc>
      </w:tr>
      <w:tr>
        <w:trPr>
          <w:trHeight w:val="20"/>
          <w:jc w:val="center"/>
        </w:trPr>
        <w:tc>
          <w:tcPr>
            <w:tcW w:w="3865" w:type="dxa"/>
            <w:tcBorders>
              <w:top w:val="single" w:sz="4" w:space="0" w:color="auto"/>
              <w:left w:val="single" w:sz="4" w:space="0" w:color="auto"/>
              <w:bottom w:val="single" w:sz="4" w:space="0" w:color="auto"/>
              <w:right w:val="single" w:sz="4" w:space="0" w:color="auto"/>
            </w:tcBorders>
            <w:shd w:val="clear" w:color="auto" w:fill="auto"/>
            <w:hideMark/>
          </w:tcPr>
          <w:p>
            <w:pPr>
              <w:spacing w:line="276" w:lineRule="auto"/>
              <w:rPr>
                <w:b/>
                <w:bCs/>
                <w:sz w:val="21"/>
                <w:szCs w:val="21"/>
                <w:lang w:val="en-PH" w:eastAsia="en-PH"/>
              </w:rPr>
            </w:pPr>
            <w:r>
              <w:rPr>
                <w:b/>
                <w:bCs/>
                <w:sz w:val="21"/>
                <w:szCs w:val="21"/>
                <w:lang w:val="en-PH" w:eastAsia="en-PH"/>
              </w:rPr>
              <w:t>TOTAL (INFRASTRUCTURE PROJECTS)</w:t>
            </w:r>
          </w:p>
        </w:tc>
        <w:tc>
          <w:tcPr>
            <w:tcW w:w="2250" w:type="dxa"/>
            <w:tcBorders>
              <w:top w:val="single" w:sz="4" w:space="0" w:color="auto"/>
              <w:left w:val="nil"/>
              <w:bottom w:val="single" w:sz="4" w:space="0" w:color="auto"/>
              <w:right w:val="single" w:sz="4" w:space="0" w:color="auto"/>
            </w:tcBorders>
            <w:shd w:val="clear" w:color="auto" w:fill="auto"/>
            <w:noWrap/>
            <w:hideMark/>
          </w:tcPr>
          <w:p>
            <w:pPr>
              <w:spacing w:line="276" w:lineRule="auto"/>
              <w:jc w:val="right"/>
              <w:rPr>
                <w:b/>
                <w:bCs/>
                <w:sz w:val="21"/>
                <w:szCs w:val="21"/>
                <w:lang w:val="en-PH" w:eastAsia="en-PH"/>
              </w:rPr>
            </w:pPr>
            <w:r>
              <w:rPr>
                <w:b/>
                <w:bCs/>
                <w:sz w:val="21"/>
                <w:szCs w:val="21"/>
                <w:lang w:val="en-PH" w:eastAsia="en-PH"/>
              </w:rPr>
              <w:t>P378,910,529.69</w:t>
            </w:r>
          </w:p>
        </w:tc>
        <w:tc>
          <w:tcPr>
            <w:tcW w:w="1260" w:type="dxa"/>
            <w:tcBorders>
              <w:top w:val="single" w:sz="4" w:space="0" w:color="auto"/>
              <w:left w:val="nil"/>
              <w:bottom w:val="single" w:sz="4" w:space="0" w:color="auto"/>
              <w:right w:val="single" w:sz="4" w:space="0" w:color="auto"/>
            </w:tcBorders>
            <w:shd w:val="clear" w:color="auto" w:fill="auto"/>
            <w:noWrap/>
          </w:tcPr>
          <w:p>
            <w:pPr>
              <w:spacing w:line="276" w:lineRule="auto"/>
              <w:jc w:val="center"/>
              <w:rPr>
                <w:b/>
                <w:sz w:val="21"/>
                <w:szCs w:val="21"/>
                <w:lang w:val="en-PH" w:eastAsia="en-PH"/>
              </w:rPr>
            </w:pPr>
            <w:r>
              <w:rPr>
                <w:b/>
                <w:sz w:val="21"/>
                <w:szCs w:val="21"/>
                <w:lang w:val="en-PH" w:eastAsia="en-PH"/>
              </w:rPr>
              <w:t>-P0.00-</w:t>
            </w:r>
          </w:p>
        </w:tc>
        <w:tc>
          <w:tcPr>
            <w:tcW w:w="1080" w:type="dxa"/>
            <w:tcBorders>
              <w:top w:val="single" w:sz="4" w:space="0" w:color="auto"/>
              <w:left w:val="nil"/>
              <w:bottom w:val="single" w:sz="4" w:space="0" w:color="auto"/>
              <w:right w:val="single" w:sz="4" w:space="0" w:color="auto"/>
            </w:tcBorders>
            <w:shd w:val="clear" w:color="auto" w:fill="auto"/>
            <w:hideMark/>
          </w:tcPr>
          <w:p>
            <w:pPr>
              <w:spacing w:line="276" w:lineRule="auto"/>
              <w:jc w:val="center"/>
              <w:rPr>
                <w:b/>
                <w:bCs/>
                <w:sz w:val="21"/>
                <w:szCs w:val="21"/>
                <w:lang w:val="en-PH" w:eastAsia="en-PH"/>
              </w:rPr>
            </w:pPr>
            <w:r>
              <w:rPr>
                <w:b/>
                <w:bCs/>
                <w:sz w:val="21"/>
                <w:szCs w:val="21"/>
                <w:lang w:val="en-PH" w:eastAsia="en-PH"/>
              </w:rPr>
              <w:t>104</w:t>
            </w:r>
          </w:p>
        </w:tc>
      </w:tr>
    </w:tbl>
    <w:p>
      <w:pPr>
        <w:spacing w:line="276" w:lineRule="auto"/>
        <w:ind w:right="-86"/>
        <w:jc w:val="both"/>
        <w:rPr>
          <w:lang w:eastAsia="en-PH"/>
        </w:rPr>
      </w:pPr>
      <w:r>
        <w:rPr>
          <w:lang w:eastAsia="en-PH"/>
        </w:rPr>
        <w:t xml:space="preserve">*See </w:t>
      </w:r>
      <w:r>
        <w:rPr>
          <w:i/>
          <w:lang w:eastAsia="en-PH"/>
        </w:rPr>
        <w:t>Annex Q</w:t>
      </w:r>
      <w:r>
        <w:rPr>
          <w:lang w:eastAsia="en-PH"/>
        </w:rPr>
        <w:t xml:space="preserve"> for the list of the projects</w:t>
      </w:r>
    </w:p>
    <w:p>
      <w:pPr>
        <w:spacing w:line="276" w:lineRule="auto"/>
        <w:ind w:right="-86"/>
        <w:jc w:val="both"/>
        <w:rPr>
          <w:lang w:eastAsia="en-PH"/>
        </w:rPr>
      </w:pPr>
    </w:p>
    <w:p>
      <w:pPr>
        <w:spacing w:line="276" w:lineRule="auto"/>
        <w:ind w:right="-86"/>
        <w:jc w:val="both"/>
        <w:rPr>
          <w:i/>
          <w:lang w:eastAsia="en-PH"/>
        </w:rPr>
      </w:pPr>
      <w:r>
        <w:rPr>
          <w:i/>
          <w:lang w:eastAsia="en-PH"/>
        </w:rPr>
        <w:t xml:space="preserve">Table 22.4. Schedule </w:t>
      </w:r>
      <w:proofErr w:type="gramStart"/>
      <w:r>
        <w:rPr>
          <w:i/>
          <w:lang w:eastAsia="en-PH"/>
        </w:rPr>
        <w:t>of  non</w:t>
      </w:r>
      <w:proofErr w:type="gramEnd"/>
      <w:r>
        <w:rPr>
          <w:i/>
          <w:lang w:eastAsia="en-PH"/>
        </w:rPr>
        <w:t>-infrastructure projects with no incurred obligations in CY2022</w:t>
      </w:r>
    </w:p>
    <w:tbl>
      <w:tblPr>
        <w:tblStyle w:val="TableGrid41"/>
        <w:tblW w:w="0" w:type="auto"/>
        <w:tblInd w:w="108" w:type="dxa"/>
        <w:tblLook w:val="04A0" w:firstRow="1" w:lastRow="0" w:firstColumn="1" w:lastColumn="0" w:noHBand="0" w:noVBand="1"/>
      </w:tblPr>
      <w:tblGrid>
        <w:gridCol w:w="4716"/>
        <w:gridCol w:w="1806"/>
        <w:gridCol w:w="1251"/>
        <w:gridCol w:w="975"/>
      </w:tblGrid>
      <w:tr>
        <w:trPr>
          <w:trHeight w:val="20"/>
          <w:tblHeader/>
        </w:trPr>
        <w:tc>
          <w:tcPr>
            <w:tcW w:w="4820" w:type="dxa"/>
            <w:vAlign w:val="center"/>
            <w:hideMark/>
          </w:tcPr>
          <w:p>
            <w:pPr>
              <w:spacing w:line="276" w:lineRule="auto"/>
              <w:jc w:val="center"/>
              <w:rPr>
                <w:b/>
                <w:bCs/>
                <w:sz w:val="21"/>
                <w:szCs w:val="21"/>
                <w:lang w:eastAsia="en-PH"/>
              </w:rPr>
            </w:pPr>
            <w:r>
              <w:rPr>
                <w:b/>
                <w:bCs/>
                <w:sz w:val="21"/>
                <w:szCs w:val="21"/>
                <w:lang w:eastAsia="en-PH"/>
              </w:rPr>
              <w:t>Department/ Office/ Fund Source</w:t>
            </w:r>
          </w:p>
        </w:tc>
        <w:tc>
          <w:tcPr>
            <w:tcW w:w="1843" w:type="dxa"/>
            <w:noWrap/>
            <w:vAlign w:val="center"/>
            <w:hideMark/>
          </w:tcPr>
          <w:p>
            <w:pPr>
              <w:spacing w:line="276" w:lineRule="auto"/>
              <w:ind w:right="34"/>
              <w:jc w:val="center"/>
              <w:rPr>
                <w:b/>
                <w:bCs/>
                <w:sz w:val="21"/>
                <w:szCs w:val="21"/>
                <w:lang w:eastAsia="en-PH"/>
              </w:rPr>
            </w:pPr>
            <w:r>
              <w:rPr>
                <w:b/>
                <w:bCs/>
                <w:sz w:val="21"/>
                <w:szCs w:val="21"/>
                <w:lang w:eastAsia="en-PH"/>
              </w:rPr>
              <w:t xml:space="preserve"> Allotment </w:t>
            </w:r>
          </w:p>
        </w:tc>
        <w:tc>
          <w:tcPr>
            <w:tcW w:w="1275" w:type="dxa"/>
            <w:noWrap/>
            <w:vAlign w:val="center"/>
            <w:hideMark/>
          </w:tcPr>
          <w:p>
            <w:pPr>
              <w:spacing w:line="276" w:lineRule="auto"/>
              <w:jc w:val="center"/>
              <w:rPr>
                <w:b/>
                <w:bCs/>
                <w:sz w:val="21"/>
                <w:szCs w:val="21"/>
                <w:lang w:eastAsia="en-PH"/>
              </w:rPr>
            </w:pPr>
            <w:r>
              <w:rPr>
                <w:b/>
                <w:bCs/>
                <w:sz w:val="21"/>
                <w:szCs w:val="21"/>
                <w:lang w:eastAsia="en-PH"/>
              </w:rPr>
              <w:t xml:space="preserve"> Obligation </w:t>
            </w:r>
          </w:p>
        </w:tc>
        <w:tc>
          <w:tcPr>
            <w:tcW w:w="993" w:type="dxa"/>
            <w:noWrap/>
            <w:vAlign w:val="center"/>
            <w:hideMark/>
          </w:tcPr>
          <w:p>
            <w:pPr>
              <w:spacing w:line="276" w:lineRule="auto"/>
              <w:jc w:val="center"/>
              <w:rPr>
                <w:b/>
                <w:bCs/>
                <w:sz w:val="21"/>
                <w:szCs w:val="21"/>
                <w:lang w:eastAsia="en-PH"/>
              </w:rPr>
            </w:pPr>
            <w:r>
              <w:rPr>
                <w:b/>
                <w:bCs/>
                <w:sz w:val="21"/>
                <w:szCs w:val="21"/>
                <w:lang w:eastAsia="en-PH"/>
              </w:rPr>
              <w:t>No. of Non-Infra. Projects</w:t>
            </w:r>
          </w:p>
        </w:tc>
      </w:tr>
      <w:tr>
        <w:trPr>
          <w:trHeight w:val="20"/>
        </w:trPr>
        <w:tc>
          <w:tcPr>
            <w:tcW w:w="7938" w:type="dxa"/>
            <w:gridSpan w:val="3"/>
            <w:hideMark/>
          </w:tcPr>
          <w:p>
            <w:pPr>
              <w:spacing w:line="276" w:lineRule="auto"/>
              <w:ind w:right="34"/>
              <w:jc w:val="center"/>
              <w:rPr>
                <w:b/>
                <w:bCs/>
                <w:sz w:val="21"/>
                <w:szCs w:val="21"/>
                <w:lang w:eastAsia="en-PH"/>
              </w:rPr>
            </w:pPr>
            <w:r>
              <w:rPr>
                <w:b/>
                <w:bCs/>
                <w:sz w:val="21"/>
                <w:szCs w:val="21"/>
                <w:lang w:eastAsia="en-PH"/>
              </w:rPr>
              <w:t>Current Appropriation (CY2022)</w:t>
            </w:r>
          </w:p>
        </w:tc>
        <w:tc>
          <w:tcPr>
            <w:tcW w:w="993" w:type="dxa"/>
            <w:vMerge w:val="restart"/>
            <w:noWrap/>
            <w:hideMark/>
          </w:tcPr>
          <w:p>
            <w:pPr>
              <w:spacing w:line="276" w:lineRule="auto"/>
              <w:ind w:right="-86"/>
              <w:jc w:val="center"/>
              <w:rPr>
                <w:bCs/>
                <w:sz w:val="21"/>
                <w:szCs w:val="21"/>
                <w:lang w:eastAsia="en-PH"/>
              </w:rPr>
            </w:pPr>
            <w:r>
              <w:rPr>
                <w:bCs/>
                <w:sz w:val="21"/>
                <w:szCs w:val="21"/>
                <w:lang w:eastAsia="en-PH"/>
              </w:rPr>
              <w:t>29</w:t>
            </w:r>
          </w:p>
        </w:tc>
      </w:tr>
      <w:tr>
        <w:trPr>
          <w:trHeight w:val="20"/>
        </w:trPr>
        <w:tc>
          <w:tcPr>
            <w:tcW w:w="4820" w:type="dxa"/>
            <w:hideMark/>
          </w:tcPr>
          <w:p>
            <w:pPr>
              <w:spacing w:line="276" w:lineRule="auto"/>
              <w:ind w:right="-86"/>
              <w:jc w:val="both"/>
              <w:rPr>
                <w:sz w:val="21"/>
                <w:szCs w:val="21"/>
                <w:lang w:eastAsia="en-PH"/>
              </w:rPr>
            </w:pPr>
            <w:r>
              <w:rPr>
                <w:sz w:val="21"/>
                <w:szCs w:val="21"/>
                <w:lang w:eastAsia="en-PH"/>
              </w:rPr>
              <w:t>CEEMDO-Cemetery Operations</w:t>
            </w:r>
          </w:p>
        </w:tc>
        <w:tc>
          <w:tcPr>
            <w:tcW w:w="1843" w:type="dxa"/>
            <w:noWrap/>
            <w:hideMark/>
          </w:tcPr>
          <w:p>
            <w:pPr>
              <w:spacing w:line="276" w:lineRule="auto"/>
              <w:ind w:right="34"/>
              <w:jc w:val="right"/>
              <w:rPr>
                <w:sz w:val="21"/>
                <w:szCs w:val="21"/>
                <w:lang w:eastAsia="en-PH"/>
              </w:rPr>
            </w:pPr>
            <w:r>
              <w:rPr>
                <w:sz w:val="21"/>
                <w:szCs w:val="21"/>
                <w:lang w:eastAsia="en-PH"/>
              </w:rPr>
              <w:t xml:space="preserve">    P1,600,000.00 </w:t>
            </w:r>
          </w:p>
        </w:tc>
        <w:tc>
          <w:tcPr>
            <w:tcW w:w="1275" w:type="dxa"/>
            <w:noWrap/>
            <w:hideMark/>
          </w:tcPr>
          <w:p>
            <w:pPr>
              <w:spacing w:line="276" w:lineRule="auto"/>
              <w:jc w:val="center"/>
              <w:rPr>
                <w:sz w:val="21"/>
                <w:szCs w:val="21"/>
                <w:lang w:eastAsia="en-PH"/>
              </w:rPr>
            </w:pPr>
            <w:r>
              <w:rPr>
                <w:sz w:val="21"/>
                <w:szCs w:val="21"/>
                <w:lang w:eastAsia="en-PH"/>
              </w:rPr>
              <w:t>-P0.00-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CEEMDO-Market Operations</w:t>
            </w:r>
          </w:p>
        </w:tc>
        <w:tc>
          <w:tcPr>
            <w:tcW w:w="1843" w:type="dxa"/>
            <w:noWrap/>
            <w:hideMark/>
          </w:tcPr>
          <w:p>
            <w:pPr>
              <w:spacing w:line="276" w:lineRule="auto"/>
              <w:ind w:right="34"/>
              <w:jc w:val="right"/>
              <w:rPr>
                <w:sz w:val="21"/>
                <w:szCs w:val="21"/>
                <w:lang w:eastAsia="en-PH"/>
              </w:rPr>
            </w:pPr>
            <w:r>
              <w:rPr>
                <w:sz w:val="21"/>
                <w:szCs w:val="21"/>
                <w:lang w:eastAsia="en-PH"/>
              </w:rPr>
              <w:t xml:space="preserve">        935,000.00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City Administrator's Office</w:t>
            </w:r>
          </w:p>
        </w:tc>
        <w:tc>
          <w:tcPr>
            <w:tcW w:w="1843" w:type="dxa"/>
            <w:noWrap/>
            <w:hideMark/>
          </w:tcPr>
          <w:p>
            <w:pPr>
              <w:spacing w:line="276" w:lineRule="auto"/>
              <w:ind w:right="34"/>
              <w:jc w:val="right"/>
              <w:rPr>
                <w:sz w:val="21"/>
                <w:szCs w:val="21"/>
                <w:lang w:eastAsia="en-PH"/>
              </w:rPr>
            </w:pPr>
            <w:r>
              <w:rPr>
                <w:sz w:val="21"/>
                <w:szCs w:val="21"/>
                <w:lang w:eastAsia="en-PH"/>
              </w:rPr>
              <w:t xml:space="preserve">          70,000.00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City Agriculture Office</w:t>
            </w:r>
          </w:p>
        </w:tc>
        <w:tc>
          <w:tcPr>
            <w:tcW w:w="1843" w:type="dxa"/>
            <w:noWrap/>
            <w:hideMark/>
          </w:tcPr>
          <w:p>
            <w:pPr>
              <w:spacing w:line="276" w:lineRule="auto"/>
              <w:ind w:right="34"/>
              <w:jc w:val="right"/>
              <w:rPr>
                <w:sz w:val="21"/>
                <w:szCs w:val="21"/>
                <w:lang w:eastAsia="en-PH"/>
              </w:rPr>
            </w:pPr>
            <w:r>
              <w:rPr>
                <w:sz w:val="21"/>
                <w:szCs w:val="21"/>
                <w:lang w:eastAsia="en-PH"/>
              </w:rPr>
              <w:t xml:space="preserve">        300,000.00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City Budget Office</w:t>
            </w:r>
          </w:p>
        </w:tc>
        <w:tc>
          <w:tcPr>
            <w:tcW w:w="1843" w:type="dxa"/>
            <w:noWrap/>
            <w:hideMark/>
          </w:tcPr>
          <w:p>
            <w:pPr>
              <w:spacing w:line="276" w:lineRule="auto"/>
              <w:ind w:right="34"/>
              <w:jc w:val="right"/>
              <w:rPr>
                <w:sz w:val="21"/>
                <w:szCs w:val="21"/>
                <w:lang w:eastAsia="en-PH"/>
              </w:rPr>
            </w:pPr>
            <w:r>
              <w:rPr>
                <w:sz w:val="21"/>
                <w:szCs w:val="21"/>
                <w:lang w:eastAsia="en-PH"/>
              </w:rPr>
              <w:t xml:space="preserve">        300,000.00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City Engineering Office</w:t>
            </w:r>
          </w:p>
        </w:tc>
        <w:tc>
          <w:tcPr>
            <w:tcW w:w="1843" w:type="dxa"/>
            <w:noWrap/>
            <w:hideMark/>
          </w:tcPr>
          <w:p>
            <w:pPr>
              <w:spacing w:line="276" w:lineRule="auto"/>
              <w:ind w:right="34"/>
              <w:jc w:val="right"/>
              <w:rPr>
                <w:sz w:val="21"/>
                <w:szCs w:val="21"/>
                <w:lang w:eastAsia="en-PH"/>
              </w:rPr>
            </w:pPr>
            <w:r>
              <w:rPr>
                <w:sz w:val="21"/>
                <w:szCs w:val="21"/>
                <w:lang w:eastAsia="en-PH"/>
              </w:rPr>
              <w:t xml:space="preserve">    7,170,000.00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City Environment and Natural Resources Office</w:t>
            </w:r>
          </w:p>
        </w:tc>
        <w:tc>
          <w:tcPr>
            <w:tcW w:w="1843" w:type="dxa"/>
            <w:noWrap/>
            <w:hideMark/>
          </w:tcPr>
          <w:p>
            <w:pPr>
              <w:spacing w:line="276" w:lineRule="auto"/>
              <w:ind w:right="34"/>
              <w:jc w:val="right"/>
              <w:rPr>
                <w:sz w:val="21"/>
                <w:szCs w:val="21"/>
                <w:lang w:eastAsia="en-PH"/>
              </w:rPr>
            </w:pPr>
            <w:r>
              <w:rPr>
                <w:sz w:val="21"/>
                <w:szCs w:val="21"/>
                <w:lang w:eastAsia="en-PH"/>
              </w:rPr>
              <w:t xml:space="preserve">        260,000.00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City Health Office</w:t>
            </w:r>
          </w:p>
        </w:tc>
        <w:tc>
          <w:tcPr>
            <w:tcW w:w="1843" w:type="dxa"/>
            <w:noWrap/>
            <w:hideMark/>
          </w:tcPr>
          <w:p>
            <w:pPr>
              <w:spacing w:line="276" w:lineRule="auto"/>
              <w:ind w:right="34"/>
              <w:jc w:val="right"/>
              <w:rPr>
                <w:sz w:val="21"/>
                <w:szCs w:val="21"/>
                <w:lang w:eastAsia="en-PH"/>
              </w:rPr>
            </w:pPr>
            <w:r>
              <w:rPr>
                <w:sz w:val="21"/>
                <w:szCs w:val="21"/>
                <w:lang w:eastAsia="en-PH"/>
              </w:rPr>
              <w:t xml:space="preserve">        430,000.00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City Mayor's Office</w:t>
            </w:r>
          </w:p>
        </w:tc>
        <w:tc>
          <w:tcPr>
            <w:tcW w:w="1843" w:type="dxa"/>
            <w:noWrap/>
            <w:hideMark/>
          </w:tcPr>
          <w:p>
            <w:pPr>
              <w:spacing w:line="276" w:lineRule="auto"/>
              <w:ind w:right="34"/>
              <w:jc w:val="right"/>
              <w:rPr>
                <w:sz w:val="21"/>
                <w:szCs w:val="21"/>
                <w:lang w:eastAsia="en-PH"/>
              </w:rPr>
            </w:pPr>
            <w:r>
              <w:rPr>
                <w:sz w:val="21"/>
                <w:szCs w:val="21"/>
                <w:lang w:eastAsia="en-PH"/>
              </w:rPr>
              <w:t xml:space="preserve">  11,600,000.00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City Planning and Development Office</w:t>
            </w:r>
          </w:p>
        </w:tc>
        <w:tc>
          <w:tcPr>
            <w:tcW w:w="1843" w:type="dxa"/>
            <w:noWrap/>
            <w:hideMark/>
          </w:tcPr>
          <w:p>
            <w:pPr>
              <w:spacing w:line="276" w:lineRule="auto"/>
              <w:ind w:right="34"/>
              <w:jc w:val="right"/>
              <w:rPr>
                <w:sz w:val="21"/>
                <w:szCs w:val="21"/>
                <w:lang w:eastAsia="en-PH"/>
              </w:rPr>
            </w:pPr>
            <w:r>
              <w:rPr>
                <w:sz w:val="21"/>
                <w:szCs w:val="21"/>
                <w:lang w:eastAsia="en-PH"/>
              </w:rPr>
              <w:t xml:space="preserve">        120,000.00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Special Education Fund</w:t>
            </w:r>
          </w:p>
        </w:tc>
        <w:tc>
          <w:tcPr>
            <w:tcW w:w="1843" w:type="dxa"/>
            <w:noWrap/>
            <w:hideMark/>
          </w:tcPr>
          <w:p>
            <w:pPr>
              <w:spacing w:line="276" w:lineRule="auto"/>
              <w:ind w:right="34"/>
              <w:jc w:val="right"/>
              <w:rPr>
                <w:sz w:val="21"/>
                <w:szCs w:val="21"/>
                <w:lang w:eastAsia="en-PH"/>
              </w:rPr>
            </w:pPr>
            <w:r>
              <w:rPr>
                <w:sz w:val="21"/>
                <w:szCs w:val="21"/>
                <w:lang w:eastAsia="en-PH"/>
              </w:rPr>
              <w:t xml:space="preserve">    1,055,000.00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b/>
                <w:i/>
                <w:sz w:val="21"/>
                <w:szCs w:val="21"/>
                <w:lang w:eastAsia="en-PH"/>
              </w:rPr>
            </w:pPr>
            <w:r>
              <w:rPr>
                <w:b/>
                <w:i/>
                <w:sz w:val="21"/>
                <w:szCs w:val="21"/>
                <w:lang w:eastAsia="en-PH"/>
              </w:rPr>
              <w:t>Sub-total</w:t>
            </w:r>
          </w:p>
        </w:tc>
        <w:tc>
          <w:tcPr>
            <w:tcW w:w="1843" w:type="dxa"/>
            <w:noWrap/>
            <w:hideMark/>
          </w:tcPr>
          <w:p>
            <w:pPr>
              <w:spacing w:line="276" w:lineRule="auto"/>
              <w:ind w:right="34"/>
              <w:jc w:val="right"/>
              <w:rPr>
                <w:b/>
                <w:i/>
                <w:sz w:val="21"/>
                <w:szCs w:val="21"/>
                <w:lang w:eastAsia="en-PH"/>
              </w:rPr>
            </w:pPr>
            <w:r>
              <w:rPr>
                <w:b/>
                <w:i/>
                <w:sz w:val="21"/>
                <w:szCs w:val="21"/>
                <w:lang w:eastAsia="en-PH"/>
              </w:rPr>
              <w:t xml:space="preserve">  23,840,000.00</w:t>
            </w:r>
          </w:p>
        </w:tc>
        <w:tc>
          <w:tcPr>
            <w:tcW w:w="1275" w:type="dxa"/>
            <w:noWrap/>
            <w:hideMark/>
          </w:tcPr>
          <w:p>
            <w:pPr>
              <w:spacing w:line="276" w:lineRule="auto"/>
              <w:jc w:val="center"/>
              <w:rPr>
                <w:b/>
                <w:i/>
                <w:sz w:val="21"/>
                <w:szCs w:val="21"/>
                <w:lang w:eastAsia="en-PH"/>
              </w:rPr>
            </w:pPr>
            <w:r>
              <w:rPr>
                <w:b/>
                <w:i/>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7938" w:type="dxa"/>
            <w:gridSpan w:val="3"/>
            <w:hideMark/>
          </w:tcPr>
          <w:p>
            <w:pPr>
              <w:spacing w:line="276" w:lineRule="auto"/>
              <w:ind w:right="34"/>
              <w:jc w:val="center"/>
              <w:rPr>
                <w:b/>
                <w:bCs/>
                <w:sz w:val="21"/>
                <w:szCs w:val="21"/>
                <w:lang w:eastAsia="en-PH"/>
              </w:rPr>
            </w:pPr>
            <w:r>
              <w:rPr>
                <w:b/>
                <w:bCs/>
                <w:sz w:val="21"/>
                <w:szCs w:val="21"/>
                <w:lang w:eastAsia="en-PH"/>
              </w:rPr>
              <w:t>Continuing Appropriation (CY2021)</w:t>
            </w:r>
          </w:p>
        </w:tc>
        <w:tc>
          <w:tcPr>
            <w:tcW w:w="993" w:type="dxa"/>
            <w:vMerge w:val="restart"/>
            <w:noWrap/>
            <w:hideMark/>
          </w:tcPr>
          <w:p>
            <w:pPr>
              <w:spacing w:line="276" w:lineRule="auto"/>
              <w:ind w:right="-86"/>
              <w:jc w:val="center"/>
              <w:rPr>
                <w:sz w:val="21"/>
                <w:szCs w:val="21"/>
                <w:lang w:eastAsia="en-PH"/>
              </w:rPr>
            </w:pPr>
            <w:r>
              <w:rPr>
                <w:sz w:val="21"/>
                <w:szCs w:val="21"/>
                <w:lang w:eastAsia="en-PH"/>
              </w:rPr>
              <w:t>26</w:t>
            </w: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Budget Office</w:t>
            </w:r>
          </w:p>
        </w:tc>
        <w:tc>
          <w:tcPr>
            <w:tcW w:w="1843" w:type="dxa"/>
            <w:noWrap/>
            <w:hideMark/>
          </w:tcPr>
          <w:p>
            <w:pPr>
              <w:spacing w:line="276" w:lineRule="auto"/>
              <w:ind w:right="34"/>
              <w:jc w:val="right"/>
              <w:rPr>
                <w:sz w:val="21"/>
                <w:szCs w:val="21"/>
                <w:lang w:eastAsia="en-PH"/>
              </w:rPr>
            </w:pPr>
            <w:r>
              <w:rPr>
                <w:sz w:val="21"/>
                <w:szCs w:val="21"/>
                <w:lang w:eastAsia="en-PH"/>
              </w:rPr>
              <w:t xml:space="preserve">        290,000.00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Health Office</w:t>
            </w:r>
          </w:p>
        </w:tc>
        <w:tc>
          <w:tcPr>
            <w:tcW w:w="1843" w:type="dxa"/>
            <w:noWrap/>
            <w:hideMark/>
          </w:tcPr>
          <w:p>
            <w:pPr>
              <w:spacing w:line="276" w:lineRule="auto"/>
              <w:ind w:right="34"/>
              <w:jc w:val="right"/>
              <w:rPr>
                <w:sz w:val="21"/>
                <w:szCs w:val="21"/>
                <w:lang w:eastAsia="en-PH"/>
              </w:rPr>
            </w:pPr>
            <w:r>
              <w:rPr>
                <w:sz w:val="21"/>
                <w:szCs w:val="21"/>
                <w:lang w:eastAsia="en-PH"/>
              </w:rPr>
              <w:t xml:space="preserve">          15,000.00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Legal Office</w:t>
            </w:r>
          </w:p>
        </w:tc>
        <w:tc>
          <w:tcPr>
            <w:tcW w:w="1843" w:type="dxa"/>
            <w:noWrap/>
            <w:hideMark/>
          </w:tcPr>
          <w:p>
            <w:pPr>
              <w:spacing w:line="276" w:lineRule="auto"/>
              <w:ind w:right="34"/>
              <w:jc w:val="right"/>
              <w:rPr>
                <w:sz w:val="21"/>
                <w:szCs w:val="21"/>
                <w:lang w:eastAsia="en-PH"/>
              </w:rPr>
            </w:pPr>
            <w:r>
              <w:rPr>
                <w:sz w:val="21"/>
                <w:szCs w:val="21"/>
                <w:lang w:eastAsia="en-PH"/>
              </w:rPr>
              <w:t xml:space="preserve">        256,331.18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Mayor's Office</w:t>
            </w:r>
          </w:p>
        </w:tc>
        <w:tc>
          <w:tcPr>
            <w:tcW w:w="1843" w:type="dxa"/>
            <w:noWrap/>
            <w:hideMark/>
          </w:tcPr>
          <w:p>
            <w:pPr>
              <w:spacing w:line="276" w:lineRule="auto"/>
              <w:ind w:right="34"/>
              <w:jc w:val="right"/>
              <w:rPr>
                <w:sz w:val="21"/>
                <w:szCs w:val="21"/>
                <w:lang w:eastAsia="en-PH"/>
              </w:rPr>
            </w:pPr>
            <w:r>
              <w:rPr>
                <w:sz w:val="21"/>
                <w:szCs w:val="21"/>
                <w:lang w:eastAsia="en-PH"/>
              </w:rPr>
              <w:t xml:space="preserve">        275,000.00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 xml:space="preserve">Sangguniang </w:t>
            </w:r>
            <w:proofErr w:type="spellStart"/>
            <w:r>
              <w:rPr>
                <w:sz w:val="21"/>
                <w:szCs w:val="21"/>
                <w:lang w:eastAsia="en-PH"/>
              </w:rPr>
              <w:t>Panlungsod</w:t>
            </w:r>
            <w:proofErr w:type="spellEnd"/>
            <w:r>
              <w:rPr>
                <w:sz w:val="21"/>
                <w:szCs w:val="21"/>
                <w:lang w:eastAsia="en-PH"/>
              </w:rPr>
              <w:t xml:space="preserve"> Office</w:t>
            </w:r>
          </w:p>
        </w:tc>
        <w:tc>
          <w:tcPr>
            <w:tcW w:w="1843" w:type="dxa"/>
            <w:noWrap/>
            <w:hideMark/>
          </w:tcPr>
          <w:p>
            <w:pPr>
              <w:spacing w:line="276" w:lineRule="auto"/>
              <w:ind w:right="34"/>
              <w:jc w:val="right"/>
              <w:rPr>
                <w:sz w:val="21"/>
                <w:szCs w:val="21"/>
                <w:lang w:eastAsia="en-PH"/>
              </w:rPr>
            </w:pPr>
            <w:r>
              <w:rPr>
                <w:sz w:val="21"/>
                <w:szCs w:val="21"/>
                <w:lang w:eastAsia="en-PH"/>
              </w:rPr>
              <w:t xml:space="preserve">    1,374,000.00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Special Education Fund</w:t>
            </w:r>
          </w:p>
        </w:tc>
        <w:tc>
          <w:tcPr>
            <w:tcW w:w="1843" w:type="dxa"/>
            <w:noWrap/>
            <w:hideMark/>
          </w:tcPr>
          <w:p>
            <w:pPr>
              <w:spacing w:line="276" w:lineRule="auto"/>
              <w:ind w:right="34"/>
              <w:jc w:val="right"/>
              <w:rPr>
                <w:sz w:val="21"/>
                <w:szCs w:val="21"/>
                <w:lang w:eastAsia="en-PH"/>
              </w:rPr>
            </w:pPr>
            <w:r>
              <w:rPr>
                <w:sz w:val="21"/>
                <w:szCs w:val="21"/>
                <w:lang w:eastAsia="en-PH"/>
              </w:rPr>
              <w:t xml:space="preserve">    1,190,000.00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b/>
                <w:i/>
                <w:sz w:val="21"/>
                <w:szCs w:val="21"/>
                <w:lang w:eastAsia="en-PH"/>
              </w:rPr>
            </w:pPr>
            <w:r>
              <w:rPr>
                <w:b/>
                <w:i/>
                <w:sz w:val="21"/>
                <w:szCs w:val="21"/>
                <w:lang w:eastAsia="en-PH"/>
              </w:rPr>
              <w:t>Sub-total</w:t>
            </w:r>
          </w:p>
        </w:tc>
        <w:tc>
          <w:tcPr>
            <w:tcW w:w="1843" w:type="dxa"/>
            <w:noWrap/>
            <w:hideMark/>
          </w:tcPr>
          <w:p>
            <w:pPr>
              <w:spacing w:line="276" w:lineRule="auto"/>
              <w:ind w:right="34"/>
              <w:jc w:val="right"/>
              <w:rPr>
                <w:b/>
                <w:i/>
                <w:sz w:val="21"/>
                <w:szCs w:val="21"/>
                <w:lang w:eastAsia="en-PH"/>
              </w:rPr>
            </w:pPr>
            <w:r>
              <w:rPr>
                <w:b/>
                <w:i/>
                <w:sz w:val="21"/>
                <w:szCs w:val="21"/>
                <w:lang w:eastAsia="en-PH"/>
              </w:rPr>
              <w:t xml:space="preserve">    3,400,331.18</w:t>
            </w:r>
          </w:p>
        </w:tc>
        <w:tc>
          <w:tcPr>
            <w:tcW w:w="1275" w:type="dxa"/>
            <w:noWrap/>
            <w:hideMark/>
          </w:tcPr>
          <w:p>
            <w:pPr>
              <w:spacing w:line="276" w:lineRule="auto"/>
              <w:jc w:val="center"/>
              <w:rPr>
                <w:b/>
                <w:i/>
                <w:sz w:val="21"/>
                <w:szCs w:val="21"/>
                <w:lang w:eastAsia="en-PH"/>
              </w:rPr>
            </w:pPr>
            <w:r>
              <w:rPr>
                <w:b/>
                <w:i/>
                <w:sz w:val="21"/>
                <w:szCs w:val="21"/>
                <w:lang w:eastAsia="en-PH"/>
              </w:rPr>
              <w:t>-0.00-</w:t>
            </w:r>
          </w:p>
        </w:tc>
        <w:tc>
          <w:tcPr>
            <w:tcW w:w="993" w:type="dxa"/>
            <w:noWrap/>
            <w:vAlign w:val="center"/>
            <w:hideMark/>
          </w:tcPr>
          <w:p>
            <w:pPr>
              <w:spacing w:line="276" w:lineRule="auto"/>
              <w:ind w:right="-86"/>
              <w:jc w:val="center"/>
              <w:rPr>
                <w:sz w:val="21"/>
                <w:szCs w:val="21"/>
                <w:lang w:eastAsia="en-PH"/>
              </w:rPr>
            </w:pPr>
          </w:p>
        </w:tc>
      </w:tr>
      <w:tr>
        <w:trPr>
          <w:trHeight w:val="20"/>
        </w:trPr>
        <w:tc>
          <w:tcPr>
            <w:tcW w:w="7938" w:type="dxa"/>
            <w:gridSpan w:val="3"/>
            <w:hideMark/>
          </w:tcPr>
          <w:p>
            <w:pPr>
              <w:spacing w:line="276" w:lineRule="auto"/>
              <w:ind w:right="34"/>
              <w:jc w:val="center"/>
              <w:rPr>
                <w:b/>
                <w:bCs/>
                <w:sz w:val="21"/>
                <w:szCs w:val="21"/>
                <w:lang w:eastAsia="en-PH"/>
              </w:rPr>
            </w:pPr>
            <w:r>
              <w:rPr>
                <w:b/>
                <w:bCs/>
                <w:sz w:val="21"/>
                <w:szCs w:val="21"/>
                <w:lang w:eastAsia="en-PH"/>
              </w:rPr>
              <w:t>Continuing Appropriation (CY2020)</w:t>
            </w:r>
          </w:p>
        </w:tc>
        <w:tc>
          <w:tcPr>
            <w:tcW w:w="993" w:type="dxa"/>
            <w:vMerge w:val="restart"/>
            <w:noWrap/>
            <w:hideMark/>
          </w:tcPr>
          <w:p>
            <w:pPr>
              <w:spacing w:line="276" w:lineRule="auto"/>
              <w:ind w:right="-86"/>
              <w:jc w:val="center"/>
              <w:rPr>
                <w:sz w:val="21"/>
                <w:szCs w:val="21"/>
                <w:lang w:eastAsia="en-PH"/>
              </w:rPr>
            </w:pPr>
            <w:r>
              <w:rPr>
                <w:sz w:val="21"/>
                <w:szCs w:val="21"/>
                <w:lang w:eastAsia="en-PH"/>
              </w:rPr>
              <w:t>7</w:t>
            </w: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Budget Office</w:t>
            </w:r>
          </w:p>
        </w:tc>
        <w:tc>
          <w:tcPr>
            <w:tcW w:w="1843" w:type="dxa"/>
            <w:noWrap/>
            <w:hideMark/>
          </w:tcPr>
          <w:p>
            <w:pPr>
              <w:spacing w:line="276" w:lineRule="auto"/>
              <w:ind w:right="34"/>
              <w:jc w:val="right"/>
              <w:rPr>
                <w:sz w:val="21"/>
                <w:szCs w:val="21"/>
                <w:lang w:eastAsia="en-PH"/>
              </w:rPr>
            </w:pPr>
            <w:r>
              <w:rPr>
                <w:sz w:val="21"/>
                <w:szCs w:val="21"/>
                <w:lang w:eastAsia="en-PH"/>
              </w:rPr>
              <w:t xml:space="preserve">          48,553.00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 xml:space="preserve">City Environment </w:t>
            </w:r>
            <w:proofErr w:type="gramStart"/>
            <w:r>
              <w:rPr>
                <w:sz w:val="21"/>
                <w:szCs w:val="21"/>
                <w:lang w:eastAsia="en-PH"/>
              </w:rPr>
              <w:t>And</w:t>
            </w:r>
            <w:proofErr w:type="gramEnd"/>
            <w:r>
              <w:rPr>
                <w:sz w:val="21"/>
                <w:szCs w:val="21"/>
                <w:lang w:eastAsia="en-PH"/>
              </w:rPr>
              <w:t xml:space="preserve"> Natural Resources O</w:t>
            </w:r>
          </w:p>
        </w:tc>
        <w:tc>
          <w:tcPr>
            <w:tcW w:w="1843" w:type="dxa"/>
            <w:noWrap/>
            <w:hideMark/>
          </w:tcPr>
          <w:p>
            <w:pPr>
              <w:spacing w:line="276" w:lineRule="auto"/>
              <w:ind w:right="34"/>
              <w:jc w:val="right"/>
              <w:rPr>
                <w:sz w:val="21"/>
                <w:szCs w:val="21"/>
                <w:lang w:eastAsia="en-PH"/>
              </w:rPr>
            </w:pPr>
            <w:r>
              <w:rPr>
                <w:sz w:val="21"/>
                <w:szCs w:val="21"/>
                <w:lang w:eastAsia="en-PH"/>
              </w:rPr>
              <w:t xml:space="preserve">        114,195.00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lastRenderedPageBreak/>
              <w:t>City Health Office</w:t>
            </w:r>
          </w:p>
        </w:tc>
        <w:tc>
          <w:tcPr>
            <w:tcW w:w="1843" w:type="dxa"/>
            <w:noWrap/>
            <w:hideMark/>
          </w:tcPr>
          <w:p>
            <w:pPr>
              <w:spacing w:line="276" w:lineRule="auto"/>
              <w:ind w:right="34"/>
              <w:jc w:val="right"/>
              <w:rPr>
                <w:sz w:val="21"/>
                <w:szCs w:val="21"/>
                <w:lang w:eastAsia="en-PH"/>
              </w:rPr>
            </w:pPr>
            <w:r>
              <w:rPr>
                <w:sz w:val="21"/>
                <w:szCs w:val="21"/>
                <w:lang w:eastAsia="en-PH"/>
              </w:rPr>
              <w:t xml:space="preserve">        111,015.00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Legal Office</w:t>
            </w:r>
          </w:p>
        </w:tc>
        <w:tc>
          <w:tcPr>
            <w:tcW w:w="1843" w:type="dxa"/>
            <w:noWrap/>
            <w:hideMark/>
          </w:tcPr>
          <w:p>
            <w:pPr>
              <w:spacing w:line="276" w:lineRule="auto"/>
              <w:ind w:right="34"/>
              <w:jc w:val="right"/>
              <w:rPr>
                <w:sz w:val="21"/>
                <w:szCs w:val="21"/>
                <w:lang w:eastAsia="en-PH"/>
              </w:rPr>
            </w:pPr>
            <w:r>
              <w:rPr>
                <w:sz w:val="21"/>
                <w:szCs w:val="21"/>
                <w:lang w:eastAsia="en-PH"/>
              </w:rPr>
              <w:t xml:space="preserve">        429,645.13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 xml:space="preserve">City Planning </w:t>
            </w:r>
            <w:proofErr w:type="gramStart"/>
            <w:r>
              <w:rPr>
                <w:sz w:val="21"/>
                <w:szCs w:val="21"/>
                <w:lang w:eastAsia="en-PH"/>
              </w:rPr>
              <w:t>And</w:t>
            </w:r>
            <w:proofErr w:type="gramEnd"/>
            <w:r>
              <w:rPr>
                <w:sz w:val="21"/>
                <w:szCs w:val="21"/>
                <w:lang w:eastAsia="en-PH"/>
              </w:rPr>
              <w:t xml:space="preserve"> Development Office</w:t>
            </w:r>
          </w:p>
        </w:tc>
        <w:tc>
          <w:tcPr>
            <w:tcW w:w="1843" w:type="dxa"/>
            <w:noWrap/>
            <w:hideMark/>
          </w:tcPr>
          <w:p>
            <w:pPr>
              <w:spacing w:line="276" w:lineRule="auto"/>
              <w:ind w:right="34"/>
              <w:jc w:val="right"/>
              <w:rPr>
                <w:sz w:val="21"/>
                <w:szCs w:val="21"/>
                <w:lang w:eastAsia="en-PH"/>
              </w:rPr>
            </w:pPr>
            <w:r>
              <w:rPr>
                <w:sz w:val="21"/>
                <w:szCs w:val="21"/>
                <w:lang w:eastAsia="en-PH"/>
              </w:rPr>
              <w:t xml:space="preserve">          20,000.00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 xml:space="preserve">Sangguniang </w:t>
            </w:r>
            <w:proofErr w:type="spellStart"/>
            <w:r>
              <w:rPr>
                <w:sz w:val="21"/>
                <w:szCs w:val="21"/>
                <w:lang w:eastAsia="en-PH"/>
              </w:rPr>
              <w:t>Panlungsod</w:t>
            </w:r>
            <w:proofErr w:type="spellEnd"/>
            <w:r>
              <w:rPr>
                <w:sz w:val="21"/>
                <w:szCs w:val="21"/>
                <w:lang w:eastAsia="en-PH"/>
              </w:rPr>
              <w:t xml:space="preserve"> Office</w:t>
            </w:r>
          </w:p>
        </w:tc>
        <w:tc>
          <w:tcPr>
            <w:tcW w:w="1843" w:type="dxa"/>
            <w:noWrap/>
            <w:hideMark/>
          </w:tcPr>
          <w:p>
            <w:pPr>
              <w:spacing w:line="276" w:lineRule="auto"/>
              <w:ind w:right="34"/>
              <w:jc w:val="right"/>
              <w:rPr>
                <w:sz w:val="21"/>
                <w:szCs w:val="21"/>
                <w:lang w:eastAsia="en-PH"/>
              </w:rPr>
            </w:pPr>
            <w:r>
              <w:rPr>
                <w:sz w:val="21"/>
                <w:szCs w:val="21"/>
                <w:lang w:eastAsia="en-PH"/>
              </w:rPr>
              <w:t xml:space="preserve">          77,408.75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b/>
                <w:i/>
                <w:sz w:val="21"/>
                <w:szCs w:val="21"/>
                <w:lang w:eastAsia="en-PH"/>
              </w:rPr>
            </w:pPr>
            <w:r>
              <w:rPr>
                <w:b/>
                <w:i/>
                <w:sz w:val="21"/>
                <w:szCs w:val="21"/>
                <w:lang w:eastAsia="en-PH"/>
              </w:rPr>
              <w:t>Sub-total</w:t>
            </w:r>
          </w:p>
        </w:tc>
        <w:tc>
          <w:tcPr>
            <w:tcW w:w="1843" w:type="dxa"/>
            <w:noWrap/>
            <w:hideMark/>
          </w:tcPr>
          <w:p>
            <w:pPr>
              <w:spacing w:line="276" w:lineRule="auto"/>
              <w:ind w:right="34"/>
              <w:jc w:val="right"/>
              <w:rPr>
                <w:b/>
                <w:i/>
                <w:sz w:val="21"/>
                <w:szCs w:val="21"/>
                <w:lang w:eastAsia="en-PH"/>
              </w:rPr>
            </w:pPr>
            <w:r>
              <w:rPr>
                <w:b/>
                <w:i/>
                <w:sz w:val="21"/>
                <w:szCs w:val="21"/>
                <w:lang w:eastAsia="en-PH"/>
              </w:rPr>
              <w:t xml:space="preserve">    800,816.88</w:t>
            </w:r>
          </w:p>
        </w:tc>
        <w:tc>
          <w:tcPr>
            <w:tcW w:w="1275" w:type="dxa"/>
            <w:noWrap/>
            <w:hideMark/>
          </w:tcPr>
          <w:p>
            <w:pPr>
              <w:spacing w:line="276" w:lineRule="auto"/>
              <w:jc w:val="center"/>
              <w:rPr>
                <w:b/>
                <w:i/>
                <w:sz w:val="21"/>
                <w:szCs w:val="21"/>
                <w:lang w:eastAsia="en-PH"/>
              </w:rPr>
            </w:pPr>
            <w:r>
              <w:rPr>
                <w:b/>
                <w:i/>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7938" w:type="dxa"/>
            <w:gridSpan w:val="3"/>
            <w:noWrap/>
            <w:hideMark/>
          </w:tcPr>
          <w:p>
            <w:pPr>
              <w:spacing w:line="276" w:lineRule="auto"/>
              <w:ind w:right="34"/>
              <w:jc w:val="center"/>
              <w:rPr>
                <w:b/>
                <w:bCs/>
                <w:sz w:val="21"/>
                <w:szCs w:val="21"/>
                <w:lang w:eastAsia="en-PH"/>
              </w:rPr>
            </w:pPr>
            <w:r>
              <w:rPr>
                <w:b/>
                <w:bCs/>
                <w:sz w:val="21"/>
                <w:szCs w:val="21"/>
                <w:lang w:eastAsia="en-PH"/>
              </w:rPr>
              <w:t>Continuing Appropriation (CY2019)</w:t>
            </w:r>
          </w:p>
        </w:tc>
        <w:tc>
          <w:tcPr>
            <w:tcW w:w="993" w:type="dxa"/>
            <w:vMerge w:val="restart"/>
            <w:noWrap/>
            <w:hideMark/>
          </w:tcPr>
          <w:p>
            <w:pPr>
              <w:spacing w:line="276" w:lineRule="auto"/>
              <w:ind w:right="-86"/>
              <w:jc w:val="center"/>
              <w:rPr>
                <w:sz w:val="21"/>
                <w:szCs w:val="21"/>
                <w:lang w:eastAsia="en-PH"/>
              </w:rPr>
            </w:pPr>
            <w:r>
              <w:rPr>
                <w:sz w:val="21"/>
                <w:szCs w:val="21"/>
                <w:lang w:eastAsia="en-PH"/>
              </w:rPr>
              <w:t>13</w:t>
            </w: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Engineering Office</w:t>
            </w:r>
          </w:p>
        </w:tc>
        <w:tc>
          <w:tcPr>
            <w:tcW w:w="1843" w:type="dxa"/>
            <w:noWrap/>
            <w:hideMark/>
          </w:tcPr>
          <w:p>
            <w:pPr>
              <w:spacing w:line="276" w:lineRule="auto"/>
              <w:ind w:right="34"/>
              <w:jc w:val="right"/>
              <w:rPr>
                <w:sz w:val="21"/>
                <w:szCs w:val="21"/>
                <w:lang w:eastAsia="en-PH"/>
              </w:rPr>
            </w:pPr>
            <w:r>
              <w:rPr>
                <w:sz w:val="21"/>
                <w:szCs w:val="21"/>
                <w:lang w:eastAsia="en-PH"/>
              </w:rPr>
              <w:t xml:space="preserve">          80,000.00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Health Office</w:t>
            </w:r>
          </w:p>
        </w:tc>
        <w:tc>
          <w:tcPr>
            <w:tcW w:w="1843" w:type="dxa"/>
            <w:noWrap/>
            <w:hideMark/>
          </w:tcPr>
          <w:p>
            <w:pPr>
              <w:spacing w:line="276" w:lineRule="auto"/>
              <w:ind w:right="34"/>
              <w:jc w:val="right"/>
              <w:rPr>
                <w:sz w:val="21"/>
                <w:szCs w:val="21"/>
                <w:lang w:eastAsia="en-PH"/>
              </w:rPr>
            </w:pPr>
            <w:r>
              <w:rPr>
                <w:sz w:val="21"/>
                <w:szCs w:val="21"/>
                <w:lang w:eastAsia="en-PH"/>
              </w:rPr>
              <w:t xml:space="preserve">          74,585.00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Legal Office</w:t>
            </w:r>
          </w:p>
        </w:tc>
        <w:tc>
          <w:tcPr>
            <w:tcW w:w="1843" w:type="dxa"/>
            <w:noWrap/>
            <w:hideMark/>
          </w:tcPr>
          <w:p>
            <w:pPr>
              <w:spacing w:line="276" w:lineRule="auto"/>
              <w:ind w:right="34"/>
              <w:jc w:val="right"/>
              <w:rPr>
                <w:sz w:val="21"/>
                <w:szCs w:val="21"/>
                <w:lang w:eastAsia="en-PH"/>
              </w:rPr>
            </w:pPr>
            <w:r>
              <w:rPr>
                <w:sz w:val="21"/>
                <w:szCs w:val="21"/>
                <w:lang w:eastAsia="en-PH"/>
              </w:rPr>
              <w:t xml:space="preserve">        258,636.52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Mayor's Office</w:t>
            </w:r>
          </w:p>
        </w:tc>
        <w:tc>
          <w:tcPr>
            <w:tcW w:w="1843" w:type="dxa"/>
            <w:noWrap/>
            <w:hideMark/>
          </w:tcPr>
          <w:p>
            <w:pPr>
              <w:spacing w:line="276" w:lineRule="auto"/>
              <w:ind w:right="34"/>
              <w:jc w:val="right"/>
              <w:rPr>
                <w:sz w:val="21"/>
                <w:szCs w:val="21"/>
                <w:lang w:eastAsia="en-PH"/>
              </w:rPr>
            </w:pPr>
            <w:r>
              <w:rPr>
                <w:sz w:val="21"/>
                <w:szCs w:val="21"/>
                <w:lang w:eastAsia="en-PH"/>
              </w:rPr>
              <w:t xml:space="preserve">        567,783.14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 xml:space="preserve">Sangguniang </w:t>
            </w:r>
            <w:proofErr w:type="spellStart"/>
            <w:r>
              <w:rPr>
                <w:sz w:val="21"/>
                <w:szCs w:val="21"/>
                <w:lang w:eastAsia="en-PH"/>
              </w:rPr>
              <w:t>Panlungsod</w:t>
            </w:r>
            <w:proofErr w:type="spellEnd"/>
            <w:r>
              <w:rPr>
                <w:sz w:val="21"/>
                <w:szCs w:val="21"/>
                <w:lang w:eastAsia="en-PH"/>
              </w:rPr>
              <w:t xml:space="preserve"> Office</w:t>
            </w:r>
          </w:p>
        </w:tc>
        <w:tc>
          <w:tcPr>
            <w:tcW w:w="1843" w:type="dxa"/>
            <w:noWrap/>
            <w:hideMark/>
          </w:tcPr>
          <w:p>
            <w:pPr>
              <w:spacing w:line="276" w:lineRule="auto"/>
              <w:ind w:right="34"/>
              <w:jc w:val="right"/>
              <w:rPr>
                <w:sz w:val="21"/>
                <w:szCs w:val="21"/>
                <w:lang w:eastAsia="en-PH"/>
              </w:rPr>
            </w:pPr>
            <w:r>
              <w:rPr>
                <w:sz w:val="21"/>
                <w:szCs w:val="21"/>
                <w:lang w:eastAsia="en-PH"/>
              </w:rPr>
              <w:t xml:space="preserve">    1,533,000.00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b/>
                <w:i/>
                <w:sz w:val="21"/>
                <w:szCs w:val="21"/>
                <w:lang w:eastAsia="en-PH"/>
              </w:rPr>
            </w:pPr>
            <w:r>
              <w:rPr>
                <w:b/>
                <w:i/>
                <w:sz w:val="21"/>
                <w:szCs w:val="21"/>
                <w:lang w:eastAsia="en-PH"/>
              </w:rPr>
              <w:t>Sub-total</w:t>
            </w:r>
          </w:p>
        </w:tc>
        <w:tc>
          <w:tcPr>
            <w:tcW w:w="1843" w:type="dxa"/>
            <w:noWrap/>
            <w:hideMark/>
          </w:tcPr>
          <w:p>
            <w:pPr>
              <w:spacing w:line="276" w:lineRule="auto"/>
              <w:ind w:right="34"/>
              <w:jc w:val="right"/>
              <w:rPr>
                <w:b/>
                <w:i/>
                <w:sz w:val="21"/>
                <w:szCs w:val="21"/>
                <w:lang w:eastAsia="en-PH"/>
              </w:rPr>
            </w:pPr>
            <w:r>
              <w:rPr>
                <w:b/>
                <w:i/>
                <w:sz w:val="21"/>
                <w:szCs w:val="21"/>
                <w:lang w:eastAsia="en-PH"/>
              </w:rPr>
              <w:t xml:space="preserve">    2,514,004.66</w:t>
            </w:r>
          </w:p>
        </w:tc>
        <w:tc>
          <w:tcPr>
            <w:tcW w:w="1275" w:type="dxa"/>
            <w:noWrap/>
            <w:hideMark/>
          </w:tcPr>
          <w:p>
            <w:pPr>
              <w:spacing w:line="276" w:lineRule="auto"/>
              <w:jc w:val="center"/>
              <w:rPr>
                <w:b/>
                <w:i/>
                <w:sz w:val="21"/>
                <w:szCs w:val="21"/>
                <w:lang w:eastAsia="en-PH"/>
              </w:rPr>
            </w:pPr>
            <w:r>
              <w:rPr>
                <w:b/>
                <w:i/>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7938" w:type="dxa"/>
            <w:gridSpan w:val="3"/>
            <w:noWrap/>
            <w:hideMark/>
          </w:tcPr>
          <w:p>
            <w:pPr>
              <w:spacing w:line="276" w:lineRule="auto"/>
              <w:ind w:right="34"/>
              <w:jc w:val="center"/>
              <w:rPr>
                <w:b/>
                <w:bCs/>
                <w:sz w:val="21"/>
                <w:szCs w:val="21"/>
                <w:lang w:eastAsia="en-PH"/>
              </w:rPr>
            </w:pPr>
            <w:r>
              <w:rPr>
                <w:b/>
                <w:bCs/>
                <w:sz w:val="21"/>
                <w:szCs w:val="21"/>
                <w:lang w:eastAsia="en-PH"/>
              </w:rPr>
              <w:t>Continuing Appropriation (CY2018)</w:t>
            </w:r>
          </w:p>
        </w:tc>
        <w:tc>
          <w:tcPr>
            <w:tcW w:w="993" w:type="dxa"/>
            <w:vMerge w:val="restart"/>
            <w:noWrap/>
            <w:hideMark/>
          </w:tcPr>
          <w:p>
            <w:pPr>
              <w:spacing w:line="276" w:lineRule="auto"/>
              <w:ind w:right="-86"/>
              <w:jc w:val="center"/>
              <w:rPr>
                <w:sz w:val="21"/>
                <w:szCs w:val="21"/>
                <w:lang w:eastAsia="en-PH"/>
              </w:rPr>
            </w:pPr>
            <w:r>
              <w:rPr>
                <w:sz w:val="21"/>
                <w:szCs w:val="21"/>
                <w:lang w:eastAsia="en-PH"/>
              </w:rPr>
              <w:t>13</w:t>
            </w: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CDRRMO</w:t>
            </w:r>
          </w:p>
        </w:tc>
        <w:tc>
          <w:tcPr>
            <w:tcW w:w="1843" w:type="dxa"/>
            <w:noWrap/>
            <w:hideMark/>
          </w:tcPr>
          <w:p>
            <w:pPr>
              <w:spacing w:line="276" w:lineRule="auto"/>
              <w:ind w:right="34"/>
              <w:jc w:val="right"/>
              <w:rPr>
                <w:sz w:val="21"/>
                <w:szCs w:val="21"/>
                <w:lang w:eastAsia="en-PH"/>
              </w:rPr>
            </w:pPr>
            <w:r>
              <w:rPr>
                <w:sz w:val="21"/>
                <w:szCs w:val="21"/>
                <w:lang w:eastAsia="en-PH"/>
              </w:rPr>
              <w:t xml:space="preserve">          46,120.00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CEEMDO-Market Operations</w:t>
            </w:r>
          </w:p>
        </w:tc>
        <w:tc>
          <w:tcPr>
            <w:tcW w:w="1843" w:type="dxa"/>
            <w:noWrap/>
            <w:hideMark/>
          </w:tcPr>
          <w:p>
            <w:pPr>
              <w:spacing w:line="276" w:lineRule="auto"/>
              <w:ind w:right="34"/>
              <w:jc w:val="right"/>
              <w:rPr>
                <w:sz w:val="21"/>
                <w:szCs w:val="21"/>
                <w:lang w:eastAsia="en-PH"/>
              </w:rPr>
            </w:pPr>
            <w:r>
              <w:rPr>
                <w:sz w:val="21"/>
                <w:szCs w:val="21"/>
                <w:lang w:eastAsia="en-PH"/>
              </w:rPr>
              <w:t xml:space="preserve">          50,000.00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Agriculture Office</w:t>
            </w:r>
          </w:p>
        </w:tc>
        <w:tc>
          <w:tcPr>
            <w:tcW w:w="1843" w:type="dxa"/>
            <w:noWrap/>
            <w:hideMark/>
          </w:tcPr>
          <w:p>
            <w:pPr>
              <w:spacing w:line="276" w:lineRule="auto"/>
              <w:ind w:right="34"/>
              <w:jc w:val="right"/>
              <w:rPr>
                <w:sz w:val="21"/>
                <w:szCs w:val="21"/>
                <w:lang w:eastAsia="en-PH"/>
              </w:rPr>
            </w:pPr>
            <w:r>
              <w:rPr>
                <w:sz w:val="21"/>
                <w:szCs w:val="21"/>
                <w:lang w:eastAsia="en-PH"/>
              </w:rPr>
              <w:t xml:space="preserve">          85,000.00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Engineering Office</w:t>
            </w:r>
          </w:p>
        </w:tc>
        <w:tc>
          <w:tcPr>
            <w:tcW w:w="1843" w:type="dxa"/>
            <w:noWrap/>
            <w:hideMark/>
          </w:tcPr>
          <w:p>
            <w:pPr>
              <w:spacing w:line="276" w:lineRule="auto"/>
              <w:ind w:right="34"/>
              <w:jc w:val="right"/>
              <w:rPr>
                <w:sz w:val="21"/>
                <w:szCs w:val="21"/>
                <w:lang w:eastAsia="en-PH"/>
              </w:rPr>
            </w:pPr>
            <w:r>
              <w:rPr>
                <w:sz w:val="21"/>
                <w:szCs w:val="21"/>
                <w:lang w:eastAsia="en-PH"/>
              </w:rPr>
              <w:t xml:space="preserve">          20,000.00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sz w:val="21"/>
                <w:szCs w:val="21"/>
                <w:lang w:eastAsia="en-PH"/>
              </w:rPr>
            </w:pPr>
            <w:r>
              <w:rPr>
                <w:sz w:val="21"/>
                <w:szCs w:val="21"/>
                <w:lang w:eastAsia="en-PH"/>
              </w:rPr>
              <w:t xml:space="preserve">City Environment </w:t>
            </w:r>
            <w:proofErr w:type="gramStart"/>
            <w:r>
              <w:rPr>
                <w:sz w:val="21"/>
                <w:szCs w:val="21"/>
                <w:lang w:eastAsia="en-PH"/>
              </w:rPr>
              <w:t>And</w:t>
            </w:r>
            <w:proofErr w:type="gramEnd"/>
            <w:r>
              <w:rPr>
                <w:sz w:val="21"/>
                <w:szCs w:val="21"/>
                <w:lang w:eastAsia="en-PH"/>
              </w:rPr>
              <w:t xml:space="preserve"> Natural Resources O</w:t>
            </w:r>
          </w:p>
        </w:tc>
        <w:tc>
          <w:tcPr>
            <w:tcW w:w="1843" w:type="dxa"/>
            <w:noWrap/>
            <w:hideMark/>
          </w:tcPr>
          <w:p>
            <w:pPr>
              <w:spacing w:line="276" w:lineRule="auto"/>
              <w:ind w:right="34"/>
              <w:jc w:val="right"/>
              <w:rPr>
                <w:sz w:val="21"/>
                <w:szCs w:val="21"/>
                <w:lang w:eastAsia="en-PH"/>
              </w:rPr>
            </w:pPr>
            <w:r>
              <w:rPr>
                <w:sz w:val="21"/>
                <w:szCs w:val="21"/>
                <w:lang w:eastAsia="en-PH"/>
              </w:rPr>
              <w:t xml:space="preserve">          75,233.39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Legal Office</w:t>
            </w:r>
          </w:p>
        </w:tc>
        <w:tc>
          <w:tcPr>
            <w:tcW w:w="1843" w:type="dxa"/>
            <w:noWrap/>
            <w:hideMark/>
          </w:tcPr>
          <w:p>
            <w:pPr>
              <w:spacing w:line="276" w:lineRule="auto"/>
              <w:ind w:right="34"/>
              <w:jc w:val="right"/>
              <w:rPr>
                <w:sz w:val="21"/>
                <w:szCs w:val="21"/>
                <w:lang w:eastAsia="en-PH"/>
              </w:rPr>
            </w:pPr>
            <w:r>
              <w:rPr>
                <w:sz w:val="21"/>
                <w:szCs w:val="21"/>
                <w:lang w:eastAsia="en-PH"/>
              </w:rPr>
              <w:t xml:space="preserve">        526,877.25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Mayor's Office</w:t>
            </w:r>
          </w:p>
        </w:tc>
        <w:tc>
          <w:tcPr>
            <w:tcW w:w="1843" w:type="dxa"/>
            <w:noWrap/>
            <w:hideMark/>
          </w:tcPr>
          <w:p>
            <w:pPr>
              <w:spacing w:line="276" w:lineRule="auto"/>
              <w:ind w:right="34"/>
              <w:jc w:val="right"/>
              <w:rPr>
                <w:sz w:val="21"/>
                <w:szCs w:val="21"/>
                <w:lang w:eastAsia="en-PH"/>
              </w:rPr>
            </w:pPr>
            <w:r>
              <w:rPr>
                <w:sz w:val="21"/>
                <w:szCs w:val="21"/>
                <w:lang w:eastAsia="en-PH"/>
              </w:rPr>
              <w:t xml:space="preserve">    5,167,420.00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b/>
                <w:i/>
                <w:sz w:val="21"/>
                <w:szCs w:val="21"/>
                <w:lang w:eastAsia="en-PH"/>
              </w:rPr>
            </w:pPr>
            <w:r>
              <w:rPr>
                <w:b/>
                <w:i/>
                <w:sz w:val="21"/>
                <w:szCs w:val="21"/>
                <w:lang w:eastAsia="en-PH"/>
              </w:rPr>
              <w:t>Sub-total</w:t>
            </w:r>
          </w:p>
        </w:tc>
        <w:tc>
          <w:tcPr>
            <w:tcW w:w="1843" w:type="dxa"/>
            <w:noWrap/>
            <w:hideMark/>
          </w:tcPr>
          <w:p>
            <w:pPr>
              <w:spacing w:line="276" w:lineRule="auto"/>
              <w:ind w:right="34"/>
              <w:jc w:val="right"/>
              <w:rPr>
                <w:b/>
                <w:i/>
                <w:sz w:val="21"/>
                <w:szCs w:val="21"/>
                <w:lang w:eastAsia="en-PH"/>
              </w:rPr>
            </w:pPr>
            <w:r>
              <w:rPr>
                <w:b/>
                <w:i/>
                <w:sz w:val="21"/>
                <w:szCs w:val="21"/>
                <w:lang w:eastAsia="en-PH"/>
              </w:rPr>
              <w:t>5,924,530.64</w:t>
            </w:r>
          </w:p>
        </w:tc>
        <w:tc>
          <w:tcPr>
            <w:tcW w:w="1275" w:type="dxa"/>
            <w:noWrap/>
            <w:hideMark/>
          </w:tcPr>
          <w:p>
            <w:pPr>
              <w:spacing w:line="276" w:lineRule="auto"/>
              <w:jc w:val="center"/>
              <w:rPr>
                <w:b/>
                <w:i/>
                <w:sz w:val="21"/>
                <w:szCs w:val="21"/>
                <w:lang w:eastAsia="en-PH"/>
              </w:rPr>
            </w:pPr>
            <w:r>
              <w:rPr>
                <w:b/>
                <w:i/>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7938" w:type="dxa"/>
            <w:gridSpan w:val="3"/>
            <w:noWrap/>
            <w:hideMark/>
          </w:tcPr>
          <w:p>
            <w:pPr>
              <w:spacing w:line="276" w:lineRule="auto"/>
              <w:ind w:right="34"/>
              <w:jc w:val="center"/>
              <w:rPr>
                <w:b/>
                <w:bCs/>
                <w:sz w:val="21"/>
                <w:szCs w:val="21"/>
                <w:lang w:eastAsia="en-PH"/>
              </w:rPr>
            </w:pPr>
            <w:r>
              <w:rPr>
                <w:b/>
                <w:bCs/>
                <w:sz w:val="21"/>
                <w:szCs w:val="21"/>
                <w:lang w:eastAsia="en-PH"/>
              </w:rPr>
              <w:t>Continuing Appropriation (CY2017)</w:t>
            </w:r>
          </w:p>
        </w:tc>
        <w:tc>
          <w:tcPr>
            <w:tcW w:w="993" w:type="dxa"/>
            <w:vMerge w:val="restart"/>
            <w:noWrap/>
            <w:hideMark/>
          </w:tcPr>
          <w:p>
            <w:pPr>
              <w:spacing w:line="276" w:lineRule="auto"/>
              <w:ind w:right="-86"/>
              <w:jc w:val="center"/>
              <w:rPr>
                <w:sz w:val="21"/>
                <w:szCs w:val="21"/>
                <w:lang w:eastAsia="en-PH"/>
              </w:rPr>
            </w:pPr>
            <w:r>
              <w:rPr>
                <w:sz w:val="21"/>
                <w:szCs w:val="21"/>
                <w:lang w:eastAsia="en-PH"/>
              </w:rPr>
              <w:t>4</w:t>
            </w: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Administrator's Office</w:t>
            </w:r>
          </w:p>
        </w:tc>
        <w:tc>
          <w:tcPr>
            <w:tcW w:w="1843" w:type="dxa"/>
            <w:noWrap/>
            <w:hideMark/>
          </w:tcPr>
          <w:p>
            <w:pPr>
              <w:spacing w:line="276" w:lineRule="auto"/>
              <w:ind w:right="34"/>
              <w:jc w:val="right"/>
              <w:rPr>
                <w:sz w:val="21"/>
                <w:szCs w:val="21"/>
                <w:lang w:eastAsia="en-PH"/>
              </w:rPr>
            </w:pPr>
            <w:r>
              <w:rPr>
                <w:sz w:val="21"/>
                <w:szCs w:val="21"/>
                <w:lang w:eastAsia="en-PH"/>
              </w:rPr>
              <w:t xml:space="preserve">          35,000.00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Legal Office</w:t>
            </w:r>
          </w:p>
        </w:tc>
        <w:tc>
          <w:tcPr>
            <w:tcW w:w="1843" w:type="dxa"/>
            <w:noWrap/>
            <w:hideMark/>
          </w:tcPr>
          <w:p>
            <w:pPr>
              <w:spacing w:line="276" w:lineRule="auto"/>
              <w:ind w:right="34"/>
              <w:jc w:val="right"/>
              <w:rPr>
                <w:sz w:val="21"/>
                <w:szCs w:val="21"/>
                <w:lang w:eastAsia="en-PH"/>
              </w:rPr>
            </w:pPr>
            <w:r>
              <w:rPr>
                <w:sz w:val="21"/>
                <w:szCs w:val="21"/>
                <w:lang w:eastAsia="en-PH"/>
              </w:rPr>
              <w:t xml:space="preserve">        211,921.26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noWrap/>
            <w:hideMark/>
          </w:tcPr>
          <w:p>
            <w:pPr>
              <w:spacing w:line="276" w:lineRule="auto"/>
              <w:ind w:right="-86"/>
              <w:jc w:val="both"/>
              <w:rPr>
                <w:sz w:val="21"/>
                <w:szCs w:val="21"/>
                <w:lang w:eastAsia="en-PH"/>
              </w:rPr>
            </w:pPr>
            <w:r>
              <w:rPr>
                <w:sz w:val="21"/>
                <w:szCs w:val="21"/>
                <w:lang w:eastAsia="en-PH"/>
              </w:rPr>
              <w:t>City Mayors Office</w:t>
            </w:r>
          </w:p>
        </w:tc>
        <w:tc>
          <w:tcPr>
            <w:tcW w:w="1843" w:type="dxa"/>
            <w:noWrap/>
            <w:hideMark/>
          </w:tcPr>
          <w:p>
            <w:pPr>
              <w:spacing w:line="276" w:lineRule="auto"/>
              <w:ind w:right="34"/>
              <w:jc w:val="right"/>
              <w:rPr>
                <w:sz w:val="21"/>
                <w:szCs w:val="21"/>
                <w:lang w:eastAsia="en-PH"/>
              </w:rPr>
            </w:pPr>
            <w:r>
              <w:rPr>
                <w:sz w:val="21"/>
                <w:szCs w:val="21"/>
                <w:lang w:eastAsia="en-PH"/>
              </w:rPr>
              <w:t xml:space="preserve">          75,000.00 </w:t>
            </w:r>
          </w:p>
        </w:tc>
        <w:tc>
          <w:tcPr>
            <w:tcW w:w="1275" w:type="dxa"/>
            <w:noWrap/>
            <w:hideMark/>
          </w:tcPr>
          <w:p>
            <w:pPr>
              <w:spacing w:line="276" w:lineRule="auto"/>
              <w:jc w:val="center"/>
              <w:rPr>
                <w:sz w:val="21"/>
                <w:szCs w:val="21"/>
                <w:lang w:eastAsia="en-PH"/>
              </w:rPr>
            </w:pPr>
            <w:r>
              <w:rPr>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hideMark/>
          </w:tcPr>
          <w:p>
            <w:pPr>
              <w:spacing w:line="276" w:lineRule="auto"/>
              <w:ind w:right="-86"/>
              <w:jc w:val="both"/>
              <w:rPr>
                <w:b/>
                <w:i/>
                <w:sz w:val="21"/>
                <w:szCs w:val="21"/>
                <w:lang w:eastAsia="en-PH"/>
              </w:rPr>
            </w:pPr>
            <w:r>
              <w:rPr>
                <w:b/>
                <w:i/>
                <w:sz w:val="21"/>
                <w:szCs w:val="21"/>
                <w:lang w:eastAsia="en-PH"/>
              </w:rPr>
              <w:t>Sub-total</w:t>
            </w:r>
          </w:p>
        </w:tc>
        <w:tc>
          <w:tcPr>
            <w:tcW w:w="1843" w:type="dxa"/>
            <w:noWrap/>
            <w:hideMark/>
          </w:tcPr>
          <w:p>
            <w:pPr>
              <w:spacing w:line="276" w:lineRule="auto"/>
              <w:ind w:right="34"/>
              <w:jc w:val="right"/>
              <w:rPr>
                <w:b/>
                <w:i/>
                <w:sz w:val="21"/>
                <w:szCs w:val="21"/>
                <w:lang w:eastAsia="en-PH"/>
              </w:rPr>
            </w:pPr>
            <w:r>
              <w:rPr>
                <w:b/>
                <w:i/>
                <w:sz w:val="21"/>
                <w:szCs w:val="21"/>
                <w:lang w:eastAsia="en-PH"/>
              </w:rPr>
              <w:t xml:space="preserve">        321,921.26 </w:t>
            </w:r>
          </w:p>
        </w:tc>
        <w:tc>
          <w:tcPr>
            <w:tcW w:w="1275" w:type="dxa"/>
            <w:noWrap/>
            <w:hideMark/>
          </w:tcPr>
          <w:p>
            <w:pPr>
              <w:spacing w:line="276" w:lineRule="auto"/>
              <w:jc w:val="center"/>
              <w:rPr>
                <w:b/>
                <w:i/>
                <w:sz w:val="21"/>
                <w:szCs w:val="21"/>
                <w:lang w:eastAsia="en-PH"/>
              </w:rPr>
            </w:pPr>
            <w:r>
              <w:rPr>
                <w:b/>
                <w:i/>
                <w:sz w:val="21"/>
                <w:szCs w:val="21"/>
                <w:lang w:eastAsia="en-PH"/>
              </w:rPr>
              <w:t>-0.00-</w:t>
            </w:r>
          </w:p>
        </w:tc>
        <w:tc>
          <w:tcPr>
            <w:tcW w:w="993" w:type="dxa"/>
            <w:vMerge/>
            <w:noWrap/>
            <w:vAlign w:val="center"/>
            <w:hideMark/>
          </w:tcPr>
          <w:p>
            <w:pPr>
              <w:spacing w:line="276" w:lineRule="auto"/>
              <w:ind w:right="-86"/>
              <w:jc w:val="center"/>
              <w:rPr>
                <w:sz w:val="21"/>
                <w:szCs w:val="21"/>
                <w:lang w:eastAsia="en-PH"/>
              </w:rPr>
            </w:pPr>
          </w:p>
        </w:tc>
      </w:tr>
      <w:tr>
        <w:trPr>
          <w:trHeight w:val="20"/>
        </w:trPr>
        <w:tc>
          <w:tcPr>
            <w:tcW w:w="4820" w:type="dxa"/>
            <w:tcBorders>
              <w:bottom w:val="single" w:sz="4" w:space="0" w:color="auto"/>
            </w:tcBorders>
            <w:noWrap/>
            <w:hideMark/>
          </w:tcPr>
          <w:p>
            <w:pPr>
              <w:spacing w:line="276" w:lineRule="auto"/>
              <w:ind w:right="-86"/>
              <w:jc w:val="both"/>
              <w:rPr>
                <w:b/>
                <w:bCs/>
                <w:sz w:val="21"/>
                <w:szCs w:val="21"/>
                <w:lang w:eastAsia="en-PH"/>
              </w:rPr>
            </w:pPr>
            <w:r>
              <w:rPr>
                <w:b/>
                <w:bCs/>
                <w:sz w:val="21"/>
                <w:szCs w:val="21"/>
                <w:lang w:eastAsia="en-PH"/>
              </w:rPr>
              <w:t>TOTAL (NON-INFRASTRUCTURE PROJECTS)</w:t>
            </w:r>
          </w:p>
        </w:tc>
        <w:tc>
          <w:tcPr>
            <w:tcW w:w="1843" w:type="dxa"/>
            <w:tcBorders>
              <w:bottom w:val="single" w:sz="4" w:space="0" w:color="auto"/>
            </w:tcBorders>
            <w:noWrap/>
            <w:hideMark/>
          </w:tcPr>
          <w:p>
            <w:pPr>
              <w:spacing w:line="276" w:lineRule="auto"/>
              <w:ind w:right="34"/>
              <w:jc w:val="right"/>
              <w:rPr>
                <w:b/>
                <w:bCs/>
                <w:sz w:val="21"/>
                <w:szCs w:val="21"/>
                <w:lang w:eastAsia="en-PH"/>
              </w:rPr>
            </w:pPr>
            <w:r>
              <w:rPr>
                <w:b/>
                <w:bCs/>
                <w:sz w:val="21"/>
                <w:szCs w:val="21"/>
                <w:lang w:eastAsia="en-PH"/>
              </w:rPr>
              <w:t>P36,801,604.62</w:t>
            </w:r>
          </w:p>
        </w:tc>
        <w:tc>
          <w:tcPr>
            <w:tcW w:w="1275" w:type="dxa"/>
            <w:tcBorders>
              <w:bottom w:val="single" w:sz="4" w:space="0" w:color="auto"/>
            </w:tcBorders>
            <w:noWrap/>
            <w:hideMark/>
          </w:tcPr>
          <w:p>
            <w:pPr>
              <w:spacing w:line="276" w:lineRule="auto"/>
              <w:jc w:val="center"/>
              <w:rPr>
                <w:b/>
                <w:sz w:val="21"/>
                <w:szCs w:val="21"/>
                <w:lang w:eastAsia="en-PH"/>
              </w:rPr>
            </w:pPr>
            <w:r>
              <w:rPr>
                <w:b/>
                <w:sz w:val="21"/>
                <w:szCs w:val="21"/>
                <w:lang w:eastAsia="en-PH"/>
              </w:rPr>
              <w:t>-P0.00-</w:t>
            </w:r>
          </w:p>
        </w:tc>
        <w:tc>
          <w:tcPr>
            <w:tcW w:w="993" w:type="dxa"/>
            <w:tcBorders>
              <w:bottom w:val="single" w:sz="4" w:space="0" w:color="auto"/>
            </w:tcBorders>
            <w:noWrap/>
            <w:vAlign w:val="center"/>
            <w:hideMark/>
          </w:tcPr>
          <w:p>
            <w:pPr>
              <w:spacing w:line="276" w:lineRule="auto"/>
              <w:ind w:right="-86"/>
              <w:jc w:val="center"/>
              <w:rPr>
                <w:b/>
                <w:bCs/>
                <w:sz w:val="21"/>
                <w:szCs w:val="21"/>
                <w:lang w:eastAsia="en-PH"/>
              </w:rPr>
            </w:pPr>
            <w:r>
              <w:rPr>
                <w:b/>
                <w:bCs/>
                <w:sz w:val="21"/>
                <w:szCs w:val="21"/>
                <w:lang w:eastAsia="en-PH"/>
              </w:rPr>
              <w:t>92</w:t>
            </w:r>
          </w:p>
        </w:tc>
      </w:tr>
    </w:tbl>
    <w:p>
      <w:pPr>
        <w:spacing w:line="276" w:lineRule="auto"/>
        <w:ind w:right="-86"/>
        <w:jc w:val="both"/>
        <w:rPr>
          <w:lang w:eastAsia="en-PH"/>
        </w:rPr>
      </w:pPr>
      <w:r>
        <w:rPr>
          <w:lang w:eastAsia="en-PH"/>
        </w:rPr>
        <w:t xml:space="preserve">   *See </w:t>
      </w:r>
      <w:r>
        <w:rPr>
          <w:i/>
          <w:lang w:eastAsia="en-PH"/>
        </w:rPr>
        <w:t>Annex R</w:t>
      </w:r>
      <w:r>
        <w:rPr>
          <w:lang w:eastAsia="en-PH"/>
        </w:rPr>
        <w:t xml:space="preserve"> for the list of the projects</w:t>
      </w:r>
    </w:p>
    <w:p>
      <w:pPr>
        <w:autoSpaceDE w:val="0"/>
        <w:autoSpaceDN w:val="0"/>
        <w:adjustRightInd w:val="0"/>
        <w:spacing w:line="276" w:lineRule="auto"/>
        <w:contextualSpacing/>
        <w:jc w:val="both"/>
        <w:rPr>
          <w:lang w:val="en-PH" w:eastAsia="en-PH"/>
        </w:rPr>
      </w:pPr>
    </w:p>
    <w:p>
      <w:pPr>
        <w:autoSpaceDE w:val="0"/>
        <w:autoSpaceDN w:val="0"/>
        <w:adjustRightInd w:val="0"/>
        <w:spacing w:line="276" w:lineRule="auto"/>
        <w:contextualSpacing/>
        <w:jc w:val="both"/>
        <w:rPr>
          <w:lang w:val="en-PH" w:eastAsia="en-PH"/>
        </w:rPr>
      </w:pPr>
      <w:r>
        <w:rPr>
          <w:lang w:val="en-PH" w:eastAsia="en-PH"/>
        </w:rPr>
        <w:t xml:space="preserve">According to the management, it was difficult to implement these projects due to circumstances beyond their control. The management explained that since it was only in CY2022 that COVID-19 restrictions have been relaxed, they cannot accommodate at the same time the implementation of projects from the current and prior years. They also cited the lack of personnel complement particularly in the preparation of program of works and detailed of estimates, delays in the procurement due to conduct of re-bidding after the failure of first bidding, unforeseen issues and conditions at the project site location, among others, as the cause of non-implementation of the projects. Nonetheless, they stated that several contracts of these projects have already been awarded to contractors and suppliers in the 4th Quarter of the CY2022 while other projects are </w:t>
      </w:r>
      <w:r>
        <w:rPr>
          <w:lang w:val="en-PH" w:eastAsia="en-PH"/>
        </w:rPr>
        <w:lastRenderedPageBreak/>
        <w:t>undergoing procurement process. Also, implementations of some projects have already started in January 2023.</w:t>
      </w:r>
    </w:p>
    <w:p>
      <w:pPr>
        <w:autoSpaceDE w:val="0"/>
        <w:autoSpaceDN w:val="0"/>
        <w:adjustRightInd w:val="0"/>
        <w:spacing w:line="276" w:lineRule="auto"/>
        <w:ind w:firstLine="720"/>
        <w:contextualSpacing/>
        <w:jc w:val="both"/>
        <w:rPr>
          <w:lang w:val="en-PH" w:eastAsia="en-PH"/>
        </w:rPr>
      </w:pPr>
    </w:p>
    <w:p>
      <w:pPr>
        <w:pStyle w:val="ListParagraph"/>
        <w:numPr>
          <w:ilvl w:val="0"/>
          <w:numId w:val="68"/>
        </w:numPr>
        <w:autoSpaceDE w:val="0"/>
        <w:autoSpaceDN w:val="0"/>
        <w:adjustRightInd w:val="0"/>
        <w:spacing w:after="0"/>
        <w:ind w:left="426"/>
        <w:jc w:val="both"/>
        <w:rPr>
          <w:rFonts w:ascii="Times New Roman" w:hAnsi="Times New Roman"/>
          <w:b/>
          <w:sz w:val="24"/>
          <w:szCs w:val="24"/>
          <w:lang w:eastAsia="en-PH"/>
        </w:rPr>
      </w:pPr>
      <w:r>
        <w:rPr>
          <w:rFonts w:ascii="Times New Roman" w:hAnsi="Times New Roman"/>
          <w:b/>
          <w:sz w:val="24"/>
          <w:szCs w:val="24"/>
          <w:lang w:eastAsia="en-PH"/>
        </w:rPr>
        <w:t xml:space="preserve">Delay in the implementation of projects </w:t>
      </w:r>
      <w:proofErr w:type="spellStart"/>
      <w:r>
        <w:rPr>
          <w:rFonts w:ascii="Times New Roman" w:hAnsi="Times New Roman"/>
          <w:b/>
          <w:sz w:val="24"/>
          <w:szCs w:val="24"/>
          <w:lang w:eastAsia="en-PH"/>
        </w:rPr>
        <w:t>totalling</w:t>
      </w:r>
      <w:proofErr w:type="spellEnd"/>
      <w:r>
        <w:rPr>
          <w:rFonts w:ascii="Times New Roman" w:hAnsi="Times New Roman"/>
          <w:b/>
          <w:sz w:val="24"/>
          <w:szCs w:val="24"/>
          <w:lang w:eastAsia="en-PH"/>
        </w:rPr>
        <w:t xml:space="preserve"> P154,489,595.30</w:t>
      </w:r>
    </w:p>
    <w:p>
      <w:pPr>
        <w:pStyle w:val="ListParagraph"/>
        <w:autoSpaceDE w:val="0"/>
        <w:autoSpaceDN w:val="0"/>
        <w:adjustRightInd w:val="0"/>
        <w:spacing w:after="0"/>
        <w:ind w:left="426"/>
        <w:jc w:val="both"/>
        <w:rPr>
          <w:rFonts w:ascii="Times New Roman" w:hAnsi="Times New Roman"/>
          <w:sz w:val="24"/>
          <w:szCs w:val="24"/>
          <w:lang w:eastAsia="en-PH"/>
        </w:rPr>
      </w:pPr>
    </w:p>
    <w:p>
      <w:pPr>
        <w:autoSpaceDE w:val="0"/>
        <w:autoSpaceDN w:val="0"/>
        <w:adjustRightInd w:val="0"/>
        <w:spacing w:line="276" w:lineRule="auto"/>
        <w:contextualSpacing/>
        <w:jc w:val="both"/>
        <w:rPr>
          <w:lang w:val="en-PH" w:eastAsia="en-PH"/>
        </w:rPr>
      </w:pPr>
      <w:r>
        <w:rPr>
          <w:rFonts w:eastAsiaTheme="minorHAnsi"/>
          <w:bCs/>
          <w:color w:val="000000" w:themeColor="text1"/>
        </w:rPr>
        <w:t xml:space="preserve">We also examined the status of implementation of infrastructure projects of the City Government of </w:t>
      </w:r>
      <w:proofErr w:type="spellStart"/>
      <w:r>
        <w:rPr>
          <w:rFonts w:eastAsiaTheme="minorHAnsi"/>
          <w:bCs/>
          <w:color w:val="000000" w:themeColor="text1"/>
        </w:rPr>
        <w:t>Panabo</w:t>
      </w:r>
      <w:proofErr w:type="spellEnd"/>
      <w:r>
        <w:rPr>
          <w:rFonts w:eastAsiaTheme="minorHAnsi"/>
          <w:bCs/>
          <w:color w:val="000000" w:themeColor="text1"/>
        </w:rPr>
        <w:t>. The references used for the examination are based from the Project Status Report as of December 31, 2022 submitted by the City Engineering Office (CEO), the accounting records and documents, and the results of ocular inspections conducted by the Audit Team in November 2022 and in January 2023. For CY 2022, the infrastructure projects with delayed implementation totaled to P154,489,595.30 which composed of locally funded projects and 20% Development Fund amounting to P5,182,300.00 and P149,307,295.34, respectively.</w:t>
      </w:r>
    </w:p>
    <w:p>
      <w:pPr>
        <w:autoSpaceDE w:val="0"/>
        <w:autoSpaceDN w:val="0"/>
        <w:adjustRightInd w:val="0"/>
        <w:spacing w:line="276" w:lineRule="auto"/>
        <w:ind w:firstLine="720"/>
        <w:contextualSpacing/>
        <w:jc w:val="both"/>
        <w:rPr>
          <w:lang w:val="en-PH" w:eastAsia="en-PH"/>
        </w:rPr>
      </w:pPr>
    </w:p>
    <w:p>
      <w:pPr>
        <w:pStyle w:val="ListParagraph"/>
        <w:numPr>
          <w:ilvl w:val="3"/>
          <w:numId w:val="47"/>
        </w:numPr>
        <w:autoSpaceDE w:val="0"/>
        <w:autoSpaceDN w:val="0"/>
        <w:adjustRightInd w:val="0"/>
        <w:spacing w:after="0"/>
        <w:ind w:left="426"/>
        <w:jc w:val="both"/>
        <w:rPr>
          <w:rFonts w:ascii="Times New Roman" w:hAnsi="Times New Roman"/>
          <w:b/>
          <w:bCs/>
          <w:color w:val="000000"/>
          <w:sz w:val="24"/>
          <w:szCs w:val="24"/>
        </w:rPr>
      </w:pPr>
      <w:r>
        <w:rPr>
          <w:rFonts w:ascii="Times New Roman" w:hAnsi="Times New Roman"/>
          <w:b/>
          <w:i/>
          <w:sz w:val="24"/>
          <w:szCs w:val="24"/>
          <w:lang w:val="en-GB" w:eastAsia="en-PH"/>
        </w:rPr>
        <w:t>Delayed implementation of various locally funded funds totalling</w:t>
      </w:r>
      <w:r>
        <w:rPr>
          <w:rFonts w:ascii="Times New Roman" w:hAnsi="Times New Roman"/>
          <w:b/>
          <w:i/>
          <w:color w:val="FF0000"/>
          <w:sz w:val="24"/>
          <w:szCs w:val="24"/>
          <w:lang w:val="en-GB" w:eastAsia="en-PH"/>
        </w:rPr>
        <w:t xml:space="preserve"> </w:t>
      </w:r>
      <w:r>
        <w:rPr>
          <w:rFonts w:ascii="Times New Roman" w:hAnsi="Times New Roman"/>
          <w:b/>
          <w:i/>
          <w:sz w:val="24"/>
          <w:szCs w:val="24"/>
          <w:lang w:val="en-GB" w:eastAsia="en-PH"/>
        </w:rPr>
        <w:t>P5,182,300.00</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Section 2 of Presidential Decree (PD) No. 1445, also known as the "Government Auditing Code of the Philippines" provides:</w:t>
      </w:r>
    </w:p>
    <w:p>
      <w:pPr>
        <w:spacing w:line="276" w:lineRule="auto"/>
        <w:ind w:firstLine="709"/>
        <w:rPr>
          <w:color w:val="000000"/>
        </w:rPr>
      </w:pPr>
    </w:p>
    <w:p>
      <w:pPr>
        <w:autoSpaceDE w:val="0"/>
        <w:autoSpaceDN w:val="0"/>
        <w:adjustRightInd w:val="0"/>
        <w:spacing w:line="276" w:lineRule="auto"/>
        <w:ind w:left="720" w:right="702"/>
        <w:jc w:val="both"/>
        <w:rPr>
          <w:rFonts w:eastAsia="Calibri"/>
          <w:bCs/>
          <w:color w:val="000000"/>
        </w:rPr>
      </w:pPr>
      <w:r>
        <w:rPr>
          <w:rFonts w:eastAsia="Calibri"/>
          <w:bCs/>
          <w:color w:val="000000"/>
        </w:rPr>
        <w:t>It is the declared policy of the State that all resources of the government shall be managed, expended or utilized in accordance with law and regulations, and safeguarded against loss or wastage through illegal or improper disposition, with a view to ensuring efficiency, economy and effectiveness in the operations of government. The responsibility to take care that such policy is faithfully adhered to rests directly with the chief or head of the government agency concerned.</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As shown in Table 22.5, it has been observed that implementation of six (6) locally funded infrastructure projects were not started and completed in the year of appropriation in CY2018 – CY2021. As of December 31, 2022, four (4) projects with continuing appropriation since CY2021 and CY2020 are still not completed. On the other hand, two (2) projects with continuing appropriation since CY2020 and CY2018 were only completed in CY2022 which was two (2) to four (4) years from its appropriation.</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i/>
          <w:color w:val="000000"/>
        </w:rPr>
      </w:pPr>
      <w:r>
        <w:rPr>
          <w:rFonts w:eastAsia="Calibri"/>
          <w:bCs/>
          <w:i/>
          <w:color w:val="000000"/>
        </w:rPr>
        <w:lastRenderedPageBreak/>
        <w:t>Table 22.5. List of locally funded infrastructure projects with delayed implementation</w:t>
      </w:r>
    </w:p>
    <w:tbl>
      <w:tblPr>
        <w:tblW w:w="51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3"/>
        <w:gridCol w:w="3067"/>
        <w:gridCol w:w="1692"/>
        <w:gridCol w:w="1177"/>
        <w:gridCol w:w="1559"/>
      </w:tblGrid>
      <w:tr>
        <w:trPr>
          <w:cantSplit/>
          <w:trHeight w:val="20"/>
          <w:tblHeader/>
          <w:jc w:val="center"/>
        </w:trPr>
        <w:tc>
          <w:tcPr>
            <w:tcW w:w="899" w:type="pct"/>
            <w:shd w:val="clear" w:color="auto" w:fill="auto"/>
            <w:vAlign w:val="center"/>
            <w:hideMark/>
          </w:tcPr>
          <w:p>
            <w:pPr>
              <w:spacing w:line="276" w:lineRule="auto"/>
              <w:jc w:val="center"/>
              <w:rPr>
                <w:b/>
                <w:bCs/>
                <w:sz w:val="22"/>
                <w:szCs w:val="22"/>
                <w:lang w:val="en-PH" w:eastAsia="en-PH"/>
              </w:rPr>
            </w:pPr>
            <w:r>
              <w:rPr>
                <w:b/>
                <w:bCs/>
                <w:sz w:val="22"/>
                <w:szCs w:val="22"/>
                <w:lang w:val="en-PH" w:eastAsia="en-PH"/>
              </w:rPr>
              <w:t>Department/ Office Concerned</w:t>
            </w:r>
          </w:p>
        </w:tc>
        <w:tc>
          <w:tcPr>
            <w:tcW w:w="1678" w:type="pct"/>
            <w:shd w:val="clear" w:color="auto" w:fill="auto"/>
            <w:vAlign w:val="center"/>
            <w:hideMark/>
          </w:tcPr>
          <w:p>
            <w:pPr>
              <w:spacing w:line="276" w:lineRule="auto"/>
              <w:jc w:val="center"/>
              <w:rPr>
                <w:b/>
                <w:bCs/>
                <w:sz w:val="22"/>
                <w:szCs w:val="22"/>
                <w:lang w:val="en-PH" w:eastAsia="en-PH"/>
              </w:rPr>
            </w:pPr>
            <w:r>
              <w:rPr>
                <w:b/>
                <w:bCs/>
                <w:sz w:val="22"/>
                <w:szCs w:val="22"/>
                <w:lang w:val="en-PH" w:eastAsia="en-PH"/>
              </w:rPr>
              <w:t>Infrastructure Project Description</w:t>
            </w:r>
          </w:p>
        </w:tc>
        <w:tc>
          <w:tcPr>
            <w:tcW w:w="926" w:type="pct"/>
            <w:shd w:val="clear" w:color="auto" w:fill="auto"/>
            <w:noWrap/>
            <w:vAlign w:val="center"/>
            <w:hideMark/>
          </w:tcPr>
          <w:p>
            <w:pPr>
              <w:spacing w:line="276" w:lineRule="auto"/>
              <w:jc w:val="center"/>
              <w:rPr>
                <w:b/>
                <w:bCs/>
                <w:sz w:val="22"/>
                <w:szCs w:val="22"/>
                <w:lang w:val="en-PH" w:eastAsia="en-PH"/>
              </w:rPr>
            </w:pPr>
            <w:r>
              <w:rPr>
                <w:b/>
                <w:bCs/>
                <w:sz w:val="22"/>
                <w:szCs w:val="22"/>
                <w:lang w:val="en-PH" w:eastAsia="en-PH"/>
              </w:rPr>
              <w:t>Appropriation</w:t>
            </w:r>
          </w:p>
        </w:tc>
        <w:tc>
          <w:tcPr>
            <w:tcW w:w="644" w:type="pct"/>
            <w:shd w:val="clear" w:color="auto" w:fill="auto"/>
            <w:noWrap/>
            <w:vAlign w:val="center"/>
            <w:hideMark/>
          </w:tcPr>
          <w:p>
            <w:pPr>
              <w:spacing w:line="276" w:lineRule="auto"/>
              <w:jc w:val="center"/>
              <w:rPr>
                <w:b/>
                <w:bCs/>
                <w:sz w:val="22"/>
                <w:szCs w:val="22"/>
                <w:lang w:val="en-PH" w:eastAsia="en-PH"/>
              </w:rPr>
            </w:pPr>
            <w:r>
              <w:rPr>
                <w:b/>
                <w:bCs/>
                <w:sz w:val="22"/>
                <w:szCs w:val="22"/>
                <w:lang w:val="en-PH" w:eastAsia="en-PH"/>
              </w:rPr>
              <w:t>Date Started</w:t>
            </w:r>
          </w:p>
        </w:tc>
        <w:tc>
          <w:tcPr>
            <w:tcW w:w="853" w:type="pct"/>
            <w:shd w:val="clear" w:color="auto" w:fill="auto"/>
            <w:noWrap/>
            <w:vAlign w:val="center"/>
            <w:hideMark/>
          </w:tcPr>
          <w:p>
            <w:pPr>
              <w:spacing w:line="276" w:lineRule="auto"/>
              <w:jc w:val="center"/>
              <w:rPr>
                <w:b/>
                <w:bCs/>
                <w:sz w:val="22"/>
                <w:szCs w:val="22"/>
                <w:lang w:val="en-PH" w:eastAsia="en-PH"/>
              </w:rPr>
            </w:pPr>
            <w:r>
              <w:rPr>
                <w:b/>
                <w:bCs/>
                <w:sz w:val="22"/>
                <w:szCs w:val="22"/>
                <w:lang w:val="en-PH" w:eastAsia="en-PH"/>
              </w:rPr>
              <w:t>Status of Completion</w:t>
            </w:r>
          </w:p>
          <w:p>
            <w:pPr>
              <w:spacing w:line="276" w:lineRule="auto"/>
              <w:jc w:val="center"/>
              <w:rPr>
                <w:b/>
                <w:bCs/>
                <w:sz w:val="22"/>
                <w:szCs w:val="22"/>
                <w:lang w:val="en-PH" w:eastAsia="en-PH"/>
              </w:rPr>
            </w:pPr>
            <w:r>
              <w:rPr>
                <w:b/>
                <w:bCs/>
                <w:sz w:val="22"/>
                <w:szCs w:val="22"/>
                <w:lang w:val="en-PH" w:eastAsia="en-PH"/>
              </w:rPr>
              <w:t>(as of 12/31/2022)</w:t>
            </w:r>
          </w:p>
        </w:tc>
      </w:tr>
      <w:tr>
        <w:trPr>
          <w:cantSplit/>
          <w:trHeight w:val="20"/>
          <w:jc w:val="center"/>
        </w:trPr>
        <w:tc>
          <w:tcPr>
            <w:tcW w:w="5000" w:type="pct"/>
            <w:gridSpan w:val="5"/>
            <w:shd w:val="clear" w:color="auto" w:fill="auto"/>
          </w:tcPr>
          <w:p>
            <w:pPr>
              <w:spacing w:line="276" w:lineRule="auto"/>
              <w:rPr>
                <w:sz w:val="22"/>
                <w:szCs w:val="22"/>
                <w:lang w:val="en-PH" w:eastAsia="en-PH"/>
              </w:rPr>
            </w:pPr>
            <w:r>
              <w:rPr>
                <w:b/>
                <w:sz w:val="22"/>
                <w:szCs w:val="22"/>
                <w:lang w:val="en-GB" w:eastAsia="en-GB"/>
              </w:rPr>
              <w:t>Continuing Appropriations (CY2021)</w:t>
            </w:r>
          </w:p>
        </w:tc>
      </w:tr>
      <w:tr>
        <w:trPr>
          <w:cantSplit/>
          <w:trHeight w:val="20"/>
          <w:jc w:val="center"/>
        </w:trPr>
        <w:tc>
          <w:tcPr>
            <w:tcW w:w="899" w:type="pct"/>
            <w:shd w:val="clear" w:color="auto" w:fill="auto"/>
            <w:hideMark/>
          </w:tcPr>
          <w:p>
            <w:pPr>
              <w:spacing w:line="276" w:lineRule="auto"/>
              <w:rPr>
                <w:sz w:val="22"/>
                <w:szCs w:val="22"/>
                <w:lang w:val="en-PH" w:eastAsia="en-PH"/>
              </w:rPr>
            </w:pPr>
            <w:r>
              <w:rPr>
                <w:sz w:val="22"/>
                <w:szCs w:val="22"/>
                <w:lang w:val="en-PH" w:eastAsia="en-PH"/>
              </w:rPr>
              <w:t>CEO</w:t>
            </w:r>
          </w:p>
        </w:tc>
        <w:tc>
          <w:tcPr>
            <w:tcW w:w="1678" w:type="pct"/>
            <w:shd w:val="clear" w:color="auto" w:fill="auto"/>
            <w:hideMark/>
          </w:tcPr>
          <w:p>
            <w:pPr>
              <w:numPr>
                <w:ilvl w:val="0"/>
                <w:numId w:val="53"/>
              </w:numPr>
              <w:spacing w:line="276" w:lineRule="auto"/>
              <w:ind w:left="254" w:hanging="218"/>
              <w:contextualSpacing/>
              <w:rPr>
                <w:sz w:val="22"/>
                <w:szCs w:val="22"/>
                <w:lang w:val="en-PH" w:eastAsia="en-PH"/>
              </w:rPr>
            </w:pPr>
            <w:r>
              <w:rPr>
                <w:sz w:val="22"/>
                <w:szCs w:val="22"/>
                <w:lang w:val="en-PH" w:eastAsia="en-PH"/>
              </w:rPr>
              <w:t>Construction of Maritime/Coastguard Building, San Pedro</w:t>
            </w:r>
          </w:p>
        </w:tc>
        <w:tc>
          <w:tcPr>
            <w:tcW w:w="926" w:type="pct"/>
            <w:shd w:val="clear" w:color="auto" w:fill="auto"/>
            <w:noWrap/>
            <w:hideMark/>
          </w:tcPr>
          <w:p>
            <w:pPr>
              <w:spacing w:line="276" w:lineRule="auto"/>
              <w:jc w:val="right"/>
              <w:rPr>
                <w:sz w:val="22"/>
                <w:szCs w:val="22"/>
                <w:lang w:val="en-PH" w:eastAsia="en-PH"/>
              </w:rPr>
            </w:pPr>
            <w:r>
              <w:rPr>
                <w:sz w:val="22"/>
                <w:szCs w:val="22"/>
                <w:lang w:val="en-PH" w:eastAsia="en-PH"/>
              </w:rPr>
              <w:t xml:space="preserve">P3,500,000.00 </w:t>
            </w:r>
          </w:p>
        </w:tc>
        <w:tc>
          <w:tcPr>
            <w:tcW w:w="644" w:type="pct"/>
            <w:shd w:val="clear" w:color="auto" w:fill="auto"/>
            <w:noWrap/>
            <w:hideMark/>
          </w:tcPr>
          <w:p>
            <w:pPr>
              <w:spacing w:line="276" w:lineRule="auto"/>
              <w:jc w:val="center"/>
              <w:rPr>
                <w:sz w:val="22"/>
                <w:szCs w:val="22"/>
                <w:lang w:val="en-PH" w:eastAsia="en-PH"/>
              </w:rPr>
            </w:pPr>
            <w:r>
              <w:rPr>
                <w:sz w:val="22"/>
                <w:szCs w:val="22"/>
                <w:lang w:val="en-PH" w:eastAsia="en-PH"/>
              </w:rPr>
              <w:t>suspended-CEO</w:t>
            </w:r>
          </w:p>
        </w:tc>
        <w:tc>
          <w:tcPr>
            <w:tcW w:w="853" w:type="pct"/>
            <w:shd w:val="clear" w:color="auto" w:fill="auto"/>
            <w:hideMark/>
          </w:tcPr>
          <w:p>
            <w:pPr>
              <w:spacing w:line="276" w:lineRule="auto"/>
              <w:jc w:val="center"/>
              <w:rPr>
                <w:sz w:val="22"/>
                <w:szCs w:val="22"/>
                <w:lang w:val="en-PH" w:eastAsia="en-PH"/>
              </w:rPr>
            </w:pPr>
            <w:r>
              <w:rPr>
                <w:sz w:val="22"/>
                <w:szCs w:val="22"/>
                <w:lang w:val="en-PH" w:eastAsia="en-PH"/>
              </w:rPr>
              <w:t>Suspended (per CEO’s report); On-going (per Ocular Inspection)</w:t>
            </w:r>
          </w:p>
        </w:tc>
      </w:tr>
      <w:tr>
        <w:trPr>
          <w:cantSplit/>
          <w:trHeight w:val="20"/>
          <w:jc w:val="center"/>
        </w:trPr>
        <w:tc>
          <w:tcPr>
            <w:tcW w:w="899" w:type="pct"/>
            <w:shd w:val="clear" w:color="auto" w:fill="auto"/>
          </w:tcPr>
          <w:p>
            <w:pPr>
              <w:spacing w:line="276" w:lineRule="auto"/>
              <w:rPr>
                <w:sz w:val="22"/>
                <w:szCs w:val="22"/>
                <w:lang w:val="en-PH" w:eastAsia="en-PH"/>
              </w:rPr>
            </w:pPr>
            <w:r>
              <w:rPr>
                <w:sz w:val="22"/>
                <w:szCs w:val="22"/>
                <w:lang w:val="en-PH" w:eastAsia="en-PH"/>
              </w:rPr>
              <w:t>CEEMDO-Market Operations</w:t>
            </w:r>
          </w:p>
        </w:tc>
        <w:tc>
          <w:tcPr>
            <w:tcW w:w="1678" w:type="pct"/>
            <w:shd w:val="clear" w:color="auto" w:fill="auto"/>
          </w:tcPr>
          <w:p>
            <w:pPr>
              <w:numPr>
                <w:ilvl w:val="0"/>
                <w:numId w:val="53"/>
              </w:numPr>
              <w:spacing w:line="276" w:lineRule="auto"/>
              <w:ind w:left="254" w:hanging="218"/>
              <w:contextualSpacing/>
              <w:rPr>
                <w:sz w:val="22"/>
                <w:szCs w:val="22"/>
                <w:lang w:val="en-PH" w:eastAsia="en-PH"/>
              </w:rPr>
            </w:pPr>
            <w:r>
              <w:rPr>
                <w:sz w:val="22"/>
                <w:szCs w:val="22"/>
                <w:lang w:val="en-PH" w:eastAsia="en-PH"/>
              </w:rPr>
              <w:t>Construction of Septic Tanks-Parks and Plaza CR, New Pandan</w:t>
            </w:r>
          </w:p>
        </w:tc>
        <w:tc>
          <w:tcPr>
            <w:tcW w:w="926" w:type="pct"/>
            <w:shd w:val="clear" w:color="auto" w:fill="auto"/>
            <w:noWrap/>
          </w:tcPr>
          <w:p>
            <w:pPr>
              <w:spacing w:line="276" w:lineRule="auto"/>
              <w:jc w:val="right"/>
              <w:rPr>
                <w:sz w:val="22"/>
                <w:szCs w:val="22"/>
                <w:lang w:val="en-PH" w:eastAsia="en-PH"/>
              </w:rPr>
            </w:pPr>
            <w:r>
              <w:rPr>
                <w:sz w:val="22"/>
                <w:szCs w:val="22"/>
                <w:lang w:val="en-PH" w:eastAsia="en-PH"/>
              </w:rPr>
              <w:t xml:space="preserve">132,300.00 </w:t>
            </w:r>
          </w:p>
        </w:tc>
        <w:tc>
          <w:tcPr>
            <w:tcW w:w="644" w:type="pct"/>
            <w:shd w:val="clear" w:color="auto" w:fill="auto"/>
            <w:noWrap/>
          </w:tcPr>
          <w:p>
            <w:pPr>
              <w:spacing w:line="276" w:lineRule="auto"/>
              <w:jc w:val="center"/>
              <w:rPr>
                <w:sz w:val="22"/>
                <w:szCs w:val="22"/>
                <w:lang w:val="en-PH" w:eastAsia="en-PH"/>
              </w:rPr>
            </w:pPr>
            <w:r>
              <w:rPr>
                <w:sz w:val="22"/>
                <w:szCs w:val="22"/>
                <w:lang w:val="en-PH" w:eastAsia="en-PH"/>
              </w:rPr>
              <w:t>not indicated in the CEO's report</w:t>
            </w:r>
          </w:p>
        </w:tc>
        <w:tc>
          <w:tcPr>
            <w:tcW w:w="853" w:type="pct"/>
            <w:shd w:val="clear" w:color="auto" w:fill="auto"/>
          </w:tcPr>
          <w:p>
            <w:pPr>
              <w:spacing w:line="276" w:lineRule="auto"/>
              <w:jc w:val="center"/>
              <w:rPr>
                <w:sz w:val="22"/>
                <w:szCs w:val="22"/>
                <w:lang w:val="en-PH" w:eastAsia="en-PH"/>
              </w:rPr>
            </w:pPr>
            <w:r>
              <w:rPr>
                <w:sz w:val="22"/>
                <w:szCs w:val="22"/>
                <w:lang w:val="en-PH" w:eastAsia="en-PH"/>
              </w:rPr>
              <w:t>On-going at 70% completion rate</w:t>
            </w:r>
          </w:p>
        </w:tc>
      </w:tr>
      <w:tr>
        <w:trPr>
          <w:cantSplit/>
          <w:trHeight w:val="20"/>
          <w:jc w:val="center"/>
        </w:trPr>
        <w:tc>
          <w:tcPr>
            <w:tcW w:w="899" w:type="pct"/>
            <w:shd w:val="clear" w:color="auto" w:fill="auto"/>
          </w:tcPr>
          <w:p>
            <w:pPr>
              <w:spacing w:line="276" w:lineRule="auto"/>
              <w:rPr>
                <w:sz w:val="22"/>
                <w:szCs w:val="22"/>
                <w:lang w:val="en-PH" w:eastAsia="en-PH"/>
              </w:rPr>
            </w:pPr>
            <w:r>
              <w:rPr>
                <w:sz w:val="22"/>
                <w:szCs w:val="22"/>
                <w:lang w:val="en-PH" w:eastAsia="en-PH"/>
              </w:rPr>
              <w:t>CEEMDO-Market Operations</w:t>
            </w:r>
          </w:p>
        </w:tc>
        <w:tc>
          <w:tcPr>
            <w:tcW w:w="1678" w:type="pct"/>
            <w:shd w:val="clear" w:color="auto" w:fill="auto"/>
          </w:tcPr>
          <w:p>
            <w:pPr>
              <w:numPr>
                <w:ilvl w:val="0"/>
                <w:numId w:val="53"/>
              </w:numPr>
              <w:spacing w:line="276" w:lineRule="auto"/>
              <w:ind w:left="254" w:hanging="218"/>
              <w:contextualSpacing/>
              <w:rPr>
                <w:sz w:val="22"/>
                <w:szCs w:val="22"/>
                <w:lang w:val="en-PH" w:eastAsia="en-PH"/>
              </w:rPr>
            </w:pPr>
            <w:r>
              <w:rPr>
                <w:sz w:val="22"/>
                <w:szCs w:val="22"/>
                <w:lang w:val="en-PH" w:eastAsia="en-PH"/>
              </w:rPr>
              <w:t>Fabrication of Five Movable Toll/Guard Houses, New Pandan</w:t>
            </w:r>
          </w:p>
        </w:tc>
        <w:tc>
          <w:tcPr>
            <w:tcW w:w="926" w:type="pct"/>
            <w:shd w:val="clear" w:color="auto" w:fill="auto"/>
            <w:noWrap/>
          </w:tcPr>
          <w:p>
            <w:pPr>
              <w:spacing w:line="276" w:lineRule="auto"/>
              <w:jc w:val="right"/>
              <w:rPr>
                <w:sz w:val="22"/>
                <w:szCs w:val="22"/>
                <w:lang w:val="en-PH" w:eastAsia="en-PH"/>
              </w:rPr>
            </w:pPr>
            <w:r>
              <w:rPr>
                <w:sz w:val="22"/>
                <w:szCs w:val="22"/>
                <w:lang w:val="en-PH" w:eastAsia="en-PH"/>
              </w:rPr>
              <w:t xml:space="preserve">250,000.00 </w:t>
            </w:r>
          </w:p>
        </w:tc>
        <w:tc>
          <w:tcPr>
            <w:tcW w:w="644" w:type="pct"/>
            <w:shd w:val="clear" w:color="auto" w:fill="auto"/>
            <w:noWrap/>
          </w:tcPr>
          <w:p>
            <w:pPr>
              <w:spacing w:line="276" w:lineRule="auto"/>
              <w:jc w:val="center"/>
              <w:rPr>
                <w:sz w:val="22"/>
                <w:szCs w:val="22"/>
                <w:lang w:val="en-PH" w:eastAsia="en-PH"/>
              </w:rPr>
            </w:pPr>
            <w:r>
              <w:rPr>
                <w:sz w:val="22"/>
                <w:szCs w:val="22"/>
                <w:lang w:val="en-PH" w:eastAsia="en-PH"/>
              </w:rPr>
              <w:t>not indicated in the CEO's report</w:t>
            </w:r>
          </w:p>
        </w:tc>
        <w:tc>
          <w:tcPr>
            <w:tcW w:w="853" w:type="pct"/>
            <w:shd w:val="clear" w:color="auto" w:fill="auto"/>
          </w:tcPr>
          <w:p>
            <w:pPr>
              <w:spacing w:line="276" w:lineRule="auto"/>
              <w:jc w:val="center"/>
              <w:rPr>
                <w:sz w:val="22"/>
                <w:szCs w:val="22"/>
                <w:lang w:val="en-PH" w:eastAsia="en-PH"/>
              </w:rPr>
            </w:pPr>
            <w:r>
              <w:rPr>
                <w:sz w:val="22"/>
                <w:szCs w:val="22"/>
                <w:lang w:val="en-PH" w:eastAsia="en-PH"/>
              </w:rPr>
              <w:t>On-going at 75% completion rate</w:t>
            </w:r>
          </w:p>
        </w:tc>
      </w:tr>
      <w:tr>
        <w:trPr>
          <w:cantSplit/>
          <w:trHeight w:val="20"/>
          <w:jc w:val="center"/>
        </w:trPr>
        <w:tc>
          <w:tcPr>
            <w:tcW w:w="5000" w:type="pct"/>
            <w:gridSpan w:val="5"/>
            <w:shd w:val="clear" w:color="auto" w:fill="auto"/>
          </w:tcPr>
          <w:p>
            <w:pPr>
              <w:spacing w:line="276" w:lineRule="auto"/>
              <w:rPr>
                <w:sz w:val="22"/>
                <w:szCs w:val="22"/>
                <w:lang w:val="en-PH" w:eastAsia="en-PH"/>
              </w:rPr>
            </w:pPr>
            <w:r>
              <w:rPr>
                <w:b/>
                <w:sz w:val="22"/>
                <w:szCs w:val="22"/>
                <w:lang w:val="en-GB" w:eastAsia="en-GB"/>
              </w:rPr>
              <w:t>Continuing Appropriations (CY2020)</w:t>
            </w:r>
          </w:p>
        </w:tc>
      </w:tr>
      <w:tr>
        <w:trPr>
          <w:cantSplit/>
          <w:trHeight w:val="20"/>
          <w:jc w:val="center"/>
        </w:trPr>
        <w:tc>
          <w:tcPr>
            <w:tcW w:w="899" w:type="pct"/>
            <w:shd w:val="clear" w:color="auto" w:fill="auto"/>
            <w:hideMark/>
          </w:tcPr>
          <w:p>
            <w:pPr>
              <w:spacing w:line="276" w:lineRule="auto"/>
              <w:rPr>
                <w:sz w:val="22"/>
                <w:szCs w:val="22"/>
                <w:lang w:val="en-PH" w:eastAsia="en-PH"/>
              </w:rPr>
            </w:pPr>
            <w:r>
              <w:rPr>
                <w:sz w:val="22"/>
                <w:szCs w:val="22"/>
                <w:lang w:val="en-PH" w:eastAsia="en-PH"/>
              </w:rPr>
              <w:t>City Mayor's Office (CMO)</w:t>
            </w:r>
          </w:p>
        </w:tc>
        <w:tc>
          <w:tcPr>
            <w:tcW w:w="1678" w:type="pct"/>
            <w:shd w:val="clear" w:color="auto" w:fill="auto"/>
            <w:hideMark/>
          </w:tcPr>
          <w:p>
            <w:pPr>
              <w:numPr>
                <w:ilvl w:val="0"/>
                <w:numId w:val="53"/>
              </w:numPr>
              <w:spacing w:line="276" w:lineRule="auto"/>
              <w:ind w:left="254" w:hanging="218"/>
              <w:contextualSpacing/>
              <w:rPr>
                <w:sz w:val="22"/>
                <w:szCs w:val="22"/>
                <w:lang w:val="en-PH" w:eastAsia="en-PH"/>
              </w:rPr>
            </w:pPr>
            <w:r>
              <w:rPr>
                <w:sz w:val="22"/>
                <w:szCs w:val="22"/>
                <w:lang w:val="en-PH" w:eastAsia="en-PH"/>
              </w:rPr>
              <w:t>Livelihood Program (Other Infrastructure Assets)</w:t>
            </w:r>
          </w:p>
        </w:tc>
        <w:tc>
          <w:tcPr>
            <w:tcW w:w="926" w:type="pct"/>
            <w:shd w:val="clear" w:color="auto" w:fill="auto"/>
            <w:noWrap/>
            <w:hideMark/>
          </w:tcPr>
          <w:p>
            <w:pPr>
              <w:spacing w:line="276" w:lineRule="auto"/>
              <w:jc w:val="right"/>
              <w:rPr>
                <w:sz w:val="22"/>
                <w:szCs w:val="22"/>
                <w:lang w:val="en-PH" w:eastAsia="en-PH"/>
              </w:rPr>
            </w:pPr>
            <w:r>
              <w:rPr>
                <w:sz w:val="22"/>
                <w:szCs w:val="22"/>
                <w:lang w:val="en-PH" w:eastAsia="en-PH"/>
              </w:rPr>
              <w:t xml:space="preserve">      1,000,000.00 </w:t>
            </w:r>
          </w:p>
        </w:tc>
        <w:tc>
          <w:tcPr>
            <w:tcW w:w="644" w:type="pct"/>
            <w:shd w:val="clear" w:color="auto" w:fill="auto"/>
            <w:noWrap/>
            <w:hideMark/>
          </w:tcPr>
          <w:p>
            <w:pPr>
              <w:spacing w:line="276" w:lineRule="auto"/>
              <w:jc w:val="center"/>
              <w:rPr>
                <w:sz w:val="22"/>
                <w:szCs w:val="22"/>
                <w:lang w:val="en-PH" w:eastAsia="en-PH"/>
              </w:rPr>
            </w:pPr>
            <w:r>
              <w:rPr>
                <w:sz w:val="22"/>
                <w:szCs w:val="22"/>
                <w:lang w:val="en-PH" w:eastAsia="en-PH"/>
              </w:rPr>
              <w:t>03/01/2022</w:t>
            </w:r>
          </w:p>
        </w:tc>
        <w:tc>
          <w:tcPr>
            <w:tcW w:w="853" w:type="pct"/>
            <w:shd w:val="clear" w:color="auto" w:fill="auto"/>
            <w:hideMark/>
          </w:tcPr>
          <w:p>
            <w:pPr>
              <w:spacing w:line="276" w:lineRule="auto"/>
              <w:jc w:val="center"/>
              <w:rPr>
                <w:sz w:val="22"/>
                <w:szCs w:val="22"/>
                <w:lang w:val="en-PH" w:eastAsia="en-PH"/>
              </w:rPr>
            </w:pPr>
            <w:r>
              <w:rPr>
                <w:sz w:val="22"/>
                <w:szCs w:val="22"/>
                <w:lang w:val="en-PH" w:eastAsia="en-PH"/>
              </w:rPr>
              <w:t>Completed on 04/28/2022</w:t>
            </w:r>
          </w:p>
        </w:tc>
      </w:tr>
      <w:tr>
        <w:trPr>
          <w:cantSplit/>
          <w:trHeight w:val="20"/>
          <w:jc w:val="center"/>
        </w:trPr>
        <w:tc>
          <w:tcPr>
            <w:tcW w:w="899" w:type="pct"/>
            <w:shd w:val="clear" w:color="auto" w:fill="auto"/>
          </w:tcPr>
          <w:p>
            <w:pPr>
              <w:spacing w:line="276" w:lineRule="auto"/>
              <w:rPr>
                <w:sz w:val="22"/>
                <w:szCs w:val="22"/>
                <w:lang w:val="en-PH" w:eastAsia="en-PH"/>
              </w:rPr>
            </w:pPr>
            <w:r>
              <w:rPr>
                <w:sz w:val="22"/>
                <w:szCs w:val="22"/>
                <w:lang w:val="en-PH" w:eastAsia="en-PH"/>
              </w:rPr>
              <w:t>CEEMDO-Slaughterhouse Operations</w:t>
            </w:r>
          </w:p>
        </w:tc>
        <w:tc>
          <w:tcPr>
            <w:tcW w:w="1678" w:type="pct"/>
            <w:shd w:val="clear" w:color="auto" w:fill="auto"/>
          </w:tcPr>
          <w:p>
            <w:pPr>
              <w:numPr>
                <w:ilvl w:val="0"/>
                <w:numId w:val="53"/>
              </w:numPr>
              <w:spacing w:line="276" w:lineRule="auto"/>
              <w:ind w:left="254" w:hanging="218"/>
              <w:contextualSpacing/>
              <w:rPr>
                <w:sz w:val="22"/>
                <w:szCs w:val="22"/>
                <w:lang w:val="en-PH" w:eastAsia="en-PH"/>
              </w:rPr>
            </w:pPr>
            <w:r>
              <w:rPr>
                <w:sz w:val="22"/>
                <w:szCs w:val="22"/>
                <w:lang w:val="en-PH" w:eastAsia="en-PH"/>
              </w:rPr>
              <w:t>Construction of Guard House, Little Panay</w:t>
            </w:r>
          </w:p>
        </w:tc>
        <w:tc>
          <w:tcPr>
            <w:tcW w:w="926" w:type="pct"/>
            <w:shd w:val="clear" w:color="auto" w:fill="auto"/>
            <w:noWrap/>
          </w:tcPr>
          <w:p>
            <w:pPr>
              <w:spacing w:line="276" w:lineRule="auto"/>
              <w:jc w:val="right"/>
              <w:rPr>
                <w:sz w:val="22"/>
                <w:szCs w:val="22"/>
                <w:lang w:val="en-PH" w:eastAsia="en-PH"/>
              </w:rPr>
            </w:pPr>
            <w:r>
              <w:rPr>
                <w:sz w:val="22"/>
                <w:szCs w:val="22"/>
                <w:lang w:val="en-PH" w:eastAsia="en-PH"/>
              </w:rPr>
              <w:t xml:space="preserve">        100,000.00 </w:t>
            </w:r>
          </w:p>
        </w:tc>
        <w:tc>
          <w:tcPr>
            <w:tcW w:w="644" w:type="pct"/>
            <w:shd w:val="clear" w:color="auto" w:fill="auto"/>
            <w:noWrap/>
          </w:tcPr>
          <w:p>
            <w:pPr>
              <w:spacing w:line="276" w:lineRule="auto"/>
              <w:jc w:val="center"/>
              <w:rPr>
                <w:sz w:val="22"/>
                <w:szCs w:val="22"/>
                <w:lang w:val="en-PH" w:eastAsia="en-PH"/>
              </w:rPr>
            </w:pPr>
            <w:r>
              <w:rPr>
                <w:sz w:val="22"/>
                <w:szCs w:val="22"/>
                <w:lang w:val="en-PH" w:eastAsia="en-PH"/>
              </w:rPr>
              <w:t>not indicated in the CEO's report</w:t>
            </w:r>
          </w:p>
        </w:tc>
        <w:tc>
          <w:tcPr>
            <w:tcW w:w="853" w:type="pct"/>
            <w:shd w:val="clear" w:color="auto" w:fill="auto"/>
          </w:tcPr>
          <w:p>
            <w:pPr>
              <w:spacing w:line="276" w:lineRule="auto"/>
              <w:jc w:val="center"/>
              <w:rPr>
                <w:sz w:val="22"/>
                <w:szCs w:val="22"/>
                <w:lang w:val="en-PH" w:eastAsia="en-PH"/>
              </w:rPr>
            </w:pPr>
            <w:r>
              <w:rPr>
                <w:sz w:val="22"/>
                <w:szCs w:val="22"/>
                <w:lang w:val="en-PH" w:eastAsia="en-PH"/>
              </w:rPr>
              <w:t>On-going at 71% completion rate</w:t>
            </w:r>
          </w:p>
        </w:tc>
      </w:tr>
      <w:tr>
        <w:trPr>
          <w:cantSplit/>
          <w:trHeight w:val="20"/>
          <w:jc w:val="center"/>
        </w:trPr>
        <w:tc>
          <w:tcPr>
            <w:tcW w:w="5000" w:type="pct"/>
            <w:gridSpan w:val="5"/>
            <w:shd w:val="clear" w:color="auto" w:fill="auto"/>
          </w:tcPr>
          <w:p>
            <w:pPr>
              <w:spacing w:line="276" w:lineRule="auto"/>
              <w:rPr>
                <w:sz w:val="22"/>
                <w:szCs w:val="22"/>
                <w:lang w:val="en-PH" w:eastAsia="en-PH"/>
              </w:rPr>
            </w:pPr>
            <w:r>
              <w:rPr>
                <w:b/>
                <w:sz w:val="22"/>
                <w:szCs w:val="22"/>
                <w:lang w:val="en-GB" w:eastAsia="en-GB"/>
              </w:rPr>
              <w:t>Continuing Appropriations (CY2018)</w:t>
            </w:r>
          </w:p>
        </w:tc>
      </w:tr>
      <w:tr>
        <w:trPr>
          <w:cantSplit/>
          <w:trHeight w:val="20"/>
          <w:jc w:val="center"/>
        </w:trPr>
        <w:tc>
          <w:tcPr>
            <w:tcW w:w="899" w:type="pct"/>
            <w:shd w:val="clear" w:color="auto" w:fill="auto"/>
            <w:hideMark/>
          </w:tcPr>
          <w:p>
            <w:pPr>
              <w:spacing w:line="276" w:lineRule="auto"/>
              <w:rPr>
                <w:sz w:val="22"/>
                <w:szCs w:val="22"/>
                <w:lang w:val="en-PH" w:eastAsia="en-PH"/>
              </w:rPr>
            </w:pPr>
            <w:r>
              <w:rPr>
                <w:sz w:val="22"/>
                <w:szCs w:val="22"/>
                <w:lang w:val="en-PH" w:eastAsia="en-PH"/>
              </w:rPr>
              <w:t>CMO</w:t>
            </w:r>
          </w:p>
        </w:tc>
        <w:tc>
          <w:tcPr>
            <w:tcW w:w="1678" w:type="pct"/>
            <w:shd w:val="clear" w:color="auto" w:fill="auto"/>
            <w:hideMark/>
          </w:tcPr>
          <w:p>
            <w:pPr>
              <w:numPr>
                <w:ilvl w:val="0"/>
                <w:numId w:val="53"/>
              </w:numPr>
              <w:spacing w:line="276" w:lineRule="auto"/>
              <w:ind w:left="254" w:hanging="218"/>
              <w:contextualSpacing/>
              <w:rPr>
                <w:sz w:val="22"/>
                <w:szCs w:val="22"/>
                <w:lang w:val="en-PH" w:eastAsia="en-PH"/>
              </w:rPr>
            </w:pPr>
            <w:r>
              <w:rPr>
                <w:sz w:val="22"/>
                <w:szCs w:val="22"/>
                <w:lang w:val="en-PH" w:eastAsia="en-PH"/>
              </w:rPr>
              <w:t>Livelihood Project-Construction of Piggery Building</w:t>
            </w:r>
          </w:p>
        </w:tc>
        <w:tc>
          <w:tcPr>
            <w:tcW w:w="926" w:type="pct"/>
            <w:shd w:val="clear" w:color="auto" w:fill="auto"/>
            <w:noWrap/>
            <w:hideMark/>
          </w:tcPr>
          <w:p>
            <w:pPr>
              <w:spacing w:line="276" w:lineRule="auto"/>
              <w:jc w:val="right"/>
              <w:rPr>
                <w:sz w:val="22"/>
                <w:szCs w:val="22"/>
                <w:lang w:val="en-PH" w:eastAsia="en-PH"/>
              </w:rPr>
            </w:pPr>
            <w:r>
              <w:rPr>
                <w:sz w:val="22"/>
                <w:szCs w:val="22"/>
                <w:lang w:val="en-PH" w:eastAsia="en-PH"/>
              </w:rPr>
              <w:t xml:space="preserve">200,000.00 </w:t>
            </w:r>
          </w:p>
        </w:tc>
        <w:tc>
          <w:tcPr>
            <w:tcW w:w="644" w:type="pct"/>
            <w:shd w:val="clear" w:color="auto" w:fill="auto"/>
            <w:noWrap/>
            <w:hideMark/>
          </w:tcPr>
          <w:p>
            <w:pPr>
              <w:spacing w:line="276" w:lineRule="auto"/>
              <w:jc w:val="center"/>
              <w:rPr>
                <w:sz w:val="22"/>
                <w:szCs w:val="22"/>
                <w:lang w:val="en-PH" w:eastAsia="en-PH"/>
              </w:rPr>
            </w:pPr>
            <w:r>
              <w:rPr>
                <w:sz w:val="22"/>
                <w:szCs w:val="22"/>
                <w:lang w:val="en-PH" w:eastAsia="en-PH"/>
              </w:rPr>
              <w:t>09/13/2021</w:t>
            </w:r>
          </w:p>
        </w:tc>
        <w:tc>
          <w:tcPr>
            <w:tcW w:w="853" w:type="pct"/>
            <w:shd w:val="clear" w:color="auto" w:fill="auto"/>
            <w:hideMark/>
          </w:tcPr>
          <w:p>
            <w:pPr>
              <w:spacing w:line="276" w:lineRule="auto"/>
              <w:jc w:val="center"/>
              <w:rPr>
                <w:sz w:val="22"/>
                <w:szCs w:val="22"/>
                <w:lang w:val="en-PH" w:eastAsia="en-PH"/>
              </w:rPr>
            </w:pPr>
            <w:r>
              <w:rPr>
                <w:sz w:val="22"/>
                <w:szCs w:val="22"/>
                <w:lang w:val="en-PH" w:eastAsia="en-PH"/>
              </w:rPr>
              <w:t>Completed on 10/07/2022</w:t>
            </w:r>
          </w:p>
        </w:tc>
      </w:tr>
      <w:tr>
        <w:trPr>
          <w:cantSplit/>
          <w:trHeight w:val="20"/>
          <w:jc w:val="center"/>
        </w:trPr>
        <w:tc>
          <w:tcPr>
            <w:tcW w:w="899" w:type="pct"/>
            <w:shd w:val="clear" w:color="auto" w:fill="auto"/>
            <w:noWrap/>
          </w:tcPr>
          <w:p>
            <w:pPr>
              <w:spacing w:line="276" w:lineRule="auto"/>
              <w:rPr>
                <w:b/>
                <w:sz w:val="22"/>
                <w:szCs w:val="22"/>
                <w:lang w:val="en-PH" w:eastAsia="en-PH"/>
              </w:rPr>
            </w:pPr>
            <w:r>
              <w:rPr>
                <w:b/>
                <w:sz w:val="22"/>
                <w:szCs w:val="22"/>
                <w:lang w:val="en-PH" w:eastAsia="en-PH"/>
              </w:rPr>
              <w:t>TOTAL</w:t>
            </w:r>
          </w:p>
        </w:tc>
        <w:tc>
          <w:tcPr>
            <w:tcW w:w="1678" w:type="pct"/>
            <w:shd w:val="clear" w:color="auto" w:fill="auto"/>
          </w:tcPr>
          <w:p>
            <w:pPr>
              <w:spacing w:line="276" w:lineRule="auto"/>
              <w:rPr>
                <w:b/>
                <w:sz w:val="22"/>
                <w:szCs w:val="22"/>
                <w:lang w:val="en-PH" w:eastAsia="en-PH"/>
              </w:rPr>
            </w:pPr>
          </w:p>
        </w:tc>
        <w:tc>
          <w:tcPr>
            <w:tcW w:w="926" w:type="pct"/>
            <w:shd w:val="clear" w:color="auto" w:fill="auto"/>
            <w:noWrap/>
            <w:vAlign w:val="bottom"/>
          </w:tcPr>
          <w:p>
            <w:pPr>
              <w:spacing w:line="276" w:lineRule="auto"/>
              <w:jc w:val="right"/>
              <w:rPr>
                <w:b/>
                <w:sz w:val="22"/>
                <w:szCs w:val="22"/>
                <w:lang w:val="en-PH" w:eastAsia="en-PH"/>
              </w:rPr>
            </w:pPr>
            <w:r>
              <w:rPr>
                <w:b/>
                <w:sz w:val="22"/>
                <w:szCs w:val="22"/>
                <w:lang w:val="en-PH" w:eastAsia="en-PH"/>
              </w:rPr>
              <w:t>P5,182,300.00</w:t>
            </w:r>
          </w:p>
        </w:tc>
        <w:tc>
          <w:tcPr>
            <w:tcW w:w="644" w:type="pct"/>
            <w:shd w:val="clear" w:color="auto" w:fill="auto"/>
          </w:tcPr>
          <w:p>
            <w:pPr>
              <w:spacing w:line="276" w:lineRule="auto"/>
              <w:rPr>
                <w:b/>
                <w:sz w:val="22"/>
                <w:szCs w:val="22"/>
                <w:lang w:val="en-PH" w:eastAsia="en-PH"/>
              </w:rPr>
            </w:pPr>
          </w:p>
        </w:tc>
        <w:tc>
          <w:tcPr>
            <w:tcW w:w="853" w:type="pct"/>
            <w:shd w:val="clear" w:color="auto" w:fill="auto"/>
            <w:vAlign w:val="bottom"/>
          </w:tcPr>
          <w:p>
            <w:pPr>
              <w:spacing w:line="276" w:lineRule="auto"/>
              <w:rPr>
                <w:b/>
                <w:sz w:val="22"/>
                <w:szCs w:val="22"/>
                <w:lang w:val="en-PH" w:eastAsia="en-PH"/>
              </w:rPr>
            </w:pPr>
          </w:p>
        </w:tc>
      </w:tr>
    </w:tbl>
    <w:p>
      <w:pPr>
        <w:autoSpaceDE w:val="0"/>
        <w:autoSpaceDN w:val="0"/>
        <w:adjustRightInd w:val="0"/>
        <w:spacing w:line="276" w:lineRule="auto"/>
        <w:ind w:firstLine="720"/>
        <w:jc w:val="both"/>
        <w:rPr>
          <w:rFonts w:eastAsia="Calibri"/>
          <w:bCs/>
          <w:color w:val="000000"/>
        </w:rPr>
      </w:pPr>
    </w:p>
    <w:p>
      <w:pPr>
        <w:pStyle w:val="ListParagraph"/>
        <w:numPr>
          <w:ilvl w:val="3"/>
          <w:numId w:val="47"/>
        </w:numPr>
        <w:autoSpaceDE w:val="0"/>
        <w:autoSpaceDN w:val="0"/>
        <w:adjustRightInd w:val="0"/>
        <w:spacing w:after="0"/>
        <w:ind w:left="426"/>
        <w:jc w:val="both"/>
        <w:rPr>
          <w:rFonts w:ascii="Times New Roman" w:hAnsi="Times New Roman"/>
          <w:b/>
          <w:bCs/>
          <w:color w:val="000000"/>
          <w:sz w:val="24"/>
          <w:szCs w:val="24"/>
        </w:rPr>
      </w:pPr>
      <w:r>
        <w:rPr>
          <w:rFonts w:ascii="Times New Roman" w:hAnsi="Times New Roman"/>
          <w:b/>
          <w:i/>
          <w:sz w:val="24"/>
          <w:szCs w:val="24"/>
          <w:lang w:val="en-GB" w:eastAsia="en-PH"/>
        </w:rPr>
        <w:t xml:space="preserve">Delayed implementation of various projects funded under </w:t>
      </w:r>
      <w:r>
        <w:rPr>
          <w:rFonts w:ascii="Times New Roman" w:hAnsi="Times New Roman"/>
          <w:b/>
          <w:bCs/>
          <w:i/>
          <w:color w:val="000000"/>
          <w:sz w:val="24"/>
          <w:szCs w:val="24"/>
        </w:rPr>
        <w:t>20% Development Fund</w:t>
      </w:r>
      <w:r>
        <w:rPr>
          <w:rFonts w:ascii="Times New Roman" w:hAnsi="Times New Roman"/>
          <w:b/>
          <w:i/>
          <w:sz w:val="24"/>
          <w:szCs w:val="24"/>
          <w:lang w:val="en-GB" w:eastAsia="en-PH"/>
        </w:rPr>
        <w:t xml:space="preserve"> totalling P149,307,295.34</w:t>
      </w:r>
    </w:p>
    <w:p>
      <w:pPr>
        <w:autoSpaceDE w:val="0"/>
        <w:autoSpaceDN w:val="0"/>
        <w:adjustRightInd w:val="0"/>
        <w:spacing w:line="276" w:lineRule="auto"/>
        <w:jc w:val="both"/>
        <w:rPr>
          <w:rFonts w:eastAsia="Calibri"/>
          <w:bCs/>
          <w:color w:val="000000"/>
        </w:rPr>
      </w:pPr>
    </w:p>
    <w:p>
      <w:pPr>
        <w:spacing w:line="276" w:lineRule="auto"/>
        <w:jc w:val="both"/>
      </w:pPr>
      <w:r>
        <w:t xml:space="preserve">The Department of Budget and Management (DBM), Department of Finance (DOF), and Department of Interior and Local Government (DILG), issued Joint Memorandum Circular (JMC) No. 1 dated November 4, 2020, to revise the guidelines and policies on the utilization of the 20% DF to enable the LGUs to better address the constantly </w:t>
      </w:r>
      <w:r>
        <w:lastRenderedPageBreak/>
        <w:t>evolving development needs of their respective constituents. Among the policies and guidelines in the appropriation and utilization of the 20% DF, importance was required on the following provision:</w:t>
      </w:r>
    </w:p>
    <w:p>
      <w:pPr>
        <w:spacing w:line="276" w:lineRule="auto"/>
        <w:ind w:firstLine="720"/>
        <w:jc w:val="both"/>
      </w:pPr>
    </w:p>
    <w:p>
      <w:pPr>
        <w:spacing w:line="276" w:lineRule="auto"/>
        <w:ind w:left="720" w:right="702"/>
        <w:jc w:val="both"/>
        <w:rPr>
          <w:iCs/>
        </w:rPr>
      </w:pPr>
      <w:r>
        <w:rPr>
          <w:iCs/>
        </w:rPr>
        <w:t xml:space="preserve">3.2.3 The LGUs shall ensure that the development projects to be funded out of the 20% DF are </w:t>
      </w:r>
      <w:r>
        <w:rPr>
          <w:b/>
          <w:iCs/>
        </w:rPr>
        <w:t>well-planned and procurement-and-implementation-ready</w:t>
      </w:r>
      <w:r>
        <w:rPr>
          <w:iCs/>
        </w:rPr>
        <w:t>. (emphasis supplied)</w:t>
      </w:r>
    </w:p>
    <w:p>
      <w:pPr>
        <w:spacing w:line="276" w:lineRule="auto"/>
        <w:ind w:left="1080" w:right="720"/>
        <w:jc w:val="both"/>
        <w:rPr>
          <w:i/>
        </w:rPr>
      </w:pPr>
    </w:p>
    <w:p>
      <w:pPr>
        <w:spacing w:line="276" w:lineRule="auto"/>
        <w:jc w:val="both"/>
      </w:pPr>
      <w:r>
        <w:t>In CY 2022, the City Government appropriated a total of P257,100,000.00 for 20% Development Fund that was allocated to fund 13 PPAs while continuing appropriations from prior years (CY 2017-2021) totaling to P107,742,708.24 remains available for the implementation of 31 development projects. Accordingly, review of the records showed that 11 projects were not yet completed as of December 31, 2022 while two (2) projects with continuing appropriation since CY2019 and CY2020 were only completed in CY2022. Table 22.6 presents a detailed presentation of the projects.</w:t>
      </w:r>
    </w:p>
    <w:p>
      <w:pPr>
        <w:spacing w:line="276" w:lineRule="auto"/>
        <w:jc w:val="both"/>
      </w:pPr>
    </w:p>
    <w:p>
      <w:pPr>
        <w:spacing w:line="276" w:lineRule="auto"/>
        <w:jc w:val="both"/>
        <w:rPr>
          <w:i/>
        </w:rPr>
      </w:pPr>
      <w:r>
        <w:rPr>
          <w:i/>
        </w:rPr>
        <w:t>Table 22.6. Uncompleted 20% DF Projects as at December 31, 2022.</w:t>
      </w:r>
    </w:p>
    <w:tbl>
      <w:tblPr>
        <w:tblStyle w:val="TableGrid111"/>
        <w:tblW w:w="9090" w:type="dxa"/>
        <w:jc w:val="center"/>
        <w:tblLayout w:type="fixed"/>
        <w:tblLook w:val="04A0" w:firstRow="1" w:lastRow="0" w:firstColumn="1" w:lastColumn="0" w:noHBand="0" w:noVBand="1"/>
      </w:tblPr>
      <w:tblGrid>
        <w:gridCol w:w="914"/>
        <w:gridCol w:w="3592"/>
        <w:gridCol w:w="1614"/>
        <w:gridCol w:w="1350"/>
        <w:gridCol w:w="1620"/>
      </w:tblGrid>
      <w:tr>
        <w:trPr>
          <w:trHeight w:val="170"/>
          <w:tblHeader/>
          <w:jc w:val="center"/>
        </w:trPr>
        <w:tc>
          <w:tcPr>
            <w:tcW w:w="914" w:type="dxa"/>
            <w:shd w:val="clear" w:color="auto" w:fill="BFBFBF"/>
            <w:vAlign w:val="center"/>
          </w:tcPr>
          <w:p>
            <w:pPr>
              <w:spacing w:line="276" w:lineRule="auto"/>
              <w:jc w:val="center"/>
              <w:rPr>
                <w:b/>
                <w:sz w:val="22"/>
                <w:szCs w:val="22"/>
                <w:lang w:val="en-GB" w:eastAsia="en-GB"/>
              </w:rPr>
            </w:pPr>
            <w:r>
              <w:rPr>
                <w:b/>
                <w:sz w:val="22"/>
                <w:szCs w:val="22"/>
                <w:lang w:val="en-GB" w:eastAsia="en-GB"/>
              </w:rPr>
              <w:t>Office</w:t>
            </w:r>
          </w:p>
        </w:tc>
        <w:tc>
          <w:tcPr>
            <w:tcW w:w="3592" w:type="dxa"/>
            <w:shd w:val="clear" w:color="auto" w:fill="BFBFBF"/>
            <w:vAlign w:val="center"/>
          </w:tcPr>
          <w:p>
            <w:pPr>
              <w:spacing w:line="276" w:lineRule="auto"/>
              <w:jc w:val="center"/>
              <w:rPr>
                <w:b/>
                <w:sz w:val="22"/>
                <w:szCs w:val="22"/>
                <w:lang w:val="en-GB" w:eastAsia="en-GB"/>
              </w:rPr>
            </w:pPr>
            <w:r>
              <w:rPr>
                <w:b/>
                <w:sz w:val="22"/>
                <w:szCs w:val="22"/>
                <w:lang w:val="en-GB" w:eastAsia="en-GB"/>
              </w:rPr>
              <w:t>PPA</w:t>
            </w:r>
          </w:p>
        </w:tc>
        <w:tc>
          <w:tcPr>
            <w:tcW w:w="1614" w:type="dxa"/>
            <w:shd w:val="clear" w:color="auto" w:fill="BFBFBF"/>
            <w:vAlign w:val="center"/>
          </w:tcPr>
          <w:p>
            <w:pPr>
              <w:spacing w:line="276" w:lineRule="auto"/>
              <w:jc w:val="center"/>
              <w:rPr>
                <w:b/>
                <w:sz w:val="22"/>
                <w:szCs w:val="22"/>
                <w:lang w:val="en-GB" w:eastAsia="en-GB"/>
              </w:rPr>
            </w:pPr>
            <w:r>
              <w:rPr>
                <w:b/>
                <w:sz w:val="22"/>
                <w:szCs w:val="22"/>
                <w:lang w:val="en-GB" w:eastAsia="en-GB"/>
              </w:rPr>
              <w:t>Appropriation</w:t>
            </w:r>
          </w:p>
        </w:tc>
        <w:tc>
          <w:tcPr>
            <w:tcW w:w="1350" w:type="dxa"/>
            <w:shd w:val="clear" w:color="auto" w:fill="BFBFBF"/>
            <w:vAlign w:val="center"/>
          </w:tcPr>
          <w:p>
            <w:pPr>
              <w:spacing w:line="276" w:lineRule="auto"/>
              <w:jc w:val="center"/>
              <w:rPr>
                <w:b/>
                <w:sz w:val="22"/>
                <w:szCs w:val="22"/>
                <w:lang w:val="en-GB" w:eastAsia="en-GB"/>
              </w:rPr>
            </w:pPr>
            <w:r>
              <w:rPr>
                <w:b/>
                <w:sz w:val="22"/>
                <w:szCs w:val="22"/>
                <w:lang w:val="en-GB" w:eastAsia="en-GB"/>
              </w:rPr>
              <w:t>Date Started</w:t>
            </w:r>
          </w:p>
        </w:tc>
        <w:tc>
          <w:tcPr>
            <w:tcW w:w="1620" w:type="dxa"/>
            <w:shd w:val="clear" w:color="auto" w:fill="BFBFBF"/>
          </w:tcPr>
          <w:p>
            <w:pPr>
              <w:spacing w:line="276" w:lineRule="auto"/>
              <w:jc w:val="center"/>
              <w:rPr>
                <w:b/>
                <w:sz w:val="22"/>
                <w:szCs w:val="22"/>
                <w:lang w:val="en-GB" w:eastAsia="en-GB"/>
              </w:rPr>
            </w:pPr>
            <w:r>
              <w:rPr>
                <w:b/>
                <w:sz w:val="22"/>
                <w:szCs w:val="22"/>
                <w:lang w:val="en-GB" w:eastAsia="en-GB"/>
              </w:rPr>
              <w:t xml:space="preserve">Percentage of Completion as at 12/31/2022 </w:t>
            </w:r>
          </w:p>
        </w:tc>
      </w:tr>
      <w:tr>
        <w:trPr>
          <w:trHeight w:val="170"/>
          <w:jc w:val="center"/>
        </w:trPr>
        <w:tc>
          <w:tcPr>
            <w:tcW w:w="9090" w:type="dxa"/>
            <w:gridSpan w:val="5"/>
            <w:shd w:val="clear" w:color="auto" w:fill="B8CCE4"/>
          </w:tcPr>
          <w:p>
            <w:pPr>
              <w:spacing w:line="276" w:lineRule="auto"/>
              <w:rPr>
                <w:b/>
                <w:sz w:val="22"/>
                <w:szCs w:val="22"/>
                <w:lang w:val="en-GB" w:eastAsia="en-GB"/>
              </w:rPr>
            </w:pPr>
            <w:r>
              <w:rPr>
                <w:b/>
                <w:sz w:val="22"/>
                <w:szCs w:val="22"/>
                <w:lang w:val="en-GB" w:eastAsia="en-GB"/>
              </w:rPr>
              <w:t>Current Appropriation (2022)</w:t>
            </w:r>
          </w:p>
        </w:tc>
      </w:tr>
      <w:tr>
        <w:trPr>
          <w:trHeight w:val="170"/>
          <w:jc w:val="center"/>
        </w:trPr>
        <w:tc>
          <w:tcPr>
            <w:tcW w:w="914" w:type="dxa"/>
          </w:tcPr>
          <w:p>
            <w:pPr>
              <w:spacing w:line="276" w:lineRule="auto"/>
              <w:jc w:val="both"/>
              <w:rPr>
                <w:sz w:val="22"/>
                <w:szCs w:val="22"/>
                <w:lang w:val="en-GB" w:eastAsia="en-GB"/>
              </w:rPr>
            </w:pPr>
            <w:r>
              <w:rPr>
                <w:sz w:val="22"/>
                <w:szCs w:val="22"/>
                <w:lang w:val="en-GB" w:eastAsia="en-GB"/>
              </w:rPr>
              <w:t>CMO</w:t>
            </w:r>
          </w:p>
        </w:tc>
        <w:tc>
          <w:tcPr>
            <w:tcW w:w="3592" w:type="dxa"/>
          </w:tcPr>
          <w:p>
            <w:pPr>
              <w:numPr>
                <w:ilvl w:val="0"/>
                <w:numId w:val="54"/>
              </w:numPr>
              <w:spacing w:line="276" w:lineRule="auto"/>
              <w:ind w:left="282" w:hanging="218"/>
              <w:contextualSpacing/>
              <w:jc w:val="both"/>
              <w:rPr>
                <w:sz w:val="22"/>
                <w:szCs w:val="22"/>
                <w:lang w:val="en-GB" w:eastAsia="en-GB"/>
              </w:rPr>
            </w:pPr>
            <w:r>
              <w:rPr>
                <w:sz w:val="22"/>
                <w:szCs w:val="22"/>
                <w:lang w:val="en-GB" w:eastAsia="en-GB"/>
              </w:rPr>
              <w:t>Site Development for Resettlement Areas, Citywide</w:t>
            </w:r>
          </w:p>
        </w:tc>
        <w:tc>
          <w:tcPr>
            <w:tcW w:w="1614" w:type="dxa"/>
          </w:tcPr>
          <w:p>
            <w:pPr>
              <w:spacing w:line="276" w:lineRule="auto"/>
              <w:jc w:val="right"/>
              <w:rPr>
                <w:sz w:val="22"/>
                <w:szCs w:val="22"/>
                <w:lang w:val="en-GB" w:eastAsia="en-GB"/>
              </w:rPr>
            </w:pPr>
            <w:r>
              <w:rPr>
                <w:sz w:val="22"/>
                <w:szCs w:val="22"/>
                <w:lang w:val="en-GB" w:eastAsia="en-GB"/>
              </w:rPr>
              <w:t>1,000,000.00</w:t>
            </w:r>
          </w:p>
        </w:tc>
        <w:tc>
          <w:tcPr>
            <w:tcW w:w="1350" w:type="dxa"/>
          </w:tcPr>
          <w:p>
            <w:pPr>
              <w:spacing w:line="276" w:lineRule="auto"/>
              <w:jc w:val="center"/>
              <w:rPr>
                <w:sz w:val="22"/>
                <w:szCs w:val="22"/>
                <w:lang w:val="en-GB" w:eastAsia="en-GB"/>
              </w:rPr>
            </w:pPr>
            <w:r>
              <w:rPr>
                <w:sz w:val="22"/>
                <w:szCs w:val="22"/>
                <w:lang w:val="en-GB" w:eastAsia="en-GB"/>
              </w:rPr>
              <w:t>Aug 2022</w:t>
            </w:r>
          </w:p>
        </w:tc>
        <w:tc>
          <w:tcPr>
            <w:tcW w:w="1620" w:type="dxa"/>
          </w:tcPr>
          <w:p>
            <w:pPr>
              <w:spacing w:line="276" w:lineRule="auto"/>
              <w:jc w:val="center"/>
              <w:rPr>
                <w:sz w:val="22"/>
                <w:szCs w:val="22"/>
                <w:lang w:val="en-GB" w:eastAsia="en-GB"/>
              </w:rPr>
            </w:pPr>
            <w:r>
              <w:rPr>
                <w:sz w:val="22"/>
                <w:szCs w:val="22"/>
                <w:lang w:val="en-GB" w:eastAsia="en-GB"/>
              </w:rPr>
              <w:t>31.82%</w:t>
            </w:r>
          </w:p>
        </w:tc>
      </w:tr>
      <w:tr>
        <w:trPr>
          <w:trHeight w:val="170"/>
          <w:jc w:val="center"/>
        </w:trPr>
        <w:tc>
          <w:tcPr>
            <w:tcW w:w="914" w:type="dxa"/>
            <w:vMerge w:val="restart"/>
          </w:tcPr>
          <w:p>
            <w:pPr>
              <w:spacing w:line="276" w:lineRule="auto"/>
              <w:jc w:val="both"/>
              <w:rPr>
                <w:sz w:val="22"/>
                <w:szCs w:val="22"/>
                <w:lang w:val="en-GB" w:eastAsia="en-GB"/>
              </w:rPr>
            </w:pPr>
            <w:r>
              <w:rPr>
                <w:sz w:val="22"/>
                <w:szCs w:val="22"/>
                <w:lang w:val="en-GB" w:eastAsia="en-GB"/>
              </w:rPr>
              <w:t>CEO</w:t>
            </w:r>
          </w:p>
        </w:tc>
        <w:tc>
          <w:tcPr>
            <w:tcW w:w="3592" w:type="dxa"/>
          </w:tcPr>
          <w:p>
            <w:pPr>
              <w:numPr>
                <w:ilvl w:val="0"/>
                <w:numId w:val="54"/>
              </w:numPr>
              <w:spacing w:line="276" w:lineRule="auto"/>
              <w:ind w:left="282" w:hanging="218"/>
              <w:contextualSpacing/>
              <w:jc w:val="both"/>
              <w:rPr>
                <w:sz w:val="22"/>
                <w:szCs w:val="22"/>
                <w:lang w:val="en-GB" w:eastAsia="en-GB"/>
              </w:rPr>
            </w:pPr>
            <w:r>
              <w:rPr>
                <w:sz w:val="22"/>
                <w:szCs w:val="22"/>
                <w:lang w:val="en-GB" w:eastAsia="en-GB"/>
              </w:rPr>
              <w:t>Construction of Gawad Kalinga Houses, Datu Abdul</w:t>
            </w:r>
          </w:p>
        </w:tc>
        <w:tc>
          <w:tcPr>
            <w:tcW w:w="1614" w:type="dxa"/>
          </w:tcPr>
          <w:p>
            <w:pPr>
              <w:spacing w:line="276" w:lineRule="auto"/>
              <w:jc w:val="right"/>
              <w:rPr>
                <w:sz w:val="22"/>
                <w:szCs w:val="22"/>
                <w:lang w:val="en-GB" w:eastAsia="en-GB"/>
              </w:rPr>
            </w:pPr>
            <w:r>
              <w:rPr>
                <w:sz w:val="22"/>
                <w:szCs w:val="22"/>
                <w:lang w:val="en-GB" w:eastAsia="en-GB"/>
              </w:rPr>
              <w:t>1,500,000.00</w:t>
            </w:r>
          </w:p>
        </w:tc>
        <w:tc>
          <w:tcPr>
            <w:tcW w:w="1350" w:type="dxa"/>
          </w:tcPr>
          <w:p>
            <w:pPr>
              <w:spacing w:line="276" w:lineRule="auto"/>
              <w:jc w:val="center"/>
              <w:rPr>
                <w:sz w:val="22"/>
                <w:szCs w:val="22"/>
                <w:lang w:val="en-GB" w:eastAsia="en-GB"/>
              </w:rPr>
            </w:pPr>
            <w:r>
              <w:rPr>
                <w:sz w:val="22"/>
                <w:szCs w:val="22"/>
                <w:lang w:val="en-GB" w:eastAsia="en-GB"/>
              </w:rPr>
              <w:t>Dec 2022</w:t>
            </w:r>
          </w:p>
          <w:p>
            <w:pPr>
              <w:spacing w:line="276" w:lineRule="auto"/>
              <w:jc w:val="center"/>
              <w:rPr>
                <w:sz w:val="22"/>
                <w:szCs w:val="22"/>
                <w:lang w:val="en-GB" w:eastAsia="en-GB"/>
              </w:rPr>
            </w:pPr>
            <w:r>
              <w:rPr>
                <w:sz w:val="22"/>
                <w:szCs w:val="22"/>
                <w:lang w:val="en-GB" w:eastAsia="en-GB"/>
              </w:rPr>
              <w:t>(Materials delivered)</w:t>
            </w:r>
          </w:p>
        </w:tc>
        <w:tc>
          <w:tcPr>
            <w:tcW w:w="1620" w:type="dxa"/>
          </w:tcPr>
          <w:p>
            <w:pPr>
              <w:spacing w:line="276" w:lineRule="auto"/>
              <w:jc w:val="center"/>
              <w:rPr>
                <w:sz w:val="22"/>
                <w:szCs w:val="22"/>
                <w:lang w:val="en-GB" w:eastAsia="en-GB"/>
              </w:rPr>
            </w:pPr>
            <w:r>
              <w:rPr>
                <w:sz w:val="22"/>
                <w:szCs w:val="22"/>
                <w:lang w:val="en-GB" w:eastAsia="en-GB"/>
              </w:rPr>
              <w:t>10.00%</w:t>
            </w:r>
          </w:p>
        </w:tc>
      </w:tr>
      <w:tr>
        <w:trPr>
          <w:trHeight w:val="170"/>
          <w:jc w:val="center"/>
        </w:trPr>
        <w:tc>
          <w:tcPr>
            <w:tcW w:w="914" w:type="dxa"/>
            <w:vMerge/>
          </w:tcPr>
          <w:p>
            <w:pPr>
              <w:spacing w:line="276" w:lineRule="auto"/>
              <w:jc w:val="both"/>
              <w:rPr>
                <w:sz w:val="22"/>
                <w:szCs w:val="22"/>
                <w:lang w:val="en-GB" w:eastAsia="en-GB"/>
              </w:rPr>
            </w:pPr>
          </w:p>
        </w:tc>
        <w:tc>
          <w:tcPr>
            <w:tcW w:w="3592" w:type="dxa"/>
          </w:tcPr>
          <w:p>
            <w:pPr>
              <w:numPr>
                <w:ilvl w:val="0"/>
                <w:numId w:val="54"/>
              </w:numPr>
              <w:spacing w:line="276" w:lineRule="auto"/>
              <w:ind w:left="282" w:hanging="218"/>
              <w:contextualSpacing/>
              <w:jc w:val="both"/>
              <w:rPr>
                <w:sz w:val="22"/>
                <w:szCs w:val="22"/>
                <w:lang w:val="en-GB" w:eastAsia="en-GB"/>
              </w:rPr>
            </w:pPr>
            <w:r>
              <w:rPr>
                <w:sz w:val="22"/>
                <w:szCs w:val="22"/>
                <w:lang w:val="en-GB" w:eastAsia="en-GB"/>
              </w:rPr>
              <w:t>Upgrading of Local Access Road-</w:t>
            </w:r>
            <w:proofErr w:type="spellStart"/>
            <w:r>
              <w:rPr>
                <w:sz w:val="22"/>
                <w:szCs w:val="22"/>
                <w:lang w:val="en-GB" w:eastAsia="en-GB"/>
              </w:rPr>
              <w:t>Kiotoy</w:t>
            </w:r>
            <w:proofErr w:type="spellEnd"/>
            <w:r>
              <w:rPr>
                <w:sz w:val="22"/>
                <w:szCs w:val="22"/>
                <w:lang w:val="en-GB" w:eastAsia="en-GB"/>
              </w:rPr>
              <w:t xml:space="preserve"> to Sta. Cruz, </w:t>
            </w:r>
            <w:proofErr w:type="spellStart"/>
            <w:r>
              <w:rPr>
                <w:sz w:val="22"/>
                <w:szCs w:val="22"/>
                <w:lang w:val="en-GB" w:eastAsia="en-GB"/>
              </w:rPr>
              <w:t>Kiotoy</w:t>
            </w:r>
            <w:proofErr w:type="spellEnd"/>
          </w:p>
        </w:tc>
        <w:tc>
          <w:tcPr>
            <w:tcW w:w="1614" w:type="dxa"/>
          </w:tcPr>
          <w:p>
            <w:pPr>
              <w:spacing w:line="276" w:lineRule="auto"/>
              <w:jc w:val="right"/>
              <w:rPr>
                <w:sz w:val="22"/>
                <w:szCs w:val="22"/>
                <w:lang w:val="en-GB" w:eastAsia="en-GB"/>
              </w:rPr>
            </w:pPr>
            <w:r>
              <w:rPr>
                <w:sz w:val="22"/>
                <w:szCs w:val="22"/>
                <w:lang w:val="en-GB" w:eastAsia="en-GB"/>
              </w:rPr>
              <w:t>16,000,000.00</w:t>
            </w:r>
          </w:p>
        </w:tc>
        <w:tc>
          <w:tcPr>
            <w:tcW w:w="1350" w:type="dxa"/>
          </w:tcPr>
          <w:p>
            <w:pPr>
              <w:spacing w:line="276" w:lineRule="auto"/>
              <w:jc w:val="center"/>
              <w:rPr>
                <w:sz w:val="22"/>
                <w:szCs w:val="22"/>
                <w:lang w:val="en-GB" w:eastAsia="en-GB"/>
              </w:rPr>
            </w:pPr>
            <w:r>
              <w:rPr>
                <w:sz w:val="22"/>
                <w:szCs w:val="22"/>
                <w:lang w:val="en-GB" w:eastAsia="en-GB"/>
              </w:rPr>
              <w:t>06/14/2022</w:t>
            </w:r>
          </w:p>
        </w:tc>
        <w:tc>
          <w:tcPr>
            <w:tcW w:w="1620" w:type="dxa"/>
          </w:tcPr>
          <w:p>
            <w:pPr>
              <w:spacing w:line="276" w:lineRule="auto"/>
              <w:jc w:val="center"/>
              <w:rPr>
                <w:sz w:val="22"/>
                <w:szCs w:val="22"/>
                <w:lang w:val="en-GB" w:eastAsia="en-GB"/>
              </w:rPr>
            </w:pPr>
            <w:r>
              <w:rPr>
                <w:sz w:val="22"/>
                <w:szCs w:val="22"/>
                <w:lang w:val="en-GB" w:eastAsia="en-GB"/>
              </w:rPr>
              <w:t>75.00%</w:t>
            </w:r>
          </w:p>
        </w:tc>
      </w:tr>
      <w:tr>
        <w:trPr>
          <w:trHeight w:val="170"/>
          <w:jc w:val="center"/>
        </w:trPr>
        <w:tc>
          <w:tcPr>
            <w:tcW w:w="914" w:type="dxa"/>
            <w:vMerge/>
          </w:tcPr>
          <w:p>
            <w:pPr>
              <w:spacing w:line="276" w:lineRule="auto"/>
              <w:jc w:val="both"/>
              <w:rPr>
                <w:sz w:val="22"/>
                <w:szCs w:val="22"/>
                <w:lang w:val="en-GB" w:eastAsia="en-GB"/>
              </w:rPr>
            </w:pPr>
          </w:p>
        </w:tc>
        <w:tc>
          <w:tcPr>
            <w:tcW w:w="3592" w:type="dxa"/>
          </w:tcPr>
          <w:p>
            <w:pPr>
              <w:numPr>
                <w:ilvl w:val="0"/>
                <w:numId w:val="54"/>
              </w:numPr>
              <w:spacing w:line="276" w:lineRule="auto"/>
              <w:ind w:left="282" w:hanging="218"/>
              <w:contextualSpacing/>
              <w:jc w:val="both"/>
              <w:rPr>
                <w:sz w:val="22"/>
                <w:szCs w:val="22"/>
                <w:lang w:val="en-GB" w:eastAsia="en-GB"/>
              </w:rPr>
            </w:pPr>
            <w:r>
              <w:rPr>
                <w:sz w:val="22"/>
                <w:szCs w:val="22"/>
                <w:lang w:val="en-GB" w:eastAsia="en-GB"/>
              </w:rPr>
              <w:t>Upgrading of Local Access Road-</w:t>
            </w:r>
            <w:proofErr w:type="spellStart"/>
            <w:r>
              <w:rPr>
                <w:sz w:val="22"/>
                <w:szCs w:val="22"/>
                <w:lang w:val="en-GB" w:eastAsia="en-GB"/>
              </w:rPr>
              <w:t>Brgy</w:t>
            </w:r>
            <w:proofErr w:type="spellEnd"/>
            <w:r>
              <w:rPr>
                <w:sz w:val="22"/>
                <w:szCs w:val="22"/>
                <w:lang w:val="en-GB" w:eastAsia="en-GB"/>
              </w:rPr>
              <w:t xml:space="preserve">. Upper </w:t>
            </w:r>
            <w:proofErr w:type="spellStart"/>
            <w:r>
              <w:rPr>
                <w:sz w:val="22"/>
                <w:szCs w:val="22"/>
                <w:lang w:val="en-GB" w:eastAsia="en-GB"/>
              </w:rPr>
              <w:t>Licanan</w:t>
            </w:r>
            <w:proofErr w:type="spellEnd"/>
            <w:r>
              <w:rPr>
                <w:sz w:val="22"/>
                <w:szCs w:val="22"/>
                <w:lang w:val="en-GB" w:eastAsia="en-GB"/>
              </w:rPr>
              <w:t xml:space="preserve"> to Waterfall, Upper </w:t>
            </w:r>
            <w:proofErr w:type="spellStart"/>
            <w:r>
              <w:rPr>
                <w:sz w:val="22"/>
                <w:szCs w:val="22"/>
                <w:lang w:val="en-GB" w:eastAsia="en-GB"/>
              </w:rPr>
              <w:t>Licanan</w:t>
            </w:r>
            <w:proofErr w:type="spellEnd"/>
          </w:p>
        </w:tc>
        <w:tc>
          <w:tcPr>
            <w:tcW w:w="1614" w:type="dxa"/>
          </w:tcPr>
          <w:p>
            <w:pPr>
              <w:spacing w:line="276" w:lineRule="auto"/>
              <w:jc w:val="right"/>
              <w:rPr>
                <w:sz w:val="22"/>
                <w:szCs w:val="22"/>
                <w:lang w:val="en-GB" w:eastAsia="en-GB"/>
              </w:rPr>
            </w:pPr>
            <w:r>
              <w:rPr>
                <w:sz w:val="22"/>
                <w:szCs w:val="22"/>
                <w:lang w:val="en-GB" w:eastAsia="en-GB"/>
              </w:rPr>
              <w:t>65,000,000.00</w:t>
            </w:r>
          </w:p>
        </w:tc>
        <w:tc>
          <w:tcPr>
            <w:tcW w:w="1350" w:type="dxa"/>
          </w:tcPr>
          <w:p>
            <w:pPr>
              <w:spacing w:line="276" w:lineRule="auto"/>
              <w:jc w:val="center"/>
              <w:rPr>
                <w:sz w:val="22"/>
                <w:szCs w:val="22"/>
                <w:lang w:val="en-GB" w:eastAsia="en-GB"/>
              </w:rPr>
            </w:pPr>
            <w:r>
              <w:rPr>
                <w:sz w:val="22"/>
                <w:szCs w:val="22"/>
                <w:lang w:val="en-GB" w:eastAsia="en-GB"/>
              </w:rPr>
              <w:t>10/25/2022</w:t>
            </w:r>
          </w:p>
        </w:tc>
        <w:tc>
          <w:tcPr>
            <w:tcW w:w="1620" w:type="dxa"/>
          </w:tcPr>
          <w:p>
            <w:pPr>
              <w:spacing w:line="276" w:lineRule="auto"/>
              <w:jc w:val="center"/>
              <w:rPr>
                <w:sz w:val="22"/>
                <w:szCs w:val="22"/>
                <w:lang w:val="en-GB" w:eastAsia="en-GB"/>
              </w:rPr>
            </w:pPr>
            <w:r>
              <w:rPr>
                <w:sz w:val="22"/>
                <w:szCs w:val="22"/>
                <w:lang w:val="en-GB" w:eastAsia="en-GB"/>
              </w:rPr>
              <w:t>15.00%</w:t>
            </w:r>
          </w:p>
        </w:tc>
      </w:tr>
      <w:tr>
        <w:trPr>
          <w:trHeight w:val="170"/>
          <w:jc w:val="center"/>
        </w:trPr>
        <w:tc>
          <w:tcPr>
            <w:tcW w:w="914" w:type="dxa"/>
            <w:vMerge/>
          </w:tcPr>
          <w:p>
            <w:pPr>
              <w:spacing w:line="276" w:lineRule="auto"/>
              <w:jc w:val="both"/>
              <w:rPr>
                <w:sz w:val="22"/>
                <w:szCs w:val="22"/>
                <w:lang w:val="en-GB" w:eastAsia="en-GB"/>
              </w:rPr>
            </w:pPr>
          </w:p>
        </w:tc>
        <w:tc>
          <w:tcPr>
            <w:tcW w:w="3592" w:type="dxa"/>
          </w:tcPr>
          <w:p>
            <w:pPr>
              <w:numPr>
                <w:ilvl w:val="0"/>
                <w:numId w:val="54"/>
              </w:numPr>
              <w:spacing w:line="276" w:lineRule="auto"/>
              <w:ind w:left="282" w:hanging="218"/>
              <w:contextualSpacing/>
              <w:jc w:val="both"/>
              <w:rPr>
                <w:sz w:val="22"/>
                <w:szCs w:val="22"/>
                <w:lang w:val="en-GB" w:eastAsia="en-GB"/>
              </w:rPr>
            </w:pPr>
            <w:r>
              <w:rPr>
                <w:sz w:val="22"/>
                <w:szCs w:val="22"/>
                <w:lang w:val="en-GB" w:eastAsia="en-GB"/>
              </w:rPr>
              <w:t>Upgrading of Local Access Road-Urban Areas, Citywide</w:t>
            </w:r>
          </w:p>
        </w:tc>
        <w:tc>
          <w:tcPr>
            <w:tcW w:w="1614" w:type="dxa"/>
          </w:tcPr>
          <w:p>
            <w:pPr>
              <w:spacing w:line="276" w:lineRule="auto"/>
              <w:jc w:val="right"/>
              <w:rPr>
                <w:sz w:val="22"/>
                <w:szCs w:val="22"/>
                <w:lang w:val="en-GB" w:eastAsia="en-GB"/>
              </w:rPr>
            </w:pPr>
            <w:r>
              <w:rPr>
                <w:sz w:val="22"/>
                <w:szCs w:val="22"/>
                <w:lang w:val="en-GB" w:eastAsia="en-GB"/>
              </w:rPr>
              <w:t>6,000,000.00</w:t>
            </w:r>
          </w:p>
        </w:tc>
        <w:tc>
          <w:tcPr>
            <w:tcW w:w="1350" w:type="dxa"/>
          </w:tcPr>
          <w:p>
            <w:pPr>
              <w:spacing w:line="276" w:lineRule="auto"/>
              <w:jc w:val="center"/>
              <w:rPr>
                <w:sz w:val="22"/>
                <w:szCs w:val="22"/>
                <w:lang w:val="en-GB" w:eastAsia="en-GB"/>
              </w:rPr>
            </w:pPr>
            <w:r>
              <w:rPr>
                <w:sz w:val="22"/>
                <w:szCs w:val="22"/>
                <w:lang w:val="en-GB" w:eastAsia="en-GB"/>
              </w:rPr>
              <w:t>11/16/2022</w:t>
            </w:r>
          </w:p>
          <w:p>
            <w:pPr>
              <w:spacing w:line="276" w:lineRule="auto"/>
              <w:jc w:val="center"/>
              <w:rPr>
                <w:sz w:val="22"/>
                <w:szCs w:val="22"/>
                <w:lang w:val="en-GB" w:eastAsia="en-GB"/>
              </w:rPr>
            </w:pPr>
            <w:r>
              <w:rPr>
                <w:sz w:val="22"/>
                <w:szCs w:val="22"/>
                <w:lang w:val="en-GB" w:eastAsia="en-GB"/>
              </w:rPr>
              <w:t>(NTP)</w:t>
            </w:r>
          </w:p>
        </w:tc>
        <w:tc>
          <w:tcPr>
            <w:tcW w:w="1620" w:type="dxa"/>
          </w:tcPr>
          <w:p>
            <w:pPr>
              <w:spacing w:line="276" w:lineRule="auto"/>
              <w:jc w:val="center"/>
              <w:rPr>
                <w:sz w:val="22"/>
                <w:szCs w:val="22"/>
                <w:lang w:val="en-GB" w:eastAsia="en-GB"/>
              </w:rPr>
            </w:pPr>
            <w:r>
              <w:rPr>
                <w:sz w:val="22"/>
                <w:szCs w:val="22"/>
                <w:lang w:val="en-GB" w:eastAsia="en-GB"/>
              </w:rPr>
              <w:t>15.00%</w:t>
            </w:r>
          </w:p>
        </w:tc>
      </w:tr>
      <w:tr>
        <w:trPr>
          <w:trHeight w:val="170"/>
          <w:jc w:val="center"/>
        </w:trPr>
        <w:tc>
          <w:tcPr>
            <w:tcW w:w="914" w:type="dxa"/>
            <w:vMerge/>
          </w:tcPr>
          <w:p>
            <w:pPr>
              <w:spacing w:line="276" w:lineRule="auto"/>
              <w:jc w:val="both"/>
              <w:rPr>
                <w:sz w:val="22"/>
                <w:szCs w:val="22"/>
                <w:lang w:val="en-GB" w:eastAsia="en-GB"/>
              </w:rPr>
            </w:pPr>
          </w:p>
        </w:tc>
        <w:tc>
          <w:tcPr>
            <w:tcW w:w="3592" w:type="dxa"/>
          </w:tcPr>
          <w:p>
            <w:pPr>
              <w:numPr>
                <w:ilvl w:val="0"/>
                <w:numId w:val="54"/>
              </w:numPr>
              <w:spacing w:line="276" w:lineRule="auto"/>
              <w:ind w:left="282" w:hanging="218"/>
              <w:contextualSpacing/>
              <w:jc w:val="both"/>
              <w:rPr>
                <w:sz w:val="22"/>
                <w:szCs w:val="22"/>
                <w:lang w:val="en-GB" w:eastAsia="en-GB"/>
              </w:rPr>
            </w:pPr>
            <w:r>
              <w:rPr>
                <w:sz w:val="22"/>
                <w:szCs w:val="22"/>
                <w:lang w:val="en-GB" w:eastAsia="en-GB"/>
              </w:rPr>
              <w:t>Road Rehabilitation Program (Asphalting of Roads), Citywide</w:t>
            </w:r>
          </w:p>
        </w:tc>
        <w:tc>
          <w:tcPr>
            <w:tcW w:w="1614" w:type="dxa"/>
          </w:tcPr>
          <w:p>
            <w:pPr>
              <w:spacing w:line="276" w:lineRule="auto"/>
              <w:jc w:val="right"/>
              <w:rPr>
                <w:sz w:val="22"/>
                <w:szCs w:val="22"/>
                <w:lang w:val="en-GB" w:eastAsia="en-GB"/>
              </w:rPr>
            </w:pPr>
            <w:r>
              <w:rPr>
                <w:sz w:val="22"/>
                <w:szCs w:val="22"/>
                <w:lang w:val="en-GB" w:eastAsia="en-GB"/>
              </w:rPr>
              <w:t>20,000,000.00</w:t>
            </w:r>
          </w:p>
        </w:tc>
        <w:tc>
          <w:tcPr>
            <w:tcW w:w="1350" w:type="dxa"/>
          </w:tcPr>
          <w:p>
            <w:pPr>
              <w:spacing w:line="276" w:lineRule="auto"/>
              <w:jc w:val="center"/>
              <w:rPr>
                <w:sz w:val="22"/>
                <w:szCs w:val="22"/>
                <w:lang w:val="en-GB" w:eastAsia="en-GB"/>
              </w:rPr>
            </w:pPr>
            <w:r>
              <w:rPr>
                <w:sz w:val="22"/>
                <w:szCs w:val="22"/>
                <w:lang w:val="en-GB" w:eastAsia="en-GB"/>
              </w:rPr>
              <w:t>11/10/2022</w:t>
            </w:r>
          </w:p>
          <w:p>
            <w:pPr>
              <w:spacing w:line="276" w:lineRule="auto"/>
              <w:jc w:val="center"/>
              <w:rPr>
                <w:sz w:val="22"/>
                <w:szCs w:val="22"/>
                <w:lang w:val="en-GB" w:eastAsia="en-GB"/>
              </w:rPr>
            </w:pPr>
            <w:r>
              <w:rPr>
                <w:sz w:val="22"/>
                <w:szCs w:val="22"/>
                <w:lang w:val="en-GB" w:eastAsia="en-GB"/>
              </w:rPr>
              <w:t>(Materials delivered)</w:t>
            </w:r>
          </w:p>
        </w:tc>
        <w:tc>
          <w:tcPr>
            <w:tcW w:w="1620" w:type="dxa"/>
          </w:tcPr>
          <w:p>
            <w:pPr>
              <w:spacing w:line="276" w:lineRule="auto"/>
              <w:jc w:val="center"/>
              <w:rPr>
                <w:sz w:val="22"/>
                <w:szCs w:val="22"/>
                <w:lang w:val="en-GB" w:eastAsia="en-GB"/>
              </w:rPr>
            </w:pPr>
            <w:r>
              <w:rPr>
                <w:sz w:val="22"/>
                <w:szCs w:val="22"/>
                <w:lang w:val="en-GB" w:eastAsia="en-GB"/>
              </w:rPr>
              <w:t>59.00%</w:t>
            </w:r>
          </w:p>
        </w:tc>
      </w:tr>
      <w:tr>
        <w:trPr>
          <w:trHeight w:val="170"/>
          <w:jc w:val="center"/>
        </w:trPr>
        <w:tc>
          <w:tcPr>
            <w:tcW w:w="4506" w:type="dxa"/>
            <w:gridSpan w:val="2"/>
          </w:tcPr>
          <w:p>
            <w:pPr>
              <w:spacing w:line="276" w:lineRule="auto"/>
              <w:jc w:val="right"/>
              <w:rPr>
                <w:b/>
                <w:sz w:val="22"/>
                <w:szCs w:val="22"/>
                <w:lang w:val="en-GB" w:eastAsia="en-GB"/>
              </w:rPr>
            </w:pPr>
            <w:r>
              <w:rPr>
                <w:b/>
                <w:sz w:val="22"/>
                <w:szCs w:val="22"/>
                <w:lang w:val="en-GB" w:eastAsia="en-GB"/>
              </w:rPr>
              <w:t>Sub-Total</w:t>
            </w:r>
          </w:p>
        </w:tc>
        <w:tc>
          <w:tcPr>
            <w:tcW w:w="1614" w:type="dxa"/>
          </w:tcPr>
          <w:p>
            <w:pPr>
              <w:spacing w:line="276" w:lineRule="auto"/>
              <w:jc w:val="right"/>
              <w:rPr>
                <w:b/>
                <w:sz w:val="22"/>
                <w:szCs w:val="22"/>
                <w:lang w:val="en-GB" w:eastAsia="en-GB"/>
              </w:rPr>
            </w:pPr>
            <w:r>
              <w:rPr>
                <w:b/>
                <w:sz w:val="22"/>
                <w:szCs w:val="22"/>
                <w:lang w:val="en-GB" w:eastAsia="en-GB"/>
              </w:rPr>
              <w:t>109,500,000.00</w:t>
            </w:r>
          </w:p>
        </w:tc>
        <w:tc>
          <w:tcPr>
            <w:tcW w:w="1350" w:type="dxa"/>
          </w:tcPr>
          <w:p>
            <w:pPr>
              <w:spacing w:line="276" w:lineRule="auto"/>
              <w:jc w:val="center"/>
              <w:rPr>
                <w:b/>
                <w:sz w:val="22"/>
                <w:szCs w:val="22"/>
                <w:lang w:val="en-GB" w:eastAsia="en-GB"/>
              </w:rPr>
            </w:pPr>
          </w:p>
        </w:tc>
        <w:tc>
          <w:tcPr>
            <w:tcW w:w="1620" w:type="dxa"/>
          </w:tcPr>
          <w:p>
            <w:pPr>
              <w:spacing w:line="276" w:lineRule="auto"/>
              <w:jc w:val="center"/>
              <w:rPr>
                <w:b/>
                <w:sz w:val="22"/>
                <w:szCs w:val="22"/>
                <w:lang w:val="en-GB" w:eastAsia="en-GB"/>
              </w:rPr>
            </w:pPr>
          </w:p>
        </w:tc>
      </w:tr>
      <w:tr>
        <w:trPr>
          <w:trHeight w:val="170"/>
          <w:jc w:val="center"/>
        </w:trPr>
        <w:tc>
          <w:tcPr>
            <w:tcW w:w="9090" w:type="dxa"/>
            <w:gridSpan w:val="5"/>
          </w:tcPr>
          <w:p>
            <w:pPr>
              <w:spacing w:line="276" w:lineRule="auto"/>
              <w:rPr>
                <w:sz w:val="22"/>
                <w:szCs w:val="22"/>
                <w:lang w:val="en-GB" w:eastAsia="en-GB"/>
              </w:rPr>
            </w:pPr>
            <w:r>
              <w:rPr>
                <w:b/>
                <w:sz w:val="22"/>
                <w:szCs w:val="22"/>
                <w:lang w:val="en-GB" w:eastAsia="en-GB"/>
              </w:rPr>
              <w:t>Continuing Appropriations (CY2021)</w:t>
            </w:r>
          </w:p>
        </w:tc>
      </w:tr>
      <w:tr>
        <w:trPr>
          <w:trHeight w:val="170"/>
          <w:jc w:val="center"/>
        </w:trPr>
        <w:tc>
          <w:tcPr>
            <w:tcW w:w="914" w:type="dxa"/>
            <w:vMerge w:val="restart"/>
          </w:tcPr>
          <w:p>
            <w:pPr>
              <w:spacing w:line="276" w:lineRule="auto"/>
              <w:jc w:val="both"/>
              <w:rPr>
                <w:sz w:val="22"/>
                <w:szCs w:val="22"/>
                <w:lang w:val="en-GB" w:eastAsia="en-GB"/>
              </w:rPr>
            </w:pPr>
            <w:r>
              <w:rPr>
                <w:sz w:val="22"/>
                <w:szCs w:val="22"/>
                <w:lang w:val="en-GB" w:eastAsia="en-GB"/>
              </w:rPr>
              <w:t>CMO</w:t>
            </w:r>
          </w:p>
        </w:tc>
        <w:tc>
          <w:tcPr>
            <w:tcW w:w="3592" w:type="dxa"/>
          </w:tcPr>
          <w:p>
            <w:pPr>
              <w:numPr>
                <w:ilvl w:val="0"/>
                <w:numId w:val="54"/>
              </w:numPr>
              <w:spacing w:line="276" w:lineRule="auto"/>
              <w:ind w:left="282" w:hanging="218"/>
              <w:contextualSpacing/>
              <w:jc w:val="both"/>
              <w:rPr>
                <w:sz w:val="22"/>
                <w:szCs w:val="22"/>
                <w:lang w:val="en-GB" w:eastAsia="en-GB"/>
              </w:rPr>
            </w:pPr>
            <w:r>
              <w:rPr>
                <w:sz w:val="22"/>
                <w:szCs w:val="22"/>
                <w:lang w:val="en-GB" w:eastAsia="en-GB"/>
              </w:rPr>
              <w:t>Land Banking (3 properties), Citywide</w:t>
            </w:r>
          </w:p>
        </w:tc>
        <w:tc>
          <w:tcPr>
            <w:tcW w:w="1614" w:type="dxa"/>
          </w:tcPr>
          <w:p>
            <w:pPr>
              <w:spacing w:line="276" w:lineRule="auto"/>
              <w:jc w:val="right"/>
              <w:rPr>
                <w:sz w:val="22"/>
                <w:szCs w:val="22"/>
                <w:lang w:val="en-GB" w:eastAsia="en-GB"/>
              </w:rPr>
            </w:pPr>
            <w:r>
              <w:rPr>
                <w:sz w:val="22"/>
                <w:szCs w:val="22"/>
                <w:lang w:val="en-GB" w:eastAsia="en-GB"/>
              </w:rPr>
              <w:t>3,292,451.74</w:t>
            </w:r>
          </w:p>
        </w:tc>
        <w:tc>
          <w:tcPr>
            <w:tcW w:w="1350" w:type="dxa"/>
          </w:tcPr>
          <w:p>
            <w:pPr>
              <w:spacing w:line="276" w:lineRule="auto"/>
              <w:jc w:val="center"/>
              <w:rPr>
                <w:sz w:val="22"/>
                <w:szCs w:val="22"/>
                <w:lang w:val="en-GB" w:eastAsia="en-GB"/>
              </w:rPr>
            </w:pPr>
            <w:r>
              <w:rPr>
                <w:sz w:val="22"/>
                <w:szCs w:val="22"/>
                <w:lang w:val="en-GB" w:eastAsia="en-GB"/>
              </w:rPr>
              <w:t>07/21/2021</w:t>
            </w:r>
          </w:p>
          <w:p>
            <w:pPr>
              <w:spacing w:line="276" w:lineRule="auto"/>
              <w:jc w:val="center"/>
              <w:rPr>
                <w:sz w:val="22"/>
                <w:szCs w:val="22"/>
                <w:lang w:val="en-GB" w:eastAsia="en-GB"/>
              </w:rPr>
            </w:pPr>
            <w:r>
              <w:rPr>
                <w:sz w:val="22"/>
                <w:szCs w:val="22"/>
                <w:lang w:val="en-GB" w:eastAsia="en-GB"/>
              </w:rPr>
              <w:t>10/04/2021</w:t>
            </w:r>
          </w:p>
          <w:p>
            <w:pPr>
              <w:spacing w:line="276" w:lineRule="auto"/>
              <w:jc w:val="center"/>
              <w:rPr>
                <w:sz w:val="22"/>
                <w:szCs w:val="22"/>
                <w:lang w:val="en-GB" w:eastAsia="en-GB"/>
              </w:rPr>
            </w:pPr>
            <w:r>
              <w:rPr>
                <w:sz w:val="22"/>
                <w:szCs w:val="22"/>
                <w:lang w:val="en-GB" w:eastAsia="en-GB"/>
              </w:rPr>
              <w:t>02/07/2022</w:t>
            </w:r>
          </w:p>
          <w:p>
            <w:pPr>
              <w:spacing w:line="276" w:lineRule="auto"/>
              <w:jc w:val="center"/>
              <w:rPr>
                <w:sz w:val="22"/>
                <w:szCs w:val="22"/>
                <w:lang w:val="en-GB" w:eastAsia="en-GB"/>
              </w:rPr>
            </w:pPr>
            <w:r>
              <w:rPr>
                <w:sz w:val="22"/>
                <w:szCs w:val="22"/>
                <w:lang w:val="en-GB" w:eastAsia="en-GB"/>
              </w:rPr>
              <w:t xml:space="preserve">(Deed of </w:t>
            </w:r>
            <w:r>
              <w:rPr>
                <w:sz w:val="22"/>
                <w:szCs w:val="22"/>
                <w:lang w:val="en-GB" w:eastAsia="en-GB"/>
              </w:rPr>
              <w:lastRenderedPageBreak/>
              <w:t>Sale)</w:t>
            </w:r>
          </w:p>
        </w:tc>
        <w:tc>
          <w:tcPr>
            <w:tcW w:w="1620" w:type="dxa"/>
          </w:tcPr>
          <w:p>
            <w:pPr>
              <w:spacing w:line="276" w:lineRule="auto"/>
              <w:jc w:val="center"/>
              <w:rPr>
                <w:sz w:val="22"/>
                <w:szCs w:val="22"/>
                <w:lang w:val="en-GB" w:eastAsia="en-GB"/>
              </w:rPr>
            </w:pPr>
            <w:r>
              <w:rPr>
                <w:sz w:val="22"/>
                <w:szCs w:val="22"/>
                <w:lang w:val="en-GB" w:eastAsia="en-GB"/>
              </w:rPr>
              <w:lastRenderedPageBreak/>
              <w:t>54.28%</w:t>
            </w:r>
          </w:p>
          <w:p>
            <w:pPr>
              <w:spacing w:line="276" w:lineRule="auto"/>
              <w:jc w:val="center"/>
              <w:rPr>
                <w:sz w:val="22"/>
                <w:szCs w:val="22"/>
                <w:lang w:val="en-GB" w:eastAsia="en-GB"/>
              </w:rPr>
            </w:pPr>
            <w:r>
              <w:rPr>
                <w:sz w:val="22"/>
                <w:szCs w:val="22"/>
                <w:lang w:val="en-GB" w:eastAsia="en-GB"/>
              </w:rPr>
              <w:t>22.53%</w:t>
            </w:r>
          </w:p>
          <w:p>
            <w:pPr>
              <w:spacing w:line="276" w:lineRule="auto"/>
              <w:jc w:val="center"/>
              <w:rPr>
                <w:sz w:val="22"/>
                <w:szCs w:val="22"/>
                <w:lang w:val="en-GB" w:eastAsia="en-GB"/>
              </w:rPr>
            </w:pPr>
            <w:r>
              <w:rPr>
                <w:sz w:val="22"/>
                <w:szCs w:val="22"/>
                <w:lang w:val="en-GB" w:eastAsia="en-GB"/>
              </w:rPr>
              <w:t>11.15%</w:t>
            </w:r>
          </w:p>
        </w:tc>
      </w:tr>
      <w:tr>
        <w:trPr>
          <w:trHeight w:val="170"/>
          <w:jc w:val="center"/>
        </w:trPr>
        <w:tc>
          <w:tcPr>
            <w:tcW w:w="914" w:type="dxa"/>
            <w:vMerge/>
          </w:tcPr>
          <w:p>
            <w:pPr>
              <w:spacing w:line="276" w:lineRule="auto"/>
              <w:jc w:val="both"/>
              <w:rPr>
                <w:sz w:val="22"/>
                <w:szCs w:val="22"/>
                <w:lang w:val="en-GB" w:eastAsia="en-GB"/>
              </w:rPr>
            </w:pPr>
          </w:p>
        </w:tc>
        <w:tc>
          <w:tcPr>
            <w:tcW w:w="3592" w:type="dxa"/>
          </w:tcPr>
          <w:p>
            <w:pPr>
              <w:numPr>
                <w:ilvl w:val="0"/>
                <w:numId w:val="54"/>
              </w:numPr>
              <w:spacing w:line="276" w:lineRule="auto"/>
              <w:ind w:left="282" w:hanging="218"/>
              <w:contextualSpacing/>
              <w:jc w:val="both"/>
              <w:rPr>
                <w:sz w:val="22"/>
                <w:szCs w:val="22"/>
                <w:lang w:val="en-GB" w:eastAsia="en-GB"/>
              </w:rPr>
            </w:pPr>
            <w:r>
              <w:rPr>
                <w:sz w:val="22"/>
                <w:szCs w:val="22"/>
                <w:lang w:val="en-GB" w:eastAsia="en-GB"/>
              </w:rPr>
              <w:t>Site Development for Resettlement Areas, Citywide (2 POW)</w:t>
            </w:r>
          </w:p>
        </w:tc>
        <w:tc>
          <w:tcPr>
            <w:tcW w:w="1614" w:type="dxa"/>
          </w:tcPr>
          <w:p>
            <w:pPr>
              <w:spacing w:line="276" w:lineRule="auto"/>
              <w:jc w:val="right"/>
              <w:rPr>
                <w:sz w:val="22"/>
                <w:szCs w:val="22"/>
                <w:lang w:val="en-GB" w:eastAsia="en-GB"/>
              </w:rPr>
            </w:pPr>
            <w:r>
              <w:rPr>
                <w:sz w:val="22"/>
                <w:szCs w:val="22"/>
                <w:lang w:val="en-GB" w:eastAsia="en-GB"/>
              </w:rPr>
              <w:t>4,110,488.13</w:t>
            </w:r>
          </w:p>
        </w:tc>
        <w:tc>
          <w:tcPr>
            <w:tcW w:w="1350" w:type="dxa"/>
          </w:tcPr>
          <w:p>
            <w:pPr>
              <w:spacing w:line="276" w:lineRule="auto"/>
              <w:jc w:val="center"/>
              <w:rPr>
                <w:sz w:val="22"/>
                <w:szCs w:val="22"/>
                <w:lang w:val="en-GB" w:eastAsia="en-GB"/>
              </w:rPr>
            </w:pPr>
            <w:r>
              <w:rPr>
                <w:sz w:val="22"/>
                <w:szCs w:val="22"/>
                <w:lang w:val="en-GB" w:eastAsia="en-GB"/>
              </w:rPr>
              <w:t>03/18/2022</w:t>
            </w:r>
          </w:p>
          <w:p>
            <w:pPr>
              <w:spacing w:line="276" w:lineRule="auto"/>
              <w:jc w:val="center"/>
              <w:rPr>
                <w:sz w:val="22"/>
                <w:szCs w:val="22"/>
                <w:lang w:val="en-GB" w:eastAsia="en-GB"/>
              </w:rPr>
            </w:pPr>
            <w:r>
              <w:rPr>
                <w:sz w:val="22"/>
                <w:szCs w:val="22"/>
                <w:lang w:val="en-GB" w:eastAsia="en-GB"/>
              </w:rPr>
              <w:t>06/21/2022</w:t>
            </w:r>
          </w:p>
        </w:tc>
        <w:tc>
          <w:tcPr>
            <w:tcW w:w="1620" w:type="dxa"/>
          </w:tcPr>
          <w:p>
            <w:pPr>
              <w:spacing w:line="276" w:lineRule="auto"/>
              <w:jc w:val="center"/>
              <w:rPr>
                <w:sz w:val="22"/>
                <w:szCs w:val="22"/>
                <w:lang w:val="en-GB" w:eastAsia="en-GB"/>
              </w:rPr>
            </w:pPr>
            <w:r>
              <w:rPr>
                <w:sz w:val="22"/>
                <w:szCs w:val="22"/>
                <w:lang w:val="en-GB" w:eastAsia="en-GB"/>
              </w:rPr>
              <w:t>76.00%</w:t>
            </w:r>
          </w:p>
          <w:p>
            <w:pPr>
              <w:spacing w:line="276" w:lineRule="auto"/>
              <w:jc w:val="center"/>
              <w:rPr>
                <w:sz w:val="22"/>
                <w:szCs w:val="22"/>
                <w:lang w:val="en-GB" w:eastAsia="en-GB"/>
              </w:rPr>
            </w:pPr>
            <w:r>
              <w:rPr>
                <w:sz w:val="22"/>
                <w:szCs w:val="22"/>
                <w:lang w:val="en-GB" w:eastAsia="en-GB"/>
              </w:rPr>
              <w:t>(1 POW suspended)</w:t>
            </w:r>
          </w:p>
        </w:tc>
      </w:tr>
      <w:tr>
        <w:trPr>
          <w:trHeight w:val="170"/>
          <w:jc w:val="center"/>
        </w:trPr>
        <w:tc>
          <w:tcPr>
            <w:tcW w:w="914" w:type="dxa"/>
          </w:tcPr>
          <w:p>
            <w:pPr>
              <w:spacing w:line="276" w:lineRule="auto"/>
              <w:jc w:val="both"/>
              <w:rPr>
                <w:sz w:val="22"/>
                <w:szCs w:val="22"/>
                <w:lang w:val="en-GB" w:eastAsia="en-GB"/>
              </w:rPr>
            </w:pPr>
            <w:r>
              <w:rPr>
                <w:sz w:val="22"/>
                <w:szCs w:val="22"/>
                <w:lang w:val="en-GB" w:eastAsia="en-GB"/>
              </w:rPr>
              <w:t>CEO</w:t>
            </w:r>
          </w:p>
        </w:tc>
        <w:tc>
          <w:tcPr>
            <w:tcW w:w="3592" w:type="dxa"/>
          </w:tcPr>
          <w:p>
            <w:pPr>
              <w:numPr>
                <w:ilvl w:val="0"/>
                <w:numId w:val="54"/>
              </w:numPr>
              <w:spacing w:line="276" w:lineRule="auto"/>
              <w:ind w:left="282" w:hanging="218"/>
              <w:contextualSpacing/>
              <w:jc w:val="both"/>
              <w:rPr>
                <w:sz w:val="22"/>
                <w:szCs w:val="22"/>
                <w:lang w:val="en-GB" w:eastAsia="en-GB"/>
              </w:rPr>
            </w:pPr>
            <w:r>
              <w:rPr>
                <w:sz w:val="22"/>
                <w:szCs w:val="22"/>
                <w:lang w:val="en-GB" w:eastAsia="en-GB"/>
              </w:rPr>
              <w:t>Rural Urban Electrification, Citywide</w:t>
            </w:r>
          </w:p>
        </w:tc>
        <w:tc>
          <w:tcPr>
            <w:tcW w:w="1614" w:type="dxa"/>
          </w:tcPr>
          <w:p>
            <w:pPr>
              <w:spacing w:line="276" w:lineRule="auto"/>
              <w:jc w:val="right"/>
              <w:rPr>
                <w:sz w:val="22"/>
                <w:szCs w:val="22"/>
                <w:lang w:val="en-GB" w:eastAsia="en-GB"/>
              </w:rPr>
            </w:pPr>
            <w:r>
              <w:rPr>
                <w:sz w:val="22"/>
                <w:szCs w:val="22"/>
                <w:lang w:val="en-GB" w:eastAsia="en-GB"/>
              </w:rPr>
              <w:t>532,062.93</w:t>
            </w:r>
          </w:p>
        </w:tc>
        <w:tc>
          <w:tcPr>
            <w:tcW w:w="1350" w:type="dxa"/>
          </w:tcPr>
          <w:p>
            <w:pPr>
              <w:spacing w:line="276" w:lineRule="auto"/>
              <w:jc w:val="center"/>
              <w:rPr>
                <w:sz w:val="22"/>
                <w:szCs w:val="22"/>
                <w:lang w:val="en-GB" w:eastAsia="en-GB"/>
              </w:rPr>
            </w:pPr>
            <w:r>
              <w:rPr>
                <w:sz w:val="22"/>
                <w:szCs w:val="22"/>
                <w:lang w:val="en-GB" w:eastAsia="en-GB"/>
              </w:rPr>
              <w:t>2021</w:t>
            </w:r>
          </w:p>
        </w:tc>
        <w:tc>
          <w:tcPr>
            <w:tcW w:w="1620" w:type="dxa"/>
          </w:tcPr>
          <w:p>
            <w:pPr>
              <w:spacing w:line="276" w:lineRule="auto"/>
              <w:jc w:val="center"/>
              <w:rPr>
                <w:sz w:val="22"/>
                <w:szCs w:val="22"/>
                <w:lang w:val="en-GB" w:eastAsia="en-GB"/>
              </w:rPr>
            </w:pPr>
            <w:r>
              <w:rPr>
                <w:sz w:val="22"/>
                <w:szCs w:val="22"/>
                <w:lang w:val="en-GB" w:eastAsia="en-GB"/>
              </w:rPr>
              <w:t>80.00%</w:t>
            </w:r>
          </w:p>
        </w:tc>
      </w:tr>
      <w:tr>
        <w:trPr>
          <w:trHeight w:val="170"/>
          <w:jc w:val="center"/>
        </w:trPr>
        <w:tc>
          <w:tcPr>
            <w:tcW w:w="9090" w:type="dxa"/>
            <w:gridSpan w:val="5"/>
          </w:tcPr>
          <w:p>
            <w:pPr>
              <w:spacing w:line="276" w:lineRule="auto"/>
              <w:rPr>
                <w:sz w:val="22"/>
                <w:szCs w:val="22"/>
                <w:lang w:val="en-GB" w:eastAsia="en-GB"/>
              </w:rPr>
            </w:pPr>
            <w:r>
              <w:rPr>
                <w:b/>
                <w:sz w:val="22"/>
                <w:szCs w:val="22"/>
                <w:lang w:val="en-GB" w:eastAsia="en-GB"/>
              </w:rPr>
              <w:t>Continuing Appropriations (CY2020)</w:t>
            </w:r>
          </w:p>
        </w:tc>
      </w:tr>
      <w:tr>
        <w:trPr>
          <w:trHeight w:val="170"/>
          <w:jc w:val="center"/>
        </w:trPr>
        <w:tc>
          <w:tcPr>
            <w:tcW w:w="914" w:type="dxa"/>
            <w:vMerge w:val="restart"/>
          </w:tcPr>
          <w:p>
            <w:pPr>
              <w:spacing w:line="276" w:lineRule="auto"/>
              <w:jc w:val="both"/>
              <w:rPr>
                <w:sz w:val="22"/>
                <w:szCs w:val="22"/>
                <w:lang w:val="en-GB" w:eastAsia="en-GB"/>
              </w:rPr>
            </w:pPr>
            <w:r>
              <w:rPr>
                <w:sz w:val="22"/>
                <w:szCs w:val="22"/>
                <w:lang w:val="en-GB" w:eastAsia="en-GB"/>
              </w:rPr>
              <w:t>CEO</w:t>
            </w:r>
          </w:p>
        </w:tc>
        <w:tc>
          <w:tcPr>
            <w:tcW w:w="3592" w:type="dxa"/>
          </w:tcPr>
          <w:p>
            <w:pPr>
              <w:numPr>
                <w:ilvl w:val="0"/>
                <w:numId w:val="54"/>
              </w:numPr>
              <w:spacing w:line="276" w:lineRule="auto"/>
              <w:ind w:left="282"/>
              <w:contextualSpacing/>
              <w:jc w:val="both"/>
              <w:rPr>
                <w:sz w:val="22"/>
                <w:szCs w:val="22"/>
                <w:lang w:val="en-GB" w:eastAsia="en-GB"/>
              </w:rPr>
            </w:pPr>
            <w:r>
              <w:rPr>
                <w:sz w:val="22"/>
                <w:szCs w:val="22"/>
                <w:lang w:val="en-GB" w:eastAsia="en-GB"/>
              </w:rPr>
              <w:t>Rural Urban Electrification, Citywide</w:t>
            </w:r>
          </w:p>
        </w:tc>
        <w:tc>
          <w:tcPr>
            <w:tcW w:w="1614" w:type="dxa"/>
          </w:tcPr>
          <w:p>
            <w:pPr>
              <w:spacing w:line="276" w:lineRule="auto"/>
              <w:contextualSpacing/>
              <w:jc w:val="right"/>
              <w:rPr>
                <w:sz w:val="22"/>
                <w:szCs w:val="22"/>
                <w:lang w:val="en-GB" w:eastAsia="en-GB"/>
              </w:rPr>
            </w:pPr>
            <w:r>
              <w:rPr>
                <w:sz w:val="22"/>
                <w:szCs w:val="22"/>
                <w:lang w:val="en-GB" w:eastAsia="en-GB"/>
              </w:rPr>
              <w:t>772,292.54</w:t>
            </w:r>
          </w:p>
        </w:tc>
        <w:tc>
          <w:tcPr>
            <w:tcW w:w="1350" w:type="dxa"/>
          </w:tcPr>
          <w:p>
            <w:pPr>
              <w:spacing w:line="276" w:lineRule="auto"/>
              <w:jc w:val="center"/>
              <w:rPr>
                <w:sz w:val="22"/>
                <w:szCs w:val="22"/>
                <w:lang w:val="en-GB" w:eastAsia="en-GB"/>
              </w:rPr>
            </w:pPr>
            <w:r>
              <w:rPr>
                <w:sz w:val="22"/>
                <w:szCs w:val="22"/>
                <w:lang w:val="en-GB" w:eastAsia="en-GB"/>
              </w:rPr>
              <w:t>2020</w:t>
            </w:r>
          </w:p>
        </w:tc>
        <w:tc>
          <w:tcPr>
            <w:tcW w:w="1620" w:type="dxa"/>
          </w:tcPr>
          <w:p>
            <w:pPr>
              <w:spacing w:line="276" w:lineRule="auto"/>
              <w:jc w:val="center"/>
              <w:rPr>
                <w:sz w:val="22"/>
                <w:szCs w:val="22"/>
                <w:lang w:val="en-GB" w:eastAsia="en-GB"/>
              </w:rPr>
            </w:pPr>
            <w:r>
              <w:rPr>
                <w:sz w:val="22"/>
                <w:szCs w:val="22"/>
                <w:lang w:val="en-GB" w:eastAsia="en-GB"/>
              </w:rPr>
              <w:t>70.00%</w:t>
            </w:r>
          </w:p>
        </w:tc>
      </w:tr>
      <w:tr>
        <w:trPr>
          <w:trHeight w:val="170"/>
          <w:jc w:val="center"/>
        </w:trPr>
        <w:tc>
          <w:tcPr>
            <w:tcW w:w="914" w:type="dxa"/>
            <w:vMerge/>
          </w:tcPr>
          <w:p>
            <w:pPr>
              <w:spacing w:line="276" w:lineRule="auto"/>
              <w:jc w:val="both"/>
              <w:rPr>
                <w:sz w:val="22"/>
                <w:szCs w:val="22"/>
                <w:lang w:val="en-GB" w:eastAsia="en-GB"/>
              </w:rPr>
            </w:pPr>
          </w:p>
        </w:tc>
        <w:tc>
          <w:tcPr>
            <w:tcW w:w="3592" w:type="dxa"/>
          </w:tcPr>
          <w:p>
            <w:pPr>
              <w:numPr>
                <w:ilvl w:val="0"/>
                <w:numId w:val="54"/>
              </w:numPr>
              <w:spacing w:line="276" w:lineRule="auto"/>
              <w:ind w:left="282"/>
              <w:contextualSpacing/>
              <w:jc w:val="both"/>
              <w:rPr>
                <w:sz w:val="22"/>
                <w:szCs w:val="22"/>
                <w:lang w:val="en-GB" w:eastAsia="en-GB"/>
              </w:rPr>
            </w:pPr>
            <w:r>
              <w:rPr>
                <w:sz w:val="22"/>
                <w:szCs w:val="22"/>
                <w:lang w:val="en-GB" w:eastAsia="en-GB"/>
              </w:rPr>
              <w:t xml:space="preserve">Construction of Drug Rehabilitation </w:t>
            </w:r>
            <w:proofErr w:type="spellStart"/>
            <w:r>
              <w:rPr>
                <w:sz w:val="22"/>
                <w:szCs w:val="22"/>
                <w:lang w:val="en-GB" w:eastAsia="en-GB"/>
              </w:rPr>
              <w:t>Center</w:t>
            </w:r>
            <w:proofErr w:type="spellEnd"/>
            <w:r>
              <w:rPr>
                <w:sz w:val="22"/>
                <w:szCs w:val="22"/>
                <w:lang w:val="en-GB" w:eastAsia="en-GB"/>
              </w:rPr>
              <w:t xml:space="preserve"> (Bahay Silangan), Cacao</w:t>
            </w:r>
          </w:p>
        </w:tc>
        <w:tc>
          <w:tcPr>
            <w:tcW w:w="1614" w:type="dxa"/>
          </w:tcPr>
          <w:p>
            <w:pPr>
              <w:spacing w:line="276" w:lineRule="auto"/>
              <w:contextualSpacing/>
              <w:jc w:val="right"/>
              <w:rPr>
                <w:sz w:val="22"/>
                <w:szCs w:val="22"/>
                <w:lang w:val="en-GB" w:eastAsia="en-GB"/>
              </w:rPr>
            </w:pPr>
            <w:r>
              <w:rPr>
                <w:sz w:val="22"/>
                <w:szCs w:val="22"/>
                <w:lang w:val="en-GB" w:eastAsia="en-GB"/>
              </w:rPr>
              <w:t>5,000,000.00</w:t>
            </w:r>
          </w:p>
        </w:tc>
        <w:tc>
          <w:tcPr>
            <w:tcW w:w="1350" w:type="dxa"/>
          </w:tcPr>
          <w:p>
            <w:pPr>
              <w:spacing w:line="276" w:lineRule="auto"/>
              <w:jc w:val="center"/>
              <w:rPr>
                <w:sz w:val="22"/>
                <w:szCs w:val="22"/>
                <w:lang w:val="en-GB" w:eastAsia="en-GB"/>
              </w:rPr>
            </w:pPr>
            <w:r>
              <w:rPr>
                <w:sz w:val="22"/>
                <w:szCs w:val="22"/>
                <w:lang w:val="en-GB" w:eastAsia="en-GB"/>
              </w:rPr>
              <w:t>09/08/2022</w:t>
            </w:r>
          </w:p>
        </w:tc>
        <w:tc>
          <w:tcPr>
            <w:tcW w:w="1620" w:type="dxa"/>
          </w:tcPr>
          <w:p>
            <w:pPr>
              <w:spacing w:line="276" w:lineRule="auto"/>
              <w:jc w:val="center"/>
              <w:rPr>
                <w:sz w:val="22"/>
                <w:szCs w:val="22"/>
                <w:lang w:val="en-GB" w:eastAsia="en-GB"/>
              </w:rPr>
            </w:pPr>
            <w:r>
              <w:rPr>
                <w:sz w:val="22"/>
                <w:szCs w:val="22"/>
                <w:lang w:val="en-GB" w:eastAsia="en-GB"/>
              </w:rPr>
              <w:t>75.00%</w:t>
            </w:r>
          </w:p>
        </w:tc>
      </w:tr>
      <w:tr>
        <w:trPr>
          <w:trHeight w:val="170"/>
          <w:jc w:val="center"/>
        </w:trPr>
        <w:tc>
          <w:tcPr>
            <w:tcW w:w="914" w:type="dxa"/>
            <w:vMerge/>
          </w:tcPr>
          <w:p>
            <w:pPr>
              <w:spacing w:line="276" w:lineRule="auto"/>
              <w:jc w:val="both"/>
              <w:rPr>
                <w:sz w:val="22"/>
                <w:szCs w:val="22"/>
                <w:lang w:val="en-GB" w:eastAsia="en-GB"/>
              </w:rPr>
            </w:pPr>
          </w:p>
        </w:tc>
        <w:tc>
          <w:tcPr>
            <w:tcW w:w="3592" w:type="dxa"/>
          </w:tcPr>
          <w:p>
            <w:pPr>
              <w:numPr>
                <w:ilvl w:val="0"/>
                <w:numId w:val="54"/>
              </w:numPr>
              <w:spacing w:line="276" w:lineRule="auto"/>
              <w:ind w:left="282"/>
              <w:contextualSpacing/>
              <w:jc w:val="both"/>
              <w:rPr>
                <w:sz w:val="22"/>
                <w:szCs w:val="22"/>
                <w:lang w:val="en-GB" w:eastAsia="en-GB"/>
              </w:rPr>
            </w:pPr>
            <w:r>
              <w:rPr>
                <w:sz w:val="22"/>
                <w:szCs w:val="22"/>
                <w:lang w:eastAsia="en-PH"/>
              </w:rPr>
              <w:t xml:space="preserve">20% DF-Concreting of Farm to Market Road from </w:t>
            </w:r>
            <w:proofErr w:type="spellStart"/>
            <w:r>
              <w:rPr>
                <w:sz w:val="22"/>
                <w:szCs w:val="22"/>
                <w:lang w:eastAsia="en-PH"/>
              </w:rPr>
              <w:t>Mabunao</w:t>
            </w:r>
            <w:proofErr w:type="spellEnd"/>
            <w:r>
              <w:rPr>
                <w:sz w:val="22"/>
                <w:szCs w:val="22"/>
                <w:lang w:eastAsia="en-PH"/>
              </w:rPr>
              <w:t xml:space="preserve"> to San Roque, </w:t>
            </w:r>
            <w:proofErr w:type="spellStart"/>
            <w:r>
              <w:rPr>
                <w:sz w:val="22"/>
                <w:szCs w:val="22"/>
                <w:lang w:eastAsia="en-PH"/>
              </w:rPr>
              <w:t>Mabunao</w:t>
            </w:r>
            <w:proofErr w:type="spellEnd"/>
          </w:p>
        </w:tc>
        <w:tc>
          <w:tcPr>
            <w:tcW w:w="1614" w:type="dxa"/>
          </w:tcPr>
          <w:p>
            <w:pPr>
              <w:spacing w:line="276" w:lineRule="auto"/>
              <w:contextualSpacing/>
              <w:jc w:val="right"/>
              <w:rPr>
                <w:sz w:val="22"/>
                <w:szCs w:val="22"/>
                <w:lang w:val="en-GB" w:eastAsia="en-GB"/>
              </w:rPr>
            </w:pPr>
            <w:r>
              <w:rPr>
                <w:sz w:val="22"/>
                <w:szCs w:val="22"/>
                <w:lang w:eastAsia="en-PH"/>
              </w:rPr>
              <w:t xml:space="preserve">24,600,000.00 </w:t>
            </w:r>
          </w:p>
        </w:tc>
        <w:tc>
          <w:tcPr>
            <w:tcW w:w="1350" w:type="dxa"/>
          </w:tcPr>
          <w:p>
            <w:pPr>
              <w:spacing w:line="276" w:lineRule="auto"/>
              <w:jc w:val="center"/>
              <w:rPr>
                <w:sz w:val="22"/>
                <w:szCs w:val="22"/>
                <w:lang w:val="en-GB" w:eastAsia="en-GB"/>
              </w:rPr>
            </w:pPr>
            <w:r>
              <w:rPr>
                <w:sz w:val="22"/>
                <w:szCs w:val="22"/>
                <w:lang w:eastAsia="en-PH"/>
              </w:rPr>
              <w:t>02/01/2022</w:t>
            </w:r>
          </w:p>
        </w:tc>
        <w:tc>
          <w:tcPr>
            <w:tcW w:w="1620" w:type="dxa"/>
          </w:tcPr>
          <w:p>
            <w:pPr>
              <w:spacing w:line="276" w:lineRule="auto"/>
              <w:jc w:val="center"/>
              <w:rPr>
                <w:sz w:val="22"/>
                <w:szCs w:val="22"/>
                <w:lang w:val="en-GB" w:eastAsia="en-GB"/>
              </w:rPr>
            </w:pPr>
            <w:r>
              <w:rPr>
                <w:sz w:val="22"/>
                <w:szCs w:val="22"/>
                <w:lang w:eastAsia="en-PH"/>
              </w:rPr>
              <w:t>Completed on 10/10/2022</w:t>
            </w:r>
          </w:p>
        </w:tc>
      </w:tr>
      <w:tr>
        <w:trPr>
          <w:trHeight w:val="170"/>
          <w:jc w:val="center"/>
        </w:trPr>
        <w:tc>
          <w:tcPr>
            <w:tcW w:w="9090" w:type="dxa"/>
            <w:gridSpan w:val="5"/>
          </w:tcPr>
          <w:p>
            <w:pPr>
              <w:spacing w:line="276" w:lineRule="auto"/>
              <w:rPr>
                <w:sz w:val="22"/>
                <w:szCs w:val="22"/>
                <w:lang w:val="en-GB" w:eastAsia="en-GB"/>
              </w:rPr>
            </w:pPr>
            <w:r>
              <w:rPr>
                <w:b/>
                <w:sz w:val="22"/>
                <w:szCs w:val="22"/>
                <w:lang w:val="en-GB" w:eastAsia="en-GB"/>
              </w:rPr>
              <w:t>Continuing Appropriations (CY2019)</w:t>
            </w:r>
          </w:p>
        </w:tc>
      </w:tr>
      <w:tr>
        <w:trPr>
          <w:trHeight w:val="170"/>
          <w:jc w:val="center"/>
        </w:trPr>
        <w:tc>
          <w:tcPr>
            <w:tcW w:w="914" w:type="dxa"/>
          </w:tcPr>
          <w:p>
            <w:pPr>
              <w:spacing w:line="276" w:lineRule="auto"/>
              <w:jc w:val="both"/>
              <w:rPr>
                <w:b/>
                <w:sz w:val="22"/>
                <w:szCs w:val="22"/>
                <w:lang w:val="en-GB" w:eastAsia="en-GB"/>
              </w:rPr>
            </w:pPr>
            <w:r>
              <w:rPr>
                <w:sz w:val="22"/>
                <w:szCs w:val="22"/>
                <w:lang w:eastAsia="en-PH"/>
              </w:rPr>
              <w:t>CEO</w:t>
            </w:r>
          </w:p>
        </w:tc>
        <w:tc>
          <w:tcPr>
            <w:tcW w:w="3592" w:type="dxa"/>
          </w:tcPr>
          <w:p>
            <w:pPr>
              <w:numPr>
                <w:ilvl w:val="0"/>
                <w:numId w:val="54"/>
              </w:numPr>
              <w:spacing w:line="276" w:lineRule="auto"/>
              <w:ind w:left="282"/>
              <w:contextualSpacing/>
              <w:jc w:val="both"/>
              <w:rPr>
                <w:b/>
                <w:sz w:val="22"/>
                <w:szCs w:val="22"/>
                <w:lang w:val="en-GB" w:eastAsia="en-GB"/>
              </w:rPr>
            </w:pPr>
            <w:r>
              <w:rPr>
                <w:sz w:val="22"/>
                <w:szCs w:val="22"/>
                <w:lang w:eastAsia="en-PH"/>
              </w:rPr>
              <w:t>20% DF-Urban Greening Project-JP Laurel</w:t>
            </w:r>
          </w:p>
        </w:tc>
        <w:tc>
          <w:tcPr>
            <w:tcW w:w="1614" w:type="dxa"/>
          </w:tcPr>
          <w:p>
            <w:pPr>
              <w:spacing w:line="276" w:lineRule="auto"/>
              <w:jc w:val="right"/>
              <w:rPr>
                <w:b/>
                <w:sz w:val="22"/>
                <w:szCs w:val="22"/>
                <w:lang w:val="en-GB" w:eastAsia="en-GB"/>
              </w:rPr>
            </w:pPr>
            <w:r>
              <w:rPr>
                <w:sz w:val="22"/>
                <w:szCs w:val="22"/>
                <w:lang w:eastAsia="en-PH"/>
              </w:rPr>
              <w:t xml:space="preserve">1,500,000.00 </w:t>
            </w:r>
          </w:p>
        </w:tc>
        <w:tc>
          <w:tcPr>
            <w:tcW w:w="1350" w:type="dxa"/>
          </w:tcPr>
          <w:p>
            <w:pPr>
              <w:spacing w:line="276" w:lineRule="auto"/>
              <w:jc w:val="center"/>
              <w:rPr>
                <w:sz w:val="22"/>
                <w:szCs w:val="22"/>
                <w:lang w:val="en-GB" w:eastAsia="en-GB"/>
              </w:rPr>
            </w:pPr>
            <w:r>
              <w:rPr>
                <w:sz w:val="22"/>
                <w:szCs w:val="22"/>
                <w:lang w:eastAsia="en-PH"/>
              </w:rPr>
              <w:t>02/23/2022</w:t>
            </w:r>
          </w:p>
        </w:tc>
        <w:tc>
          <w:tcPr>
            <w:tcW w:w="1620" w:type="dxa"/>
          </w:tcPr>
          <w:p>
            <w:pPr>
              <w:spacing w:line="276" w:lineRule="auto"/>
              <w:jc w:val="center"/>
              <w:rPr>
                <w:sz w:val="22"/>
                <w:szCs w:val="22"/>
                <w:lang w:val="en-GB" w:eastAsia="en-GB"/>
              </w:rPr>
            </w:pPr>
            <w:r>
              <w:rPr>
                <w:sz w:val="22"/>
                <w:szCs w:val="22"/>
                <w:lang w:eastAsia="en-PH"/>
              </w:rPr>
              <w:t>Completed on 04/30/2022</w:t>
            </w:r>
          </w:p>
        </w:tc>
      </w:tr>
      <w:tr>
        <w:trPr>
          <w:trHeight w:val="170"/>
          <w:jc w:val="center"/>
        </w:trPr>
        <w:tc>
          <w:tcPr>
            <w:tcW w:w="4506" w:type="dxa"/>
            <w:gridSpan w:val="2"/>
          </w:tcPr>
          <w:p>
            <w:pPr>
              <w:spacing w:line="276" w:lineRule="auto"/>
              <w:jc w:val="right"/>
              <w:rPr>
                <w:b/>
                <w:sz w:val="22"/>
                <w:szCs w:val="22"/>
                <w:lang w:val="en-GB" w:eastAsia="en-GB"/>
              </w:rPr>
            </w:pPr>
            <w:r>
              <w:rPr>
                <w:b/>
                <w:sz w:val="22"/>
                <w:szCs w:val="22"/>
                <w:lang w:val="en-GB" w:eastAsia="en-GB"/>
              </w:rPr>
              <w:t>Sub-total</w:t>
            </w:r>
          </w:p>
        </w:tc>
        <w:tc>
          <w:tcPr>
            <w:tcW w:w="1614" w:type="dxa"/>
          </w:tcPr>
          <w:p>
            <w:pPr>
              <w:spacing w:line="276" w:lineRule="auto"/>
              <w:jc w:val="right"/>
              <w:rPr>
                <w:b/>
                <w:sz w:val="22"/>
                <w:szCs w:val="22"/>
                <w:lang w:val="en-GB" w:eastAsia="en-GB"/>
              </w:rPr>
            </w:pPr>
            <w:r>
              <w:rPr>
                <w:rFonts w:eastAsia="Calibri"/>
                <w:b/>
                <w:sz w:val="22"/>
                <w:szCs w:val="22"/>
              </w:rPr>
              <w:t>39,807,295.34</w:t>
            </w:r>
          </w:p>
        </w:tc>
        <w:tc>
          <w:tcPr>
            <w:tcW w:w="1350" w:type="dxa"/>
          </w:tcPr>
          <w:p>
            <w:pPr>
              <w:spacing w:line="276" w:lineRule="auto"/>
              <w:jc w:val="center"/>
              <w:rPr>
                <w:sz w:val="22"/>
                <w:szCs w:val="22"/>
                <w:lang w:val="en-GB" w:eastAsia="en-GB"/>
              </w:rPr>
            </w:pPr>
          </w:p>
        </w:tc>
        <w:tc>
          <w:tcPr>
            <w:tcW w:w="1620" w:type="dxa"/>
          </w:tcPr>
          <w:p>
            <w:pPr>
              <w:spacing w:line="276" w:lineRule="auto"/>
              <w:jc w:val="center"/>
              <w:rPr>
                <w:sz w:val="22"/>
                <w:szCs w:val="22"/>
                <w:lang w:val="en-GB" w:eastAsia="en-GB"/>
              </w:rPr>
            </w:pPr>
          </w:p>
        </w:tc>
      </w:tr>
      <w:tr>
        <w:trPr>
          <w:trHeight w:val="170"/>
          <w:jc w:val="center"/>
        </w:trPr>
        <w:tc>
          <w:tcPr>
            <w:tcW w:w="4506" w:type="dxa"/>
            <w:gridSpan w:val="2"/>
          </w:tcPr>
          <w:p>
            <w:pPr>
              <w:spacing w:line="276" w:lineRule="auto"/>
              <w:jc w:val="both"/>
              <w:rPr>
                <w:b/>
                <w:sz w:val="22"/>
                <w:szCs w:val="22"/>
                <w:lang w:val="en-GB" w:eastAsia="en-GB"/>
              </w:rPr>
            </w:pPr>
            <w:r>
              <w:rPr>
                <w:b/>
                <w:sz w:val="22"/>
                <w:szCs w:val="22"/>
                <w:lang w:val="en-GB" w:eastAsia="en-GB"/>
              </w:rPr>
              <w:t>GRAND TOTAL</w:t>
            </w:r>
          </w:p>
        </w:tc>
        <w:tc>
          <w:tcPr>
            <w:tcW w:w="1614" w:type="dxa"/>
          </w:tcPr>
          <w:p>
            <w:pPr>
              <w:spacing w:line="276" w:lineRule="auto"/>
              <w:jc w:val="right"/>
              <w:rPr>
                <w:b/>
                <w:sz w:val="22"/>
                <w:szCs w:val="22"/>
                <w:lang w:val="en-GB" w:eastAsia="en-GB"/>
              </w:rPr>
            </w:pPr>
            <w:r>
              <w:rPr>
                <w:rFonts w:eastAsia="Calibri"/>
                <w:b/>
                <w:sz w:val="22"/>
                <w:szCs w:val="22"/>
              </w:rPr>
              <w:t>149,307,295.34</w:t>
            </w:r>
          </w:p>
        </w:tc>
        <w:tc>
          <w:tcPr>
            <w:tcW w:w="1350" w:type="dxa"/>
          </w:tcPr>
          <w:p>
            <w:pPr>
              <w:spacing w:line="276" w:lineRule="auto"/>
              <w:jc w:val="center"/>
              <w:rPr>
                <w:sz w:val="22"/>
                <w:szCs w:val="22"/>
                <w:lang w:val="en-GB" w:eastAsia="en-GB"/>
              </w:rPr>
            </w:pPr>
          </w:p>
        </w:tc>
        <w:tc>
          <w:tcPr>
            <w:tcW w:w="1620" w:type="dxa"/>
          </w:tcPr>
          <w:p>
            <w:pPr>
              <w:spacing w:line="276" w:lineRule="auto"/>
              <w:jc w:val="center"/>
              <w:rPr>
                <w:sz w:val="22"/>
                <w:szCs w:val="22"/>
                <w:lang w:val="en-GB" w:eastAsia="en-GB"/>
              </w:rPr>
            </w:pPr>
          </w:p>
        </w:tc>
      </w:tr>
    </w:tbl>
    <w:p>
      <w:pPr>
        <w:spacing w:line="276" w:lineRule="auto"/>
        <w:jc w:val="both"/>
        <w:rPr>
          <w:b/>
        </w:rPr>
      </w:pPr>
      <w:r>
        <w:rPr>
          <w:b/>
        </w:rPr>
        <w:tab/>
      </w:r>
    </w:p>
    <w:p>
      <w:pPr>
        <w:spacing w:line="276" w:lineRule="auto"/>
        <w:jc w:val="both"/>
        <w:rPr>
          <w:b/>
        </w:rPr>
      </w:pPr>
      <w:r>
        <w:t>Based on the data presented above, the six projects with current appropriations (CY 2022) were only started in the 2</w:t>
      </w:r>
      <w:r>
        <w:rPr>
          <w:vertAlign w:val="superscript"/>
        </w:rPr>
        <w:t>nd</w:t>
      </w:r>
      <w:r>
        <w:t xml:space="preserve"> semester; hence, completion was not attained by year-end. Moreover, delayed implementation was also observed in the Construction of Drug Rehabilitation Center which was funded in CY 2020 and only started in September 8, 2022. The Rural Urban Electrification with continuing appropriations from CY 2020 and 2021 also remained uncompleted by year-end. The Site Development for Resettlement Areas consisting of two (2) separate programs of works is also not yet completed since the implementation of one project remains suspended. For the Land Banking project which involves the acquisition of three (3) properties the Deed of Sale had already been </w:t>
      </w:r>
    </w:p>
    <w:p>
      <w:pPr>
        <w:spacing w:line="276" w:lineRule="auto"/>
        <w:ind w:firstLine="720"/>
        <w:jc w:val="both"/>
      </w:pPr>
    </w:p>
    <w:p>
      <w:pPr>
        <w:spacing w:line="276" w:lineRule="auto"/>
        <w:jc w:val="both"/>
      </w:pPr>
      <w:r>
        <w:t>Inquiry with the respective implementing offices revealed the following causes of delay in the implementation of projects:</w:t>
      </w:r>
    </w:p>
    <w:p>
      <w:pPr>
        <w:spacing w:line="276" w:lineRule="auto"/>
        <w:ind w:firstLine="720"/>
        <w:jc w:val="both"/>
      </w:pPr>
    </w:p>
    <w:p>
      <w:pPr>
        <w:numPr>
          <w:ilvl w:val="0"/>
          <w:numId w:val="57"/>
        </w:numPr>
        <w:spacing w:line="276" w:lineRule="auto"/>
        <w:ind w:left="360"/>
        <w:contextualSpacing/>
        <w:jc w:val="both"/>
      </w:pPr>
      <w:r>
        <w:t xml:space="preserve">As to the Housing projects under the City Mayor’s Office, the City Housing Section informed that Land Banking, or the acquisition of lot for the resettlement areas, undergoes a long and tedious process in the screening and inspection of various intents from landowners. Furthermore, not all identified locations passes the technical assessment conducted by the City, thus causing further delay in the land acquisition </w:t>
      </w:r>
      <w:r>
        <w:lastRenderedPageBreak/>
        <w:t>as the City Housing Section needs to identify a new location to undergo the same screening process all over again.</w:t>
      </w:r>
    </w:p>
    <w:p>
      <w:pPr>
        <w:spacing w:line="276" w:lineRule="auto"/>
        <w:ind w:left="360"/>
        <w:jc w:val="both"/>
      </w:pPr>
    </w:p>
    <w:p>
      <w:pPr>
        <w:numPr>
          <w:ilvl w:val="0"/>
          <w:numId w:val="57"/>
        </w:numPr>
        <w:spacing w:line="276" w:lineRule="auto"/>
        <w:ind w:left="360"/>
        <w:contextualSpacing/>
        <w:jc w:val="both"/>
      </w:pPr>
      <w:r>
        <w:t>As to the infrastructure projects under the City Engineering Office, the City Engineer cited various reasons in its delayed implementation:</w:t>
      </w:r>
    </w:p>
    <w:p>
      <w:pPr>
        <w:spacing w:line="276" w:lineRule="auto"/>
        <w:jc w:val="both"/>
      </w:pPr>
    </w:p>
    <w:p>
      <w:pPr>
        <w:numPr>
          <w:ilvl w:val="0"/>
          <w:numId w:val="20"/>
        </w:numPr>
        <w:spacing w:line="276" w:lineRule="auto"/>
        <w:ind w:left="360"/>
        <w:contextualSpacing/>
        <w:jc w:val="both"/>
      </w:pPr>
      <w:r>
        <w:t>Lack of manpower especially in the preparation of POW wherein only 5 technical personnel were assigned with the task in addition to the conduct of site inspection, survey and preparation of plans and drawings;</w:t>
      </w:r>
    </w:p>
    <w:p>
      <w:pPr>
        <w:numPr>
          <w:ilvl w:val="0"/>
          <w:numId w:val="20"/>
        </w:numPr>
        <w:spacing w:line="276" w:lineRule="auto"/>
        <w:ind w:left="360"/>
        <w:contextualSpacing/>
        <w:jc w:val="both"/>
      </w:pPr>
      <w:r>
        <w:t>Rebidding of projects due to deficiencies in the bidding documents submitted by the contractor causing the failure of the original bidding process;</w:t>
      </w:r>
    </w:p>
    <w:p>
      <w:pPr>
        <w:numPr>
          <w:ilvl w:val="0"/>
          <w:numId w:val="20"/>
        </w:numPr>
        <w:spacing w:line="276" w:lineRule="auto"/>
        <w:ind w:left="360"/>
        <w:contextualSpacing/>
        <w:jc w:val="both"/>
      </w:pPr>
      <w:r>
        <w:t>Various problems encountered in the site warranting design changes to suit the actual field condition;</w:t>
      </w:r>
    </w:p>
    <w:p>
      <w:pPr>
        <w:numPr>
          <w:ilvl w:val="0"/>
          <w:numId w:val="20"/>
        </w:numPr>
        <w:spacing w:line="276" w:lineRule="auto"/>
        <w:ind w:left="360"/>
        <w:contextualSpacing/>
        <w:jc w:val="both"/>
      </w:pPr>
      <w:r>
        <w:t>Prioritization of current year projects especially those funded by other agencies, thus, unimplemented prior year projects may have been overlooked;</w:t>
      </w:r>
    </w:p>
    <w:p>
      <w:pPr>
        <w:numPr>
          <w:ilvl w:val="0"/>
          <w:numId w:val="20"/>
        </w:numPr>
        <w:spacing w:line="276" w:lineRule="auto"/>
        <w:ind w:left="360"/>
        <w:contextualSpacing/>
        <w:jc w:val="both"/>
      </w:pPr>
      <w:r>
        <w:t>For citywide projects, the identification of locations and its corresponding detailed engineering activities will be done after the enactment of the budget, thus, its implementation may not be completed by year-end.</w:t>
      </w:r>
    </w:p>
    <w:p>
      <w:pPr>
        <w:spacing w:line="276" w:lineRule="auto"/>
        <w:ind w:right="-86"/>
        <w:jc w:val="both"/>
        <w:rPr>
          <w:lang w:eastAsia="en-PH"/>
        </w:rPr>
      </w:pPr>
    </w:p>
    <w:p>
      <w:pPr>
        <w:spacing w:line="276" w:lineRule="auto"/>
        <w:jc w:val="both"/>
      </w:pPr>
      <w:r>
        <w:t xml:space="preserve">We understood the difficulties cited by Management, however, the reasons/causes cited for the delayed project implementation could have been avoided had holistic and proper planning were conducted prior to the integration of the projects in the Annual Investment Plan (AIP) and Annual Budget. Included in the planning phase is the evaluation stage where the agency will assess whether or not it has the capacity to implement and accomplish the project with the target date of completion given the challenges they encountered. In that way, the target completion could be presented more realistically. </w:t>
      </w:r>
    </w:p>
    <w:p>
      <w:pPr>
        <w:spacing w:line="276" w:lineRule="auto"/>
        <w:ind w:right="-86"/>
        <w:jc w:val="both"/>
        <w:rPr>
          <w:lang w:eastAsia="en-PH"/>
        </w:rPr>
      </w:pPr>
    </w:p>
    <w:p>
      <w:pPr>
        <w:spacing w:line="276" w:lineRule="auto"/>
        <w:jc w:val="both"/>
      </w:pPr>
      <w:r>
        <w:t xml:space="preserve">Moreover, this deficiency has been a recurring observation as embodied in the prior years’ Annual Audit Reports and we reminded the management to ensure that the projects should be </w:t>
      </w:r>
      <w:r>
        <w:rPr>
          <w:b/>
        </w:rPr>
        <w:t>well-planned</w:t>
      </w:r>
      <w:r>
        <w:t xml:space="preserve"> </w:t>
      </w:r>
      <w:r>
        <w:rPr>
          <w:b/>
        </w:rPr>
        <w:t>and procurement-and-implementation-ready</w:t>
      </w:r>
      <w:r>
        <w:t xml:space="preserve"> specially those funded out of the 20% DF and that the </w:t>
      </w:r>
      <w:r>
        <w:rPr>
          <w:i/>
          <w:u w:val="single"/>
        </w:rPr>
        <w:t>responsibility and accountability in ensuring that the development projects funded under the 20% DF comply with the guidelines</w:t>
      </w:r>
      <w:r>
        <w:rPr>
          <w:i/>
        </w:rPr>
        <w:t xml:space="preserve"> under this JMC and optimally contribute to the attainment of desirable socio-economic targets and outcomes of the LGU </w:t>
      </w:r>
      <w:r>
        <w:rPr>
          <w:i/>
          <w:u w:val="single"/>
        </w:rPr>
        <w:t>shall rest upon the local chief executive and other officials concerned</w:t>
      </w:r>
      <w:r>
        <w:rPr>
          <w:i/>
        </w:rPr>
        <w:t xml:space="preserve"> </w:t>
      </w:r>
      <w:r>
        <w:t>as provided in DBM-DOF-DILG JMC No. 1 dated November 4, 2020.</w:t>
      </w:r>
    </w:p>
    <w:p>
      <w:pPr>
        <w:spacing w:line="276" w:lineRule="auto"/>
        <w:ind w:right="-86"/>
        <w:jc w:val="both"/>
        <w:rPr>
          <w:lang w:eastAsia="en-PH"/>
        </w:rPr>
      </w:pPr>
    </w:p>
    <w:p>
      <w:pPr>
        <w:spacing w:line="276" w:lineRule="auto"/>
        <w:jc w:val="both"/>
      </w:pPr>
      <w:r>
        <w:t xml:space="preserve">The inclusions of projects in the 20% DF that: (1) are not well-planned, such as the site locations were not identified beforehand and the lack of consideration of the LGU’s capacity in the setting of targets; and (2) are not procurement-and-implementation-ready, </w:t>
      </w:r>
      <w:r>
        <w:lastRenderedPageBreak/>
        <w:t>wherein the detailed engineering activities are not yet accomplished such as the delayed preparation of plans and POW which in turn impedes the procurement process, is clearly in violation of the above-stated provision, thus, resulting to the non-implementation of the above-mentioned development projects.</w:t>
      </w:r>
    </w:p>
    <w:p>
      <w:pPr>
        <w:spacing w:line="276" w:lineRule="auto"/>
        <w:ind w:right="-86"/>
        <w:jc w:val="both"/>
        <w:rPr>
          <w:lang w:eastAsia="en-PH"/>
        </w:rPr>
      </w:pPr>
    </w:p>
    <w:p>
      <w:pPr>
        <w:pStyle w:val="ListParagraph"/>
        <w:numPr>
          <w:ilvl w:val="0"/>
          <w:numId w:val="68"/>
        </w:numPr>
        <w:autoSpaceDE w:val="0"/>
        <w:autoSpaceDN w:val="0"/>
        <w:adjustRightInd w:val="0"/>
        <w:spacing w:after="0"/>
        <w:ind w:left="426"/>
        <w:jc w:val="both"/>
        <w:rPr>
          <w:rFonts w:ascii="Times New Roman" w:hAnsi="Times New Roman"/>
          <w:b/>
          <w:bCs/>
          <w:sz w:val="24"/>
          <w:szCs w:val="24"/>
          <w:lang w:eastAsia="en-PH"/>
        </w:rPr>
      </w:pPr>
      <w:proofErr w:type="spellStart"/>
      <w:r>
        <w:rPr>
          <w:rFonts w:ascii="Times New Roman" w:hAnsi="Times New Roman"/>
          <w:b/>
          <w:bCs/>
          <w:sz w:val="24"/>
          <w:szCs w:val="24"/>
          <w:lang w:eastAsia="en-PH"/>
        </w:rPr>
        <w:t>Unreverted</w:t>
      </w:r>
      <w:proofErr w:type="spellEnd"/>
      <w:r>
        <w:rPr>
          <w:rFonts w:ascii="Times New Roman" w:hAnsi="Times New Roman"/>
          <w:b/>
          <w:bCs/>
          <w:sz w:val="24"/>
          <w:szCs w:val="24"/>
          <w:lang w:eastAsia="en-PH"/>
        </w:rPr>
        <w:t xml:space="preserve"> unexpended appropriation/allotment balances of completed projects under continuing appropriations </w:t>
      </w:r>
      <w:proofErr w:type="spellStart"/>
      <w:r>
        <w:rPr>
          <w:rFonts w:ascii="Times New Roman" w:hAnsi="Times New Roman"/>
          <w:b/>
          <w:bCs/>
          <w:sz w:val="24"/>
          <w:szCs w:val="24"/>
          <w:lang w:eastAsia="en-PH"/>
        </w:rPr>
        <w:t>totalling</w:t>
      </w:r>
      <w:proofErr w:type="spellEnd"/>
      <w:r>
        <w:rPr>
          <w:rFonts w:ascii="Times New Roman" w:hAnsi="Times New Roman"/>
          <w:b/>
          <w:bCs/>
          <w:sz w:val="24"/>
          <w:szCs w:val="24"/>
          <w:lang w:eastAsia="en-PH"/>
        </w:rPr>
        <w:t xml:space="preserve"> P5,080,330.04</w:t>
      </w:r>
    </w:p>
    <w:p>
      <w:pPr>
        <w:autoSpaceDE w:val="0"/>
        <w:autoSpaceDN w:val="0"/>
        <w:adjustRightInd w:val="0"/>
        <w:spacing w:line="276" w:lineRule="auto"/>
        <w:contextualSpacing/>
        <w:jc w:val="both"/>
        <w:rPr>
          <w:lang w:eastAsia="en-PH"/>
        </w:rPr>
      </w:pPr>
    </w:p>
    <w:p>
      <w:pPr>
        <w:autoSpaceDE w:val="0"/>
        <w:autoSpaceDN w:val="0"/>
        <w:adjustRightInd w:val="0"/>
        <w:spacing w:line="276" w:lineRule="auto"/>
        <w:contextualSpacing/>
        <w:jc w:val="both"/>
        <w:rPr>
          <w:lang w:eastAsia="en-PH"/>
        </w:rPr>
      </w:pPr>
      <w:r>
        <w:rPr>
          <w:lang w:eastAsia="en-PH"/>
        </w:rPr>
        <w:t>Section 322 of Republic Act No. 7160, The Local Government Code of 1991provided the reversion of unexpended balances of appropriations and continuing appropriations, to wit”</w:t>
      </w:r>
    </w:p>
    <w:p>
      <w:pPr>
        <w:spacing w:line="276" w:lineRule="auto"/>
        <w:contextualSpacing/>
        <w:jc w:val="both"/>
        <w:rPr>
          <w:lang w:eastAsia="en-PH"/>
        </w:rPr>
      </w:pPr>
    </w:p>
    <w:p>
      <w:pPr>
        <w:spacing w:line="276" w:lineRule="auto"/>
        <w:ind w:left="720" w:right="702"/>
        <w:jc w:val="both"/>
        <w:rPr>
          <w:iCs/>
        </w:rPr>
      </w:pPr>
      <w:r>
        <w:rPr>
          <w:iCs/>
        </w:rPr>
        <w:t xml:space="preserve">The balances of continuing appropriations shall be reviewed as part of the annual budget preparation and the </w:t>
      </w:r>
      <w:proofErr w:type="spellStart"/>
      <w:r>
        <w:rPr>
          <w:iCs/>
        </w:rPr>
        <w:t>sanggunian</w:t>
      </w:r>
      <w:proofErr w:type="spellEnd"/>
      <w:r>
        <w:rPr>
          <w:iCs/>
        </w:rPr>
        <w:t xml:space="preserve"> concerned may approve, upon recommendation of the local chief executive, the reversion of funds no longer needed in connection with the activities funded by said continuing appropriations subject to the provisions of this Section. </w:t>
      </w:r>
    </w:p>
    <w:p>
      <w:pPr>
        <w:spacing w:line="276" w:lineRule="auto"/>
        <w:contextualSpacing/>
        <w:jc w:val="both"/>
        <w:rPr>
          <w:lang w:eastAsia="en-PH"/>
        </w:rPr>
      </w:pPr>
    </w:p>
    <w:p>
      <w:pPr>
        <w:spacing w:line="276" w:lineRule="auto"/>
        <w:contextualSpacing/>
        <w:jc w:val="both"/>
        <w:rPr>
          <w:lang w:eastAsia="en-PH"/>
        </w:rPr>
      </w:pPr>
      <w:r>
        <w:rPr>
          <w:lang w:eastAsia="en-PH"/>
        </w:rPr>
        <w:t xml:space="preserve">Review on the </w:t>
      </w:r>
      <w:r>
        <w:rPr>
          <w:spacing w:val="-1"/>
          <w:lang w:eastAsia="en-PH"/>
        </w:rPr>
        <w:t>Status of Appropriations, Allotments, Obligations and Balances (SAAOB), as of December 31, 2022,</w:t>
      </w:r>
      <w:r>
        <w:rPr>
          <w:lang w:eastAsia="en-PH"/>
        </w:rPr>
        <w:t xml:space="preserve"> disclosed that a total unutilized continuing allotment for 48 PPAs amounting to P</w:t>
      </w:r>
      <w:proofErr w:type="gramStart"/>
      <w:r>
        <w:rPr>
          <w:lang w:eastAsia="en-PH"/>
        </w:rPr>
        <w:t>5,080,330.04  (</w:t>
      </w:r>
      <w:proofErr w:type="gramEnd"/>
      <w:r>
        <w:rPr>
          <w:lang w:eastAsia="en-PH"/>
        </w:rPr>
        <w:t>see Table 22.7).</w:t>
      </w:r>
    </w:p>
    <w:p>
      <w:pPr>
        <w:spacing w:line="276" w:lineRule="auto"/>
        <w:ind w:firstLine="720"/>
        <w:contextualSpacing/>
        <w:jc w:val="both"/>
        <w:rPr>
          <w:lang w:eastAsia="en-PH"/>
        </w:rPr>
      </w:pPr>
    </w:p>
    <w:p>
      <w:pPr>
        <w:spacing w:line="276" w:lineRule="auto"/>
        <w:ind w:right="-86"/>
        <w:jc w:val="both"/>
        <w:rPr>
          <w:i/>
          <w:lang w:eastAsia="en-PH"/>
        </w:rPr>
      </w:pPr>
      <w:r>
        <w:rPr>
          <w:i/>
          <w:lang w:eastAsia="en-PH"/>
        </w:rPr>
        <w:t>Table 22.7. Schedule of completed projects with unexpended appropriation in CY2022</w:t>
      </w:r>
    </w:p>
    <w:tbl>
      <w:tblPr>
        <w:tblW w:w="8753" w:type="dxa"/>
        <w:jc w:val="center"/>
        <w:tblLook w:val="04A0" w:firstRow="1" w:lastRow="0" w:firstColumn="1" w:lastColumn="0" w:noHBand="0" w:noVBand="1"/>
      </w:tblPr>
      <w:tblGrid>
        <w:gridCol w:w="3713"/>
        <w:gridCol w:w="1680"/>
        <w:gridCol w:w="1680"/>
        <w:gridCol w:w="1680"/>
      </w:tblGrid>
      <w:tr>
        <w:trPr>
          <w:trHeight w:val="57"/>
          <w:tblHeader/>
          <w:jc w:val="center"/>
        </w:trPr>
        <w:tc>
          <w:tcPr>
            <w:tcW w:w="3713" w:type="dxa"/>
            <w:tcBorders>
              <w:top w:val="single" w:sz="4" w:space="0" w:color="auto"/>
              <w:left w:val="single" w:sz="4" w:space="0" w:color="auto"/>
              <w:bottom w:val="single" w:sz="4" w:space="0" w:color="auto"/>
              <w:right w:val="single" w:sz="4" w:space="0" w:color="auto"/>
            </w:tcBorders>
            <w:shd w:val="clear" w:color="auto" w:fill="auto"/>
            <w:vAlign w:val="center"/>
            <w:hideMark/>
          </w:tcPr>
          <w:p>
            <w:pPr>
              <w:spacing w:line="276" w:lineRule="auto"/>
              <w:jc w:val="center"/>
              <w:rPr>
                <w:b/>
                <w:bCs/>
                <w:sz w:val="22"/>
                <w:szCs w:val="22"/>
                <w:lang w:val="en-PH" w:eastAsia="en-PH"/>
              </w:rPr>
            </w:pPr>
            <w:r>
              <w:rPr>
                <w:b/>
                <w:bCs/>
                <w:sz w:val="22"/>
                <w:szCs w:val="22"/>
                <w:lang w:val="en-PH" w:eastAsia="en-PH"/>
              </w:rPr>
              <w:t>Office</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pPr>
              <w:spacing w:line="276" w:lineRule="auto"/>
              <w:jc w:val="center"/>
              <w:rPr>
                <w:b/>
                <w:bCs/>
                <w:sz w:val="22"/>
                <w:szCs w:val="22"/>
                <w:lang w:val="en-PH" w:eastAsia="en-PH"/>
              </w:rPr>
            </w:pPr>
            <w:r>
              <w:rPr>
                <w:b/>
                <w:bCs/>
                <w:sz w:val="22"/>
                <w:szCs w:val="22"/>
                <w:lang w:val="en-PH" w:eastAsia="en-PH"/>
              </w:rPr>
              <w:t xml:space="preserve">Appropriation/ Allotment </w:t>
            </w:r>
          </w:p>
        </w:tc>
        <w:tc>
          <w:tcPr>
            <w:tcW w:w="1680" w:type="dxa"/>
            <w:tcBorders>
              <w:top w:val="single" w:sz="4" w:space="0" w:color="auto"/>
              <w:left w:val="nil"/>
              <w:bottom w:val="single" w:sz="4" w:space="0" w:color="auto"/>
              <w:right w:val="single" w:sz="4" w:space="0" w:color="auto"/>
            </w:tcBorders>
            <w:shd w:val="clear" w:color="auto" w:fill="auto"/>
            <w:noWrap/>
            <w:vAlign w:val="center"/>
            <w:hideMark/>
          </w:tcPr>
          <w:p>
            <w:pPr>
              <w:spacing w:line="276" w:lineRule="auto"/>
              <w:jc w:val="center"/>
              <w:rPr>
                <w:b/>
                <w:bCs/>
                <w:sz w:val="22"/>
                <w:szCs w:val="22"/>
                <w:lang w:val="en-PH" w:eastAsia="en-PH"/>
              </w:rPr>
            </w:pPr>
            <w:r>
              <w:rPr>
                <w:b/>
                <w:bCs/>
                <w:sz w:val="22"/>
                <w:szCs w:val="22"/>
                <w:lang w:val="en-PH" w:eastAsia="en-PH"/>
              </w:rPr>
              <w:t xml:space="preserve"> Obligation </w:t>
            </w:r>
          </w:p>
        </w:tc>
        <w:tc>
          <w:tcPr>
            <w:tcW w:w="1680" w:type="dxa"/>
            <w:tcBorders>
              <w:top w:val="single" w:sz="4" w:space="0" w:color="auto"/>
              <w:left w:val="nil"/>
              <w:bottom w:val="single" w:sz="4" w:space="0" w:color="auto"/>
              <w:right w:val="single" w:sz="4" w:space="0" w:color="auto"/>
            </w:tcBorders>
            <w:shd w:val="clear" w:color="auto" w:fill="auto"/>
            <w:noWrap/>
            <w:vAlign w:val="bottom"/>
            <w:hideMark/>
          </w:tcPr>
          <w:p>
            <w:pPr>
              <w:spacing w:line="276" w:lineRule="auto"/>
              <w:jc w:val="center"/>
              <w:rPr>
                <w:b/>
                <w:bCs/>
                <w:color w:val="000000"/>
                <w:sz w:val="22"/>
                <w:szCs w:val="22"/>
                <w:lang w:val="en-PH" w:eastAsia="en-PH"/>
              </w:rPr>
            </w:pPr>
            <w:r>
              <w:rPr>
                <w:b/>
                <w:bCs/>
                <w:color w:val="000000"/>
                <w:sz w:val="22"/>
                <w:szCs w:val="22"/>
                <w:lang w:val="en-PH" w:eastAsia="en-PH"/>
              </w:rPr>
              <w:t>No. of Non-Infra. Projects</w:t>
            </w:r>
          </w:p>
        </w:tc>
      </w:tr>
      <w:tr>
        <w:trPr>
          <w:trHeight w:val="57"/>
          <w:jc w:val="center"/>
        </w:trPr>
        <w:tc>
          <w:tcPr>
            <w:tcW w:w="7073" w:type="dxa"/>
            <w:gridSpan w:val="3"/>
            <w:tcBorders>
              <w:top w:val="nil"/>
              <w:left w:val="single" w:sz="4" w:space="0" w:color="auto"/>
              <w:bottom w:val="single" w:sz="4" w:space="0" w:color="auto"/>
              <w:right w:val="single" w:sz="4" w:space="0" w:color="auto"/>
            </w:tcBorders>
            <w:shd w:val="clear" w:color="auto" w:fill="auto"/>
            <w:noWrap/>
            <w:hideMark/>
          </w:tcPr>
          <w:p>
            <w:pPr>
              <w:tabs>
                <w:tab w:val="right" w:pos="4122"/>
              </w:tabs>
              <w:spacing w:line="276" w:lineRule="auto"/>
              <w:rPr>
                <w:sz w:val="22"/>
                <w:szCs w:val="22"/>
                <w:lang w:val="en-PH" w:eastAsia="en-PH"/>
              </w:rPr>
            </w:pPr>
            <w:r>
              <w:rPr>
                <w:b/>
                <w:bCs/>
                <w:sz w:val="22"/>
                <w:szCs w:val="22"/>
                <w:lang w:val="en-PH" w:eastAsia="en-PH"/>
              </w:rPr>
              <w:t>Continuing Appropriation (CY2021)</w:t>
            </w:r>
            <w:r>
              <w:rPr>
                <w:b/>
                <w:bCs/>
                <w:sz w:val="22"/>
                <w:szCs w:val="22"/>
                <w:lang w:val="en-PH" w:eastAsia="en-PH"/>
              </w:rPr>
              <w:tab/>
              <w:t> </w:t>
            </w:r>
          </w:p>
        </w:tc>
        <w:tc>
          <w:tcPr>
            <w:tcW w:w="1680" w:type="dxa"/>
            <w:vMerge w:val="restart"/>
            <w:tcBorders>
              <w:top w:val="nil"/>
              <w:left w:val="nil"/>
              <w:right w:val="single" w:sz="4" w:space="0" w:color="auto"/>
            </w:tcBorders>
            <w:shd w:val="clear" w:color="auto" w:fill="auto"/>
            <w:vAlign w:val="bottom"/>
            <w:hideMark/>
          </w:tcPr>
          <w:p>
            <w:pPr>
              <w:spacing w:line="276" w:lineRule="auto"/>
              <w:jc w:val="center"/>
              <w:rPr>
                <w:sz w:val="22"/>
                <w:szCs w:val="22"/>
                <w:lang w:val="en-PH" w:eastAsia="en-PH"/>
              </w:rPr>
            </w:pPr>
            <w:r>
              <w:rPr>
                <w:sz w:val="22"/>
                <w:szCs w:val="22"/>
                <w:lang w:val="en-PH" w:eastAsia="en-PH"/>
              </w:rPr>
              <w:t>6</w:t>
            </w:r>
          </w:p>
          <w:p>
            <w:pPr>
              <w:spacing w:line="276" w:lineRule="auto"/>
              <w:jc w:val="center"/>
              <w:rPr>
                <w:sz w:val="22"/>
                <w:szCs w:val="22"/>
                <w:lang w:val="en-PH" w:eastAsia="en-PH"/>
              </w:rPr>
            </w:pPr>
            <w:r>
              <w:rPr>
                <w:sz w:val="22"/>
                <w:szCs w:val="22"/>
                <w:lang w:val="en-PH" w:eastAsia="en-PH"/>
              </w:rPr>
              <w:t> </w:t>
            </w:r>
          </w:p>
          <w:p>
            <w:pPr>
              <w:spacing w:line="276" w:lineRule="auto"/>
              <w:jc w:val="center"/>
              <w:rPr>
                <w:sz w:val="22"/>
                <w:szCs w:val="22"/>
                <w:lang w:val="en-PH" w:eastAsia="en-PH"/>
              </w:rPr>
            </w:pPr>
            <w:r>
              <w:rPr>
                <w:sz w:val="22"/>
                <w:szCs w:val="22"/>
                <w:lang w:val="en-PH" w:eastAsia="en-PH"/>
              </w:rPr>
              <w:t> </w:t>
            </w: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City Engineering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P87,692.88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-P0.00-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Special Education Fund</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96,114.22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i/>
                <w:sz w:val="22"/>
                <w:szCs w:val="22"/>
                <w:lang w:val="en-PH" w:eastAsia="en-PH"/>
              </w:rPr>
            </w:pPr>
            <w:r>
              <w:rPr>
                <w:b/>
                <w:i/>
                <w:sz w:val="22"/>
                <w:szCs w:val="22"/>
                <w:lang w:val="en-PH" w:eastAsia="en-PH"/>
              </w:rPr>
              <w:t> </w:t>
            </w:r>
            <w:r>
              <w:rPr>
                <w:b/>
                <w:i/>
                <w:sz w:val="22"/>
                <w:szCs w:val="22"/>
                <w:lang w:eastAsia="en-PH"/>
              </w:rPr>
              <w:t>Sub-total</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b/>
                <w:i/>
                <w:sz w:val="22"/>
                <w:szCs w:val="22"/>
                <w:lang w:val="en-PH" w:eastAsia="en-PH"/>
              </w:rPr>
            </w:pPr>
            <w:r>
              <w:rPr>
                <w:b/>
                <w:i/>
                <w:sz w:val="22"/>
                <w:szCs w:val="22"/>
                <w:lang w:val="en-PH" w:eastAsia="en-PH"/>
              </w:rPr>
              <w:t xml:space="preserve">183,807.10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b/>
                <w:i/>
                <w:sz w:val="22"/>
                <w:szCs w:val="22"/>
                <w:lang w:val="en-PH" w:eastAsia="en-PH"/>
              </w:rPr>
            </w:pPr>
            <w:r>
              <w:rPr>
                <w:b/>
                <w:i/>
                <w:sz w:val="22"/>
                <w:szCs w:val="22"/>
                <w:lang w:val="en-PH" w:eastAsia="en-PH"/>
              </w:rPr>
              <w:t>-0.00-</w:t>
            </w:r>
          </w:p>
        </w:tc>
        <w:tc>
          <w:tcPr>
            <w:tcW w:w="1680" w:type="dxa"/>
            <w:vMerge/>
            <w:tcBorders>
              <w:left w:val="nil"/>
              <w:bottom w:val="single" w:sz="4" w:space="0" w:color="auto"/>
              <w:right w:val="single" w:sz="4" w:space="0" w:color="auto"/>
            </w:tcBorders>
            <w:shd w:val="clear" w:color="auto" w:fill="auto"/>
            <w:vAlign w:val="bottom"/>
            <w:hideMark/>
          </w:tcPr>
          <w:p>
            <w:pPr>
              <w:spacing w:line="276" w:lineRule="auto"/>
              <w:jc w:val="center"/>
              <w:rPr>
                <w:sz w:val="22"/>
                <w:szCs w:val="22"/>
                <w:lang w:val="en-PH" w:eastAsia="en-PH"/>
              </w:rPr>
            </w:pPr>
          </w:p>
        </w:tc>
      </w:tr>
      <w:tr>
        <w:trPr>
          <w:trHeight w:val="57"/>
          <w:jc w:val="center"/>
        </w:trPr>
        <w:tc>
          <w:tcPr>
            <w:tcW w:w="7073" w:type="dxa"/>
            <w:gridSpan w:val="3"/>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b/>
                <w:bCs/>
                <w:sz w:val="22"/>
                <w:szCs w:val="22"/>
                <w:lang w:val="en-PH" w:eastAsia="en-PH"/>
              </w:rPr>
              <w:t>Continuing Appropriation (CY2020)</w:t>
            </w:r>
            <w:r>
              <w:rPr>
                <w:sz w:val="22"/>
                <w:szCs w:val="22"/>
                <w:lang w:val="en-PH" w:eastAsia="en-PH"/>
              </w:rPr>
              <w:t> </w:t>
            </w:r>
          </w:p>
        </w:tc>
        <w:tc>
          <w:tcPr>
            <w:tcW w:w="1680" w:type="dxa"/>
            <w:vMerge w:val="restart"/>
            <w:tcBorders>
              <w:top w:val="nil"/>
              <w:left w:val="nil"/>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18</w:t>
            </w:r>
          </w:p>
          <w:p>
            <w:pPr>
              <w:spacing w:line="276" w:lineRule="auto"/>
              <w:jc w:val="center"/>
              <w:rPr>
                <w:sz w:val="22"/>
                <w:szCs w:val="22"/>
                <w:lang w:val="en-PH" w:eastAsia="en-PH"/>
              </w:rPr>
            </w:pPr>
          </w:p>
          <w:p>
            <w:pPr>
              <w:spacing w:line="276" w:lineRule="auto"/>
              <w:jc w:val="center"/>
              <w:rPr>
                <w:sz w:val="22"/>
                <w:szCs w:val="22"/>
                <w:lang w:val="en-PH" w:eastAsia="en-PH"/>
              </w:rPr>
            </w:pPr>
          </w:p>
          <w:p>
            <w:pPr>
              <w:spacing w:line="276" w:lineRule="auto"/>
              <w:jc w:val="center"/>
              <w:rPr>
                <w:sz w:val="22"/>
                <w:szCs w:val="22"/>
                <w:lang w:val="en-PH" w:eastAsia="en-PH"/>
              </w:rPr>
            </w:pPr>
          </w:p>
          <w:p>
            <w:pPr>
              <w:spacing w:line="276" w:lineRule="auto"/>
              <w:jc w:val="center"/>
              <w:rPr>
                <w:sz w:val="22"/>
                <w:szCs w:val="22"/>
                <w:lang w:val="en-PH" w:eastAsia="en-PH"/>
              </w:rPr>
            </w:pPr>
          </w:p>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CEEMDO</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331,696.42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City Engineering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85,057.86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 xml:space="preserve">City Environment </w:t>
            </w:r>
            <w:proofErr w:type="gramStart"/>
            <w:r>
              <w:rPr>
                <w:sz w:val="22"/>
                <w:szCs w:val="22"/>
                <w:lang w:val="en-PH" w:eastAsia="en-PH"/>
              </w:rPr>
              <w:t>And</w:t>
            </w:r>
            <w:proofErr w:type="gramEnd"/>
            <w:r>
              <w:rPr>
                <w:sz w:val="22"/>
                <w:szCs w:val="22"/>
                <w:lang w:val="en-PH" w:eastAsia="en-PH"/>
              </w:rPr>
              <w:t xml:space="preserve"> Natural Resources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22,398.00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City Mayor's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112,614.86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i/>
                <w:sz w:val="22"/>
                <w:szCs w:val="22"/>
                <w:lang w:val="en-PH" w:eastAsia="en-PH"/>
              </w:rPr>
            </w:pPr>
            <w:r>
              <w:rPr>
                <w:b/>
                <w:i/>
                <w:sz w:val="22"/>
                <w:szCs w:val="22"/>
                <w:lang w:val="en-PH" w:eastAsia="en-PH"/>
              </w:rPr>
              <w:t> </w:t>
            </w:r>
            <w:r>
              <w:rPr>
                <w:b/>
                <w:i/>
                <w:sz w:val="22"/>
                <w:szCs w:val="22"/>
                <w:lang w:eastAsia="en-PH"/>
              </w:rPr>
              <w:t>Sub-total</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b/>
                <w:i/>
                <w:sz w:val="22"/>
                <w:szCs w:val="22"/>
                <w:lang w:val="en-PH" w:eastAsia="en-PH"/>
              </w:rPr>
            </w:pPr>
            <w:r>
              <w:rPr>
                <w:b/>
                <w:i/>
                <w:sz w:val="22"/>
                <w:szCs w:val="22"/>
                <w:lang w:val="en-PH" w:eastAsia="en-PH"/>
              </w:rPr>
              <w:t xml:space="preserve">551,767.14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b/>
                <w:i/>
                <w:sz w:val="22"/>
                <w:szCs w:val="22"/>
                <w:lang w:val="en-PH" w:eastAsia="en-PH"/>
              </w:rPr>
            </w:pPr>
            <w:r>
              <w:rPr>
                <w:b/>
                <w:i/>
                <w:sz w:val="22"/>
                <w:szCs w:val="22"/>
                <w:lang w:val="en-PH" w:eastAsia="en-PH"/>
              </w:rPr>
              <w:t>-0.00-</w:t>
            </w:r>
          </w:p>
        </w:tc>
        <w:tc>
          <w:tcPr>
            <w:tcW w:w="1680" w:type="dxa"/>
            <w:vMerge/>
            <w:tcBorders>
              <w:left w:val="nil"/>
              <w:bottom w:val="single" w:sz="4" w:space="0" w:color="auto"/>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7073" w:type="dxa"/>
            <w:gridSpan w:val="3"/>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b/>
                <w:bCs/>
                <w:sz w:val="22"/>
                <w:szCs w:val="22"/>
                <w:lang w:val="en-PH" w:eastAsia="en-PH"/>
              </w:rPr>
              <w:t>Continuing Appropriation (CY2019)</w:t>
            </w:r>
            <w:r>
              <w:rPr>
                <w:sz w:val="22"/>
                <w:szCs w:val="22"/>
                <w:lang w:val="en-PH" w:eastAsia="en-PH"/>
              </w:rPr>
              <w:t> </w:t>
            </w:r>
          </w:p>
        </w:tc>
        <w:tc>
          <w:tcPr>
            <w:tcW w:w="1680" w:type="dxa"/>
            <w:vMerge w:val="restart"/>
            <w:tcBorders>
              <w:top w:val="nil"/>
              <w:left w:val="nil"/>
              <w:right w:val="single" w:sz="4" w:space="0" w:color="auto"/>
            </w:tcBorders>
            <w:shd w:val="clear" w:color="auto" w:fill="auto"/>
            <w:vAlign w:val="bottom"/>
            <w:hideMark/>
          </w:tcPr>
          <w:p>
            <w:pPr>
              <w:spacing w:line="276" w:lineRule="auto"/>
              <w:jc w:val="center"/>
              <w:rPr>
                <w:sz w:val="22"/>
                <w:szCs w:val="22"/>
                <w:lang w:val="en-PH" w:eastAsia="en-PH"/>
              </w:rPr>
            </w:pPr>
            <w:r>
              <w:rPr>
                <w:sz w:val="22"/>
                <w:szCs w:val="22"/>
                <w:lang w:val="en-PH" w:eastAsia="en-PH"/>
              </w:rPr>
              <w:t>21</w:t>
            </w:r>
          </w:p>
          <w:p>
            <w:pPr>
              <w:spacing w:line="276" w:lineRule="auto"/>
              <w:jc w:val="center"/>
              <w:rPr>
                <w:sz w:val="22"/>
                <w:szCs w:val="22"/>
                <w:lang w:val="en-PH" w:eastAsia="en-PH"/>
              </w:rPr>
            </w:pPr>
            <w:r>
              <w:rPr>
                <w:sz w:val="22"/>
                <w:szCs w:val="22"/>
                <w:lang w:val="en-PH" w:eastAsia="en-PH"/>
              </w:rPr>
              <w:t> </w:t>
            </w:r>
          </w:p>
          <w:p>
            <w:pPr>
              <w:spacing w:line="276" w:lineRule="auto"/>
              <w:jc w:val="center"/>
              <w:rPr>
                <w:sz w:val="22"/>
                <w:szCs w:val="22"/>
                <w:lang w:val="en-PH" w:eastAsia="en-PH"/>
              </w:rPr>
            </w:pPr>
            <w:r>
              <w:rPr>
                <w:sz w:val="22"/>
                <w:szCs w:val="22"/>
                <w:lang w:val="en-PH" w:eastAsia="en-PH"/>
              </w:rPr>
              <w:t> </w:t>
            </w:r>
          </w:p>
          <w:p>
            <w:pPr>
              <w:spacing w:line="276" w:lineRule="auto"/>
              <w:jc w:val="center"/>
              <w:rPr>
                <w:sz w:val="22"/>
                <w:szCs w:val="22"/>
                <w:lang w:val="en-PH" w:eastAsia="en-PH"/>
              </w:rPr>
            </w:pPr>
            <w:r>
              <w:rPr>
                <w:sz w:val="22"/>
                <w:szCs w:val="22"/>
                <w:lang w:val="en-PH" w:eastAsia="en-PH"/>
              </w:rPr>
              <w:t> </w:t>
            </w:r>
          </w:p>
          <w:p>
            <w:pPr>
              <w:spacing w:line="276" w:lineRule="auto"/>
              <w:jc w:val="center"/>
              <w:rPr>
                <w:sz w:val="22"/>
                <w:szCs w:val="22"/>
                <w:lang w:val="en-PH" w:eastAsia="en-PH"/>
              </w:rPr>
            </w:pPr>
            <w:r>
              <w:rPr>
                <w:sz w:val="22"/>
                <w:szCs w:val="22"/>
                <w:lang w:val="en-PH" w:eastAsia="en-PH"/>
              </w:rPr>
              <w:t> </w:t>
            </w:r>
          </w:p>
          <w:p>
            <w:pPr>
              <w:spacing w:line="276" w:lineRule="auto"/>
              <w:jc w:val="center"/>
              <w:rPr>
                <w:sz w:val="22"/>
                <w:szCs w:val="22"/>
                <w:lang w:val="en-PH" w:eastAsia="en-PH"/>
              </w:rPr>
            </w:pPr>
            <w:r>
              <w:rPr>
                <w:sz w:val="22"/>
                <w:szCs w:val="22"/>
                <w:lang w:val="en-PH" w:eastAsia="en-PH"/>
              </w:rPr>
              <w:lastRenderedPageBreak/>
              <w:t> </w:t>
            </w: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CEEMDO</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620,283.30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City Agriculture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108,783.50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City Engineering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2,017,617.35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City Mayor's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324,638.30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i/>
                <w:sz w:val="22"/>
                <w:szCs w:val="22"/>
                <w:lang w:val="en-PH" w:eastAsia="en-PH"/>
              </w:rPr>
            </w:pPr>
            <w:r>
              <w:rPr>
                <w:b/>
                <w:i/>
                <w:sz w:val="22"/>
                <w:szCs w:val="22"/>
                <w:lang w:val="en-PH" w:eastAsia="en-PH"/>
              </w:rPr>
              <w:lastRenderedPageBreak/>
              <w:t> </w:t>
            </w:r>
            <w:r>
              <w:rPr>
                <w:b/>
                <w:i/>
                <w:sz w:val="22"/>
                <w:szCs w:val="22"/>
                <w:lang w:eastAsia="en-PH"/>
              </w:rPr>
              <w:t>Sub-total</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b/>
                <w:i/>
                <w:sz w:val="22"/>
                <w:szCs w:val="22"/>
                <w:lang w:val="en-PH" w:eastAsia="en-PH"/>
              </w:rPr>
            </w:pPr>
            <w:r>
              <w:rPr>
                <w:b/>
                <w:i/>
                <w:sz w:val="22"/>
                <w:szCs w:val="22"/>
                <w:lang w:val="en-PH" w:eastAsia="en-PH"/>
              </w:rPr>
              <w:t xml:space="preserve">3,071,322.45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b/>
                <w:i/>
                <w:sz w:val="22"/>
                <w:szCs w:val="22"/>
                <w:lang w:val="en-PH" w:eastAsia="en-PH"/>
              </w:rPr>
            </w:pPr>
            <w:r>
              <w:rPr>
                <w:b/>
                <w:i/>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7073" w:type="dxa"/>
            <w:gridSpan w:val="3"/>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b/>
                <w:bCs/>
                <w:sz w:val="22"/>
                <w:szCs w:val="22"/>
                <w:lang w:val="en-PH" w:eastAsia="en-PH"/>
              </w:rPr>
              <w:t>Continuing Appropriation (CY2018)</w:t>
            </w:r>
            <w:r>
              <w:rPr>
                <w:sz w:val="22"/>
                <w:szCs w:val="22"/>
                <w:lang w:val="en-PH" w:eastAsia="en-PH"/>
              </w:rPr>
              <w:t> </w:t>
            </w:r>
          </w:p>
        </w:tc>
        <w:tc>
          <w:tcPr>
            <w:tcW w:w="1680" w:type="dxa"/>
            <w:vMerge w:val="restart"/>
            <w:tcBorders>
              <w:top w:val="nil"/>
              <w:left w:val="nil"/>
              <w:bottom w:val="single" w:sz="4" w:space="0" w:color="auto"/>
              <w:right w:val="single" w:sz="4" w:space="0" w:color="auto"/>
            </w:tcBorders>
            <w:shd w:val="clear" w:color="auto" w:fill="auto"/>
            <w:vAlign w:val="bottom"/>
            <w:hideMark/>
          </w:tcPr>
          <w:p>
            <w:pPr>
              <w:spacing w:line="276" w:lineRule="auto"/>
              <w:jc w:val="center"/>
              <w:rPr>
                <w:sz w:val="22"/>
                <w:szCs w:val="22"/>
                <w:lang w:val="en-PH" w:eastAsia="en-PH"/>
              </w:rPr>
            </w:pPr>
            <w:r>
              <w:rPr>
                <w:sz w:val="22"/>
                <w:szCs w:val="22"/>
                <w:lang w:val="en-PH" w:eastAsia="en-PH"/>
              </w:rPr>
              <w:t>7</w:t>
            </w:r>
          </w:p>
          <w:p>
            <w:pPr>
              <w:spacing w:line="276" w:lineRule="auto"/>
              <w:jc w:val="center"/>
              <w:rPr>
                <w:sz w:val="22"/>
                <w:szCs w:val="22"/>
                <w:lang w:val="en-PH" w:eastAsia="en-PH"/>
              </w:rPr>
            </w:pPr>
            <w:r>
              <w:rPr>
                <w:sz w:val="22"/>
                <w:szCs w:val="22"/>
                <w:lang w:val="en-PH" w:eastAsia="en-PH"/>
              </w:rPr>
              <w:t> </w:t>
            </w:r>
          </w:p>
          <w:p>
            <w:pPr>
              <w:spacing w:line="276" w:lineRule="auto"/>
              <w:jc w:val="center"/>
              <w:rPr>
                <w:sz w:val="22"/>
                <w:szCs w:val="22"/>
                <w:lang w:val="en-PH" w:eastAsia="en-PH"/>
              </w:rPr>
            </w:pPr>
            <w:r>
              <w:rPr>
                <w:sz w:val="22"/>
                <w:szCs w:val="22"/>
                <w:lang w:val="en-PH" w:eastAsia="en-PH"/>
              </w:rPr>
              <w:t> </w:t>
            </w:r>
          </w:p>
          <w:p>
            <w:pPr>
              <w:spacing w:line="276" w:lineRule="auto"/>
              <w:jc w:val="center"/>
              <w:rPr>
                <w:sz w:val="22"/>
                <w:szCs w:val="22"/>
                <w:lang w:val="en-PH" w:eastAsia="en-PH"/>
              </w:rPr>
            </w:pPr>
            <w:r>
              <w:rPr>
                <w:sz w:val="22"/>
                <w:szCs w:val="22"/>
                <w:lang w:val="en-PH" w:eastAsia="en-PH"/>
              </w:rPr>
              <w:t> </w:t>
            </w:r>
          </w:p>
          <w:p>
            <w:pPr>
              <w:spacing w:line="276" w:lineRule="auto"/>
              <w:jc w:val="center"/>
              <w:rPr>
                <w:sz w:val="22"/>
                <w:szCs w:val="22"/>
                <w:lang w:val="en-PH" w:eastAsia="en-PH"/>
              </w:rPr>
            </w:pPr>
            <w:r>
              <w:rPr>
                <w:sz w:val="22"/>
                <w:szCs w:val="22"/>
                <w:lang w:val="en-PH" w:eastAsia="en-PH"/>
              </w:rPr>
              <w:t> </w:t>
            </w: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CEEMDO</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456,701.78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bottom w:val="single" w:sz="4" w:space="0" w:color="auto"/>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City Engineering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696,728.05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bottom w:val="single" w:sz="4" w:space="0" w:color="auto"/>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City Mayor's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77,903.83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bottom w:val="single" w:sz="4" w:space="0" w:color="auto"/>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i/>
                <w:sz w:val="22"/>
                <w:szCs w:val="22"/>
                <w:lang w:val="en-PH" w:eastAsia="en-PH"/>
              </w:rPr>
            </w:pPr>
            <w:r>
              <w:rPr>
                <w:b/>
                <w:i/>
                <w:sz w:val="22"/>
                <w:szCs w:val="22"/>
                <w:lang w:val="en-PH" w:eastAsia="en-PH"/>
              </w:rPr>
              <w:t> </w:t>
            </w:r>
            <w:r>
              <w:rPr>
                <w:b/>
                <w:i/>
                <w:sz w:val="22"/>
                <w:szCs w:val="22"/>
                <w:lang w:eastAsia="en-PH"/>
              </w:rPr>
              <w:t>Sub-total</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b/>
                <w:i/>
                <w:sz w:val="22"/>
                <w:szCs w:val="22"/>
                <w:lang w:val="en-PH" w:eastAsia="en-PH"/>
              </w:rPr>
            </w:pPr>
            <w:r>
              <w:rPr>
                <w:b/>
                <w:i/>
                <w:sz w:val="22"/>
                <w:szCs w:val="22"/>
                <w:lang w:val="en-PH" w:eastAsia="en-PH"/>
              </w:rPr>
              <w:t xml:space="preserve">1,231,333.66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b/>
                <w:i/>
                <w:sz w:val="22"/>
                <w:szCs w:val="22"/>
                <w:lang w:val="en-PH" w:eastAsia="en-PH"/>
              </w:rPr>
            </w:pPr>
            <w:r>
              <w:rPr>
                <w:b/>
                <w:i/>
                <w:sz w:val="22"/>
                <w:szCs w:val="22"/>
                <w:lang w:val="en-PH" w:eastAsia="en-PH"/>
              </w:rPr>
              <w:t>-0.00-</w:t>
            </w:r>
          </w:p>
        </w:tc>
        <w:tc>
          <w:tcPr>
            <w:tcW w:w="1680" w:type="dxa"/>
            <w:vMerge/>
            <w:tcBorders>
              <w:left w:val="nil"/>
              <w:bottom w:val="single" w:sz="4" w:space="0" w:color="auto"/>
              <w:right w:val="single" w:sz="4" w:space="0" w:color="auto"/>
            </w:tcBorders>
            <w:shd w:val="clear" w:color="auto" w:fill="auto"/>
            <w:noWrap/>
            <w:vAlign w:val="bottom"/>
            <w:hideMark/>
          </w:tcPr>
          <w:p>
            <w:pPr>
              <w:spacing w:line="276" w:lineRule="auto"/>
              <w:jc w:val="center"/>
              <w:rPr>
                <w:sz w:val="22"/>
                <w:szCs w:val="22"/>
                <w:lang w:val="en-PH" w:eastAsia="en-PH"/>
              </w:rPr>
            </w:pPr>
          </w:p>
        </w:tc>
      </w:tr>
      <w:tr>
        <w:trPr>
          <w:trHeight w:val="57"/>
          <w:jc w:val="center"/>
        </w:trPr>
        <w:tc>
          <w:tcPr>
            <w:tcW w:w="7073" w:type="dxa"/>
            <w:gridSpan w:val="3"/>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b/>
                <w:bCs/>
                <w:sz w:val="22"/>
                <w:szCs w:val="22"/>
                <w:lang w:val="en-PH" w:eastAsia="en-PH"/>
              </w:rPr>
              <w:t>Continuing Appropriation (CY2017)</w:t>
            </w:r>
            <w:r>
              <w:rPr>
                <w:sz w:val="22"/>
                <w:szCs w:val="22"/>
                <w:lang w:val="en-PH" w:eastAsia="en-PH"/>
              </w:rPr>
              <w:t> </w:t>
            </w:r>
          </w:p>
        </w:tc>
        <w:tc>
          <w:tcPr>
            <w:tcW w:w="1680" w:type="dxa"/>
            <w:vMerge w:val="restart"/>
            <w:tcBorders>
              <w:top w:val="single" w:sz="4" w:space="0" w:color="auto"/>
              <w:left w:val="nil"/>
              <w:right w:val="single" w:sz="4" w:space="0" w:color="auto"/>
            </w:tcBorders>
            <w:shd w:val="clear" w:color="auto" w:fill="auto"/>
            <w:noWrap/>
            <w:hideMark/>
          </w:tcPr>
          <w:p>
            <w:pPr>
              <w:spacing w:line="276" w:lineRule="auto"/>
              <w:jc w:val="center"/>
              <w:rPr>
                <w:color w:val="000000"/>
                <w:sz w:val="22"/>
                <w:szCs w:val="22"/>
                <w:lang w:val="en-PH" w:eastAsia="en-PH"/>
              </w:rPr>
            </w:pPr>
            <w:r>
              <w:rPr>
                <w:color w:val="000000"/>
                <w:sz w:val="22"/>
                <w:szCs w:val="22"/>
                <w:lang w:val="en-PH" w:eastAsia="en-PH"/>
              </w:rPr>
              <w:t>2</w:t>
            </w:r>
          </w:p>
          <w:p>
            <w:pPr>
              <w:spacing w:line="276" w:lineRule="auto"/>
              <w:jc w:val="center"/>
              <w:rPr>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hideMark/>
          </w:tcPr>
          <w:p>
            <w:pPr>
              <w:spacing w:line="276" w:lineRule="auto"/>
              <w:rPr>
                <w:sz w:val="22"/>
                <w:szCs w:val="22"/>
                <w:lang w:val="en-PH" w:eastAsia="en-PH"/>
              </w:rPr>
            </w:pPr>
            <w:r>
              <w:rPr>
                <w:sz w:val="22"/>
                <w:szCs w:val="22"/>
                <w:lang w:val="en-PH" w:eastAsia="en-PH"/>
              </w:rPr>
              <w:t>City Engineering Office</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right"/>
              <w:rPr>
                <w:sz w:val="22"/>
                <w:szCs w:val="22"/>
                <w:lang w:val="en-PH" w:eastAsia="en-PH"/>
              </w:rPr>
            </w:pPr>
            <w:r>
              <w:rPr>
                <w:sz w:val="22"/>
                <w:szCs w:val="22"/>
                <w:lang w:val="en-PH" w:eastAsia="en-PH"/>
              </w:rPr>
              <w:t xml:space="preserve">42,099.69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sz w:val="22"/>
                <w:szCs w:val="22"/>
                <w:lang w:val="en-PH" w:eastAsia="en-PH"/>
              </w:rPr>
            </w:pPr>
            <w:r>
              <w:rPr>
                <w:sz w:val="22"/>
                <w:szCs w:val="22"/>
                <w:lang w:val="en-PH" w:eastAsia="en-PH"/>
              </w:rPr>
              <w:t>-0.00-</w:t>
            </w:r>
          </w:p>
        </w:tc>
        <w:tc>
          <w:tcPr>
            <w:tcW w:w="1680" w:type="dxa"/>
            <w:vMerge/>
            <w:tcBorders>
              <w:left w:val="nil"/>
              <w:right w:val="single" w:sz="4" w:space="0" w:color="auto"/>
            </w:tcBorders>
            <w:shd w:val="clear" w:color="auto" w:fill="auto"/>
            <w:noWrap/>
            <w:vAlign w:val="bottom"/>
            <w:hideMark/>
          </w:tcPr>
          <w:p>
            <w:pPr>
              <w:spacing w:line="276" w:lineRule="auto"/>
              <w:jc w:val="center"/>
              <w:rPr>
                <w:color w:val="000000"/>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color w:val="000000"/>
                <w:sz w:val="22"/>
                <w:szCs w:val="22"/>
                <w:lang w:val="en-PH" w:eastAsia="en-PH"/>
              </w:rPr>
            </w:pPr>
            <w:r>
              <w:rPr>
                <w:color w:val="000000"/>
                <w:sz w:val="22"/>
                <w:szCs w:val="22"/>
                <w:lang w:val="en-PH" w:eastAsia="en-PH"/>
              </w:rPr>
              <w:t> </w:t>
            </w:r>
            <w:r>
              <w:rPr>
                <w:b/>
                <w:i/>
                <w:sz w:val="22"/>
                <w:szCs w:val="22"/>
                <w:lang w:eastAsia="en-PH"/>
              </w:rPr>
              <w:t>Sub-total</w:t>
            </w:r>
          </w:p>
        </w:tc>
        <w:tc>
          <w:tcPr>
            <w:tcW w:w="1680"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b/>
                <w:i/>
                <w:color w:val="000000"/>
                <w:sz w:val="22"/>
                <w:szCs w:val="22"/>
                <w:lang w:val="en-PH" w:eastAsia="en-PH"/>
              </w:rPr>
            </w:pPr>
            <w:r>
              <w:rPr>
                <w:b/>
                <w:i/>
                <w:color w:val="000000"/>
                <w:sz w:val="22"/>
                <w:szCs w:val="22"/>
                <w:lang w:val="en-PH" w:eastAsia="en-PH"/>
              </w:rPr>
              <w:t xml:space="preserve">42,099.69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b/>
                <w:i/>
                <w:sz w:val="22"/>
                <w:szCs w:val="22"/>
                <w:lang w:val="en-PH" w:eastAsia="en-PH"/>
              </w:rPr>
            </w:pPr>
            <w:r>
              <w:rPr>
                <w:b/>
                <w:i/>
                <w:sz w:val="22"/>
                <w:szCs w:val="22"/>
                <w:lang w:val="en-PH" w:eastAsia="en-PH"/>
              </w:rPr>
              <w:t>-0.00-</w:t>
            </w:r>
          </w:p>
        </w:tc>
        <w:tc>
          <w:tcPr>
            <w:tcW w:w="1680" w:type="dxa"/>
            <w:vMerge/>
            <w:tcBorders>
              <w:left w:val="nil"/>
              <w:bottom w:val="single" w:sz="4" w:space="0" w:color="auto"/>
              <w:right w:val="single" w:sz="4" w:space="0" w:color="auto"/>
            </w:tcBorders>
            <w:shd w:val="clear" w:color="auto" w:fill="auto"/>
            <w:noWrap/>
            <w:vAlign w:val="bottom"/>
            <w:hideMark/>
          </w:tcPr>
          <w:p>
            <w:pPr>
              <w:spacing w:line="276" w:lineRule="auto"/>
              <w:jc w:val="center"/>
              <w:rPr>
                <w:color w:val="000000"/>
                <w:sz w:val="22"/>
                <w:szCs w:val="22"/>
                <w:lang w:val="en-PH" w:eastAsia="en-PH"/>
              </w:rPr>
            </w:pPr>
          </w:p>
        </w:tc>
      </w:tr>
      <w:tr>
        <w:trPr>
          <w:trHeight w:val="57"/>
          <w:jc w:val="center"/>
        </w:trPr>
        <w:tc>
          <w:tcPr>
            <w:tcW w:w="3713" w:type="dxa"/>
            <w:tcBorders>
              <w:top w:val="nil"/>
              <w:left w:val="single" w:sz="4" w:space="0" w:color="auto"/>
              <w:bottom w:val="single" w:sz="4" w:space="0" w:color="auto"/>
              <w:right w:val="single" w:sz="4" w:space="0" w:color="auto"/>
            </w:tcBorders>
            <w:shd w:val="clear" w:color="auto" w:fill="auto"/>
            <w:noWrap/>
            <w:vAlign w:val="bottom"/>
            <w:hideMark/>
          </w:tcPr>
          <w:p>
            <w:pPr>
              <w:spacing w:line="276" w:lineRule="auto"/>
              <w:rPr>
                <w:b/>
                <w:color w:val="000000"/>
                <w:sz w:val="22"/>
                <w:szCs w:val="22"/>
                <w:lang w:val="en-PH" w:eastAsia="en-PH"/>
              </w:rPr>
            </w:pPr>
            <w:r>
              <w:rPr>
                <w:b/>
                <w:color w:val="000000"/>
                <w:sz w:val="22"/>
                <w:szCs w:val="22"/>
                <w:lang w:val="en-PH" w:eastAsia="en-PH"/>
              </w:rPr>
              <w:t>TOTAL</w:t>
            </w:r>
          </w:p>
        </w:tc>
        <w:tc>
          <w:tcPr>
            <w:tcW w:w="1680" w:type="dxa"/>
            <w:tcBorders>
              <w:top w:val="nil"/>
              <w:left w:val="nil"/>
              <w:bottom w:val="single" w:sz="4" w:space="0" w:color="auto"/>
              <w:right w:val="single" w:sz="4" w:space="0" w:color="auto"/>
            </w:tcBorders>
            <w:shd w:val="clear" w:color="auto" w:fill="auto"/>
            <w:noWrap/>
            <w:vAlign w:val="bottom"/>
            <w:hideMark/>
          </w:tcPr>
          <w:p>
            <w:pPr>
              <w:spacing w:line="276" w:lineRule="auto"/>
              <w:jc w:val="right"/>
              <w:rPr>
                <w:b/>
                <w:color w:val="000000"/>
                <w:sz w:val="22"/>
                <w:szCs w:val="22"/>
                <w:lang w:val="en-PH" w:eastAsia="en-PH"/>
              </w:rPr>
            </w:pPr>
            <w:r>
              <w:rPr>
                <w:b/>
                <w:color w:val="000000"/>
                <w:sz w:val="22"/>
                <w:szCs w:val="22"/>
                <w:lang w:val="en-PH" w:eastAsia="en-PH"/>
              </w:rPr>
              <w:t xml:space="preserve">P5,080,330.04 </w:t>
            </w:r>
          </w:p>
        </w:tc>
        <w:tc>
          <w:tcPr>
            <w:tcW w:w="1680" w:type="dxa"/>
            <w:tcBorders>
              <w:top w:val="nil"/>
              <w:left w:val="nil"/>
              <w:bottom w:val="single" w:sz="4" w:space="0" w:color="auto"/>
              <w:right w:val="single" w:sz="4" w:space="0" w:color="auto"/>
            </w:tcBorders>
            <w:shd w:val="clear" w:color="auto" w:fill="auto"/>
            <w:noWrap/>
            <w:hideMark/>
          </w:tcPr>
          <w:p>
            <w:pPr>
              <w:spacing w:line="276" w:lineRule="auto"/>
              <w:jc w:val="center"/>
              <w:rPr>
                <w:b/>
                <w:sz w:val="22"/>
                <w:szCs w:val="22"/>
                <w:lang w:val="en-PH" w:eastAsia="en-PH"/>
              </w:rPr>
            </w:pPr>
            <w:r>
              <w:rPr>
                <w:b/>
                <w:sz w:val="22"/>
                <w:szCs w:val="22"/>
                <w:lang w:val="en-PH" w:eastAsia="en-PH"/>
              </w:rPr>
              <w:t>-P0.00-</w:t>
            </w:r>
          </w:p>
        </w:tc>
        <w:tc>
          <w:tcPr>
            <w:tcW w:w="1680" w:type="dxa"/>
            <w:tcBorders>
              <w:top w:val="nil"/>
              <w:left w:val="nil"/>
              <w:bottom w:val="single" w:sz="4" w:space="0" w:color="auto"/>
              <w:right w:val="single" w:sz="4" w:space="0" w:color="auto"/>
            </w:tcBorders>
            <w:shd w:val="clear" w:color="auto" w:fill="auto"/>
            <w:noWrap/>
            <w:vAlign w:val="bottom"/>
            <w:hideMark/>
          </w:tcPr>
          <w:p>
            <w:pPr>
              <w:spacing w:line="276" w:lineRule="auto"/>
              <w:jc w:val="center"/>
              <w:rPr>
                <w:b/>
                <w:color w:val="000000"/>
                <w:sz w:val="22"/>
                <w:szCs w:val="22"/>
                <w:lang w:val="en-PH" w:eastAsia="en-PH"/>
              </w:rPr>
            </w:pPr>
            <w:r>
              <w:rPr>
                <w:b/>
                <w:color w:val="000000"/>
                <w:sz w:val="22"/>
                <w:szCs w:val="22"/>
                <w:lang w:val="en-PH" w:eastAsia="en-PH"/>
              </w:rPr>
              <w:t>48</w:t>
            </w:r>
          </w:p>
        </w:tc>
      </w:tr>
    </w:tbl>
    <w:p>
      <w:pPr>
        <w:spacing w:line="276" w:lineRule="auto"/>
        <w:ind w:right="-86"/>
        <w:jc w:val="both"/>
        <w:rPr>
          <w:lang w:eastAsia="en-PH"/>
        </w:rPr>
      </w:pPr>
      <w:r>
        <w:rPr>
          <w:lang w:eastAsia="en-PH"/>
        </w:rPr>
        <w:t xml:space="preserve">*See </w:t>
      </w:r>
      <w:r>
        <w:rPr>
          <w:i/>
          <w:lang w:eastAsia="en-PH"/>
        </w:rPr>
        <w:t>Annex S</w:t>
      </w:r>
      <w:r>
        <w:rPr>
          <w:lang w:eastAsia="en-PH"/>
        </w:rPr>
        <w:t xml:space="preserve"> for the list of the projects</w:t>
      </w:r>
    </w:p>
    <w:p>
      <w:pPr>
        <w:spacing w:line="276" w:lineRule="auto"/>
        <w:contextualSpacing/>
        <w:jc w:val="both"/>
        <w:rPr>
          <w:spacing w:val="-1"/>
          <w:lang w:eastAsia="en-PH"/>
        </w:rPr>
      </w:pPr>
    </w:p>
    <w:p>
      <w:pPr>
        <w:autoSpaceDE w:val="0"/>
        <w:autoSpaceDN w:val="0"/>
        <w:adjustRightInd w:val="0"/>
        <w:spacing w:line="276" w:lineRule="auto"/>
        <w:contextualSpacing/>
        <w:jc w:val="both"/>
        <w:rPr>
          <w:lang w:eastAsia="en-PH"/>
        </w:rPr>
      </w:pPr>
      <w:r>
        <w:rPr>
          <w:lang w:val="en-PH" w:eastAsia="en-PH"/>
        </w:rPr>
        <w:t>As shown in the table above, no obligations were incurred during CY 2022 for the balances of 48 PPAs with continuing allotments since CY2017 to CY2021. T</w:t>
      </w:r>
      <w:r>
        <w:rPr>
          <w:lang w:eastAsia="en-PH"/>
        </w:rPr>
        <w:t xml:space="preserve">he unexpended allotment could have been used to finance the PPAs that were not appropriated due to unavailability of fund source. </w:t>
      </w:r>
      <w:r>
        <w:rPr>
          <w:lang w:val="en-PH" w:eastAsia="en-PH"/>
        </w:rPr>
        <w:t>As result, the optimal value of the government fund was not enjoyed due the decrease in the value of money as time passes.</w:t>
      </w:r>
    </w:p>
    <w:p>
      <w:pPr>
        <w:spacing w:line="276" w:lineRule="auto"/>
      </w:pPr>
    </w:p>
    <w:p>
      <w:pPr>
        <w:autoSpaceDE w:val="0"/>
        <w:autoSpaceDN w:val="0"/>
        <w:adjustRightInd w:val="0"/>
        <w:spacing w:line="276" w:lineRule="auto"/>
        <w:contextualSpacing/>
        <w:jc w:val="both"/>
        <w:rPr>
          <w:lang w:eastAsia="en-PH"/>
        </w:rPr>
      </w:pPr>
      <w:r>
        <w:rPr>
          <w:lang w:val="en-PH" w:eastAsia="en-PH"/>
        </w:rPr>
        <w:t xml:space="preserve">The underutilization of the allotted funds for these projects deprives the constituents and the local government of the benefits that could have been derived had these projects have been implemented. It </w:t>
      </w:r>
      <w:proofErr w:type="gramStart"/>
      <w:r>
        <w:rPr>
          <w:lang w:val="en-PH" w:eastAsia="en-PH"/>
        </w:rPr>
        <w:t>affect</w:t>
      </w:r>
      <w:proofErr w:type="gramEnd"/>
      <w:r>
        <w:rPr>
          <w:lang w:val="en-PH" w:eastAsia="en-PH"/>
        </w:rPr>
        <w:t xml:space="preserve"> the efficiency and economy in the achievement of the City’s short-term targets and major final outputs, particularly, on</w:t>
      </w:r>
      <w:r>
        <w:rPr>
          <w:spacing w:val="14"/>
          <w:lang w:eastAsia="en-PH"/>
        </w:rPr>
        <w:t xml:space="preserve"> the </w:t>
      </w:r>
      <w:r>
        <w:rPr>
          <w:lang w:eastAsia="en-PH"/>
        </w:rPr>
        <w:t xml:space="preserve">attainment of </w:t>
      </w:r>
      <w:r>
        <w:rPr>
          <w:spacing w:val="-1"/>
          <w:lang w:eastAsia="en-PH"/>
        </w:rPr>
        <w:t xml:space="preserve">desirable </w:t>
      </w:r>
      <w:r>
        <w:rPr>
          <w:lang w:eastAsia="en-PH"/>
        </w:rPr>
        <w:t xml:space="preserve">socio-economic </w:t>
      </w:r>
      <w:r>
        <w:rPr>
          <w:spacing w:val="-1"/>
          <w:lang w:eastAsia="en-PH"/>
        </w:rPr>
        <w:t xml:space="preserve">development and </w:t>
      </w:r>
      <w:r>
        <w:rPr>
          <w:lang w:eastAsia="en-PH"/>
        </w:rPr>
        <w:t xml:space="preserve">the </w:t>
      </w:r>
      <w:r>
        <w:rPr>
          <w:spacing w:val="-1"/>
          <w:lang w:eastAsia="en-PH"/>
        </w:rPr>
        <w:t xml:space="preserve">delivery of </w:t>
      </w:r>
      <w:r>
        <w:rPr>
          <w:lang w:eastAsia="en-PH"/>
        </w:rPr>
        <w:t xml:space="preserve">basic </w:t>
      </w:r>
      <w:r>
        <w:rPr>
          <w:spacing w:val="-1"/>
          <w:lang w:eastAsia="en-PH"/>
        </w:rPr>
        <w:t>services</w:t>
      </w:r>
      <w:r>
        <w:rPr>
          <w:lang w:eastAsia="en-PH"/>
        </w:rPr>
        <w:t xml:space="preserve"> to the general public</w:t>
      </w:r>
      <w:r>
        <w:rPr>
          <w:lang w:val="en-PH" w:eastAsia="en-PH"/>
        </w:rPr>
        <w:t xml:space="preserve">. Accordingly, </w:t>
      </w:r>
      <w:r>
        <w:rPr>
          <w:lang w:eastAsia="en-PH"/>
        </w:rPr>
        <w:t>it could also affect the attainment of the long-term goals of the City.</w:t>
      </w:r>
    </w:p>
    <w:p>
      <w:pPr>
        <w:autoSpaceDE w:val="0"/>
        <w:autoSpaceDN w:val="0"/>
        <w:adjustRightInd w:val="0"/>
        <w:spacing w:line="276" w:lineRule="auto"/>
        <w:ind w:firstLine="720"/>
        <w:contextualSpacing/>
        <w:jc w:val="both"/>
        <w:rPr>
          <w:bCs/>
          <w:lang w:val="en-PH" w:eastAsia="en-PH"/>
        </w:rPr>
      </w:pPr>
      <w:r>
        <w:rPr>
          <w:lang w:eastAsia="en-PH"/>
        </w:rPr>
        <w:tab/>
      </w:r>
    </w:p>
    <w:p>
      <w:pPr>
        <w:autoSpaceDE w:val="0"/>
        <w:autoSpaceDN w:val="0"/>
        <w:adjustRightInd w:val="0"/>
        <w:spacing w:line="276" w:lineRule="auto"/>
        <w:contextualSpacing/>
        <w:jc w:val="both"/>
        <w:rPr>
          <w:lang w:val="en-PH" w:eastAsia="en-PH"/>
        </w:rPr>
      </w:pPr>
      <w:r>
        <w:rPr>
          <w:bCs/>
          <w:lang w:val="en-PH" w:eastAsia="en-PH"/>
        </w:rPr>
        <w:t xml:space="preserve">Further, </w:t>
      </w:r>
      <w:r>
        <w:rPr>
          <w:lang w:val="en-PH" w:eastAsia="en-PH"/>
        </w:rPr>
        <w:t xml:space="preserve">cost estimates of the projects are based on of prevailing prices in the market during the year it was identified as priority for implementation. Thus, the projects should be implemented as soon as cash becomes available due to price escalation in the later years; otherwise, the estimated budget set for each project may not be enough resulting to the reluctance of suppliers/contractors to bid which in turns delay the procurement process. </w:t>
      </w:r>
    </w:p>
    <w:p>
      <w:pPr>
        <w:spacing w:line="276" w:lineRule="auto"/>
        <w:ind w:firstLine="720"/>
        <w:jc w:val="both"/>
        <w:rPr>
          <w:i/>
        </w:rPr>
      </w:pPr>
    </w:p>
    <w:p>
      <w:pPr>
        <w:spacing w:line="276" w:lineRule="auto"/>
        <w:jc w:val="both"/>
      </w:pPr>
      <w:r>
        <w:t xml:space="preserve">It is worthy to note that these projects are considered as priority projects of the City Government as they included in the AIP. The non-utilization of the fund due to delays and non-implementation of the projects within its intended period of completion is in contravention of the fund’s objective for optimum utilization affecting the achievement of the desired socio-economic development and environmental outcomes essential to the promotion of the general welfare of the people. Thus, the funds expected timeliness and responsiveness to the needs of the people has been diminished, because the targeted </w:t>
      </w:r>
      <w:r>
        <w:lastRenderedPageBreak/>
        <w:t>beneficiaries did not enjoy the intended benefits and/or services that they could have derived therefrom.</w:t>
      </w:r>
    </w:p>
    <w:p>
      <w:pPr>
        <w:autoSpaceDE w:val="0"/>
        <w:autoSpaceDN w:val="0"/>
        <w:adjustRightInd w:val="0"/>
        <w:spacing w:line="276" w:lineRule="auto"/>
        <w:contextualSpacing/>
        <w:jc w:val="both"/>
        <w:rPr>
          <w:lang w:val="en-PH" w:eastAsia="en-PH"/>
        </w:rPr>
      </w:pPr>
    </w:p>
    <w:p>
      <w:pPr>
        <w:autoSpaceDE w:val="0"/>
        <w:autoSpaceDN w:val="0"/>
        <w:adjustRightInd w:val="0"/>
        <w:spacing w:line="276" w:lineRule="auto"/>
        <w:contextualSpacing/>
        <w:jc w:val="both"/>
        <w:rPr>
          <w:lang w:val="en-PH" w:eastAsia="en-PH"/>
        </w:rPr>
      </w:pPr>
      <w:r>
        <w:t xml:space="preserve">Finally, </w:t>
      </w:r>
      <w:r>
        <w:rPr>
          <w:lang w:val="en-PH" w:eastAsia="en-PH"/>
        </w:rPr>
        <w:t>efficient and economic utilization of government funds will also lessen the necessity to incur loans from financial institutions to fund the City’s priority projects. Higher spending on the part of government helps in the stimulation of the local economy which suffered due to COVID-19 pandemic.</w:t>
      </w:r>
    </w:p>
    <w:p>
      <w:pPr>
        <w:spacing w:line="276" w:lineRule="auto"/>
      </w:pPr>
    </w:p>
    <w:p>
      <w:pPr>
        <w:spacing w:line="276" w:lineRule="auto"/>
        <w:rPr>
          <w:b/>
        </w:rPr>
      </w:pPr>
      <w:r>
        <w:rPr>
          <w:b/>
        </w:rPr>
        <w:t>Recommendations:</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We recommended the City Mayor to strengthen the preliminary engineering activities for the identified priority projects before its inclusion in the AIP/Annual Budget by hiring additional technical personnel to undertake the detailed engineering activities, facilitate the field survey and inspection and the preparation of program of works and design plans to ensure that the infrastructure projects are procurement-and-implementation ready by the time the budget become operative.</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Also, we recommended to require the implementing offices to fast track the completion of all on-going projects under 20% Development Fund as at December 31, 2022 and impose liquidating damages and applicable legal actions against contractors with incurred significant delays.</w:t>
      </w:r>
    </w:p>
    <w:p>
      <w:pPr>
        <w:autoSpaceDE w:val="0"/>
        <w:autoSpaceDN w:val="0"/>
        <w:adjustRightInd w:val="0"/>
        <w:spacing w:line="276" w:lineRule="auto"/>
        <w:jc w:val="both"/>
        <w:rPr>
          <w:rFonts w:eastAsia="Calibri"/>
          <w:b/>
          <w:bCs/>
        </w:rPr>
      </w:pPr>
    </w:p>
    <w:p>
      <w:pPr>
        <w:autoSpaceDE w:val="0"/>
        <w:autoSpaceDN w:val="0"/>
        <w:adjustRightInd w:val="0"/>
        <w:spacing w:line="276" w:lineRule="auto"/>
        <w:jc w:val="both"/>
        <w:rPr>
          <w:rFonts w:eastAsia="Calibri"/>
          <w:b/>
        </w:rPr>
      </w:pPr>
      <w:r>
        <w:rPr>
          <w:rFonts w:eastAsia="Calibri"/>
          <w:bCs/>
        </w:rPr>
        <w:t>Finally, we recommended the City Mayor to direct the:</w:t>
      </w:r>
    </w:p>
    <w:p>
      <w:pPr>
        <w:autoSpaceDE w:val="0"/>
        <w:autoSpaceDN w:val="0"/>
        <w:adjustRightInd w:val="0"/>
        <w:spacing w:line="276" w:lineRule="auto"/>
        <w:ind w:firstLine="720"/>
        <w:jc w:val="both"/>
        <w:rPr>
          <w:rFonts w:eastAsia="Calibri"/>
          <w:b/>
        </w:rPr>
      </w:pPr>
    </w:p>
    <w:p>
      <w:pPr>
        <w:numPr>
          <w:ilvl w:val="0"/>
          <w:numId w:val="56"/>
        </w:numPr>
        <w:autoSpaceDE w:val="0"/>
        <w:autoSpaceDN w:val="0"/>
        <w:adjustRightInd w:val="0"/>
        <w:spacing w:line="276" w:lineRule="auto"/>
        <w:ind w:left="360"/>
        <w:contextualSpacing/>
        <w:jc w:val="both"/>
        <w:rPr>
          <w:rFonts w:eastAsia="Calibri"/>
          <w:bCs/>
        </w:rPr>
      </w:pPr>
      <w:r>
        <w:rPr>
          <w:rFonts w:eastAsia="Calibri"/>
          <w:bCs/>
        </w:rPr>
        <w:t>City Housing Section to conduct initial screening of the intents from landowners and identify the prospective properties for the Land Banking projects prior to its integration in the AIP/preparation of the budget under the 20% Development Fund to minimize the selection process and fast track the acquisition of lot for the housing projects;</w:t>
      </w:r>
    </w:p>
    <w:p>
      <w:pPr>
        <w:autoSpaceDE w:val="0"/>
        <w:autoSpaceDN w:val="0"/>
        <w:adjustRightInd w:val="0"/>
        <w:spacing w:line="276" w:lineRule="auto"/>
        <w:ind w:left="360"/>
        <w:contextualSpacing/>
        <w:jc w:val="both"/>
        <w:rPr>
          <w:rFonts w:eastAsia="Calibri"/>
          <w:bCs/>
        </w:rPr>
      </w:pPr>
      <w:r>
        <w:rPr>
          <w:rFonts w:eastAsia="Calibri"/>
          <w:bCs/>
        </w:rPr>
        <w:t xml:space="preserve"> </w:t>
      </w:r>
    </w:p>
    <w:p>
      <w:pPr>
        <w:numPr>
          <w:ilvl w:val="0"/>
          <w:numId w:val="56"/>
        </w:numPr>
        <w:autoSpaceDE w:val="0"/>
        <w:autoSpaceDN w:val="0"/>
        <w:adjustRightInd w:val="0"/>
        <w:spacing w:line="276" w:lineRule="auto"/>
        <w:ind w:left="360"/>
        <w:contextualSpacing/>
        <w:jc w:val="both"/>
        <w:rPr>
          <w:rFonts w:eastAsia="Calibri"/>
          <w:bCs/>
        </w:rPr>
      </w:pPr>
      <w:r>
        <w:rPr>
          <w:lang w:val="en-GB" w:eastAsia="en-GB"/>
        </w:rPr>
        <w:t>Implementing Offices concerned to</w:t>
      </w:r>
      <w:r>
        <w:rPr>
          <w:bCs/>
          <w:lang w:val="en-PH" w:eastAsia="en-GB"/>
        </w:rPr>
        <w:t xml:space="preserve"> Conduct</w:t>
      </w:r>
      <w:r>
        <w:rPr>
          <w:lang w:val="en-GB" w:eastAsia="en-GB"/>
        </w:rPr>
        <w:t xml:space="preserve"> evaluation on the unimplemented projects to determine whether it is still favourable on the part of the city government to continue the projects, otherwise, consider immediate realignment or reversion to the unappropriated surplus for re-appropriation subject to budgetary rules;</w:t>
      </w:r>
    </w:p>
    <w:p>
      <w:pPr>
        <w:autoSpaceDE w:val="0"/>
        <w:autoSpaceDN w:val="0"/>
        <w:adjustRightInd w:val="0"/>
        <w:spacing w:line="276" w:lineRule="auto"/>
        <w:ind w:left="360"/>
        <w:contextualSpacing/>
        <w:jc w:val="both"/>
        <w:rPr>
          <w:rFonts w:eastAsia="Calibri"/>
          <w:bCs/>
        </w:rPr>
      </w:pPr>
    </w:p>
    <w:p>
      <w:pPr>
        <w:numPr>
          <w:ilvl w:val="0"/>
          <w:numId w:val="56"/>
        </w:numPr>
        <w:autoSpaceDE w:val="0"/>
        <w:autoSpaceDN w:val="0"/>
        <w:adjustRightInd w:val="0"/>
        <w:spacing w:line="276" w:lineRule="auto"/>
        <w:ind w:left="360"/>
        <w:contextualSpacing/>
        <w:jc w:val="both"/>
        <w:rPr>
          <w:rFonts w:eastAsia="Calibri"/>
          <w:bCs/>
        </w:rPr>
      </w:pPr>
      <w:r>
        <w:rPr>
          <w:bCs/>
          <w:lang w:val="en-PH" w:eastAsia="en-GB"/>
        </w:rPr>
        <w:t xml:space="preserve">City Budget Office to </w:t>
      </w:r>
      <w:r>
        <w:rPr>
          <w:lang w:val="en-GB" w:eastAsia="en-GB"/>
        </w:rPr>
        <w:t>close and/or revert the unexpended continuing allotments of the completed projects to the unappropriated surplus pursuant to Section 322 of RA No. 7160; and,</w:t>
      </w:r>
    </w:p>
    <w:p>
      <w:pPr>
        <w:autoSpaceDE w:val="0"/>
        <w:autoSpaceDN w:val="0"/>
        <w:adjustRightInd w:val="0"/>
        <w:spacing w:line="276" w:lineRule="auto"/>
        <w:ind w:left="360"/>
        <w:contextualSpacing/>
        <w:jc w:val="both"/>
        <w:rPr>
          <w:rFonts w:eastAsia="Calibri"/>
          <w:bCs/>
        </w:rPr>
      </w:pPr>
    </w:p>
    <w:p>
      <w:pPr>
        <w:numPr>
          <w:ilvl w:val="0"/>
          <w:numId w:val="56"/>
        </w:numPr>
        <w:autoSpaceDE w:val="0"/>
        <w:autoSpaceDN w:val="0"/>
        <w:adjustRightInd w:val="0"/>
        <w:spacing w:line="276" w:lineRule="auto"/>
        <w:ind w:left="360"/>
        <w:contextualSpacing/>
        <w:jc w:val="both"/>
        <w:rPr>
          <w:rFonts w:eastAsia="Calibri"/>
          <w:bCs/>
        </w:rPr>
      </w:pPr>
      <w:r>
        <w:rPr>
          <w:lang w:val="en-GB" w:eastAsia="en-GB"/>
        </w:rPr>
        <w:lastRenderedPageBreak/>
        <w:t>Require the City Planning and Development Office</w:t>
      </w:r>
      <w:r>
        <w:rPr>
          <w:bCs/>
          <w:lang w:val="en-PH" w:eastAsia="en-GB"/>
        </w:rPr>
        <w:t xml:space="preserve"> to closely monitor and </w:t>
      </w:r>
      <w:r>
        <w:rPr>
          <w:rFonts w:eastAsia="Calibri"/>
          <w:bCs/>
        </w:rPr>
        <w:t xml:space="preserve">evaluate the status of the implementation of projects to facilitate the imposition of the proper course of action in the incurrence of delayed/unimplemented projects and </w:t>
      </w:r>
      <w:r>
        <w:rPr>
          <w:lang w:val="en-PH" w:eastAsia="en-GB"/>
        </w:rPr>
        <w:t>to ensure timely completion thereof.</w:t>
      </w:r>
    </w:p>
    <w:p>
      <w:pPr>
        <w:spacing w:line="276" w:lineRule="auto"/>
        <w:jc w:val="both"/>
        <w:rPr>
          <w:highlight w:val="lightGray"/>
        </w:rPr>
      </w:pPr>
      <w:r>
        <w:rPr>
          <w:highlight w:val="lightGray"/>
        </w:rPr>
        <w:t xml:space="preserve">                                                                            </w:t>
      </w:r>
    </w:p>
    <w:p>
      <w:pPr>
        <w:spacing w:line="276" w:lineRule="auto"/>
        <w:jc w:val="both"/>
        <w:rPr>
          <w:b/>
          <w:bCs/>
        </w:rPr>
      </w:pPr>
      <w:r>
        <w:rPr>
          <w:b/>
          <w:bCs/>
        </w:rPr>
        <w:t>Management’s Comments:</w:t>
      </w:r>
    </w:p>
    <w:p>
      <w:pPr>
        <w:spacing w:line="276" w:lineRule="auto"/>
        <w:jc w:val="both"/>
      </w:pPr>
    </w:p>
    <w:p>
      <w:pPr>
        <w:spacing w:line="276" w:lineRule="auto"/>
        <w:contextualSpacing/>
        <w:jc w:val="both"/>
        <w:rPr>
          <w:bCs/>
          <w:lang w:val="en-PH" w:eastAsia="en-GB"/>
        </w:rPr>
      </w:pPr>
      <w:r>
        <w:rPr>
          <w:bCs/>
          <w:lang w:val="en-PH" w:eastAsia="en-GB"/>
        </w:rPr>
        <w:t xml:space="preserve">The Management acknowledged the deficiencies and committed to comply with the audit recommendations. </w:t>
      </w:r>
    </w:p>
    <w:p>
      <w:pPr>
        <w:spacing w:line="276" w:lineRule="auto"/>
        <w:contextualSpacing/>
        <w:jc w:val="both"/>
        <w:rPr>
          <w:bCs/>
          <w:lang w:val="en-PH" w:eastAsia="en-GB"/>
        </w:rPr>
      </w:pPr>
    </w:p>
    <w:p>
      <w:pPr>
        <w:spacing w:line="276" w:lineRule="auto"/>
        <w:jc w:val="both"/>
      </w:pPr>
      <w:r>
        <w:t>CEO gave an update and clarification on the current status of nine (9) unimplemented projects under their office as follows:</w:t>
      </w:r>
    </w:p>
    <w:p>
      <w:pPr>
        <w:spacing w:line="276" w:lineRule="auto"/>
        <w:jc w:val="both"/>
      </w:pPr>
    </w:p>
    <w:tbl>
      <w:tblPr>
        <w:tblStyle w:val="TableGrid1"/>
        <w:tblW w:w="4954" w:type="pct"/>
        <w:jc w:val="center"/>
        <w:tblLook w:val="04A0" w:firstRow="1" w:lastRow="0" w:firstColumn="1" w:lastColumn="0" w:noHBand="0" w:noVBand="1"/>
      </w:tblPr>
      <w:tblGrid>
        <w:gridCol w:w="3586"/>
        <w:gridCol w:w="1632"/>
        <w:gridCol w:w="3557"/>
      </w:tblGrid>
      <w:tr>
        <w:trPr>
          <w:tblHeader/>
          <w:jc w:val="center"/>
        </w:trPr>
        <w:tc>
          <w:tcPr>
            <w:tcW w:w="2043" w:type="pct"/>
            <w:shd w:val="clear" w:color="auto" w:fill="BFBFBF"/>
          </w:tcPr>
          <w:p>
            <w:pPr>
              <w:spacing w:line="276" w:lineRule="auto"/>
              <w:jc w:val="center"/>
              <w:rPr>
                <w:b/>
                <w:sz w:val="22"/>
                <w:szCs w:val="22"/>
                <w:lang w:val="en-GB" w:eastAsia="en-GB"/>
              </w:rPr>
            </w:pPr>
            <w:r>
              <w:rPr>
                <w:b/>
                <w:sz w:val="22"/>
                <w:szCs w:val="22"/>
                <w:lang w:val="en-GB" w:eastAsia="en-GB"/>
              </w:rPr>
              <w:t>PPA</w:t>
            </w:r>
          </w:p>
        </w:tc>
        <w:tc>
          <w:tcPr>
            <w:tcW w:w="930" w:type="pct"/>
            <w:shd w:val="clear" w:color="auto" w:fill="BFBFBF"/>
          </w:tcPr>
          <w:p>
            <w:pPr>
              <w:spacing w:line="276" w:lineRule="auto"/>
              <w:jc w:val="center"/>
              <w:rPr>
                <w:b/>
                <w:sz w:val="22"/>
                <w:szCs w:val="22"/>
                <w:lang w:val="en-GB" w:eastAsia="en-GB"/>
              </w:rPr>
            </w:pPr>
            <w:r>
              <w:rPr>
                <w:b/>
                <w:sz w:val="22"/>
                <w:szCs w:val="22"/>
                <w:lang w:val="en-GB" w:eastAsia="en-GB"/>
              </w:rPr>
              <w:t>Appropriation</w:t>
            </w:r>
          </w:p>
        </w:tc>
        <w:tc>
          <w:tcPr>
            <w:tcW w:w="2026" w:type="pct"/>
            <w:shd w:val="clear" w:color="auto" w:fill="BFBFBF"/>
          </w:tcPr>
          <w:p>
            <w:pPr>
              <w:spacing w:line="276" w:lineRule="auto"/>
              <w:jc w:val="center"/>
              <w:rPr>
                <w:b/>
                <w:sz w:val="22"/>
                <w:szCs w:val="22"/>
                <w:lang w:val="en-GB" w:eastAsia="en-GB"/>
              </w:rPr>
            </w:pPr>
            <w:r>
              <w:rPr>
                <w:b/>
                <w:sz w:val="22"/>
                <w:szCs w:val="22"/>
                <w:lang w:val="en-GB" w:eastAsia="en-GB"/>
              </w:rPr>
              <w:t>Remarks</w:t>
            </w:r>
          </w:p>
        </w:tc>
      </w:tr>
      <w:tr>
        <w:trPr>
          <w:jc w:val="center"/>
        </w:trPr>
        <w:tc>
          <w:tcPr>
            <w:tcW w:w="5000" w:type="pct"/>
            <w:gridSpan w:val="3"/>
            <w:shd w:val="clear" w:color="auto" w:fill="BDD6EE" w:themeFill="accent1" w:themeFillTint="66"/>
          </w:tcPr>
          <w:p>
            <w:pPr>
              <w:spacing w:line="276" w:lineRule="auto"/>
              <w:rPr>
                <w:b/>
                <w:sz w:val="22"/>
                <w:szCs w:val="22"/>
                <w:lang w:val="en-GB" w:eastAsia="en-GB"/>
              </w:rPr>
            </w:pPr>
            <w:r>
              <w:rPr>
                <w:b/>
                <w:sz w:val="22"/>
                <w:szCs w:val="22"/>
                <w:lang w:val="en-GB" w:eastAsia="en-GB"/>
              </w:rPr>
              <w:t>Current Appropriation (2022)</w:t>
            </w:r>
          </w:p>
        </w:tc>
      </w:tr>
      <w:tr>
        <w:trPr>
          <w:jc w:val="center"/>
        </w:trPr>
        <w:tc>
          <w:tcPr>
            <w:tcW w:w="2043" w:type="pct"/>
          </w:tcPr>
          <w:p>
            <w:pPr>
              <w:spacing w:line="276" w:lineRule="auto"/>
              <w:rPr>
                <w:sz w:val="22"/>
                <w:szCs w:val="22"/>
                <w:lang w:val="en-GB" w:eastAsia="en-GB"/>
              </w:rPr>
            </w:pPr>
            <w:r>
              <w:rPr>
                <w:sz w:val="22"/>
                <w:szCs w:val="22"/>
                <w:lang w:val="en-GB" w:eastAsia="en-GB"/>
              </w:rPr>
              <w:t>Construction of Drainage, Citywide</w:t>
            </w:r>
          </w:p>
        </w:tc>
        <w:tc>
          <w:tcPr>
            <w:tcW w:w="930" w:type="pct"/>
          </w:tcPr>
          <w:p>
            <w:pPr>
              <w:spacing w:line="276" w:lineRule="auto"/>
              <w:jc w:val="right"/>
              <w:rPr>
                <w:sz w:val="22"/>
                <w:szCs w:val="22"/>
                <w:lang w:val="en-GB" w:eastAsia="en-GB"/>
              </w:rPr>
            </w:pPr>
            <w:r>
              <w:rPr>
                <w:sz w:val="22"/>
                <w:szCs w:val="22"/>
                <w:lang w:val="en-GB" w:eastAsia="en-GB"/>
              </w:rPr>
              <w:t>50,000,000.00</w:t>
            </w:r>
          </w:p>
        </w:tc>
        <w:tc>
          <w:tcPr>
            <w:tcW w:w="2026" w:type="pct"/>
          </w:tcPr>
          <w:p>
            <w:pPr>
              <w:spacing w:line="276" w:lineRule="auto"/>
              <w:rPr>
                <w:sz w:val="22"/>
                <w:szCs w:val="22"/>
                <w:lang w:val="en-GB" w:eastAsia="en-GB"/>
              </w:rPr>
            </w:pPr>
            <w:r>
              <w:rPr>
                <w:sz w:val="22"/>
                <w:szCs w:val="22"/>
                <w:lang w:val="en-GB" w:eastAsia="en-GB"/>
              </w:rPr>
              <w:t>There are two POW for this project:</w:t>
            </w:r>
          </w:p>
          <w:p>
            <w:pPr>
              <w:spacing w:line="276" w:lineRule="auto"/>
              <w:rPr>
                <w:sz w:val="22"/>
                <w:szCs w:val="22"/>
                <w:lang w:val="en-GB" w:eastAsia="en-GB"/>
              </w:rPr>
            </w:pPr>
            <w:r>
              <w:rPr>
                <w:sz w:val="22"/>
                <w:szCs w:val="22"/>
                <w:lang w:val="en-GB" w:eastAsia="en-GB"/>
              </w:rPr>
              <w:t>P11M – on-going; NTP 01/04/2023</w:t>
            </w:r>
          </w:p>
          <w:p>
            <w:pPr>
              <w:spacing w:line="276" w:lineRule="auto"/>
              <w:rPr>
                <w:sz w:val="22"/>
                <w:szCs w:val="22"/>
                <w:lang w:val="en-GB" w:eastAsia="en-GB"/>
              </w:rPr>
            </w:pPr>
            <w:r>
              <w:rPr>
                <w:sz w:val="22"/>
                <w:szCs w:val="22"/>
                <w:lang w:val="en-GB" w:eastAsia="en-GB"/>
              </w:rPr>
              <w:t>P39M – bid under post-qualification</w:t>
            </w:r>
          </w:p>
        </w:tc>
      </w:tr>
      <w:tr>
        <w:trPr>
          <w:jc w:val="center"/>
        </w:trPr>
        <w:tc>
          <w:tcPr>
            <w:tcW w:w="2043" w:type="pct"/>
          </w:tcPr>
          <w:p>
            <w:pPr>
              <w:spacing w:line="276" w:lineRule="auto"/>
              <w:rPr>
                <w:sz w:val="22"/>
                <w:szCs w:val="22"/>
                <w:lang w:val="en-GB" w:eastAsia="en-GB"/>
              </w:rPr>
            </w:pPr>
            <w:r>
              <w:rPr>
                <w:sz w:val="22"/>
                <w:szCs w:val="22"/>
                <w:lang w:val="en-GB" w:eastAsia="en-GB"/>
              </w:rPr>
              <w:t>Upgrading of Local Access Road, Citywide</w:t>
            </w:r>
          </w:p>
        </w:tc>
        <w:tc>
          <w:tcPr>
            <w:tcW w:w="930" w:type="pct"/>
          </w:tcPr>
          <w:p>
            <w:pPr>
              <w:spacing w:line="276" w:lineRule="auto"/>
              <w:jc w:val="right"/>
              <w:rPr>
                <w:sz w:val="22"/>
                <w:szCs w:val="22"/>
                <w:lang w:val="en-GB" w:eastAsia="en-GB"/>
              </w:rPr>
            </w:pPr>
            <w:r>
              <w:rPr>
                <w:sz w:val="22"/>
                <w:szCs w:val="22"/>
                <w:lang w:val="en-GB" w:eastAsia="en-GB"/>
              </w:rPr>
              <w:t>45,000,000.00</w:t>
            </w:r>
          </w:p>
        </w:tc>
        <w:tc>
          <w:tcPr>
            <w:tcW w:w="2026" w:type="pct"/>
          </w:tcPr>
          <w:p>
            <w:pPr>
              <w:spacing w:line="276" w:lineRule="auto"/>
              <w:rPr>
                <w:sz w:val="22"/>
                <w:szCs w:val="22"/>
                <w:lang w:val="en-GB" w:eastAsia="en-GB"/>
              </w:rPr>
            </w:pPr>
            <w:r>
              <w:rPr>
                <w:sz w:val="22"/>
                <w:szCs w:val="22"/>
                <w:lang w:val="en-GB" w:eastAsia="en-GB"/>
              </w:rPr>
              <w:t>Already under the procurement process</w:t>
            </w:r>
          </w:p>
        </w:tc>
      </w:tr>
      <w:tr>
        <w:trPr>
          <w:jc w:val="center"/>
        </w:trPr>
        <w:tc>
          <w:tcPr>
            <w:tcW w:w="2043" w:type="pct"/>
          </w:tcPr>
          <w:p>
            <w:pPr>
              <w:spacing w:line="276" w:lineRule="auto"/>
              <w:rPr>
                <w:sz w:val="22"/>
                <w:szCs w:val="22"/>
                <w:lang w:val="en-GB" w:eastAsia="en-GB"/>
              </w:rPr>
            </w:pPr>
            <w:r>
              <w:rPr>
                <w:sz w:val="22"/>
                <w:szCs w:val="22"/>
                <w:lang w:val="en-GB" w:eastAsia="en-GB"/>
              </w:rPr>
              <w:t xml:space="preserve">Improvement of Multi-Purpose Building, New </w:t>
            </w:r>
            <w:proofErr w:type="spellStart"/>
            <w:r>
              <w:rPr>
                <w:sz w:val="22"/>
                <w:szCs w:val="22"/>
                <w:lang w:val="en-GB" w:eastAsia="en-GB"/>
              </w:rPr>
              <w:t>Malitbog</w:t>
            </w:r>
            <w:proofErr w:type="spellEnd"/>
          </w:p>
        </w:tc>
        <w:tc>
          <w:tcPr>
            <w:tcW w:w="930" w:type="pct"/>
          </w:tcPr>
          <w:p>
            <w:pPr>
              <w:spacing w:line="276" w:lineRule="auto"/>
              <w:jc w:val="right"/>
              <w:rPr>
                <w:sz w:val="22"/>
                <w:szCs w:val="22"/>
                <w:lang w:val="en-GB" w:eastAsia="en-GB"/>
              </w:rPr>
            </w:pPr>
            <w:r>
              <w:rPr>
                <w:sz w:val="22"/>
                <w:szCs w:val="22"/>
                <w:lang w:val="en-GB" w:eastAsia="en-GB"/>
              </w:rPr>
              <w:t>3,000,000.00</w:t>
            </w:r>
          </w:p>
        </w:tc>
        <w:tc>
          <w:tcPr>
            <w:tcW w:w="2026" w:type="pct"/>
          </w:tcPr>
          <w:p>
            <w:pPr>
              <w:spacing w:line="276" w:lineRule="auto"/>
              <w:rPr>
                <w:sz w:val="22"/>
                <w:szCs w:val="22"/>
                <w:lang w:val="en-GB" w:eastAsia="en-GB"/>
              </w:rPr>
            </w:pPr>
            <w:r>
              <w:rPr>
                <w:sz w:val="22"/>
                <w:szCs w:val="22"/>
                <w:lang w:val="en-GB" w:eastAsia="en-GB"/>
              </w:rPr>
              <w:t>Since the budget was enacted on the later part of CY 2022, project is still for POW</w:t>
            </w:r>
          </w:p>
        </w:tc>
      </w:tr>
      <w:tr>
        <w:trPr>
          <w:jc w:val="center"/>
        </w:trPr>
        <w:tc>
          <w:tcPr>
            <w:tcW w:w="2043" w:type="pct"/>
          </w:tcPr>
          <w:p>
            <w:pPr>
              <w:spacing w:line="276" w:lineRule="auto"/>
              <w:jc w:val="both"/>
              <w:rPr>
                <w:b/>
                <w:sz w:val="22"/>
                <w:szCs w:val="22"/>
                <w:lang w:val="en-GB" w:eastAsia="en-GB"/>
              </w:rPr>
            </w:pPr>
            <w:r>
              <w:rPr>
                <w:b/>
                <w:sz w:val="22"/>
                <w:szCs w:val="22"/>
                <w:lang w:val="en-GB" w:eastAsia="en-GB"/>
              </w:rPr>
              <w:t>Sub-Total</w:t>
            </w:r>
          </w:p>
        </w:tc>
        <w:tc>
          <w:tcPr>
            <w:tcW w:w="930" w:type="pct"/>
          </w:tcPr>
          <w:p>
            <w:pPr>
              <w:spacing w:line="276" w:lineRule="auto"/>
              <w:jc w:val="right"/>
              <w:rPr>
                <w:b/>
                <w:sz w:val="22"/>
                <w:szCs w:val="22"/>
                <w:lang w:val="en-GB" w:eastAsia="en-GB"/>
              </w:rPr>
            </w:pPr>
            <w:r>
              <w:rPr>
                <w:b/>
                <w:sz w:val="22"/>
                <w:szCs w:val="22"/>
                <w:lang w:val="en-GB" w:eastAsia="en-GB"/>
              </w:rPr>
              <w:t>98,000,000.00</w:t>
            </w:r>
          </w:p>
        </w:tc>
        <w:tc>
          <w:tcPr>
            <w:tcW w:w="2026" w:type="pct"/>
          </w:tcPr>
          <w:p>
            <w:pPr>
              <w:spacing w:line="276" w:lineRule="auto"/>
              <w:jc w:val="center"/>
              <w:rPr>
                <w:b/>
                <w:sz w:val="22"/>
                <w:szCs w:val="22"/>
                <w:lang w:val="en-GB" w:eastAsia="en-GB"/>
              </w:rPr>
            </w:pPr>
          </w:p>
        </w:tc>
      </w:tr>
      <w:tr>
        <w:trPr>
          <w:trHeight w:val="116"/>
          <w:jc w:val="center"/>
        </w:trPr>
        <w:tc>
          <w:tcPr>
            <w:tcW w:w="5000" w:type="pct"/>
            <w:gridSpan w:val="3"/>
            <w:shd w:val="clear" w:color="auto" w:fill="BDD6EE" w:themeFill="accent1" w:themeFillTint="66"/>
          </w:tcPr>
          <w:p>
            <w:pPr>
              <w:spacing w:line="276" w:lineRule="auto"/>
              <w:rPr>
                <w:b/>
                <w:sz w:val="22"/>
                <w:szCs w:val="22"/>
                <w:lang w:val="en-GB" w:eastAsia="en-GB"/>
              </w:rPr>
            </w:pPr>
            <w:r>
              <w:rPr>
                <w:b/>
                <w:sz w:val="22"/>
                <w:szCs w:val="22"/>
                <w:lang w:val="en-GB" w:eastAsia="en-GB"/>
              </w:rPr>
              <w:t>Continuing Appropriations (Prior Years)</w:t>
            </w:r>
          </w:p>
        </w:tc>
      </w:tr>
      <w:tr>
        <w:trPr>
          <w:jc w:val="center"/>
        </w:trPr>
        <w:tc>
          <w:tcPr>
            <w:tcW w:w="5000" w:type="pct"/>
            <w:gridSpan w:val="3"/>
          </w:tcPr>
          <w:p>
            <w:pPr>
              <w:spacing w:line="276" w:lineRule="auto"/>
              <w:rPr>
                <w:b/>
                <w:sz w:val="22"/>
                <w:szCs w:val="22"/>
                <w:lang w:val="en-GB" w:eastAsia="en-GB"/>
              </w:rPr>
            </w:pPr>
            <w:r>
              <w:rPr>
                <w:b/>
                <w:sz w:val="22"/>
                <w:szCs w:val="22"/>
                <w:lang w:val="en-GB" w:eastAsia="en-GB"/>
              </w:rPr>
              <w:t>CY 2019</w:t>
            </w:r>
          </w:p>
        </w:tc>
      </w:tr>
      <w:tr>
        <w:trPr>
          <w:jc w:val="center"/>
        </w:trPr>
        <w:tc>
          <w:tcPr>
            <w:tcW w:w="2043" w:type="pct"/>
          </w:tcPr>
          <w:p>
            <w:pPr>
              <w:spacing w:line="276" w:lineRule="auto"/>
              <w:jc w:val="both"/>
              <w:rPr>
                <w:sz w:val="22"/>
                <w:szCs w:val="22"/>
                <w:lang w:val="en-GB" w:eastAsia="en-GB"/>
              </w:rPr>
            </w:pPr>
            <w:r>
              <w:rPr>
                <w:sz w:val="22"/>
                <w:szCs w:val="22"/>
                <w:lang w:val="en-GB" w:eastAsia="en-GB"/>
              </w:rPr>
              <w:t xml:space="preserve">Box Culvert at </w:t>
            </w:r>
            <w:proofErr w:type="spellStart"/>
            <w:r>
              <w:rPr>
                <w:sz w:val="22"/>
                <w:szCs w:val="22"/>
                <w:lang w:val="en-GB" w:eastAsia="en-GB"/>
              </w:rPr>
              <w:t>Maduao</w:t>
            </w:r>
            <w:proofErr w:type="spellEnd"/>
            <w:r>
              <w:rPr>
                <w:sz w:val="22"/>
                <w:szCs w:val="22"/>
                <w:lang w:val="en-GB" w:eastAsia="en-GB"/>
              </w:rPr>
              <w:t xml:space="preserve"> going to </w:t>
            </w:r>
            <w:proofErr w:type="spellStart"/>
            <w:r>
              <w:rPr>
                <w:sz w:val="22"/>
                <w:szCs w:val="22"/>
                <w:lang w:val="en-GB" w:eastAsia="en-GB"/>
              </w:rPr>
              <w:t>Lasang</w:t>
            </w:r>
            <w:proofErr w:type="spellEnd"/>
            <w:r>
              <w:rPr>
                <w:sz w:val="22"/>
                <w:szCs w:val="22"/>
                <w:lang w:val="en-GB" w:eastAsia="en-GB"/>
              </w:rPr>
              <w:t xml:space="preserve"> w/ Slope Protection - Phase 2- </w:t>
            </w:r>
            <w:proofErr w:type="spellStart"/>
            <w:r>
              <w:rPr>
                <w:sz w:val="22"/>
                <w:szCs w:val="22"/>
                <w:lang w:val="en-GB" w:eastAsia="en-GB"/>
              </w:rPr>
              <w:t>Maduao</w:t>
            </w:r>
            <w:proofErr w:type="spellEnd"/>
          </w:p>
        </w:tc>
        <w:tc>
          <w:tcPr>
            <w:tcW w:w="930" w:type="pct"/>
          </w:tcPr>
          <w:p>
            <w:pPr>
              <w:spacing w:line="276" w:lineRule="auto"/>
              <w:jc w:val="right"/>
              <w:rPr>
                <w:sz w:val="22"/>
                <w:szCs w:val="22"/>
                <w:lang w:val="en-GB" w:eastAsia="en-GB"/>
              </w:rPr>
            </w:pPr>
            <w:r>
              <w:rPr>
                <w:sz w:val="22"/>
                <w:szCs w:val="22"/>
                <w:lang w:val="en-GB" w:eastAsia="en-GB"/>
              </w:rPr>
              <w:t>3,000,000.00</w:t>
            </w:r>
          </w:p>
        </w:tc>
        <w:tc>
          <w:tcPr>
            <w:tcW w:w="2026" w:type="pct"/>
          </w:tcPr>
          <w:p>
            <w:pPr>
              <w:spacing w:line="276" w:lineRule="auto"/>
              <w:rPr>
                <w:sz w:val="22"/>
                <w:szCs w:val="22"/>
                <w:lang w:val="en-GB" w:eastAsia="en-GB"/>
              </w:rPr>
            </w:pPr>
            <w:r>
              <w:rPr>
                <w:sz w:val="22"/>
                <w:szCs w:val="22"/>
                <w:lang w:val="en-GB" w:eastAsia="en-GB"/>
              </w:rPr>
              <w:t xml:space="preserve">Delayed due to unfavourable whether </w:t>
            </w:r>
            <w:proofErr w:type="spellStart"/>
            <w:r>
              <w:rPr>
                <w:sz w:val="22"/>
                <w:szCs w:val="22"/>
                <w:lang w:val="en-GB" w:eastAsia="en-GB"/>
              </w:rPr>
              <w:t>confition</w:t>
            </w:r>
            <w:proofErr w:type="spellEnd"/>
            <w:r>
              <w:rPr>
                <w:sz w:val="22"/>
                <w:szCs w:val="22"/>
                <w:lang w:val="en-GB" w:eastAsia="en-GB"/>
              </w:rPr>
              <w:t>. However, work resumption order was already issued on January 5, 2023 and the implementation is on-going.</w:t>
            </w:r>
          </w:p>
        </w:tc>
      </w:tr>
      <w:tr>
        <w:trPr>
          <w:jc w:val="center"/>
        </w:trPr>
        <w:tc>
          <w:tcPr>
            <w:tcW w:w="2043" w:type="pct"/>
          </w:tcPr>
          <w:p>
            <w:pPr>
              <w:spacing w:line="276" w:lineRule="auto"/>
              <w:jc w:val="both"/>
              <w:rPr>
                <w:sz w:val="22"/>
                <w:szCs w:val="22"/>
                <w:lang w:val="en-GB" w:eastAsia="en-GB"/>
              </w:rPr>
            </w:pPr>
            <w:r>
              <w:rPr>
                <w:sz w:val="22"/>
                <w:szCs w:val="22"/>
                <w:lang w:val="en-GB" w:eastAsia="en-GB"/>
              </w:rPr>
              <w:t xml:space="preserve">Construction of Drainage at </w:t>
            </w:r>
            <w:proofErr w:type="spellStart"/>
            <w:r>
              <w:rPr>
                <w:sz w:val="22"/>
                <w:szCs w:val="22"/>
                <w:lang w:val="en-GB" w:eastAsia="en-GB"/>
              </w:rPr>
              <w:t>Panabo</w:t>
            </w:r>
            <w:proofErr w:type="spellEnd"/>
            <w:r>
              <w:rPr>
                <w:sz w:val="22"/>
                <w:szCs w:val="22"/>
                <w:lang w:val="en-GB" w:eastAsia="en-GB"/>
              </w:rPr>
              <w:t xml:space="preserve"> Public Park - Phase 2 - New Pandan</w:t>
            </w:r>
          </w:p>
        </w:tc>
        <w:tc>
          <w:tcPr>
            <w:tcW w:w="930" w:type="pct"/>
          </w:tcPr>
          <w:p>
            <w:pPr>
              <w:spacing w:line="276" w:lineRule="auto"/>
              <w:jc w:val="right"/>
              <w:rPr>
                <w:sz w:val="22"/>
                <w:szCs w:val="22"/>
                <w:lang w:val="en-GB" w:eastAsia="en-GB"/>
              </w:rPr>
            </w:pPr>
            <w:r>
              <w:rPr>
                <w:sz w:val="22"/>
                <w:szCs w:val="22"/>
                <w:lang w:val="en-GB" w:eastAsia="en-GB"/>
              </w:rPr>
              <w:t>3,000,000.00</w:t>
            </w:r>
          </w:p>
        </w:tc>
        <w:tc>
          <w:tcPr>
            <w:tcW w:w="2026" w:type="pct"/>
          </w:tcPr>
          <w:p>
            <w:pPr>
              <w:spacing w:line="276" w:lineRule="auto"/>
              <w:rPr>
                <w:sz w:val="22"/>
                <w:szCs w:val="22"/>
                <w:lang w:val="en-GB" w:eastAsia="en-GB"/>
              </w:rPr>
            </w:pPr>
            <w:r>
              <w:rPr>
                <w:sz w:val="22"/>
                <w:szCs w:val="22"/>
                <w:lang w:val="en-GB" w:eastAsia="en-GB"/>
              </w:rPr>
              <w:t>To be discontinued due to issued found in the specifications and for declaration of savings</w:t>
            </w:r>
          </w:p>
        </w:tc>
      </w:tr>
      <w:tr>
        <w:trPr>
          <w:trHeight w:val="197"/>
          <w:jc w:val="center"/>
        </w:trPr>
        <w:tc>
          <w:tcPr>
            <w:tcW w:w="2043" w:type="pct"/>
          </w:tcPr>
          <w:p>
            <w:pPr>
              <w:spacing w:line="276" w:lineRule="auto"/>
              <w:jc w:val="both"/>
              <w:rPr>
                <w:sz w:val="22"/>
                <w:szCs w:val="22"/>
                <w:lang w:val="en-GB" w:eastAsia="en-GB"/>
              </w:rPr>
            </w:pPr>
            <w:r>
              <w:rPr>
                <w:sz w:val="22"/>
                <w:szCs w:val="22"/>
                <w:lang w:val="en-GB" w:eastAsia="en-GB"/>
              </w:rPr>
              <w:t xml:space="preserve">Installation of Water System with Rainwater Harvesting Facility at </w:t>
            </w:r>
            <w:proofErr w:type="spellStart"/>
            <w:r>
              <w:rPr>
                <w:sz w:val="22"/>
                <w:szCs w:val="22"/>
                <w:lang w:val="en-GB" w:eastAsia="en-GB"/>
              </w:rPr>
              <w:t>Panabo</w:t>
            </w:r>
            <w:proofErr w:type="spellEnd"/>
            <w:r>
              <w:rPr>
                <w:sz w:val="22"/>
                <w:szCs w:val="22"/>
                <w:lang w:val="en-GB" w:eastAsia="en-GB"/>
              </w:rPr>
              <w:t xml:space="preserve"> Public Park - Phase 2 – New Pandan</w:t>
            </w:r>
          </w:p>
        </w:tc>
        <w:tc>
          <w:tcPr>
            <w:tcW w:w="930" w:type="pct"/>
          </w:tcPr>
          <w:p>
            <w:pPr>
              <w:spacing w:line="276" w:lineRule="auto"/>
              <w:jc w:val="right"/>
              <w:rPr>
                <w:sz w:val="22"/>
                <w:szCs w:val="22"/>
                <w:lang w:val="en-GB" w:eastAsia="en-GB"/>
              </w:rPr>
            </w:pPr>
            <w:r>
              <w:rPr>
                <w:sz w:val="22"/>
                <w:szCs w:val="22"/>
                <w:lang w:val="en-GB" w:eastAsia="en-GB"/>
              </w:rPr>
              <w:t>1,263,189.50</w:t>
            </w:r>
          </w:p>
        </w:tc>
        <w:tc>
          <w:tcPr>
            <w:tcW w:w="2026" w:type="pct"/>
          </w:tcPr>
          <w:p>
            <w:pPr>
              <w:spacing w:line="276" w:lineRule="auto"/>
              <w:rPr>
                <w:sz w:val="22"/>
                <w:szCs w:val="22"/>
                <w:lang w:val="en-GB" w:eastAsia="en-GB"/>
              </w:rPr>
            </w:pPr>
            <w:r>
              <w:rPr>
                <w:sz w:val="22"/>
                <w:szCs w:val="22"/>
                <w:lang w:val="en-GB" w:eastAsia="en-GB"/>
              </w:rPr>
              <w:t xml:space="preserve">Declared as savings under SP Resolution No. 685, s. 2022 dated December 22, 2022. </w:t>
            </w:r>
          </w:p>
        </w:tc>
      </w:tr>
      <w:tr>
        <w:trPr>
          <w:jc w:val="center"/>
        </w:trPr>
        <w:tc>
          <w:tcPr>
            <w:tcW w:w="2043" w:type="pct"/>
          </w:tcPr>
          <w:p>
            <w:pPr>
              <w:spacing w:line="276" w:lineRule="auto"/>
              <w:rPr>
                <w:b/>
                <w:sz w:val="22"/>
                <w:szCs w:val="22"/>
                <w:lang w:val="en-GB" w:eastAsia="en-GB"/>
              </w:rPr>
            </w:pPr>
            <w:r>
              <w:rPr>
                <w:b/>
                <w:sz w:val="22"/>
                <w:szCs w:val="22"/>
                <w:lang w:val="en-GB" w:eastAsia="en-GB"/>
              </w:rPr>
              <w:t>Sub-Total</w:t>
            </w:r>
          </w:p>
        </w:tc>
        <w:tc>
          <w:tcPr>
            <w:tcW w:w="930" w:type="pct"/>
          </w:tcPr>
          <w:p>
            <w:pPr>
              <w:spacing w:line="276" w:lineRule="auto"/>
              <w:jc w:val="right"/>
              <w:rPr>
                <w:b/>
                <w:sz w:val="22"/>
                <w:szCs w:val="22"/>
                <w:lang w:val="en-GB" w:eastAsia="en-GB"/>
              </w:rPr>
            </w:pPr>
            <w:r>
              <w:rPr>
                <w:b/>
                <w:sz w:val="22"/>
                <w:szCs w:val="22"/>
                <w:lang w:val="en-GB" w:eastAsia="en-GB"/>
              </w:rPr>
              <w:t>7,263,189.50</w:t>
            </w:r>
          </w:p>
        </w:tc>
        <w:tc>
          <w:tcPr>
            <w:tcW w:w="2026" w:type="pct"/>
          </w:tcPr>
          <w:p>
            <w:pPr>
              <w:spacing w:line="276" w:lineRule="auto"/>
              <w:jc w:val="center"/>
              <w:rPr>
                <w:sz w:val="22"/>
                <w:szCs w:val="22"/>
                <w:lang w:val="en-GB" w:eastAsia="en-GB"/>
              </w:rPr>
            </w:pPr>
          </w:p>
        </w:tc>
      </w:tr>
      <w:tr>
        <w:trPr>
          <w:jc w:val="center"/>
        </w:trPr>
        <w:tc>
          <w:tcPr>
            <w:tcW w:w="5000" w:type="pct"/>
            <w:gridSpan w:val="3"/>
          </w:tcPr>
          <w:p>
            <w:pPr>
              <w:spacing w:line="276" w:lineRule="auto"/>
              <w:rPr>
                <w:sz w:val="22"/>
                <w:szCs w:val="22"/>
                <w:lang w:val="en-GB" w:eastAsia="en-GB"/>
              </w:rPr>
            </w:pPr>
            <w:r>
              <w:rPr>
                <w:b/>
                <w:sz w:val="22"/>
                <w:szCs w:val="22"/>
                <w:lang w:val="en-GB" w:eastAsia="en-GB"/>
              </w:rPr>
              <w:t>CY 2017</w:t>
            </w:r>
          </w:p>
        </w:tc>
      </w:tr>
      <w:tr>
        <w:trPr>
          <w:jc w:val="center"/>
        </w:trPr>
        <w:tc>
          <w:tcPr>
            <w:tcW w:w="2043" w:type="pct"/>
          </w:tcPr>
          <w:p>
            <w:pPr>
              <w:spacing w:line="276" w:lineRule="auto"/>
              <w:rPr>
                <w:sz w:val="22"/>
                <w:szCs w:val="22"/>
                <w:lang w:val="en-GB" w:eastAsia="en-GB"/>
              </w:rPr>
            </w:pPr>
            <w:r>
              <w:rPr>
                <w:sz w:val="22"/>
                <w:szCs w:val="22"/>
                <w:lang w:val="en-GB" w:eastAsia="en-GB"/>
              </w:rPr>
              <w:t>Installation, Upgrading &amp; Maintenance of Streetlights (GAD)</w:t>
            </w:r>
          </w:p>
        </w:tc>
        <w:tc>
          <w:tcPr>
            <w:tcW w:w="930" w:type="pct"/>
          </w:tcPr>
          <w:p>
            <w:pPr>
              <w:spacing w:line="276" w:lineRule="auto"/>
              <w:jc w:val="right"/>
              <w:rPr>
                <w:sz w:val="22"/>
                <w:szCs w:val="22"/>
                <w:lang w:val="en-GB" w:eastAsia="en-GB"/>
              </w:rPr>
            </w:pPr>
            <w:r>
              <w:rPr>
                <w:sz w:val="22"/>
                <w:szCs w:val="22"/>
                <w:lang w:val="en-GB" w:eastAsia="en-GB"/>
              </w:rPr>
              <w:t xml:space="preserve">2,000,000.00 </w:t>
            </w:r>
          </w:p>
        </w:tc>
        <w:tc>
          <w:tcPr>
            <w:tcW w:w="2026" w:type="pct"/>
          </w:tcPr>
          <w:p>
            <w:pPr>
              <w:spacing w:line="276" w:lineRule="auto"/>
              <w:rPr>
                <w:sz w:val="22"/>
                <w:szCs w:val="22"/>
                <w:lang w:val="en-GB" w:eastAsia="en-GB"/>
              </w:rPr>
            </w:pPr>
            <w:r>
              <w:rPr>
                <w:sz w:val="22"/>
                <w:szCs w:val="22"/>
                <w:lang w:val="en-GB" w:eastAsia="en-GB"/>
              </w:rPr>
              <w:t>Prepared and endorsed to BAC for procurement process</w:t>
            </w:r>
          </w:p>
        </w:tc>
      </w:tr>
      <w:tr>
        <w:trPr>
          <w:jc w:val="center"/>
        </w:trPr>
        <w:tc>
          <w:tcPr>
            <w:tcW w:w="2043" w:type="pct"/>
          </w:tcPr>
          <w:p>
            <w:pPr>
              <w:spacing w:line="276" w:lineRule="auto"/>
              <w:rPr>
                <w:sz w:val="22"/>
                <w:szCs w:val="22"/>
                <w:lang w:val="en-GB" w:eastAsia="en-GB"/>
              </w:rPr>
            </w:pPr>
            <w:r>
              <w:rPr>
                <w:sz w:val="22"/>
                <w:szCs w:val="22"/>
                <w:lang w:val="en-GB" w:eastAsia="en-GB"/>
              </w:rPr>
              <w:lastRenderedPageBreak/>
              <w:t xml:space="preserve">Proposed Rainwater Harvest Facility at City Government </w:t>
            </w:r>
            <w:proofErr w:type="spellStart"/>
            <w:r>
              <w:rPr>
                <w:sz w:val="22"/>
                <w:szCs w:val="22"/>
                <w:lang w:val="en-GB" w:eastAsia="en-GB"/>
              </w:rPr>
              <w:t>Center</w:t>
            </w:r>
            <w:proofErr w:type="spellEnd"/>
            <w:r>
              <w:rPr>
                <w:sz w:val="22"/>
                <w:szCs w:val="22"/>
                <w:lang w:val="en-GB" w:eastAsia="en-GB"/>
              </w:rPr>
              <w:t>-JP Laurel (GAD)</w:t>
            </w:r>
          </w:p>
        </w:tc>
        <w:tc>
          <w:tcPr>
            <w:tcW w:w="930" w:type="pct"/>
          </w:tcPr>
          <w:p>
            <w:pPr>
              <w:spacing w:line="276" w:lineRule="auto"/>
              <w:jc w:val="right"/>
              <w:rPr>
                <w:sz w:val="22"/>
                <w:szCs w:val="22"/>
                <w:lang w:val="en-GB" w:eastAsia="en-GB"/>
              </w:rPr>
            </w:pPr>
            <w:r>
              <w:rPr>
                <w:sz w:val="22"/>
                <w:szCs w:val="22"/>
                <w:lang w:val="en-GB" w:eastAsia="en-GB"/>
              </w:rPr>
              <w:t xml:space="preserve">1,500,000.00 </w:t>
            </w:r>
          </w:p>
        </w:tc>
        <w:tc>
          <w:tcPr>
            <w:tcW w:w="2026" w:type="pct"/>
          </w:tcPr>
          <w:p>
            <w:pPr>
              <w:spacing w:line="276" w:lineRule="auto"/>
              <w:rPr>
                <w:sz w:val="22"/>
                <w:szCs w:val="22"/>
                <w:lang w:val="en-GB" w:eastAsia="en-GB"/>
              </w:rPr>
            </w:pPr>
            <w:r>
              <w:rPr>
                <w:sz w:val="22"/>
                <w:szCs w:val="22"/>
                <w:lang w:val="en-GB" w:eastAsia="en-GB"/>
              </w:rPr>
              <w:t>Discontinued due to issues found in the project location site and for declaration of savings</w:t>
            </w:r>
          </w:p>
        </w:tc>
      </w:tr>
      <w:tr>
        <w:trPr>
          <w:jc w:val="center"/>
        </w:trPr>
        <w:tc>
          <w:tcPr>
            <w:tcW w:w="2043" w:type="pct"/>
          </w:tcPr>
          <w:p>
            <w:pPr>
              <w:spacing w:line="276" w:lineRule="auto"/>
              <w:rPr>
                <w:sz w:val="22"/>
                <w:szCs w:val="22"/>
                <w:lang w:val="en-GB" w:eastAsia="en-GB"/>
              </w:rPr>
            </w:pPr>
            <w:r>
              <w:rPr>
                <w:sz w:val="22"/>
                <w:szCs w:val="22"/>
                <w:lang w:val="en-GB" w:eastAsia="en-GB"/>
              </w:rPr>
              <w:t xml:space="preserve">Construction of Welcome Arch for </w:t>
            </w:r>
            <w:proofErr w:type="spellStart"/>
            <w:r>
              <w:rPr>
                <w:sz w:val="22"/>
                <w:szCs w:val="22"/>
                <w:lang w:val="en-GB" w:eastAsia="en-GB"/>
              </w:rPr>
              <w:t>Panabo</w:t>
            </w:r>
            <w:proofErr w:type="spellEnd"/>
            <w:r>
              <w:rPr>
                <w:sz w:val="22"/>
                <w:szCs w:val="22"/>
                <w:lang w:val="en-GB" w:eastAsia="en-GB"/>
              </w:rPr>
              <w:t xml:space="preserve"> City Entrance/Exit-JP Laurel</w:t>
            </w:r>
          </w:p>
        </w:tc>
        <w:tc>
          <w:tcPr>
            <w:tcW w:w="930" w:type="pct"/>
          </w:tcPr>
          <w:p>
            <w:pPr>
              <w:spacing w:line="276" w:lineRule="auto"/>
              <w:jc w:val="right"/>
              <w:rPr>
                <w:sz w:val="22"/>
                <w:szCs w:val="22"/>
                <w:lang w:val="en-GB" w:eastAsia="en-GB"/>
              </w:rPr>
            </w:pPr>
            <w:r>
              <w:rPr>
                <w:sz w:val="22"/>
                <w:szCs w:val="22"/>
                <w:lang w:val="en-GB" w:eastAsia="en-GB"/>
              </w:rPr>
              <w:t xml:space="preserve">1,000,000.00 </w:t>
            </w:r>
          </w:p>
        </w:tc>
        <w:tc>
          <w:tcPr>
            <w:tcW w:w="2026" w:type="pct"/>
          </w:tcPr>
          <w:p>
            <w:pPr>
              <w:spacing w:line="276" w:lineRule="auto"/>
              <w:rPr>
                <w:sz w:val="22"/>
                <w:szCs w:val="22"/>
                <w:lang w:val="en-GB" w:eastAsia="en-GB"/>
              </w:rPr>
            </w:pPr>
            <w:r>
              <w:rPr>
                <w:sz w:val="22"/>
                <w:szCs w:val="22"/>
                <w:lang w:val="en-GB" w:eastAsia="en-GB"/>
              </w:rPr>
              <w:t>Declared as savings under SP Resolution No. 685, s. 2022 dated December 22, 2022.</w:t>
            </w:r>
          </w:p>
        </w:tc>
      </w:tr>
      <w:tr>
        <w:trPr>
          <w:jc w:val="center"/>
        </w:trPr>
        <w:tc>
          <w:tcPr>
            <w:tcW w:w="2043" w:type="pct"/>
          </w:tcPr>
          <w:p>
            <w:pPr>
              <w:spacing w:line="276" w:lineRule="auto"/>
              <w:jc w:val="both"/>
              <w:rPr>
                <w:sz w:val="22"/>
                <w:szCs w:val="22"/>
                <w:lang w:val="en-GB" w:eastAsia="en-GB"/>
              </w:rPr>
            </w:pPr>
            <w:r>
              <w:rPr>
                <w:b/>
                <w:sz w:val="22"/>
                <w:szCs w:val="22"/>
                <w:lang w:val="en-GB" w:eastAsia="en-GB"/>
              </w:rPr>
              <w:t>Sub-Total</w:t>
            </w:r>
          </w:p>
        </w:tc>
        <w:tc>
          <w:tcPr>
            <w:tcW w:w="930" w:type="pct"/>
          </w:tcPr>
          <w:p>
            <w:pPr>
              <w:spacing w:line="276" w:lineRule="auto"/>
              <w:jc w:val="right"/>
              <w:rPr>
                <w:b/>
                <w:sz w:val="22"/>
                <w:szCs w:val="22"/>
                <w:lang w:val="en-GB" w:eastAsia="en-GB"/>
              </w:rPr>
            </w:pPr>
            <w:r>
              <w:rPr>
                <w:b/>
                <w:sz w:val="22"/>
                <w:szCs w:val="22"/>
                <w:lang w:val="en-GB" w:eastAsia="en-GB"/>
              </w:rPr>
              <w:t>4,500,000.00</w:t>
            </w:r>
          </w:p>
        </w:tc>
        <w:tc>
          <w:tcPr>
            <w:tcW w:w="2026" w:type="pct"/>
          </w:tcPr>
          <w:p>
            <w:pPr>
              <w:spacing w:line="276" w:lineRule="auto"/>
              <w:jc w:val="center"/>
              <w:rPr>
                <w:sz w:val="22"/>
                <w:szCs w:val="22"/>
                <w:lang w:val="en-GB" w:eastAsia="en-GB"/>
              </w:rPr>
            </w:pPr>
          </w:p>
        </w:tc>
      </w:tr>
      <w:tr>
        <w:trPr>
          <w:jc w:val="center"/>
        </w:trPr>
        <w:tc>
          <w:tcPr>
            <w:tcW w:w="2043" w:type="pct"/>
          </w:tcPr>
          <w:p>
            <w:pPr>
              <w:spacing w:line="276" w:lineRule="auto"/>
              <w:jc w:val="both"/>
              <w:rPr>
                <w:b/>
                <w:sz w:val="22"/>
                <w:szCs w:val="22"/>
                <w:lang w:val="en-GB" w:eastAsia="en-GB"/>
              </w:rPr>
            </w:pPr>
            <w:r>
              <w:rPr>
                <w:b/>
                <w:sz w:val="22"/>
                <w:szCs w:val="22"/>
                <w:lang w:val="en-GB" w:eastAsia="en-GB"/>
              </w:rPr>
              <w:t>GRAND TOTAL</w:t>
            </w:r>
          </w:p>
        </w:tc>
        <w:tc>
          <w:tcPr>
            <w:tcW w:w="930" w:type="pct"/>
          </w:tcPr>
          <w:p>
            <w:pPr>
              <w:spacing w:line="276" w:lineRule="auto"/>
              <w:jc w:val="right"/>
              <w:rPr>
                <w:b/>
                <w:sz w:val="22"/>
                <w:szCs w:val="22"/>
                <w:lang w:val="en-GB" w:eastAsia="en-GB"/>
              </w:rPr>
            </w:pPr>
            <w:r>
              <w:rPr>
                <w:b/>
                <w:sz w:val="22"/>
                <w:szCs w:val="22"/>
                <w:lang w:val="en-GB" w:eastAsia="en-GB"/>
              </w:rPr>
              <w:t>109,763,189.50</w:t>
            </w:r>
          </w:p>
        </w:tc>
        <w:tc>
          <w:tcPr>
            <w:tcW w:w="2026" w:type="pct"/>
          </w:tcPr>
          <w:p>
            <w:pPr>
              <w:spacing w:line="276" w:lineRule="auto"/>
              <w:jc w:val="center"/>
              <w:rPr>
                <w:b/>
                <w:sz w:val="22"/>
                <w:szCs w:val="22"/>
                <w:lang w:val="en-GB" w:eastAsia="en-GB"/>
              </w:rPr>
            </w:pPr>
          </w:p>
        </w:tc>
      </w:tr>
    </w:tbl>
    <w:p>
      <w:pPr>
        <w:spacing w:line="276" w:lineRule="auto"/>
        <w:jc w:val="both"/>
      </w:pPr>
    </w:p>
    <w:p>
      <w:pPr>
        <w:spacing w:line="276" w:lineRule="auto"/>
        <w:jc w:val="both"/>
      </w:pPr>
      <w:r>
        <w:t xml:space="preserve">The CEO further pledged their utmost effort to finish all the remaining Program of Works and fast track the implementation of the awarded projects. </w:t>
      </w:r>
    </w:p>
    <w:p>
      <w:pPr>
        <w:spacing w:line="276" w:lineRule="auto"/>
        <w:contextualSpacing/>
        <w:jc w:val="both"/>
        <w:rPr>
          <w:bCs/>
          <w:lang w:val="en-PH" w:eastAsia="en-GB"/>
        </w:rPr>
      </w:pPr>
    </w:p>
    <w:p>
      <w:pPr>
        <w:spacing w:line="276" w:lineRule="auto"/>
        <w:jc w:val="both"/>
      </w:pPr>
      <w:r>
        <w:t xml:space="preserve">The City Housing Section explained that delays in the implementation of the CY 2022 and CY 2021 Site Development projects was due to unfavorable weather conditions, double handling of materials done by laborers and unavailability of equipment, among others. As to the CY 2021 Land banking project, the technical report was finalized in December 2022 and forwarded to the City Legal Office on January 6, 2023 for review and endorsement to the </w:t>
      </w:r>
      <w:proofErr w:type="spellStart"/>
      <w:r>
        <w:t>Sanggunian</w:t>
      </w:r>
      <w:proofErr w:type="spellEnd"/>
      <w:r>
        <w:t xml:space="preserve"> for the authority to purchase the lands identified. The CY 2022 Land banking project is a </w:t>
      </w:r>
      <w:proofErr w:type="gramStart"/>
      <w:r>
        <w:t>long term</w:t>
      </w:r>
      <w:proofErr w:type="gramEnd"/>
      <w:r>
        <w:t xml:space="preserve"> endeavor with a purpose of acquiring new sites for the continuing resettlement of Informal Settler Families who were affected by the development of </w:t>
      </w:r>
      <w:proofErr w:type="spellStart"/>
      <w:r>
        <w:t>Panabo</w:t>
      </w:r>
      <w:proofErr w:type="spellEnd"/>
      <w:r>
        <w:t xml:space="preserve"> Mangrove Forest Park in Barangay J.P. Laurel including those who are located in the danger zones. </w:t>
      </w:r>
    </w:p>
    <w:p>
      <w:pPr>
        <w:spacing w:line="276" w:lineRule="auto"/>
        <w:jc w:val="both"/>
      </w:pPr>
    </w:p>
    <w:p>
      <w:pPr>
        <w:spacing w:line="276" w:lineRule="auto"/>
        <w:jc w:val="both"/>
      </w:pPr>
      <w:r>
        <w:t>They further stated that the following factors, which were beyond their control, led to the delay in the land acquisition:</w:t>
      </w:r>
    </w:p>
    <w:p>
      <w:pPr>
        <w:spacing w:line="276" w:lineRule="auto"/>
        <w:jc w:val="both"/>
      </w:pPr>
    </w:p>
    <w:p>
      <w:pPr>
        <w:pStyle w:val="ListParagraph"/>
        <w:numPr>
          <w:ilvl w:val="0"/>
          <w:numId w:val="66"/>
        </w:numPr>
        <w:spacing w:after="0"/>
        <w:ind w:left="567"/>
        <w:jc w:val="both"/>
        <w:rPr>
          <w:rFonts w:ascii="Times New Roman" w:hAnsi="Times New Roman"/>
          <w:sz w:val="24"/>
          <w:szCs w:val="24"/>
        </w:rPr>
      </w:pPr>
      <w:r>
        <w:rPr>
          <w:rFonts w:ascii="Times New Roman" w:hAnsi="Times New Roman"/>
          <w:sz w:val="24"/>
          <w:szCs w:val="24"/>
        </w:rPr>
        <w:t>Several offered lands for selling were not accepted due to lack of documentary requirements to prove ownership and some of these properties are still in CLOA</w:t>
      </w:r>
    </w:p>
    <w:p>
      <w:pPr>
        <w:pStyle w:val="ListParagraph"/>
        <w:numPr>
          <w:ilvl w:val="0"/>
          <w:numId w:val="66"/>
        </w:numPr>
        <w:spacing w:after="0"/>
        <w:ind w:left="567"/>
        <w:jc w:val="both"/>
        <w:rPr>
          <w:rFonts w:ascii="Times New Roman" w:hAnsi="Times New Roman"/>
          <w:sz w:val="24"/>
          <w:szCs w:val="24"/>
        </w:rPr>
      </w:pPr>
      <w:r>
        <w:rPr>
          <w:rFonts w:ascii="Times New Roman" w:hAnsi="Times New Roman"/>
          <w:sz w:val="24"/>
          <w:szCs w:val="24"/>
        </w:rPr>
        <w:t xml:space="preserve">Land acquisition requires extensive process as it needs to undergo several layers of inspection and assessment and approval from the Sangguniang </w:t>
      </w:r>
      <w:proofErr w:type="spellStart"/>
      <w:r>
        <w:rPr>
          <w:rFonts w:ascii="Times New Roman" w:hAnsi="Times New Roman"/>
          <w:sz w:val="24"/>
          <w:szCs w:val="24"/>
        </w:rPr>
        <w:t>Panlungsod</w:t>
      </w:r>
      <w:proofErr w:type="spellEnd"/>
    </w:p>
    <w:p>
      <w:pPr>
        <w:pStyle w:val="ListParagraph"/>
        <w:numPr>
          <w:ilvl w:val="0"/>
          <w:numId w:val="66"/>
        </w:numPr>
        <w:spacing w:after="0"/>
        <w:ind w:left="567"/>
        <w:jc w:val="both"/>
        <w:rPr>
          <w:rFonts w:ascii="Times New Roman" w:hAnsi="Times New Roman"/>
          <w:sz w:val="24"/>
          <w:szCs w:val="24"/>
        </w:rPr>
      </w:pPr>
      <w:r>
        <w:rPr>
          <w:rFonts w:ascii="Times New Roman" w:hAnsi="Times New Roman"/>
          <w:sz w:val="24"/>
          <w:szCs w:val="24"/>
        </w:rPr>
        <w:t>There were setbacks encountered and discovered only after the site inspection such as unsuitability of the terrain of the property for housing projects</w:t>
      </w:r>
    </w:p>
    <w:p>
      <w:pPr>
        <w:spacing w:line="276" w:lineRule="auto"/>
        <w:jc w:val="both"/>
      </w:pPr>
    </w:p>
    <w:p>
      <w:pPr>
        <w:spacing w:line="276" w:lineRule="auto"/>
        <w:jc w:val="both"/>
      </w:pPr>
      <w:r>
        <w:t>Nonetheless, they agreed to enhance the Technical Working Group’s screening process and to improve their strategies and to ensure timely and accelerated accomplishment of the projects under their section.</w:t>
      </w:r>
    </w:p>
    <w:p>
      <w:pPr>
        <w:spacing w:line="276" w:lineRule="auto"/>
        <w:jc w:val="both"/>
      </w:pPr>
    </w:p>
    <w:p>
      <w:pPr>
        <w:spacing w:line="276" w:lineRule="auto"/>
        <w:contextualSpacing/>
        <w:jc w:val="both"/>
        <w:rPr>
          <w:bCs/>
          <w:lang w:val="en-PH" w:eastAsia="en-GB"/>
        </w:rPr>
      </w:pPr>
      <w:r>
        <w:rPr>
          <w:bCs/>
          <w:lang w:val="en-PH" w:eastAsia="en-GB"/>
        </w:rPr>
        <w:t xml:space="preserve">Further, CBO explained that, in accordance with their policy, the period of validity of Capital Outlay established by the City is five (5) years; hence, the presence of long-outstanding unutilized appropriations. However, they agree that the </w:t>
      </w:r>
      <w:proofErr w:type="gramStart"/>
      <w:r>
        <w:rPr>
          <w:bCs/>
          <w:lang w:val="en-PH" w:eastAsia="en-GB"/>
        </w:rPr>
        <w:t>five period</w:t>
      </w:r>
      <w:proofErr w:type="gramEnd"/>
      <w:r>
        <w:rPr>
          <w:bCs/>
          <w:lang w:val="en-PH" w:eastAsia="en-GB"/>
        </w:rPr>
        <w:t xml:space="preserve"> validity is </w:t>
      </w:r>
      <w:r>
        <w:rPr>
          <w:bCs/>
          <w:lang w:val="en-PH" w:eastAsia="en-GB"/>
        </w:rPr>
        <w:lastRenderedPageBreak/>
        <w:t>no longer practical. They will suggest to the City Mayor to shorten the period for capital outlay into two (2) or three (3) year-period.</w:t>
      </w:r>
    </w:p>
    <w:p>
      <w:pPr>
        <w:spacing w:line="276" w:lineRule="auto"/>
        <w:jc w:val="both"/>
      </w:pPr>
    </w:p>
    <w:p>
      <w:pPr>
        <w:spacing w:line="276" w:lineRule="auto"/>
        <w:jc w:val="both"/>
      </w:pPr>
      <w:r>
        <w:t>The management stated that it has always been their goal to have efficient and effective resource allocation and operation in the city development programs and projects. The CBO adheres to the audit recommendation that in the provision of funds for priority projects, they need to ensure that all proposed projects for funding already went through evaluation and assessment; thus, ready for procurement and for implementation. Furthermore, the CBO committed to closely coordinate with CPDO, CEO and other implementing offices to ensure that future projects will be procurement and implementation ready.</w:t>
      </w:r>
    </w:p>
    <w:p>
      <w:pPr>
        <w:spacing w:line="276" w:lineRule="auto"/>
        <w:jc w:val="both"/>
      </w:pPr>
    </w:p>
    <w:p>
      <w:pPr>
        <w:spacing w:line="276" w:lineRule="auto"/>
        <w:jc w:val="both"/>
      </w:pPr>
      <w:r>
        <w:t>CPDO, on other hand committed that upon call for the budget proposal for the ensuing year and or supplemental within the current year, the proponents/departments will be required to submit details of location, funding requirements and indicative implementation period of projects for inclusion in the AIP. Also, review and evaluation of projects is being conducted and will be followed by consultation with the respective proponent offices to plan schedule of implementation based on the targets set by them.</w:t>
      </w:r>
    </w:p>
    <w:p>
      <w:pPr>
        <w:spacing w:line="276" w:lineRule="auto"/>
        <w:jc w:val="both"/>
      </w:pPr>
    </w:p>
    <w:p>
      <w:pPr>
        <w:spacing w:line="276" w:lineRule="auto"/>
        <w:jc w:val="both"/>
      </w:pPr>
      <w:r>
        <w:t xml:space="preserve">They pledged to ensure that all proposals with detailed project profile/concepts/designs from the proponent are procurement and implementation ready prior to consultations and integration to the plan. Although regular monitoring on the implementation of the PPAs are being conducted by the CPDO together with the Project Monitoring Evaluation Committee (PMEC), they committed to strengthen it by establishing a feedback mechanism among implementing offices and other partner agencies to facilitate imposition of the proper course of action in the occurrence of delayed/non-implementation of projects. </w:t>
      </w:r>
    </w:p>
    <w:p>
      <w:pPr>
        <w:spacing w:line="276" w:lineRule="auto"/>
        <w:jc w:val="both"/>
      </w:pPr>
    </w:p>
    <w:p>
      <w:pPr>
        <w:spacing w:line="276" w:lineRule="auto"/>
        <w:contextualSpacing/>
        <w:jc w:val="both"/>
        <w:rPr>
          <w:bCs/>
          <w:lang w:val="en-PH" w:eastAsia="en-GB"/>
        </w:rPr>
      </w:pPr>
      <w:r>
        <w:rPr>
          <w:bCs/>
          <w:lang w:val="en-PH" w:eastAsia="en-GB"/>
        </w:rPr>
        <w:t>As to the reversion of unexpended appropriation of completed projects, the CBO explained that, before reversion of the unexpended balances of budgetary items, certification of completion from the implementing offices is needed to ensure all claims have already been obligated. They committed that they will be proactive on reminding the implementing office of the status of the implementation of projects with unexpended appropriations as at year-end rather than waiting for the information from them.</w:t>
      </w:r>
    </w:p>
    <w:p>
      <w:pPr>
        <w:spacing w:line="276" w:lineRule="auto"/>
        <w:ind w:right="270"/>
      </w:pPr>
    </w:p>
    <w:p>
      <w:pPr>
        <w:spacing w:line="276" w:lineRule="auto"/>
        <w:ind w:right="270"/>
      </w:pPr>
    </w:p>
    <w:p>
      <w:pPr>
        <w:spacing w:line="276" w:lineRule="auto"/>
        <w:ind w:right="270"/>
        <w:rPr>
          <w:b/>
          <w:i/>
        </w:rPr>
      </w:pPr>
      <w:r>
        <w:rPr>
          <w:rFonts w:eastAsia="Calibri"/>
          <w:b/>
          <w:i/>
          <w:color w:val="000000"/>
        </w:rPr>
        <w:t>Fund transfer received from Department of Budget and Management</w:t>
      </w:r>
    </w:p>
    <w:p>
      <w:pPr>
        <w:spacing w:line="276" w:lineRule="auto"/>
        <w:ind w:right="270"/>
        <w:rPr>
          <w:b/>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 xml:space="preserve">The delayed project implementation and slow utilization of fund pertaining to the Funds received from Department of Budget and Management contravene the </w:t>
      </w:r>
      <w:r>
        <w:rPr>
          <w:rFonts w:ascii="Times New Roman" w:hAnsi="Times New Roman"/>
          <w:b/>
          <w:sz w:val="24"/>
          <w:szCs w:val="24"/>
        </w:rPr>
        <w:lastRenderedPageBreak/>
        <w:t>provisions of Presidential Decree No. 1445 and Local Budget Circular (LBC) No. 135 dated January 20, 2021, thus, affecting the City Government’s efficiency in delivering the timely and optimum benefits derived from the projects.</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Section 2 of Presidential Decree (PD) No. 1445, also known as the "Government Auditing Code of the Philippines" provides:</w:t>
      </w:r>
    </w:p>
    <w:p>
      <w:pPr>
        <w:spacing w:line="276" w:lineRule="auto"/>
        <w:ind w:firstLine="709"/>
        <w:rPr>
          <w:color w:val="000000"/>
        </w:rPr>
      </w:pPr>
    </w:p>
    <w:p>
      <w:pPr>
        <w:autoSpaceDE w:val="0"/>
        <w:autoSpaceDN w:val="0"/>
        <w:adjustRightInd w:val="0"/>
        <w:spacing w:line="276" w:lineRule="auto"/>
        <w:ind w:left="720" w:right="702"/>
        <w:jc w:val="both"/>
        <w:rPr>
          <w:rFonts w:eastAsia="Calibri"/>
          <w:bCs/>
          <w:iCs/>
          <w:color w:val="000000"/>
        </w:rPr>
      </w:pPr>
      <w:r>
        <w:rPr>
          <w:rFonts w:eastAsia="Calibri"/>
          <w:bCs/>
          <w:iCs/>
          <w:color w:val="000000"/>
        </w:rPr>
        <w:t>It is the declared policy of the State that all resources of the government shall be managed, expended or utilized in accordance with law and regulations, and safeguarded against loss or wastage through illegal or improper disposition, with a view to ensuring efficiency, economy and effectiveness in the operations of government. The responsibility to take care that such policy is faithfully adhered to rests directly with the chief or head of the government agency concerned.</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Executive Order No. 70 was issued on dated December 4, 2018 institutionalizing the whole-of-nation approach in attaining inclusive and sustainable peace, creating a national task force to end local communist armed conflict, and directing the adoption of a national peace framework. In relation thereto, Local Budget Circular (LBC) No. 135 dated January 20, 2021 was released to provide guidelines on the release and utilization of LGSF-SBDP of the National Task Force to End Local Communist Armed Conflict (NTF-ELCAC). The said LBC allocated an amount not exceeding P20,000,000.00 for each barangay cleared of communist armed conflict to be used for the following projects:</w:t>
      </w:r>
    </w:p>
    <w:p>
      <w:pPr>
        <w:autoSpaceDE w:val="0"/>
        <w:autoSpaceDN w:val="0"/>
        <w:adjustRightInd w:val="0"/>
        <w:spacing w:line="276" w:lineRule="auto"/>
        <w:jc w:val="both"/>
        <w:rPr>
          <w:rFonts w:eastAsia="Calibri"/>
          <w:bCs/>
          <w:color w:val="000000"/>
        </w:rPr>
      </w:pP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Farm-to-Market Roads;</w:t>
      </w: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School Buildings;</w:t>
      </w: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Water and sanitation system;</w:t>
      </w: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Health stations;</w:t>
      </w: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Rural Electrification;</w:t>
      </w: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Reconstruction, rehabilitation, repair, and other similar projects in connection with the incurrence of natural or human-induced calamities, epidemics, crises resulting from armed conflicts, insurgency, terrorism, and other catastrophes;</w:t>
      </w: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Housing;</w:t>
      </w: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COVID-19 vaccination, immunization and other health related projects;</w:t>
      </w: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Agricultural, livelihood and technical vocational trainings/projects; and</w:t>
      </w:r>
    </w:p>
    <w:p>
      <w:pPr>
        <w:numPr>
          <w:ilvl w:val="0"/>
          <w:numId w:val="50"/>
        </w:numPr>
        <w:autoSpaceDE w:val="0"/>
        <w:autoSpaceDN w:val="0"/>
        <w:adjustRightInd w:val="0"/>
        <w:spacing w:line="276" w:lineRule="auto"/>
        <w:contextualSpacing/>
        <w:jc w:val="both"/>
        <w:rPr>
          <w:rFonts w:eastAsia="Calibri"/>
          <w:bCs/>
          <w:color w:val="000000"/>
        </w:rPr>
      </w:pPr>
      <w:r>
        <w:rPr>
          <w:rFonts w:eastAsia="Calibri"/>
          <w:bCs/>
          <w:color w:val="000000"/>
        </w:rPr>
        <w:t>Assistance to indigent individual or families in any of the following forms of assistance: (a) Medical; (b) Burial; (c) Transportation; (d) Food; (e) Cash for work; and (f) Educational</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lastRenderedPageBreak/>
        <w:t xml:space="preserve">Moreover, Section 4.8 of the said LBC stressed that </w:t>
      </w:r>
      <w:r>
        <w:rPr>
          <w:rFonts w:eastAsia="Calibri"/>
          <w:bCs/>
          <w:i/>
          <w:iCs/>
          <w:color w:val="000000"/>
        </w:rPr>
        <w:t xml:space="preserve">“the FY 2021 LGSF-SBDP shall be recorded as a trust fund by the Provincial Governments for the specific purpose(s) and barangays for which the funds were received and shall be made available for disbursement for the purpose specified until December 31, 2022.” </w:t>
      </w:r>
      <w:r>
        <w:rPr>
          <w:rFonts w:eastAsia="Calibri"/>
          <w:bCs/>
          <w:color w:val="000000"/>
        </w:rPr>
        <w:t xml:space="preserve">Further, Section 4.9 of the same LBC provides that </w:t>
      </w:r>
      <w:r>
        <w:rPr>
          <w:rFonts w:eastAsia="Calibri"/>
          <w:bCs/>
          <w:i/>
          <w:iCs/>
          <w:color w:val="000000"/>
        </w:rPr>
        <w:t xml:space="preserve">“after the end of the validity period, any unreleased appropriations shall lapse, while undisbursed funds shall revert to the National Treasury.” </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i/>
          <w:iCs/>
          <w:color w:val="000000"/>
        </w:rPr>
      </w:pPr>
      <w:r>
        <w:rPr>
          <w:rFonts w:eastAsia="Calibri"/>
          <w:bCs/>
          <w:color w:val="000000"/>
        </w:rPr>
        <w:t xml:space="preserve">On the other hand, LBC No. 123 dated February 17, 2020 was issued to provide guidelines on the release and utilization of the local government support fund-assistance to cities under the FY 2020 General Appropriations Act, Republic Act No. 11465. Section 3.13 thereof provides, </w:t>
      </w:r>
      <w:r>
        <w:rPr>
          <w:rFonts w:eastAsia="Calibri"/>
          <w:bCs/>
          <w:i/>
          <w:iCs/>
          <w:color w:val="000000"/>
        </w:rPr>
        <w:t>“the LGSF-AC shall be recorded as trust by the cities for the specified purpose(s) for which the fund was received. Funds which remain unutilized as of December 31, 2021 shall be reverted to the National Treasury by the recipient cities.”</w:t>
      </w:r>
    </w:p>
    <w:p>
      <w:pPr>
        <w:autoSpaceDE w:val="0"/>
        <w:autoSpaceDN w:val="0"/>
        <w:adjustRightInd w:val="0"/>
        <w:spacing w:line="276" w:lineRule="auto"/>
        <w:ind w:firstLine="720"/>
        <w:jc w:val="both"/>
        <w:rPr>
          <w:rFonts w:eastAsia="Calibri"/>
          <w:bCs/>
          <w:color w:val="000000"/>
        </w:rPr>
      </w:pPr>
      <w:r>
        <w:rPr>
          <w:rFonts w:eastAsia="Calibri"/>
          <w:bCs/>
          <w:color w:val="000000"/>
        </w:rPr>
        <w:tab/>
      </w:r>
    </w:p>
    <w:p>
      <w:pPr>
        <w:autoSpaceDE w:val="0"/>
        <w:autoSpaceDN w:val="0"/>
        <w:adjustRightInd w:val="0"/>
        <w:spacing w:line="276" w:lineRule="auto"/>
        <w:jc w:val="both"/>
        <w:rPr>
          <w:rFonts w:eastAsia="Calibri"/>
          <w:bCs/>
          <w:color w:val="000000"/>
        </w:rPr>
      </w:pPr>
      <w:r>
        <w:rPr>
          <w:rFonts w:eastAsia="Calibri"/>
          <w:bCs/>
          <w:color w:val="000000"/>
        </w:rPr>
        <w:t xml:space="preserve">Nevertheless, both LBC No. 123 and No. 125 emphasized that the responsibility and accountability in ensuring that the projects to be funded under LGSF-SBDP/AC comply with the designs, concepts and requirements as well as the implementation and proper utilization and disbursement thereof shall rest upon the Local Chief Executive (LCE) and other officials concerned. </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During Calendar Year (CY) 2021, the City Government of </w:t>
      </w:r>
      <w:proofErr w:type="spellStart"/>
      <w:r>
        <w:rPr>
          <w:rFonts w:eastAsia="Calibri"/>
          <w:bCs/>
          <w:color w:val="000000"/>
        </w:rPr>
        <w:t>Panabo</w:t>
      </w:r>
      <w:proofErr w:type="spellEnd"/>
      <w:r>
        <w:rPr>
          <w:rFonts w:eastAsia="Calibri"/>
          <w:bCs/>
          <w:color w:val="000000"/>
        </w:rPr>
        <w:t xml:space="preserve"> received fund transfers from DBM to fund several projects under LSGF-SBDP of the National Task Force to End Local Communist Armed Conflict (NTF-ELCAC) and LGSF-AC totaling P421,071,659.00. The details of the said fund transfer and its utilization as of December 31, 2022 are shown in Table 23.1.</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i/>
          <w:color w:val="000000"/>
        </w:rPr>
      </w:pPr>
      <w:r>
        <w:rPr>
          <w:rFonts w:eastAsia="Calibri"/>
          <w:bCs/>
          <w:i/>
          <w:color w:val="000000"/>
        </w:rPr>
        <w:t>Table 23.1. Summary of funds received and utilized (LGSF-SBDP/AC)</w:t>
      </w:r>
    </w:p>
    <w:tbl>
      <w:tblPr>
        <w:tblStyle w:val="TableGrid42"/>
        <w:tblW w:w="0" w:type="auto"/>
        <w:jc w:val="center"/>
        <w:tblLook w:val="04A0" w:firstRow="1" w:lastRow="0" w:firstColumn="1" w:lastColumn="0" w:noHBand="0" w:noVBand="1"/>
      </w:tblPr>
      <w:tblGrid>
        <w:gridCol w:w="1193"/>
        <w:gridCol w:w="1639"/>
        <w:gridCol w:w="1317"/>
        <w:gridCol w:w="1726"/>
        <w:gridCol w:w="1726"/>
        <w:gridCol w:w="1255"/>
      </w:tblGrid>
      <w:tr>
        <w:trPr>
          <w:trHeight w:val="530"/>
          <w:tblHeader/>
          <w:jc w:val="center"/>
        </w:trPr>
        <w:tc>
          <w:tcPr>
            <w:tcW w:w="1312"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Fund Transfer</w:t>
            </w:r>
          </w:p>
        </w:tc>
        <w:tc>
          <w:tcPr>
            <w:tcW w:w="2033"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Reference</w:t>
            </w:r>
          </w:p>
        </w:tc>
        <w:tc>
          <w:tcPr>
            <w:tcW w:w="1478"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Project</w:t>
            </w:r>
          </w:p>
        </w:tc>
        <w:tc>
          <w:tcPr>
            <w:tcW w:w="1716"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Original Amount Received</w:t>
            </w:r>
          </w:p>
        </w:tc>
        <w:tc>
          <w:tcPr>
            <w:tcW w:w="1591"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Remaining Balance as at 12/31/22*</w:t>
            </w:r>
          </w:p>
        </w:tc>
        <w:tc>
          <w:tcPr>
            <w:tcW w:w="1230"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Percentage of Non-Utilization</w:t>
            </w:r>
          </w:p>
        </w:tc>
      </w:tr>
      <w:tr>
        <w:trPr>
          <w:jc w:val="center"/>
        </w:trPr>
        <w:tc>
          <w:tcPr>
            <w:tcW w:w="1312"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LGSF-SBDP (NTF-ELCAC)</w:t>
            </w:r>
          </w:p>
        </w:tc>
        <w:tc>
          <w:tcPr>
            <w:tcW w:w="2033"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ADA No: ADA-2021-RO11-0018</w:t>
            </w:r>
          </w:p>
          <w:p>
            <w:pPr>
              <w:autoSpaceDE w:val="0"/>
              <w:autoSpaceDN w:val="0"/>
              <w:adjustRightInd w:val="0"/>
              <w:spacing w:line="276" w:lineRule="auto"/>
              <w:jc w:val="both"/>
              <w:rPr>
                <w:rFonts w:eastAsia="Calibri"/>
                <w:bCs/>
                <w:color w:val="000000"/>
                <w:sz w:val="22"/>
                <w:szCs w:val="22"/>
              </w:rPr>
            </w:pPr>
          </w:p>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Date: 13 March 2021</w:t>
            </w:r>
          </w:p>
        </w:tc>
        <w:tc>
          <w:tcPr>
            <w:tcW w:w="1478"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42 projects in 20 barangays within the City</w:t>
            </w:r>
          </w:p>
        </w:tc>
        <w:tc>
          <w:tcPr>
            <w:tcW w:w="1716" w:type="dxa"/>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t>P400,000,000.00</w:t>
            </w:r>
          </w:p>
        </w:tc>
        <w:tc>
          <w:tcPr>
            <w:tcW w:w="1591" w:type="dxa"/>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t>P172,164,902.72</w:t>
            </w:r>
          </w:p>
        </w:tc>
        <w:tc>
          <w:tcPr>
            <w:tcW w:w="1230"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43%</w:t>
            </w:r>
          </w:p>
        </w:tc>
      </w:tr>
      <w:tr>
        <w:trPr>
          <w:trHeight w:val="314"/>
          <w:jc w:val="center"/>
        </w:trPr>
        <w:tc>
          <w:tcPr>
            <w:tcW w:w="1312"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LGSF-AC</w:t>
            </w:r>
          </w:p>
          <w:p>
            <w:pPr>
              <w:autoSpaceDE w:val="0"/>
              <w:autoSpaceDN w:val="0"/>
              <w:adjustRightInd w:val="0"/>
              <w:spacing w:line="276" w:lineRule="auto"/>
              <w:jc w:val="both"/>
              <w:rPr>
                <w:rFonts w:eastAsia="Calibri"/>
                <w:bCs/>
                <w:color w:val="000000"/>
                <w:sz w:val="22"/>
                <w:szCs w:val="22"/>
              </w:rPr>
            </w:pPr>
          </w:p>
        </w:tc>
        <w:tc>
          <w:tcPr>
            <w:tcW w:w="2033" w:type="dxa"/>
          </w:tcPr>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ADA No: ADA-2020-RO11-0043</w:t>
            </w:r>
          </w:p>
          <w:p>
            <w:pPr>
              <w:autoSpaceDE w:val="0"/>
              <w:autoSpaceDN w:val="0"/>
              <w:adjustRightInd w:val="0"/>
              <w:spacing w:line="276" w:lineRule="auto"/>
              <w:jc w:val="both"/>
              <w:rPr>
                <w:rFonts w:eastAsia="Calibri"/>
                <w:bCs/>
                <w:color w:val="000000"/>
                <w:sz w:val="22"/>
                <w:szCs w:val="22"/>
              </w:rPr>
            </w:pPr>
          </w:p>
          <w:p>
            <w:pPr>
              <w:autoSpaceDE w:val="0"/>
              <w:autoSpaceDN w:val="0"/>
              <w:adjustRightInd w:val="0"/>
              <w:spacing w:line="276" w:lineRule="auto"/>
              <w:jc w:val="both"/>
              <w:rPr>
                <w:rFonts w:eastAsia="Calibri"/>
                <w:bCs/>
                <w:color w:val="000000"/>
                <w:sz w:val="22"/>
                <w:szCs w:val="22"/>
              </w:rPr>
            </w:pPr>
            <w:r>
              <w:rPr>
                <w:rFonts w:eastAsia="Calibri"/>
                <w:bCs/>
                <w:color w:val="000000"/>
                <w:sz w:val="22"/>
                <w:szCs w:val="22"/>
              </w:rPr>
              <w:t>Date: 19 July 2021</w:t>
            </w:r>
          </w:p>
        </w:tc>
        <w:tc>
          <w:tcPr>
            <w:tcW w:w="1478" w:type="dxa"/>
          </w:tcPr>
          <w:p>
            <w:pPr>
              <w:autoSpaceDE w:val="0"/>
              <w:autoSpaceDN w:val="0"/>
              <w:adjustRightInd w:val="0"/>
              <w:spacing w:line="276" w:lineRule="auto"/>
              <w:jc w:val="both"/>
              <w:rPr>
                <w:rFonts w:eastAsia="Calibri"/>
                <w:bCs/>
                <w:color w:val="000000"/>
                <w:sz w:val="22"/>
                <w:szCs w:val="22"/>
              </w:rPr>
            </w:pPr>
            <w:proofErr w:type="spellStart"/>
            <w:r>
              <w:rPr>
                <w:rFonts w:eastAsia="Calibri"/>
                <w:bCs/>
                <w:color w:val="000000"/>
                <w:sz w:val="22"/>
                <w:szCs w:val="22"/>
              </w:rPr>
              <w:lastRenderedPageBreak/>
              <w:t>Panabo</w:t>
            </w:r>
            <w:proofErr w:type="spellEnd"/>
            <w:r>
              <w:rPr>
                <w:rFonts w:eastAsia="Calibri"/>
                <w:bCs/>
                <w:color w:val="000000"/>
                <w:sz w:val="22"/>
                <w:szCs w:val="22"/>
              </w:rPr>
              <w:t xml:space="preserve"> Mangrove Forest Park </w:t>
            </w:r>
            <w:r>
              <w:rPr>
                <w:rFonts w:eastAsia="Calibri"/>
                <w:bCs/>
                <w:color w:val="000000"/>
                <w:sz w:val="22"/>
                <w:szCs w:val="22"/>
              </w:rPr>
              <w:lastRenderedPageBreak/>
              <w:t>at Barangay J.P. Laurel</w:t>
            </w:r>
          </w:p>
        </w:tc>
        <w:tc>
          <w:tcPr>
            <w:tcW w:w="1716" w:type="dxa"/>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lastRenderedPageBreak/>
              <w:t>21,071,659.00</w:t>
            </w:r>
          </w:p>
        </w:tc>
        <w:tc>
          <w:tcPr>
            <w:tcW w:w="1591" w:type="dxa"/>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t>14,717,251.25</w:t>
            </w:r>
          </w:p>
        </w:tc>
        <w:tc>
          <w:tcPr>
            <w:tcW w:w="1230"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70%</w:t>
            </w:r>
          </w:p>
        </w:tc>
      </w:tr>
      <w:tr>
        <w:trPr>
          <w:jc w:val="center"/>
        </w:trPr>
        <w:tc>
          <w:tcPr>
            <w:tcW w:w="4823" w:type="dxa"/>
            <w:gridSpan w:val="3"/>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Total</w:t>
            </w:r>
          </w:p>
        </w:tc>
        <w:tc>
          <w:tcPr>
            <w:tcW w:w="1716" w:type="dxa"/>
          </w:tcPr>
          <w:p>
            <w:pPr>
              <w:autoSpaceDE w:val="0"/>
              <w:autoSpaceDN w:val="0"/>
              <w:adjustRightInd w:val="0"/>
              <w:spacing w:line="276" w:lineRule="auto"/>
              <w:jc w:val="right"/>
              <w:rPr>
                <w:rFonts w:eastAsia="Calibri"/>
                <w:bCs/>
                <w:color w:val="000000"/>
                <w:sz w:val="22"/>
                <w:szCs w:val="22"/>
              </w:rPr>
            </w:pPr>
            <w:r>
              <w:rPr>
                <w:rFonts w:eastAsia="Calibri"/>
                <w:b/>
                <w:color w:val="000000"/>
                <w:sz w:val="22"/>
                <w:szCs w:val="22"/>
              </w:rPr>
              <w:t>P421,071,659.00</w:t>
            </w:r>
          </w:p>
        </w:tc>
        <w:tc>
          <w:tcPr>
            <w:tcW w:w="1591" w:type="dxa"/>
          </w:tcPr>
          <w:p>
            <w:pPr>
              <w:autoSpaceDE w:val="0"/>
              <w:autoSpaceDN w:val="0"/>
              <w:adjustRightInd w:val="0"/>
              <w:spacing w:line="276" w:lineRule="auto"/>
              <w:jc w:val="right"/>
              <w:rPr>
                <w:rFonts w:eastAsia="Calibri"/>
                <w:b/>
                <w:color w:val="000000"/>
                <w:sz w:val="22"/>
                <w:szCs w:val="22"/>
              </w:rPr>
            </w:pPr>
            <w:r>
              <w:rPr>
                <w:rFonts w:eastAsia="Calibri"/>
                <w:b/>
                <w:color w:val="000000"/>
                <w:sz w:val="22"/>
                <w:szCs w:val="22"/>
              </w:rPr>
              <w:t>P186,882,153.97</w:t>
            </w:r>
          </w:p>
        </w:tc>
        <w:tc>
          <w:tcPr>
            <w:tcW w:w="1230"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44%</w:t>
            </w:r>
          </w:p>
        </w:tc>
      </w:tr>
    </w:tbl>
    <w:p>
      <w:pPr>
        <w:autoSpaceDE w:val="0"/>
        <w:autoSpaceDN w:val="0"/>
        <w:adjustRightInd w:val="0"/>
        <w:spacing w:line="276" w:lineRule="auto"/>
        <w:jc w:val="both"/>
        <w:rPr>
          <w:rFonts w:eastAsia="Calibri"/>
          <w:bCs/>
          <w:i/>
          <w:iCs/>
          <w:color w:val="000000"/>
        </w:rPr>
      </w:pPr>
      <w:r>
        <w:rPr>
          <w:rFonts w:eastAsia="Calibri"/>
          <w:bCs/>
          <w:i/>
          <w:iCs/>
          <w:color w:val="000000"/>
        </w:rPr>
        <w:t>*based on Statement of Receipts and Disbursement (SORD) as of 12/31/22</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As shown in the table, a significant amount of P186,882,153.97 or 44% still remained unutilized as at year-end. Verification of the implementation of the foregoing projects disclosed the following observations:</w:t>
      </w:r>
    </w:p>
    <w:p>
      <w:pPr>
        <w:autoSpaceDE w:val="0"/>
        <w:autoSpaceDN w:val="0"/>
        <w:adjustRightInd w:val="0"/>
        <w:spacing w:line="276" w:lineRule="auto"/>
        <w:ind w:firstLine="720"/>
        <w:jc w:val="both"/>
        <w:rPr>
          <w:rFonts w:eastAsia="Calibri"/>
          <w:bCs/>
          <w:color w:val="000000"/>
        </w:rPr>
      </w:pPr>
    </w:p>
    <w:p>
      <w:pPr>
        <w:numPr>
          <w:ilvl w:val="0"/>
          <w:numId w:val="51"/>
        </w:numPr>
        <w:autoSpaceDE w:val="0"/>
        <w:autoSpaceDN w:val="0"/>
        <w:adjustRightInd w:val="0"/>
        <w:spacing w:line="276" w:lineRule="auto"/>
        <w:ind w:left="360"/>
        <w:contextualSpacing/>
        <w:jc w:val="both"/>
        <w:rPr>
          <w:rFonts w:eastAsia="Calibri"/>
          <w:b/>
          <w:i/>
          <w:iCs/>
          <w:color w:val="000000"/>
        </w:rPr>
      </w:pPr>
      <w:r>
        <w:rPr>
          <w:rFonts w:eastAsia="Calibri"/>
          <w:b/>
          <w:i/>
          <w:iCs/>
          <w:color w:val="000000"/>
        </w:rPr>
        <w:t>Projects totaling P56,717,677.63 were completed beyond the target date of completion specified in the Approved Budget for the Contract (ABC)/Program of Work (POW)</w:t>
      </w:r>
    </w:p>
    <w:p>
      <w:pPr>
        <w:autoSpaceDE w:val="0"/>
        <w:autoSpaceDN w:val="0"/>
        <w:adjustRightInd w:val="0"/>
        <w:spacing w:line="276" w:lineRule="auto"/>
        <w:jc w:val="both"/>
        <w:rPr>
          <w:rFonts w:eastAsia="Calibri"/>
          <w:bCs/>
          <w:color w:val="000000"/>
          <w:highlight w:val="yellow"/>
        </w:rPr>
      </w:pPr>
    </w:p>
    <w:p>
      <w:pPr>
        <w:autoSpaceDE w:val="0"/>
        <w:autoSpaceDN w:val="0"/>
        <w:adjustRightInd w:val="0"/>
        <w:spacing w:line="276" w:lineRule="auto"/>
        <w:jc w:val="both"/>
        <w:rPr>
          <w:rFonts w:eastAsia="Calibri"/>
          <w:bCs/>
          <w:i/>
          <w:color w:val="000000"/>
        </w:rPr>
      </w:pPr>
      <w:r>
        <w:rPr>
          <w:rFonts w:eastAsia="Calibri"/>
          <w:bCs/>
          <w:i/>
          <w:color w:val="000000"/>
        </w:rPr>
        <w:t>Table 23.2. Projects completed beyond the Target Completion Date</w:t>
      </w:r>
    </w:p>
    <w:tbl>
      <w:tblPr>
        <w:tblStyle w:val="TableGrid42"/>
        <w:tblW w:w="0" w:type="auto"/>
        <w:jc w:val="center"/>
        <w:tblLook w:val="04A0" w:firstRow="1" w:lastRow="0" w:firstColumn="1" w:lastColumn="0" w:noHBand="0" w:noVBand="1"/>
      </w:tblPr>
      <w:tblGrid>
        <w:gridCol w:w="2072"/>
        <w:gridCol w:w="1616"/>
        <w:gridCol w:w="1318"/>
        <w:gridCol w:w="1316"/>
        <w:gridCol w:w="1536"/>
        <w:gridCol w:w="998"/>
      </w:tblGrid>
      <w:tr>
        <w:trPr>
          <w:tblHeader/>
          <w:jc w:val="center"/>
        </w:trPr>
        <w:tc>
          <w:tcPr>
            <w:tcW w:w="2744"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Project</w:t>
            </w:r>
          </w:p>
        </w:tc>
        <w:tc>
          <w:tcPr>
            <w:tcW w:w="1459"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Contract Cost</w:t>
            </w:r>
          </w:p>
        </w:tc>
        <w:tc>
          <w:tcPr>
            <w:tcW w:w="1391"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Duration per POW/ABC in Calendar Days (CD)</w:t>
            </w:r>
          </w:p>
        </w:tc>
        <w:tc>
          <w:tcPr>
            <w:tcW w:w="1316"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Target Date of Completion (TDC)*</w:t>
            </w:r>
          </w:p>
        </w:tc>
        <w:tc>
          <w:tcPr>
            <w:tcW w:w="1416"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Actual Date of Completion**</w:t>
            </w:r>
          </w:p>
        </w:tc>
        <w:tc>
          <w:tcPr>
            <w:tcW w:w="1034"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No. of Days Delayed</w:t>
            </w:r>
          </w:p>
        </w:tc>
      </w:tr>
      <w:tr>
        <w:trPr>
          <w:jc w:val="center"/>
        </w:trPr>
        <w:tc>
          <w:tcPr>
            <w:tcW w:w="2744" w:type="dxa"/>
          </w:tcPr>
          <w:p>
            <w:pPr>
              <w:numPr>
                <w:ilvl w:val="0"/>
                <w:numId w:val="55"/>
              </w:numPr>
              <w:autoSpaceDE w:val="0"/>
              <w:autoSpaceDN w:val="0"/>
              <w:adjustRightInd w:val="0"/>
              <w:spacing w:line="276" w:lineRule="auto"/>
              <w:ind w:left="252" w:hanging="294"/>
              <w:jc w:val="both"/>
              <w:rPr>
                <w:rFonts w:eastAsia="Calibri"/>
                <w:bCs/>
                <w:color w:val="000000"/>
                <w:sz w:val="22"/>
                <w:szCs w:val="22"/>
              </w:rPr>
            </w:pPr>
            <w:r>
              <w:rPr>
                <w:rFonts w:eastAsia="Calibri"/>
                <w:bCs/>
                <w:color w:val="000000"/>
                <w:sz w:val="22"/>
                <w:szCs w:val="22"/>
              </w:rPr>
              <w:t xml:space="preserve">Improvement of Water System at </w:t>
            </w:r>
            <w:proofErr w:type="spellStart"/>
            <w:r>
              <w:rPr>
                <w:rFonts w:eastAsia="Calibri"/>
                <w:bCs/>
                <w:color w:val="000000"/>
                <w:sz w:val="22"/>
                <w:szCs w:val="22"/>
              </w:rPr>
              <w:t>Brgy</w:t>
            </w:r>
            <w:proofErr w:type="spellEnd"/>
            <w:r>
              <w:rPr>
                <w:rFonts w:eastAsia="Calibri"/>
                <w:bCs/>
                <w:color w:val="000000"/>
                <w:sz w:val="22"/>
                <w:szCs w:val="22"/>
              </w:rPr>
              <w:t xml:space="preserve">. </w:t>
            </w:r>
            <w:proofErr w:type="spellStart"/>
            <w:r>
              <w:rPr>
                <w:rFonts w:eastAsia="Calibri"/>
                <w:bCs/>
                <w:color w:val="000000"/>
                <w:sz w:val="22"/>
                <w:szCs w:val="22"/>
              </w:rPr>
              <w:t>Katualan</w:t>
            </w:r>
            <w:proofErr w:type="spellEnd"/>
          </w:p>
        </w:tc>
        <w:tc>
          <w:tcPr>
            <w:tcW w:w="1459" w:type="dxa"/>
          </w:tcPr>
          <w:p>
            <w:pPr>
              <w:autoSpaceDE w:val="0"/>
              <w:autoSpaceDN w:val="0"/>
              <w:adjustRightInd w:val="0"/>
              <w:spacing w:line="276" w:lineRule="auto"/>
              <w:jc w:val="right"/>
              <w:rPr>
                <w:rFonts w:eastAsia="Calibri"/>
                <w:bCs/>
                <w:color w:val="000000"/>
                <w:sz w:val="22"/>
                <w:szCs w:val="22"/>
              </w:rPr>
            </w:pPr>
            <w:r>
              <w:rPr>
                <w:sz w:val="22"/>
                <w:szCs w:val="22"/>
              </w:rPr>
              <w:t xml:space="preserve">P 4,957,105.98 </w:t>
            </w:r>
          </w:p>
        </w:tc>
        <w:tc>
          <w:tcPr>
            <w:tcW w:w="1391"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120 CD</w:t>
            </w:r>
          </w:p>
        </w:tc>
        <w:tc>
          <w:tcPr>
            <w:tcW w:w="13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05/14/2022</w:t>
            </w:r>
          </w:p>
        </w:tc>
        <w:tc>
          <w:tcPr>
            <w:tcW w:w="14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12/07/2022</w:t>
            </w:r>
          </w:p>
        </w:tc>
        <w:tc>
          <w:tcPr>
            <w:tcW w:w="103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207 CD</w:t>
            </w:r>
          </w:p>
        </w:tc>
      </w:tr>
      <w:tr>
        <w:trPr>
          <w:jc w:val="center"/>
        </w:trPr>
        <w:tc>
          <w:tcPr>
            <w:tcW w:w="2744" w:type="dxa"/>
          </w:tcPr>
          <w:p>
            <w:pPr>
              <w:numPr>
                <w:ilvl w:val="0"/>
                <w:numId w:val="55"/>
              </w:numPr>
              <w:autoSpaceDE w:val="0"/>
              <w:autoSpaceDN w:val="0"/>
              <w:adjustRightInd w:val="0"/>
              <w:spacing w:line="276" w:lineRule="auto"/>
              <w:ind w:left="252" w:hanging="294"/>
              <w:jc w:val="both"/>
              <w:rPr>
                <w:rFonts w:eastAsia="Calibri"/>
                <w:bCs/>
                <w:color w:val="000000"/>
                <w:sz w:val="22"/>
                <w:szCs w:val="22"/>
              </w:rPr>
            </w:pPr>
            <w:r>
              <w:rPr>
                <w:rFonts w:eastAsia="Calibri"/>
                <w:bCs/>
                <w:color w:val="000000"/>
                <w:sz w:val="22"/>
                <w:szCs w:val="22"/>
              </w:rPr>
              <w:t xml:space="preserve">Construction of Level III Water System at </w:t>
            </w:r>
            <w:proofErr w:type="spellStart"/>
            <w:r>
              <w:rPr>
                <w:rFonts w:eastAsia="Calibri"/>
                <w:bCs/>
                <w:color w:val="000000"/>
                <w:sz w:val="22"/>
                <w:szCs w:val="22"/>
              </w:rPr>
              <w:t>Brgy</w:t>
            </w:r>
            <w:proofErr w:type="spellEnd"/>
            <w:r>
              <w:rPr>
                <w:rFonts w:eastAsia="Calibri"/>
                <w:bCs/>
                <w:color w:val="000000"/>
                <w:sz w:val="22"/>
                <w:szCs w:val="22"/>
              </w:rPr>
              <w:t>. Buenavista</w:t>
            </w:r>
          </w:p>
        </w:tc>
        <w:tc>
          <w:tcPr>
            <w:tcW w:w="1459" w:type="dxa"/>
          </w:tcPr>
          <w:p>
            <w:pPr>
              <w:autoSpaceDE w:val="0"/>
              <w:autoSpaceDN w:val="0"/>
              <w:adjustRightInd w:val="0"/>
              <w:spacing w:line="276" w:lineRule="auto"/>
              <w:jc w:val="right"/>
              <w:rPr>
                <w:rFonts w:eastAsia="Calibri"/>
                <w:bCs/>
                <w:color w:val="000000"/>
                <w:sz w:val="22"/>
                <w:szCs w:val="22"/>
              </w:rPr>
            </w:pPr>
            <w:r>
              <w:rPr>
                <w:sz w:val="22"/>
                <w:szCs w:val="22"/>
              </w:rPr>
              <w:t xml:space="preserve"> 9,984,948.81 </w:t>
            </w:r>
          </w:p>
        </w:tc>
        <w:tc>
          <w:tcPr>
            <w:tcW w:w="1391"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195 CD</w:t>
            </w:r>
          </w:p>
        </w:tc>
        <w:tc>
          <w:tcPr>
            <w:tcW w:w="13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06/26/2022</w:t>
            </w:r>
          </w:p>
        </w:tc>
        <w:tc>
          <w:tcPr>
            <w:tcW w:w="14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10/07/2022</w:t>
            </w:r>
          </w:p>
        </w:tc>
        <w:tc>
          <w:tcPr>
            <w:tcW w:w="103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103 CD</w:t>
            </w:r>
          </w:p>
        </w:tc>
      </w:tr>
      <w:tr>
        <w:trPr>
          <w:jc w:val="center"/>
        </w:trPr>
        <w:tc>
          <w:tcPr>
            <w:tcW w:w="2744" w:type="dxa"/>
          </w:tcPr>
          <w:p>
            <w:pPr>
              <w:numPr>
                <w:ilvl w:val="0"/>
                <w:numId w:val="55"/>
              </w:numPr>
              <w:autoSpaceDE w:val="0"/>
              <w:autoSpaceDN w:val="0"/>
              <w:adjustRightInd w:val="0"/>
              <w:spacing w:line="276" w:lineRule="auto"/>
              <w:ind w:left="252" w:hanging="294"/>
              <w:jc w:val="both"/>
              <w:rPr>
                <w:rFonts w:eastAsia="Calibri"/>
                <w:bCs/>
                <w:color w:val="000000"/>
                <w:sz w:val="22"/>
                <w:szCs w:val="22"/>
              </w:rPr>
            </w:pPr>
            <w:r>
              <w:rPr>
                <w:rFonts w:eastAsia="Calibri"/>
                <w:bCs/>
                <w:color w:val="000000"/>
                <w:sz w:val="22"/>
                <w:szCs w:val="22"/>
              </w:rPr>
              <w:t xml:space="preserve">Water System at </w:t>
            </w:r>
            <w:proofErr w:type="spellStart"/>
            <w:r>
              <w:rPr>
                <w:rFonts w:eastAsia="Calibri"/>
                <w:bCs/>
                <w:color w:val="000000"/>
                <w:sz w:val="22"/>
                <w:szCs w:val="22"/>
              </w:rPr>
              <w:t>Brgy</w:t>
            </w:r>
            <w:proofErr w:type="spellEnd"/>
            <w:r>
              <w:rPr>
                <w:rFonts w:eastAsia="Calibri"/>
                <w:bCs/>
                <w:color w:val="000000"/>
                <w:sz w:val="22"/>
                <w:szCs w:val="22"/>
              </w:rPr>
              <w:t>. Cacao</w:t>
            </w:r>
          </w:p>
        </w:tc>
        <w:tc>
          <w:tcPr>
            <w:tcW w:w="1459" w:type="dxa"/>
          </w:tcPr>
          <w:p>
            <w:pPr>
              <w:autoSpaceDE w:val="0"/>
              <w:autoSpaceDN w:val="0"/>
              <w:adjustRightInd w:val="0"/>
              <w:spacing w:line="276" w:lineRule="auto"/>
              <w:jc w:val="right"/>
              <w:rPr>
                <w:rFonts w:eastAsia="Calibri"/>
                <w:bCs/>
                <w:color w:val="000000"/>
                <w:sz w:val="22"/>
                <w:szCs w:val="22"/>
              </w:rPr>
            </w:pPr>
            <w:r>
              <w:rPr>
                <w:sz w:val="22"/>
                <w:szCs w:val="22"/>
              </w:rPr>
              <w:t xml:space="preserve"> 2,997,934.63 </w:t>
            </w:r>
          </w:p>
        </w:tc>
        <w:tc>
          <w:tcPr>
            <w:tcW w:w="1391"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138 CD</w:t>
            </w:r>
          </w:p>
        </w:tc>
        <w:tc>
          <w:tcPr>
            <w:tcW w:w="13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04/30/2022</w:t>
            </w:r>
          </w:p>
        </w:tc>
        <w:tc>
          <w:tcPr>
            <w:tcW w:w="14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06/02/2022</w:t>
            </w:r>
          </w:p>
        </w:tc>
        <w:tc>
          <w:tcPr>
            <w:tcW w:w="103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33 CD</w:t>
            </w:r>
          </w:p>
        </w:tc>
      </w:tr>
      <w:tr>
        <w:trPr>
          <w:jc w:val="center"/>
        </w:trPr>
        <w:tc>
          <w:tcPr>
            <w:tcW w:w="2744" w:type="dxa"/>
          </w:tcPr>
          <w:p>
            <w:pPr>
              <w:numPr>
                <w:ilvl w:val="0"/>
                <w:numId w:val="55"/>
              </w:numPr>
              <w:autoSpaceDE w:val="0"/>
              <w:autoSpaceDN w:val="0"/>
              <w:adjustRightInd w:val="0"/>
              <w:spacing w:line="276" w:lineRule="auto"/>
              <w:ind w:left="252" w:hanging="294"/>
              <w:jc w:val="both"/>
              <w:rPr>
                <w:rFonts w:eastAsia="Calibri"/>
                <w:bCs/>
                <w:color w:val="000000"/>
                <w:sz w:val="22"/>
                <w:szCs w:val="22"/>
              </w:rPr>
            </w:pPr>
            <w:r>
              <w:rPr>
                <w:rFonts w:eastAsia="Calibri"/>
                <w:bCs/>
                <w:color w:val="000000"/>
                <w:sz w:val="22"/>
                <w:szCs w:val="22"/>
              </w:rPr>
              <w:t xml:space="preserve">Upgrading of Local Roads at </w:t>
            </w:r>
            <w:proofErr w:type="spellStart"/>
            <w:r>
              <w:rPr>
                <w:rFonts w:eastAsia="Calibri"/>
                <w:bCs/>
                <w:color w:val="000000"/>
                <w:sz w:val="22"/>
                <w:szCs w:val="22"/>
              </w:rPr>
              <w:t>Brgy</w:t>
            </w:r>
            <w:proofErr w:type="spellEnd"/>
            <w:r>
              <w:rPr>
                <w:rFonts w:eastAsia="Calibri"/>
                <w:bCs/>
                <w:color w:val="000000"/>
                <w:sz w:val="22"/>
                <w:szCs w:val="22"/>
              </w:rPr>
              <w:t xml:space="preserve">. New </w:t>
            </w:r>
            <w:proofErr w:type="spellStart"/>
            <w:r>
              <w:rPr>
                <w:rFonts w:eastAsia="Calibri"/>
                <w:bCs/>
                <w:color w:val="000000"/>
                <w:sz w:val="22"/>
                <w:szCs w:val="22"/>
              </w:rPr>
              <w:t>Malitbog</w:t>
            </w:r>
            <w:proofErr w:type="spellEnd"/>
          </w:p>
        </w:tc>
        <w:tc>
          <w:tcPr>
            <w:tcW w:w="1459" w:type="dxa"/>
          </w:tcPr>
          <w:p>
            <w:pPr>
              <w:autoSpaceDE w:val="0"/>
              <w:autoSpaceDN w:val="0"/>
              <w:adjustRightInd w:val="0"/>
              <w:spacing w:line="276" w:lineRule="auto"/>
              <w:jc w:val="right"/>
              <w:rPr>
                <w:rFonts w:eastAsia="Calibri"/>
                <w:bCs/>
                <w:color w:val="000000"/>
                <w:sz w:val="22"/>
                <w:szCs w:val="22"/>
              </w:rPr>
            </w:pPr>
            <w:r>
              <w:rPr>
                <w:sz w:val="22"/>
                <w:szCs w:val="22"/>
              </w:rPr>
              <w:t>4,994,503.10</w:t>
            </w:r>
          </w:p>
        </w:tc>
        <w:tc>
          <w:tcPr>
            <w:tcW w:w="1391"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60 CD</w:t>
            </w:r>
          </w:p>
        </w:tc>
        <w:tc>
          <w:tcPr>
            <w:tcW w:w="13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05/16/2022</w:t>
            </w:r>
          </w:p>
        </w:tc>
        <w:tc>
          <w:tcPr>
            <w:tcW w:w="14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07/07/2022</w:t>
            </w:r>
          </w:p>
        </w:tc>
        <w:tc>
          <w:tcPr>
            <w:tcW w:w="103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52 CD</w:t>
            </w:r>
          </w:p>
        </w:tc>
      </w:tr>
      <w:tr>
        <w:trPr>
          <w:jc w:val="center"/>
        </w:trPr>
        <w:tc>
          <w:tcPr>
            <w:tcW w:w="2744" w:type="dxa"/>
          </w:tcPr>
          <w:p>
            <w:pPr>
              <w:numPr>
                <w:ilvl w:val="0"/>
                <w:numId w:val="55"/>
              </w:numPr>
              <w:autoSpaceDE w:val="0"/>
              <w:autoSpaceDN w:val="0"/>
              <w:adjustRightInd w:val="0"/>
              <w:spacing w:line="276" w:lineRule="auto"/>
              <w:ind w:left="252" w:hanging="294"/>
              <w:jc w:val="both"/>
              <w:rPr>
                <w:rFonts w:eastAsia="Calibri"/>
                <w:bCs/>
                <w:color w:val="000000"/>
                <w:sz w:val="22"/>
                <w:szCs w:val="22"/>
              </w:rPr>
            </w:pPr>
            <w:r>
              <w:rPr>
                <w:rFonts w:eastAsia="Calibri"/>
                <w:bCs/>
                <w:color w:val="000000"/>
                <w:sz w:val="22"/>
                <w:szCs w:val="22"/>
              </w:rPr>
              <w:t xml:space="preserve">Upgrading of Local Access Road- Concreting of Road at Purok </w:t>
            </w:r>
            <w:proofErr w:type="spellStart"/>
            <w:r>
              <w:rPr>
                <w:rFonts w:eastAsia="Calibri"/>
                <w:bCs/>
                <w:color w:val="000000"/>
                <w:sz w:val="22"/>
                <w:szCs w:val="22"/>
              </w:rPr>
              <w:t>Petchay</w:t>
            </w:r>
            <w:proofErr w:type="spellEnd"/>
            <w:r>
              <w:rPr>
                <w:rFonts w:eastAsia="Calibri"/>
                <w:bCs/>
                <w:color w:val="000000"/>
                <w:sz w:val="22"/>
                <w:szCs w:val="22"/>
              </w:rPr>
              <w:t xml:space="preserve">, </w:t>
            </w:r>
            <w:proofErr w:type="spellStart"/>
            <w:r>
              <w:rPr>
                <w:rFonts w:eastAsia="Calibri"/>
                <w:bCs/>
                <w:color w:val="000000"/>
                <w:sz w:val="22"/>
                <w:szCs w:val="22"/>
              </w:rPr>
              <w:t>Brgy</w:t>
            </w:r>
            <w:proofErr w:type="spellEnd"/>
            <w:r>
              <w:rPr>
                <w:rFonts w:eastAsia="Calibri"/>
                <w:bCs/>
                <w:color w:val="000000"/>
                <w:sz w:val="22"/>
                <w:szCs w:val="22"/>
              </w:rPr>
              <w:t xml:space="preserve">. </w:t>
            </w:r>
            <w:proofErr w:type="spellStart"/>
            <w:r>
              <w:rPr>
                <w:rFonts w:eastAsia="Calibri"/>
                <w:bCs/>
                <w:color w:val="000000"/>
                <w:sz w:val="22"/>
                <w:szCs w:val="22"/>
              </w:rPr>
              <w:t>Nanyo</w:t>
            </w:r>
            <w:proofErr w:type="spellEnd"/>
          </w:p>
        </w:tc>
        <w:tc>
          <w:tcPr>
            <w:tcW w:w="1459" w:type="dxa"/>
          </w:tcPr>
          <w:p>
            <w:pPr>
              <w:autoSpaceDE w:val="0"/>
              <w:autoSpaceDN w:val="0"/>
              <w:adjustRightInd w:val="0"/>
              <w:spacing w:line="276" w:lineRule="auto"/>
              <w:jc w:val="right"/>
              <w:rPr>
                <w:rFonts w:eastAsia="Calibri"/>
                <w:bCs/>
                <w:color w:val="000000"/>
                <w:sz w:val="22"/>
                <w:szCs w:val="22"/>
              </w:rPr>
            </w:pPr>
            <w:r>
              <w:rPr>
                <w:sz w:val="22"/>
                <w:szCs w:val="22"/>
              </w:rPr>
              <w:t>4,989,042.23</w:t>
            </w:r>
          </w:p>
        </w:tc>
        <w:tc>
          <w:tcPr>
            <w:tcW w:w="1391"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90 CD</w:t>
            </w:r>
          </w:p>
        </w:tc>
        <w:tc>
          <w:tcPr>
            <w:tcW w:w="13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06/13/2022</w:t>
            </w:r>
          </w:p>
        </w:tc>
        <w:tc>
          <w:tcPr>
            <w:tcW w:w="14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09/01/2022</w:t>
            </w:r>
          </w:p>
        </w:tc>
        <w:tc>
          <w:tcPr>
            <w:tcW w:w="103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80 CD</w:t>
            </w:r>
          </w:p>
        </w:tc>
      </w:tr>
      <w:tr>
        <w:trPr>
          <w:jc w:val="center"/>
        </w:trPr>
        <w:tc>
          <w:tcPr>
            <w:tcW w:w="2744" w:type="dxa"/>
          </w:tcPr>
          <w:p>
            <w:pPr>
              <w:numPr>
                <w:ilvl w:val="0"/>
                <w:numId w:val="55"/>
              </w:numPr>
              <w:autoSpaceDE w:val="0"/>
              <w:autoSpaceDN w:val="0"/>
              <w:adjustRightInd w:val="0"/>
              <w:spacing w:line="276" w:lineRule="auto"/>
              <w:ind w:left="252" w:hanging="294"/>
              <w:jc w:val="both"/>
              <w:rPr>
                <w:rFonts w:eastAsia="Calibri"/>
                <w:bCs/>
                <w:color w:val="000000"/>
                <w:sz w:val="22"/>
                <w:szCs w:val="22"/>
              </w:rPr>
            </w:pPr>
            <w:r>
              <w:rPr>
                <w:rFonts w:eastAsia="Calibri"/>
                <w:bCs/>
                <w:color w:val="000000"/>
                <w:sz w:val="22"/>
                <w:szCs w:val="22"/>
              </w:rPr>
              <w:lastRenderedPageBreak/>
              <w:t xml:space="preserve">Construction of Barangay Health Station at </w:t>
            </w:r>
            <w:proofErr w:type="spellStart"/>
            <w:r>
              <w:rPr>
                <w:rFonts w:eastAsia="Calibri"/>
                <w:bCs/>
                <w:color w:val="000000"/>
                <w:sz w:val="22"/>
                <w:szCs w:val="22"/>
              </w:rPr>
              <w:t>Brgy</w:t>
            </w:r>
            <w:proofErr w:type="spellEnd"/>
            <w:r>
              <w:rPr>
                <w:rFonts w:eastAsia="Calibri"/>
                <w:bCs/>
                <w:color w:val="000000"/>
                <w:sz w:val="22"/>
                <w:szCs w:val="22"/>
              </w:rPr>
              <w:t xml:space="preserve">. </w:t>
            </w:r>
            <w:proofErr w:type="spellStart"/>
            <w:r>
              <w:rPr>
                <w:rFonts w:eastAsia="Calibri"/>
                <w:bCs/>
                <w:color w:val="000000"/>
                <w:sz w:val="22"/>
                <w:szCs w:val="22"/>
              </w:rPr>
              <w:t>Kasilak</w:t>
            </w:r>
            <w:proofErr w:type="spellEnd"/>
          </w:p>
        </w:tc>
        <w:tc>
          <w:tcPr>
            <w:tcW w:w="1459" w:type="dxa"/>
          </w:tcPr>
          <w:p>
            <w:pPr>
              <w:autoSpaceDE w:val="0"/>
              <w:autoSpaceDN w:val="0"/>
              <w:adjustRightInd w:val="0"/>
              <w:spacing w:line="276" w:lineRule="auto"/>
              <w:jc w:val="right"/>
              <w:rPr>
                <w:rFonts w:eastAsia="Calibri"/>
                <w:bCs/>
                <w:color w:val="000000"/>
                <w:sz w:val="22"/>
                <w:szCs w:val="22"/>
              </w:rPr>
            </w:pPr>
            <w:r>
              <w:rPr>
                <w:sz w:val="22"/>
                <w:szCs w:val="22"/>
              </w:rPr>
              <w:t>2,893,493.65</w:t>
            </w:r>
          </w:p>
        </w:tc>
        <w:tc>
          <w:tcPr>
            <w:tcW w:w="1391"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100 CD</w:t>
            </w:r>
          </w:p>
        </w:tc>
        <w:tc>
          <w:tcPr>
            <w:tcW w:w="13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07/22/2022</w:t>
            </w:r>
          </w:p>
        </w:tc>
        <w:tc>
          <w:tcPr>
            <w:tcW w:w="14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09/17/2022</w:t>
            </w:r>
          </w:p>
        </w:tc>
        <w:tc>
          <w:tcPr>
            <w:tcW w:w="103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57 CD</w:t>
            </w:r>
          </w:p>
        </w:tc>
      </w:tr>
      <w:tr>
        <w:trPr>
          <w:jc w:val="center"/>
        </w:trPr>
        <w:tc>
          <w:tcPr>
            <w:tcW w:w="2744" w:type="dxa"/>
          </w:tcPr>
          <w:p>
            <w:pPr>
              <w:numPr>
                <w:ilvl w:val="0"/>
                <w:numId w:val="55"/>
              </w:numPr>
              <w:autoSpaceDE w:val="0"/>
              <w:autoSpaceDN w:val="0"/>
              <w:adjustRightInd w:val="0"/>
              <w:spacing w:line="276" w:lineRule="auto"/>
              <w:ind w:left="252" w:hanging="294"/>
              <w:jc w:val="both"/>
              <w:rPr>
                <w:rFonts w:eastAsia="Calibri"/>
                <w:bCs/>
                <w:color w:val="000000"/>
                <w:sz w:val="22"/>
                <w:szCs w:val="22"/>
              </w:rPr>
            </w:pPr>
            <w:r>
              <w:rPr>
                <w:rFonts w:eastAsia="Calibri"/>
                <w:bCs/>
                <w:color w:val="000000"/>
                <w:sz w:val="22"/>
                <w:szCs w:val="22"/>
              </w:rPr>
              <w:t xml:space="preserve">Upgrading of Local Access Road- Concreting of Roads at </w:t>
            </w:r>
            <w:proofErr w:type="spellStart"/>
            <w:r>
              <w:rPr>
                <w:rFonts w:eastAsia="Calibri"/>
                <w:bCs/>
                <w:color w:val="000000"/>
                <w:sz w:val="22"/>
                <w:szCs w:val="22"/>
              </w:rPr>
              <w:t>Brgy</w:t>
            </w:r>
            <w:proofErr w:type="spellEnd"/>
            <w:r>
              <w:rPr>
                <w:rFonts w:eastAsia="Calibri"/>
                <w:bCs/>
                <w:color w:val="000000"/>
                <w:sz w:val="22"/>
                <w:szCs w:val="22"/>
              </w:rPr>
              <w:t xml:space="preserve">. </w:t>
            </w:r>
            <w:proofErr w:type="spellStart"/>
            <w:r>
              <w:rPr>
                <w:rFonts w:eastAsia="Calibri"/>
                <w:bCs/>
                <w:color w:val="000000"/>
                <w:sz w:val="22"/>
                <w:szCs w:val="22"/>
              </w:rPr>
              <w:t>Kasilak</w:t>
            </w:r>
            <w:proofErr w:type="spellEnd"/>
          </w:p>
        </w:tc>
        <w:tc>
          <w:tcPr>
            <w:tcW w:w="1459" w:type="dxa"/>
          </w:tcPr>
          <w:p>
            <w:pPr>
              <w:autoSpaceDE w:val="0"/>
              <w:autoSpaceDN w:val="0"/>
              <w:adjustRightInd w:val="0"/>
              <w:spacing w:line="276" w:lineRule="auto"/>
              <w:jc w:val="right"/>
              <w:rPr>
                <w:rFonts w:eastAsia="Calibri"/>
                <w:bCs/>
                <w:color w:val="000000"/>
                <w:sz w:val="22"/>
                <w:szCs w:val="22"/>
              </w:rPr>
            </w:pPr>
            <w:r>
              <w:rPr>
                <w:sz w:val="22"/>
                <w:szCs w:val="22"/>
              </w:rPr>
              <w:t>9,950,461.30</w:t>
            </w:r>
          </w:p>
        </w:tc>
        <w:tc>
          <w:tcPr>
            <w:tcW w:w="1391"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120 CD</w:t>
            </w:r>
          </w:p>
        </w:tc>
        <w:tc>
          <w:tcPr>
            <w:tcW w:w="13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08/09/2022</w:t>
            </w:r>
          </w:p>
        </w:tc>
        <w:tc>
          <w:tcPr>
            <w:tcW w:w="14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10/07/2022</w:t>
            </w:r>
          </w:p>
        </w:tc>
        <w:tc>
          <w:tcPr>
            <w:tcW w:w="103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59 CD</w:t>
            </w:r>
          </w:p>
        </w:tc>
      </w:tr>
      <w:tr>
        <w:trPr>
          <w:jc w:val="center"/>
        </w:trPr>
        <w:tc>
          <w:tcPr>
            <w:tcW w:w="2744" w:type="dxa"/>
          </w:tcPr>
          <w:p>
            <w:pPr>
              <w:numPr>
                <w:ilvl w:val="0"/>
                <w:numId w:val="55"/>
              </w:numPr>
              <w:autoSpaceDE w:val="0"/>
              <w:autoSpaceDN w:val="0"/>
              <w:adjustRightInd w:val="0"/>
              <w:spacing w:line="276" w:lineRule="auto"/>
              <w:ind w:left="318"/>
              <w:jc w:val="both"/>
              <w:rPr>
                <w:rFonts w:eastAsia="Calibri"/>
                <w:bCs/>
                <w:color w:val="000000"/>
                <w:sz w:val="22"/>
                <w:szCs w:val="22"/>
              </w:rPr>
            </w:pPr>
            <w:r>
              <w:rPr>
                <w:rFonts w:eastAsia="Calibri"/>
                <w:bCs/>
                <w:color w:val="000000"/>
                <w:sz w:val="22"/>
                <w:szCs w:val="22"/>
              </w:rPr>
              <w:t xml:space="preserve">Upgrading of Local Access Road at </w:t>
            </w:r>
            <w:proofErr w:type="spellStart"/>
            <w:r>
              <w:rPr>
                <w:rFonts w:eastAsia="Calibri"/>
                <w:bCs/>
                <w:color w:val="000000"/>
                <w:sz w:val="22"/>
                <w:szCs w:val="22"/>
              </w:rPr>
              <w:t>Brgy</w:t>
            </w:r>
            <w:proofErr w:type="spellEnd"/>
            <w:r>
              <w:rPr>
                <w:rFonts w:eastAsia="Calibri"/>
                <w:bCs/>
                <w:color w:val="000000"/>
                <w:sz w:val="22"/>
                <w:szCs w:val="22"/>
              </w:rPr>
              <w:t>. Katipunan</w:t>
            </w:r>
          </w:p>
        </w:tc>
        <w:tc>
          <w:tcPr>
            <w:tcW w:w="1459" w:type="dxa"/>
          </w:tcPr>
          <w:p>
            <w:pPr>
              <w:autoSpaceDE w:val="0"/>
              <w:autoSpaceDN w:val="0"/>
              <w:adjustRightInd w:val="0"/>
              <w:spacing w:line="276" w:lineRule="auto"/>
              <w:jc w:val="right"/>
              <w:rPr>
                <w:rFonts w:eastAsia="Calibri"/>
                <w:bCs/>
                <w:color w:val="000000"/>
                <w:sz w:val="22"/>
                <w:szCs w:val="22"/>
              </w:rPr>
            </w:pPr>
            <w:r>
              <w:rPr>
                <w:sz w:val="22"/>
                <w:szCs w:val="22"/>
              </w:rPr>
              <w:t>15,950,187.93</w:t>
            </w:r>
          </w:p>
        </w:tc>
        <w:tc>
          <w:tcPr>
            <w:tcW w:w="1391"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120 CD</w:t>
            </w:r>
          </w:p>
        </w:tc>
        <w:tc>
          <w:tcPr>
            <w:tcW w:w="13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08/02/2022</w:t>
            </w:r>
          </w:p>
        </w:tc>
        <w:tc>
          <w:tcPr>
            <w:tcW w:w="141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09/16/2022</w:t>
            </w:r>
          </w:p>
        </w:tc>
        <w:tc>
          <w:tcPr>
            <w:tcW w:w="103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45 CD</w:t>
            </w:r>
          </w:p>
        </w:tc>
      </w:tr>
      <w:tr>
        <w:trPr>
          <w:jc w:val="center"/>
        </w:trPr>
        <w:tc>
          <w:tcPr>
            <w:tcW w:w="2744" w:type="dxa"/>
          </w:tcPr>
          <w:p>
            <w:pPr>
              <w:autoSpaceDE w:val="0"/>
              <w:autoSpaceDN w:val="0"/>
              <w:adjustRightInd w:val="0"/>
              <w:spacing w:line="276" w:lineRule="auto"/>
              <w:jc w:val="both"/>
              <w:rPr>
                <w:rFonts w:eastAsia="Calibri"/>
                <w:b/>
                <w:color w:val="000000"/>
                <w:sz w:val="22"/>
                <w:szCs w:val="22"/>
              </w:rPr>
            </w:pPr>
            <w:r>
              <w:rPr>
                <w:rFonts w:eastAsia="Calibri"/>
                <w:b/>
                <w:color w:val="000000"/>
                <w:sz w:val="22"/>
                <w:szCs w:val="22"/>
              </w:rPr>
              <w:t>Total</w:t>
            </w:r>
          </w:p>
        </w:tc>
        <w:tc>
          <w:tcPr>
            <w:tcW w:w="1459" w:type="dxa"/>
            <w:vAlign w:val="bottom"/>
          </w:tcPr>
          <w:p>
            <w:pPr>
              <w:autoSpaceDE w:val="0"/>
              <w:autoSpaceDN w:val="0"/>
              <w:adjustRightInd w:val="0"/>
              <w:spacing w:line="276" w:lineRule="auto"/>
              <w:jc w:val="right"/>
              <w:rPr>
                <w:rFonts w:eastAsia="Calibri"/>
                <w:b/>
                <w:color w:val="000000"/>
                <w:sz w:val="22"/>
                <w:szCs w:val="22"/>
              </w:rPr>
            </w:pPr>
            <w:r>
              <w:rPr>
                <w:rFonts w:eastAsia="Calibri"/>
                <w:b/>
                <w:color w:val="000000"/>
                <w:sz w:val="22"/>
                <w:szCs w:val="22"/>
              </w:rPr>
              <w:t>P56,717,677.63</w:t>
            </w:r>
          </w:p>
        </w:tc>
        <w:tc>
          <w:tcPr>
            <w:tcW w:w="1391" w:type="dxa"/>
          </w:tcPr>
          <w:p>
            <w:pPr>
              <w:autoSpaceDE w:val="0"/>
              <w:autoSpaceDN w:val="0"/>
              <w:adjustRightInd w:val="0"/>
              <w:spacing w:line="276" w:lineRule="auto"/>
              <w:jc w:val="both"/>
              <w:rPr>
                <w:rFonts w:eastAsia="Calibri"/>
                <w:bCs/>
                <w:color w:val="000000"/>
                <w:sz w:val="22"/>
                <w:szCs w:val="22"/>
              </w:rPr>
            </w:pPr>
          </w:p>
        </w:tc>
        <w:tc>
          <w:tcPr>
            <w:tcW w:w="1316" w:type="dxa"/>
          </w:tcPr>
          <w:p>
            <w:pPr>
              <w:autoSpaceDE w:val="0"/>
              <w:autoSpaceDN w:val="0"/>
              <w:adjustRightInd w:val="0"/>
              <w:spacing w:line="276" w:lineRule="auto"/>
              <w:jc w:val="both"/>
              <w:rPr>
                <w:rFonts w:eastAsia="Calibri"/>
                <w:bCs/>
                <w:color w:val="000000"/>
                <w:sz w:val="22"/>
                <w:szCs w:val="22"/>
              </w:rPr>
            </w:pPr>
          </w:p>
        </w:tc>
        <w:tc>
          <w:tcPr>
            <w:tcW w:w="1416" w:type="dxa"/>
          </w:tcPr>
          <w:p>
            <w:pPr>
              <w:autoSpaceDE w:val="0"/>
              <w:autoSpaceDN w:val="0"/>
              <w:adjustRightInd w:val="0"/>
              <w:spacing w:line="276" w:lineRule="auto"/>
              <w:jc w:val="both"/>
              <w:rPr>
                <w:rFonts w:eastAsia="Calibri"/>
                <w:bCs/>
                <w:color w:val="000000"/>
                <w:sz w:val="22"/>
                <w:szCs w:val="22"/>
              </w:rPr>
            </w:pPr>
          </w:p>
        </w:tc>
        <w:tc>
          <w:tcPr>
            <w:tcW w:w="1034" w:type="dxa"/>
          </w:tcPr>
          <w:p>
            <w:pPr>
              <w:autoSpaceDE w:val="0"/>
              <w:autoSpaceDN w:val="0"/>
              <w:adjustRightInd w:val="0"/>
              <w:spacing w:line="276" w:lineRule="auto"/>
              <w:jc w:val="both"/>
              <w:rPr>
                <w:rFonts w:eastAsia="Calibri"/>
                <w:bCs/>
                <w:color w:val="000000"/>
                <w:sz w:val="22"/>
                <w:szCs w:val="22"/>
              </w:rPr>
            </w:pPr>
          </w:p>
        </w:tc>
      </w:tr>
    </w:tbl>
    <w:p>
      <w:pPr>
        <w:autoSpaceDE w:val="0"/>
        <w:autoSpaceDN w:val="0"/>
        <w:adjustRightInd w:val="0"/>
        <w:spacing w:line="276" w:lineRule="auto"/>
        <w:jc w:val="both"/>
        <w:rPr>
          <w:rFonts w:eastAsia="Calibri"/>
          <w:bCs/>
          <w:i/>
          <w:iCs/>
          <w:color w:val="000000"/>
        </w:rPr>
      </w:pPr>
      <w:r>
        <w:rPr>
          <w:rFonts w:eastAsia="Calibri"/>
          <w:bCs/>
          <w:i/>
          <w:iCs/>
          <w:color w:val="000000"/>
        </w:rPr>
        <w:t>*the computed target date of completion includes the allowable maximum number of days (seven days) from the receipt of Notice to Proceed (NTP) by the contractor in order for construction works to commence</w:t>
      </w:r>
    </w:p>
    <w:p>
      <w:pPr>
        <w:autoSpaceDE w:val="0"/>
        <w:autoSpaceDN w:val="0"/>
        <w:adjustRightInd w:val="0"/>
        <w:spacing w:line="276" w:lineRule="auto"/>
        <w:jc w:val="both"/>
        <w:rPr>
          <w:rFonts w:eastAsia="Calibri"/>
          <w:bCs/>
          <w:i/>
          <w:iCs/>
          <w:color w:val="000000"/>
        </w:rPr>
      </w:pPr>
      <w:r>
        <w:rPr>
          <w:rFonts w:eastAsia="Calibri"/>
          <w:bCs/>
          <w:i/>
          <w:iCs/>
          <w:color w:val="000000"/>
        </w:rPr>
        <w:t>**based on the project monitoring status provided by the City Engineer’s Office (CEO) as at 12/31/22</w:t>
      </w:r>
    </w:p>
    <w:p>
      <w:pPr>
        <w:autoSpaceDE w:val="0"/>
        <w:autoSpaceDN w:val="0"/>
        <w:adjustRightInd w:val="0"/>
        <w:spacing w:line="276" w:lineRule="auto"/>
        <w:ind w:firstLine="720"/>
        <w:jc w:val="both"/>
        <w:rPr>
          <w:rFonts w:eastAsia="Calibri"/>
          <w:bCs/>
          <w:i/>
          <w:iCs/>
          <w:color w:val="000000"/>
        </w:rPr>
      </w:pPr>
    </w:p>
    <w:p>
      <w:pPr>
        <w:autoSpaceDE w:val="0"/>
        <w:autoSpaceDN w:val="0"/>
        <w:adjustRightInd w:val="0"/>
        <w:spacing w:line="276" w:lineRule="auto"/>
        <w:jc w:val="both"/>
        <w:rPr>
          <w:rFonts w:eastAsia="Calibri"/>
          <w:bCs/>
          <w:color w:val="000000"/>
        </w:rPr>
      </w:pPr>
      <w:r>
        <w:rPr>
          <w:rFonts w:eastAsia="Calibri"/>
          <w:bCs/>
          <w:color w:val="000000"/>
        </w:rPr>
        <w:t>As illustrated in the Table 23.2, even though the projects have already been completed, it can be noted that delays were still incurred during its construction which range from 33 CD to 207 CD. Moreover, the Audit Team has not received copies of time extension and/or work suspension order to justify the incurrence of delays from the original target date of completion. As a consequence of such delays, the provision and/or delivery of timely services to the intended beneficiaries arising from the said projects has not been achieved.</w:t>
      </w:r>
    </w:p>
    <w:p>
      <w:pPr>
        <w:autoSpaceDE w:val="0"/>
        <w:autoSpaceDN w:val="0"/>
        <w:adjustRightInd w:val="0"/>
        <w:spacing w:line="276" w:lineRule="auto"/>
        <w:jc w:val="both"/>
        <w:rPr>
          <w:rFonts w:eastAsia="Calibri"/>
          <w:bCs/>
          <w:color w:val="000000"/>
        </w:rPr>
      </w:pPr>
      <w:r>
        <w:rPr>
          <w:rFonts w:eastAsia="Calibri"/>
          <w:bCs/>
          <w:color w:val="000000"/>
        </w:rPr>
        <w:t xml:space="preserve">  </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p>
    <w:p>
      <w:pPr>
        <w:numPr>
          <w:ilvl w:val="0"/>
          <w:numId w:val="51"/>
        </w:numPr>
        <w:autoSpaceDE w:val="0"/>
        <w:autoSpaceDN w:val="0"/>
        <w:adjustRightInd w:val="0"/>
        <w:spacing w:line="276" w:lineRule="auto"/>
        <w:ind w:left="360"/>
        <w:contextualSpacing/>
        <w:jc w:val="both"/>
        <w:rPr>
          <w:rFonts w:eastAsia="Calibri"/>
          <w:b/>
          <w:i/>
          <w:iCs/>
          <w:color w:val="000000"/>
        </w:rPr>
      </w:pPr>
      <w:r>
        <w:rPr>
          <w:rFonts w:eastAsia="Calibri"/>
          <w:b/>
          <w:i/>
          <w:iCs/>
          <w:color w:val="000000"/>
        </w:rPr>
        <w:lastRenderedPageBreak/>
        <w:t>Projects totaling P33,975,604.64 were not yet completed as at year-end and were already beyond the target date of completion specified in the ABC/POW</w:t>
      </w:r>
    </w:p>
    <w:p>
      <w:pPr>
        <w:autoSpaceDE w:val="0"/>
        <w:autoSpaceDN w:val="0"/>
        <w:adjustRightInd w:val="0"/>
        <w:spacing w:line="276" w:lineRule="auto"/>
        <w:jc w:val="both"/>
        <w:rPr>
          <w:rFonts w:eastAsia="Calibri"/>
          <w:iCs/>
          <w:color w:val="000000"/>
        </w:rPr>
      </w:pPr>
    </w:p>
    <w:p>
      <w:pPr>
        <w:autoSpaceDE w:val="0"/>
        <w:autoSpaceDN w:val="0"/>
        <w:adjustRightInd w:val="0"/>
        <w:spacing w:line="276" w:lineRule="auto"/>
        <w:jc w:val="both"/>
        <w:rPr>
          <w:rFonts w:eastAsia="Calibri"/>
          <w:i/>
          <w:iCs/>
          <w:color w:val="000000"/>
        </w:rPr>
      </w:pPr>
      <w:r>
        <w:rPr>
          <w:rFonts w:eastAsia="Calibri"/>
          <w:i/>
          <w:iCs/>
          <w:color w:val="000000"/>
        </w:rPr>
        <w:t>Table 23.3. On-going projects with lapse target completion as of December 31, 2022</w:t>
      </w:r>
    </w:p>
    <w:tbl>
      <w:tblPr>
        <w:tblStyle w:val="TableGrid42"/>
        <w:tblW w:w="0" w:type="auto"/>
        <w:tblInd w:w="108" w:type="dxa"/>
        <w:tblLook w:val="04A0" w:firstRow="1" w:lastRow="0" w:firstColumn="1" w:lastColumn="0" w:noHBand="0" w:noVBand="1"/>
      </w:tblPr>
      <w:tblGrid>
        <w:gridCol w:w="1903"/>
        <w:gridCol w:w="1616"/>
        <w:gridCol w:w="1346"/>
        <w:gridCol w:w="1426"/>
        <w:gridCol w:w="1387"/>
        <w:gridCol w:w="1070"/>
      </w:tblGrid>
      <w:tr>
        <w:trPr>
          <w:trHeight w:val="512"/>
          <w:tblHeader/>
        </w:trPr>
        <w:tc>
          <w:tcPr>
            <w:tcW w:w="2438"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Project</w:t>
            </w:r>
          </w:p>
        </w:tc>
        <w:tc>
          <w:tcPr>
            <w:tcW w:w="1549"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Contract Cost</w:t>
            </w:r>
          </w:p>
        </w:tc>
        <w:tc>
          <w:tcPr>
            <w:tcW w:w="1436"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Duration per POW/ABC in CD</w:t>
            </w:r>
          </w:p>
        </w:tc>
        <w:tc>
          <w:tcPr>
            <w:tcW w:w="1424"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Target Date of Completion*</w:t>
            </w:r>
          </w:p>
        </w:tc>
        <w:tc>
          <w:tcPr>
            <w:tcW w:w="1469"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Percentage of Completion as at 12/31/22**</w:t>
            </w:r>
          </w:p>
        </w:tc>
        <w:tc>
          <w:tcPr>
            <w:tcW w:w="1152" w:type="dxa"/>
            <w:vAlign w:val="center"/>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No. of Days Delayed as at 12/31/22</w:t>
            </w:r>
          </w:p>
        </w:tc>
      </w:tr>
      <w:tr>
        <w:trPr>
          <w:trHeight w:val="468"/>
        </w:trPr>
        <w:tc>
          <w:tcPr>
            <w:tcW w:w="2438" w:type="dxa"/>
          </w:tcPr>
          <w:p>
            <w:pPr>
              <w:numPr>
                <w:ilvl w:val="0"/>
                <w:numId w:val="55"/>
              </w:numPr>
              <w:autoSpaceDE w:val="0"/>
              <w:autoSpaceDN w:val="0"/>
              <w:adjustRightInd w:val="0"/>
              <w:spacing w:line="276" w:lineRule="auto"/>
              <w:ind w:left="318"/>
              <w:jc w:val="both"/>
              <w:rPr>
                <w:rFonts w:eastAsia="Calibri"/>
                <w:bCs/>
                <w:color w:val="000000"/>
                <w:sz w:val="22"/>
                <w:szCs w:val="22"/>
              </w:rPr>
            </w:pPr>
            <w:r>
              <w:rPr>
                <w:rFonts w:eastAsia="Calibri"/>
                <w:bCs/>
                <w:color w:val="000000"/>
                <w:sz w:val="22"/>
                <w:szCs w:val="22"/>
              </w:rPr>
              <w:t xml:space="preserve">Expansion of Level III Water System at </w:t>
            </w:r>
            <w:proofErr w:type="spellStart"/>
            <w:r>
              <w:rPr>
                <w:rFonts w:eastAsia="Calibri"/>
                <w:bCs/>
                <w:color w:val="000000"/>
                <w:sz w:val="22"/>
                <w:szCs w:val="22"/>
              </w:rPr>
              <w:t>Brgy</w:t>
            </w:r>
            <w:proofErr w:type="spellEnd"/>
            <w:r>
              <w:rPr>
                <w:rFonts w:eastAsia="Calibri"/>
                <w:bCs/>
                <w:color w:val="000000"/>
                <w:sz w:val="22"/>
                <w:szCs w:val="22"/>
              </w:rPr>
              <w:t>. Waterfall</w:t>
            </w:r>
          </w:p>
        </w:tc>
        <w:tc>
          <w:tcPr>
            <w:tcW w:w="1549" w:type="dxa"/>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t>P9,989,542.36</w:t>
            </w:r>
          </w:p>
        </w:tc>
        <w:tc>
          <w:tcPr>
            <w:tcW w:w="143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195 CD</w:t>
            </w:r>
          </w:p>
        </w:tc>
        <w:tc>
          <w:tcPr>
            <w:tcW w:w="142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06/26/2022</w:t>
            </w:r>
          </w:p>
        </w:tc>
        <w:tc>
          <w:tcPr>
            <w:tcW w:w="1469"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84%</w:t>
            </w:r>
          </w:p>
        </w:tc>
        <w:tc>
          <w:tcPr>
            <w:tcW w:w="1152"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188 CD</w:t>
            </w:r>
          </w:p>
        </w:tc>
      </w:tr>
      <w:tr>
        <w:trPr>
          <w:trHeight w:val="684"/>
        </w:trPr>
        <w:tc>
          <w:tcPr>
            <w:tcW w:w="2438" w:type="dxa"/>
          </w:tcPr>
          <w:p>
            <w:pPr>
              <w:numPr>
                <w:ilvl w:val="0"/>
                <w:numId w:val="55"/>
              </w:numPr>
              <w:autoSpaceDE w:val="0"/>
              <w:autoSpaceDN w:val="0"/>
              <w:adjustRightInd w:val="0"/>
              <w:spacing w:line="276" w:lineRule="auto"/>
              <w:ind w:left="318"/>
              <w:jc w:val="both"/>
              <w:rPr>
                <w:rFonts w:eastAsia="Calibri"/>
                <w:bCs/>
                <w:color w:val="000000"/>
                <w:sz w:val="22"/>
                <w:szCs w:val="22"/>
              </w:rPr>
            </w:pPr>
            <w:r>
              <w:rPr>
                <w:rFonts w:eastAsia="Calibri"/>
                <w:bCs/>
                <w:color w:val="000000"/>
                <w:sz w:val="22"/>
                <w:szCs w:val="22"/>
              </w:rPr>
              <w:t xml:space="preserve">Upgrading of Local Access Road at Purok 4 and Purok 6, </w:t>
            </w:r>
            <w:proofErr w:type="spellStart"/>
            <w:r>
              <w:rPr>
                <w:rFonts w:eastAsia="Calibri"/>
                <w:bCs/>
                <w:color w:val="000000"/>
                <w:sz w:val="22"/>
                <w:szCs w:val="22"/>
              </w:rPr>
              <w:t>Brgy</w:t>
            </w:r>
            <w:proofErr w:type="spellEnd"/>
            <w:r>
              <w:rPr>
                <w:rFonts w:eastAsia="Calibri"/>
                <w:bCs/>
                <w:color w:val="000000"/>
                <w:sz w:val="22"/>
                <w:szCs w:val="22"/>
              </w:rPr>
              <w:t>. Cacao</w:t>
            </w:r>
          </w:p>
        </w:tc>
        <w:tc>
          <w:tcPr>
            <w:tcW w:w="1549" w:type="dxa"/>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t>16,987,390.41</w:t>
            </w:r>
          </w:p>
        </w:tc>
        <w:tc>
          <w:tcPr>
            <w:tcW w:w="143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150 CD</w:t>
            </w:r>
          </w:p>
        </w:tc>
        <w:tc>
          <w:tcPr>
            <w:tcW w:w="142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09/11/2022</w:t>
            </w:r>
          </w:p>
        </w:tc>
        <w:tc>
          <w:tcPr>
            <w:tcW w:w="1469"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56%</w:t>
            </w:r>
          </w:p>
        </w:tc>
        <w:tc>
          <w:tcPr>
            <w:tcW w:w="1152"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111 CD</w:t>
            </w:r>
          </w:p>
        </w:tc>
      </w:tr>
      <w:tr>
        <w:trPr>
          <w:trHeight w:val="228"/>
        </w:trPr>
        <w:tc>
          <w:tcPr>
            <w:tcW w:w="2438" w:type="dxa"/>
          </w:tcPr>
          <w:p>
            <w:pPr>
              <w:numPr>
                <w:ilvl w:val="0"/>
                <w:numId w:val="55"/>
              </w:numPr>
              <w:autoSpaceDE w:val="0"/>
              <w:autoSpaceDN w:val="0"/>
              <w:adjustRightInd w:val="0"/>
              <w:spacing w:line="276" w:lineRule="auto"/>
              <w:ind w:left="318"/>
              <w:jc w:val="both"/>
              <w:rPr>
                <w:rFonts w:eastAsia="Calibri"/>
                <w:bCs/>
                <w:color w:val="000000"/>
                <w:sz w:val="22"/>
                <w:szCs w:val="22"/>
              </w:rPr>
            </w:pPr>
            <w:r>
              <w:rPr>
                <w:rFonts w:eastAsia="Calibri"/>
                <w:bCs/>
                <w:color w:val="000000"/>
                <w:sz w:val="22"/>
                <w:szCs w:val="22"/>
              </w:rPr>
              <w:t xml:space="preserve">Expansion of Level III Water System- Upgrading of Water System at </w:t>
            </w:r>
            <w:proofErr w:type="spellStart"/>
            <w:r>
              <w:rPr>
                <w:rFonts w:eastAsia="Calibri"/>
                <w:bCs/>
                <w:color w:val="000000"/>
                <w:sz w:val="22"/>
                <w:szCs w:val="22"/>
              </w:rPr>
              <w:t>Brgy</w:t>
            </w:r>
            <w:proofErr w:type="spellEnd"/>
            <w:r>
              <w:rPr>
                <w:rFonts w:eastAsia="Calibri"/>
                <w:bCs/>
                <w:color w:val="000000"/>
                <w:sz w:val="22"/>
                <w:szCs w:val="22"/>
              </w:rPr>
              <w:t>. San Roque</w:t>
            </w:r>
          </w:p>
        </w:tc>
        <w:tc>
          <w:tcPr>
            <w:tcW w:w="1549" w:type="dxa"/>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t>6,998,671.87</w:t>
            </w:r>
          </w:p>
        </w:tc>
        <w:tc>
          <w:tcPr>
            <w:tcW w:w="1436"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120 CD</w:t>
            </w:r>
          </w:p>
        </w:tc>
        <w:tc>
          <w:tcPr>
            <w:tcW w:w="1424"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10/22/2022</w:t>
            </w:r>
          </w:p>
        </w:tc>
        <w:tc>
          <w:tcPr>
            <w:tcW w:w="1469"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85%</w:t>
            </w:r>
          </w:p>
        </w:tc>
        <w:tc>
          <w:tcPr>
            <w:tcW w:w="1152" w:type="dxa"/>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70 CD</w:t>
            </w:r>
          </w:p>
        </w:tc>
      </w:tr>
      <w:tr>
        <w:trPr>
          <w:trHeight w:val="228"/>
        </w:trPr>
        <w:tc>
          <w:tcPr>
            <w:tcW w:w="2438" w:type="dxa"/>
          </w:tcPr>
          <w:p>
            <w:pPr>
              <w:autoSpaceDE w:val="0"/>
              <w:autoSpaceDN w:val="0"/>
              <w:adjustRightInd w:val="0"/>
              <w:spacing w:line="276" w:lineRule="auto"/>
              <w:jc w:val="both"/>
              <w:rPr>
                <w:rFonts w:eastAsia="Calibri"/>
                <w:b/>
                <w:color w:val="000000"/>
                <w:sz w:val="22"/>
                <w:szCs w:val="22"/>
              </w:rPr>
            </w:pPr>
            <w:r>
              <w:rPr>
                <w:rFonts w:eastAsia="Calibri"/>
                <w:b/>
                <w:color w:val="000000"/>
                <w:sz w:val="22"/>
                <w:szCs w:val="22"/>
              </w:rPr>
              <w:t>Total</w:t>
            </w:r>
          </w:p>
        </w:tc>
        <w:tc>
          <w:tcPr>
            <w:tcW w:w="1549" w:type="dxa"/>
          </w:tcPr>
          <w:p>
            <w:pPr>
              <w:autoSpaceDE w:val="0"/>
              <w:autoSpaceDN w:val="0"/>
              <w:adjustRightInd w:val="0"/>
              <w:spacing w:line="276" w:lineRule="auto"/>
              <w:jc w:val="right"/>
              <w:rPr>
                <w:rFonts w:eastAsia="Calibri"/>
                <w:b/>
                <w:color w:val="000000"/>
                <w:sz w:val="22"/>
                <w:szCs w:val="22"/>
              </w:rPr>
            </w:pPr>
            <w:r>
              <w:rPr>
                <w:rFonts w:eastAsia="Calibri"/>
                <w:b/>
                <w:color w:val="000000"/>
                <w:sz w:val="22"/>
                <w:szCs w:val="22"/>
              </w:rPr>
              <w:t>P33,975,604.64</w:t>
            </w:r>
          </w:p>
        </w:tc>
        <w:tc>
          <w:tcPr>
            <w:tcW w:w="1436" w:type="dxa"/>
          </w:tcPr>
          <w:p>
            <w:pPr>
              <w:autoSpaceDE w:val="0"/>
              <w:autoSpaceDN w:val="0"/>
              <w:adjustRightInd w:val="0"/>
              <w:spacing w:line="276" w:lineRule="auto"/>
              <w:jc w:val="both"/>
              <w:rPr>
                <w:rFonts w:eastAsia="Calibri"/>
                <w:bCs/>
                <w:color w:val="000000"/>
                <w:sz w:val="22"/>
                <w:szCs w:val="22"/>
              </w:rPr>
            </w:pPr>
          </w:p>
        </w:tc>
        <w:tc>
          <w:tcPr>
            <w:tcW w:w="1424" w:type="dxa"/>
          </w:tcPr>
          <w:p>
            <w:pPr>
              <w:autoSpaceDE w:val="0"/>
              <w:autoSpaceDN w:val="0"/>
              <w:adjustRightInd w:val="0"/>
              <w:spacing w:line="276" w:lineRule="auto"/>
              <w:jc w:val="both"/>
              <w:rPr>
                <w:rFonts w:eastAsia="Calibri"/>
                <w:bCs/>
                <w:color w:val="000000"/>
                <w:sz w:val="22"/>
                <w:szCs w:val="22"/>
              </w:rPr>
            </w:pPr>
          </w:p>
        </w:tc>
        <w:tc>
          <w:tcPr>
            <w:tcW w:w="1469" w:type="dxa"/>
          </w:tcPr>
          <w:p>
            <w:pPr>
              <w:autoSpaceDE w:val="0"/>
              <w:autoSpaceDN w:val="0"/>
              <w:adjustRightInd w:val="0"/>
              <w:spacing w:line="276" w:lineRule="auto"/>
              <w:jc w:val="both"/>
              <w:rPr>
                <w:rFonts w:eastAsia="Calibri"/>
                <w:bCs/>
                <w:color w:val="000000"/>
                <w:sz w:val="22"/>
                <w:szCs w:val="22"/>
              </w:rPr>
            </w:pPr>
          </w:p>
        </w:tc>
        <w:tc>
          <w:tcPr>
            <w:tcW w:w="1152" w:type="dxa"/>
            <w:vAlign w:val="bottom"/>
          </w:tcPr>
          <w:p>
            <w:pPr>
              <w:autoSpaceDE w:val="0"/>
              <w:autoSpaceDN w:val="0"/>
              <w:adjustRightInd w:val="0"/>
              <w:spacing w:line="276" w:lineRule="auto"/>
              <w:jc w:val="both"/>
              <w:rPr>
                <w:rFonts w:eastAsia="Calibri"/>
                <w:bCs/>
                <w:color w:val="000000"/>
                <w:sz w:val="22"/>
                <w:szCs w:val="22"/>
              </w:rPr>
            </w:pPr>
          </w:p>
        </w:tc>
      </w:tr>
    </w:tbl>
    <w:p>
      <w:pPr>
        <w:autoSpaceDE w:val="0"/>
        <w:autoSpaceDN w:val="0"/>
        <w:adjustRightInd w:val="0"/>
        <w:spacing w:line="276" w:lineRule="auto"/>
        <w:jc w:val="both"/>
        <w:rPr>
          <w:rFonts w:eastAsia="Calibri"/>
          <w:bCs/>
          <w:i/>
          <w:iCs/>
          <w:color w:val="000000"/>
        </w:rPr>
      </w:pPr>
      <w:r>
        <w:rPr>
          <w:rFonts w:eastAsia="Calibri"/>
          <w:bCs/>
          <w:i/>
          <w:iCs/>
          <w:color w:val="000000"/>
        </w:rPr>
        <w:t>*the computed target date of completion includes the allowable maximum number of days (seven days) from the receipt of Notice to Proceed (NTP) by the contractor in order for construction works to commence</w:t>
      </w:r>
    </w:p>
    <w:p>
      <w:pPr>
        <w:autoSpaceDE w:val="0"/>
        <w:autoSpaceDN w:val="0"/>
        <w:adjustRightInd w:val="0"/>
        <w:spacing w:line="276" w:lineRule="auto"/>
        <w:jc w:val="both"/>
        <w:rPr>
          <w:rFonts w:eastAsia="Calibri"/>
          <w:bCs/>
          <w:i/>
          <w:iCs/>
          <w:color w:val="000000"/>
        </w:rPr>
      </w:pPr>
      <w:r>
        <w:rPr>
          <w:rFonts w:eastAsia="Calibri"/>
          <w:bCs/>
          <w:i/>
          <w:iCs/>
          <w:color w:val="000000"/>
        </w:rPr>
        <w:t>**based on the project monitoring status provided by the City Engineer’s Office (CEO) as at 12/31/22</w:t>
      </w: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As shown in Table 23.3, projects with an aggregate amount of P33,975,604.64 still remained uncompleted as at year-end and already incurred delays ranging from 70 CD to 188 CD. No copies of time extension and/or work suspension was also received to support the incurrence of delays. </w:t>
      </w: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p>
    <w:p>
      <w:pPr>
        <w:numPr>
          <w:ilvl w:val="0"/>
          <w:numId w:val="51"/>
        </w:numPr>
        <w:autoSpaceDE w:val="0"/>
        <w:autoSpaceDN w:val="0"/>
        <w:adjustRightInd w:val="0"/>
        <w:spacing w:line="276" w:lineRule="auto"/>
        <w:ind w:left="360"/>
        <w:contextualSpacing/>
        <w:jc w:val="both"/>
        <w:rPr>
          <w:rFonts w:eastAsia="Calibri"/>
          <w:b/>
          <w:i/>
          <w:iCs/>
          <w:color w:val="000000"/>
        </w:rPr>
      </w:pPr>
      <w:r>
        <w:rPr>
          <w:rFonts w:eastAsia="Calibri"/>
          <w:b/>
          <w:i/>
          <w:iCs/>
          <w:color w:val="000000"/>
        </w:rPr>
        <w:lastRenderedPageBreak/>
        <w:t>Projects amounting to P127,412,622.37 with granted time extension and/or work suspension</w:t>
      </w: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r>
        <w:rPr>
          <w:rFonts w:eastAsia="Calibri"/>
          <w:bCs/>
          <w:i/>
          <w:iCs/>
          <w:color w:val="000000"/>
        </w:rPr>
        <w:t>Table 23.4. Completed projects in which the revised target date completion is rendered doubtful</w:t>
      </w:r>
    </w:p>
    <w:tbl>
      <w:tblPr>
        <w:tblStyle w:val="TableGrid42"/>
        <w:tblW w:w="8905" w:type="dxa"/>
        <w:jc w:val="center"/>
        <w:tblLook w:val="04A0" w:firstRow="1" w:lastRow="0" w:firstColumn="1" w:lastColumn="0" w:noHBand="0" w:noVBand="1"/>
      </w:tblPr>
      <w:tblGrid>
        <w:gridCol w:w="2122"/>
        <w:gridCol w:w="1478"/>
        <w:gridCol w:w="1306"/>
        <w:gridCol w:w="1163"/>
        <w:gridCol w:w="1416"/>
        <w:gridCol w:w="1420"/>
      </w:tblGrid>
      <w:tr>
        <w:trPr>
          <w:tblHeader/>
          <w:jc w:val="center"/>
        </w:trPr>
        <w:tc>
          <w:tcPr>
            <w:tcW w:w="2122" w:type="dxa"/>
            <w:vAlign w:val="center"/>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Project</w:t>
            </w:r>
          </w:p>
        </w:tc>
        <w:tc>
          <w:tcPr>
            <w:tcW w:w="1478" w:type="dxa"/>
            <w:vAlign w:val="center"/>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Contract Cost</w:t>
            </w:r>
          </w:p>
        </w:tc>
        <w:tc>
          <w:tcPr>
            <w:tcW w:w="1306" w:type="dxa"/>
            <w:vAlign w:val="center"/>
          </w:tcPr>
          <w:p>
            <w:pPr>
              <w:autoSpaceDE w:val="0"/>
              <w:autoSpaceDN w:val="0"/>
              <w:adjustRightInd w:val="0"/>
              <w:spacing w:line="276" w:lineRule="auto"/>
              <w:jc w:val="center"/>
              <w:rPr>
                <w:rFonts w:eastAsia="Calibri"/>
                <w:b/>
                <w:color w:val="000000"/>
                <w:sz w:val="20"/>
                <w:szCs w:val="20"/>
                <w:highlight w:val="yellow"/>
              </w:rPr>
            </w:pPr>
            <w:r>
              <w:rPr>
                <w:rFonts w:eastAsia="Calibri"/>
                <w:b/>
                <w:color w:val="000000"/>
                <w:sz w:val="20"/>
                <w:szCs w:val="20"/>
              </w:rPr>
              <w:t>Duration per POW/ABC</w:t>
            </w:r>
          </w:p>
        </w:tc>
        <w:tc>
          <w:tcPr>
            <w:tcW w:w="1163" w:type="dxa"/>
            <w:vAlign w:val="center"/>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Original TDC*</w:t>
            </w:r>
          </w:p>
        </w:tc>
        <w:tc>
          <w:tcPr>
            <w:tcW w:w="1416" w:type="dxa"/>
            <w:vAlign w:val="center"/>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Revised Date of Completion**</w:t>
            </w:r>
          </w:p>
        </w:tc>
        <w:tc>
          <w:tcPr>
            <w:tcW w:w="1420" w:type="dxa"/>
            <w:vAlign w:val="center"/>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Remarks</w:t>
            </w:r>
          </w:p>
        </w:tc>
      </w:tr>
      <w:tr>
        <w:trPr>
          <w:jc w:val="center"/>
        </w:trPr>
        <w:tc>
          <w:tcPr>
            <w:tcW w:w="2122" w:type="dxa"/>
          </w:tcPr>
          <w:p>
            <w:pPr>
              <w:numPr>
                <w:ilvl w:val="0"/>
                <w:numId w:val="55"/>
              </w:numPr>
              <w:autoSpaceDE w:val="0"/>
              <w:autoSpaceDN w:val="0"/>
              <w:adjustRightInd w:val="0"/>
              <w:spacing w:line="276" w:lineRule="auto"/>
              <w:ind w:left="318"/>
              <w:rPr>
                <w:rFonts w:eastAsia="Calibri"/>
                <w:bCs/>
                <w:color w:val="000000"/>
                <w:sz w:val="20"/>
                <w:szCs w:val="20"/>
              </w:rPr>
            </w:pPr>
            <w:r>
              <w:rPr>
                <w:rFonts w:eastAsia="Calibri"/>
                <w:bCs/>
                <w:color w:val="000000"/>
                <w:sz w:val="20"/>
                <w:szCs w:val="20"/>
              </w:rPr>
              <w:t xml:space="preserve">Upgrading of Local Access Road at Purok 5,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Katualan</w:t>
            </w:r>
            <w:proofErr w:type="spellEnd"/>
          </w:p>
        </w:tc>
        <w:tc>
          <w:tcPr>
            <w:tcW w:w="1478" w:type="dxa"/>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P14,490,268.36</w:t>
            </w:r>
          </w:p>
        </w:tc>
        <w:tc>
          <w:tcPr>
            <w:tcW w:w="130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120 CD</w:t>
            </w:r>
          </w:p>
        </w:tc>
        <w:tc>
          <w:tcPr>
            <w:tcW w:w="1163"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06/03/2022</w:t>
            </w:r>
          </w:p>
        </w:tc>
        <w:tc>
          <w:tcPr>
            <w:tcW w:w="141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10/28/2022</w:t>
            </w:r>
          </w:p>
        </w:tc>
        <w:tc>
          <w:tcPr>
            <w:tcW w:w="1420" w:type="dxa"/>
          </w:tcPr>
          <w:p>
            <w:pPr>
              <w:autoSpaceDE w:val="0"/>
              <w:autoSpaceDN w:val="0"/>
              <w:adjustRightInd w:val="0"/>
              <w:spacing w:line="276" w:lineRule="auto"/>
              <w:rPr>
                <w:rFonts w:eastAsia="Calibri"/>
                <w:bCs/>
                <w:color w:val="000000"/>
                <w:sz w:val="20"/>
                <w:szCs w:val="20"/>
              </w:rPr>
            </w:pPr>
            <w:r>
              <w:rPr>
                <w:rFonts w:eastAsia="Calibri"/>
                <w:bCs/>
                <w:color w:val="000000"/>
                <w:sz w:val="20"/>
                <w:szCs w:val="20"/>
              </w:rPr>
              <w:t>With four (4) extension orders and one (1) suspension order due to unfavorable weather condition</w:t>
            </w:r>
          </w:p>
        </w:tc>
      </w:tr>
      <w:tr>
        <w:trPr>
          <w:jc w:val="center"/>
        </w:trPr>
        <w:tc>
          <w:tcPr>
            <w:tcW w:w="2122" w:type="dxa"/>
          </w:tcPr>
          <w:p>
            <w:pPr>
              <w:numPr>
                <w:ilvl w:val="0"/>
                <w:numId w:val="55"/>
              </w:numPr>
              <w:autoSpaceDE w:val="0"/>
              <w:autoSpaceDN w:val="0"/>
              <w:adjustRightInd w:val="0"/>
              <w:spacing w:line="276" w:lineRule="auto"/>
              <w:ind w:left="318"/>
              <w:rPr>
                <w:rFonts w:eastAsia="Calibri"/>
                <w:bCs/>
                <w:color w:val="000000"/>
                <w:sz w:val="20"/>
                <w:szCs w:val="20"/>
              </w:rPr>
            </w:pPr>
            <w:r>
              <w:rPr>
                <w:rFonts w:eastAsia="Calibri"/>
                <w:bCs/>
                <w:color w:val="000000"/>
                <w:sz w:val="20"/>
                <w:szCs w:val="20"/>
              </w:rPr>
              <w:t xml:space="preserve">Upgrading of Local Access Road at </w:t>
            </w:r>
            <w:proofErr w:type="spellStart"/>
            <w:r>
              <w:rPr>
                <w:rFonts w:eastAsia="Calibri"/>
                <w:bCs/>
                <w:color w:val="000000"/>
                <w:sz w:val="20"/>
                <w:szCs w:val="20"/>
              </w:rPr>
              <w:t>Brgy</w:t>
            </w:r>
            <w:proofErr w:type="spellEnd"/>
            <w:r>
              <w:rPr>
                <w:rFonts w:eastAsia="Calibri"/>
                <w:bCs/>
                <w:color w:val="000000"/>
                <w:sz w:val="20"/>
                <w:szCs w:val="20"/>
              </w:rPr>
              <w:t>. Consolacion</w:t>
            </w:r>
          </w:p>
        </w:tc>
        <w:tc>
          <w:tcPr>
            <w:tcW w:w="1478" w:type="dxa"/>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13,992,499.79</w:t>
            </w:r>
          </w:p>
        </w:tc>
        <w:tc>
          <w:tcPr>
            <w:tcW w:w="130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140 CD</w:t>
            </w:r>
          </w:p>
        </w:tc>
        <w:tc>
          <w:tcPr>
            <w:tcW w:w="1163"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05/06/2022</w:t>
            </w:r>
          </w:p>
        </w:tc>
        <w:tc>
          <w:tcPr>
            <w:tcW w:w="141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02/04/2023</w:t>
            </w:r>
          </w:p>
        </w:tc>
        <w:tc>
          <w:tcPr>
            <w:tcW w:w="1420" w:type="dxa"/>
          </w:tcPr>
          <w:p>
            <w:pPr>
              <w:autoSpaceDE w:val="0"/>
              <w:autoSpaceDN w:val="0"/>
              <w:adjustRightInd w:val="0"/>
              <w:spacing w:line="276" w:lineRule="auto"/>
              <w:rPr>
                <w:rFonts w:eastAsia="Calibri"/>
                <w:bCs/>
                <w:color w:val="000000"/>
                <w:sz w:val="20"/>
                <w:szCs w:val="20"/>
              </w:rPr>
            </w:pPr>
            <w:r>
              <w:rPr>
                <w:rFonts w:eastAsia="Calibri"/>
                <w:bCs/>
                <w:color w:val="000000"/>
                <w:sz w:val="20"/>
                <w:szCs w:val="20"/>
              </w:rPr>
              <w:t>With three (3) extension orders due to unfavorable weather condition and one (1) suspension order due to various reasons</w:t>
            </w:r>
          </w:p>
        </w:tc>
      </w:tr>
      <w:tr>
        <w:trPr>
          <w:jc w:val="center"/>
        </w:trPr>
        <w:tc>
          <w:tcPr>
            <w:tcW w:w="2122" w:type="dxa"/>
          </w:tcPr>
          <w:p>
            <w:pPr>
              <w:numPr>
                <w:ilvl w:val="0"/>
                <w:numId w:val="55"/>
              </w:numPr>
              <w:autoSpaceDE w:val="0"/>
              <w:autoSpaceDN w:val="0"/>
              <w:adjustRightInd w:val="0"/>
              <w:spacing w:line="276" w:lineRule="auto"/>
              <w:ind w:left="318"/>
              <w:rPr>
                <w:rFonts w:eastAsia="Calibri"/>
                <w:bCs/>
                <w:color w:val="000000"/>
                <w:sz w:val="20"/>
                <w:szCs w:val="20"/>
              </w:rPr>
            </w:pPr>
            <w:r>
              <w:rPr>
                <w:rFonts w:eastAsia="Calibri"/>
                <w:bCs/>
                <w:color w:val="000000"/>
                <w:sz w:val="20"/>
                <w:szCs w:val="20"/>
              </w:rPr>
              <w:t xml:space="preserve">Upgrading of Local Access Road from Purok </w:t>
            </w:r>
            <w:proofErr w:type="spellStart"/>
            <w:r>
              <w:rPr>
                <w:rFonts w:eastAsia="Calibri"/>
                <w:bCs/>
                <w:color w:val="000000"/>
                <w:sz w:val="20"/>
                <w:szCs w:val="20"/>
              </w:rPr>
              <w:t>Batong</w:t>
            </w:r>
            <w:proofErr w:type="spellEnd"/>
            <w:r>
              <w:rPr>
                <w:rFonts w:eastAsia="Calibri"/>
                <w:bCs/>
                <w:color w:val="000000"/>
                <w:sz w:val="20"/>
                <w:szCs w:val="20"/>
              </w:rPr>
              <w:t xml:space="preserve"> to </w:t>
            </w:r>
            <w:proofErr w:type="spellStart"/>
            <w:r>
              <w:rPr>
                <w:rFonts w:eastAsia="Calibri"/>
                <w:bCs/>
                <w:color w:val="000000"/>
                <w:sz w:val="20"/>
                <w:szCs w:val="20"/>
              </w:rPr>
              <w:t>Kalabasa</w:t>
            </w:r>
            <w:proofErr w:type="spellEnd"/>
            <w:r>
              <w:rPr>
                <w:rFonts w:eastAsia="Calibri"/>
                <w:bCs/>
                <w:color w:val="000000"/>
                <w:sz w:val="20"/>
                <w:szCs w:val="20"/>
              </w:rPr>
              <w:t xml:space="preserve">,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Nanyo</w:t>
            </w:r>
            <w:proofErr w:type="spellEnd"/>
            <w:r>
              <w:rPr>
                <w:rFonts w:eastAsia="Calibri"/>
                <w:bCs/>
                <w:color w:val="000000"/>
                <w:sz w:val="20"/>
                <w:szCs w:val="20"/>
              </w:rPr>
              <w:t xml:space="preserve"> </w:t>
            </w:r>
          </w:p>
        </w:tc>
        <w:tc>
          <w:tcPr>
            <w:tcW w:w="1478" w:type="dxa"/>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14,989,544.13</w:t>
            </w:r>
          </w:p>
        </w:tc>
        <w:tc>
          <w:tcPr>
            <w:tcW w:w="130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120 CD</w:t>
            </w:r>
          </w:p>
        </w:tc>
        <w:tc>
          <w:tcPr>
            <w:tcW w:w="1163"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07/13/2022</w:t>
            </w:r>
          </w:p>
        </w:tc>
        <w:tc>
          <w:tcPr>
            <w:tcW w:w="141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09/03/2022</w:t>
            </w:r>
          </w:p>
        </w:tc>
        <w:tc>
          <w:tcPr>
            <w:tcW w:w="1420" w:type="dxa"/>
          </w:tcPr>
          <w:p>
            <w:pPr>
              <w:autoSpaceDE w:val="0"/>
              <w:autoSpaceDN w:val="0"/>
              <w:adjustRightInd w:val="0"/>
              <w:spacing w:line="276" w:lineRule="auto"/>
              <w:rPr>
                <w:rFonts w:eastAsia="Calibri"/>
                <w:bCs/>
                <w:color w:val="000000"/>
                <w:sz w:val="20"/>
                <w:szCs w:val="20"/>
              </w:rPr>
            </w:pPr>
            <w:r>
              <w:rPr>
                <w:rFonts w:eastAsia="Calibri"/>
                <w:bCs/>
                <w:color w:val="000000"/>
                <w:sz w:val="20"/>
                <w:szCs w:val="20"/>
              </w:rPr>
              <w:t>With two (2) extension orders due to unfavorable weather condition</w:t>
            </w:r>
          </w:p>
        </w:tc>
      </w:tr>
      <w:tr>
        <w:trPr>
          <w:jc w:val="center"/>
        </w:trPr>
        <w:tc>
          <w:tcPr>
            <w:tcW w:w="2122" w:type="dxa"/>
          </w:tcPr>
          <w:p>
            <w:pPr>
              <w:numPr>
                <w:ilvl w:val="0"/>
                <w:numId w:val="55"/>
              </w:numPr>
              <w:autoSpaceDE w:val="0"/>
              <w:autoSpaceDN w:val="0"/>
              <w:adjustRightInd w:val="0"/>
              <w:spacing w:line="276" w:lineRule="auto"/>
              <w:ind w:left="318"/>
              <w:rPr>
                <w:rFonts w:eastAsia="Calibri"/>
                <w:bCs/>
                <w:color w:val="000000"/>
                <w:sz w:val="20"/>
                <w:szCs w:val="20"/>
              </w:rPr>
            </w:pPr>
            <w:r>
              <w:rPr>
                <w:rFonts w:eastAsia="Calibri"/>
                <w:bCs/>
                <w:color w:val="000000"/>
                <w:sz w:val="20"/>
                <w:szCs w:val="20"/>
              </w:rPr>
              <w:t xml:space="preserve">Upgrading of Local Access Road at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Tibungol</w:t>
            </w:r>
            <w:proofErr w:type="spellEnd"/>
          </w:p>
        </w:tc>
        <w:tc>
          <w:tcPr>
            <w:tcW w:w="1478" w:type="dxa"/>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13,989,999.59</w:t>
            </w:r>
          </w:p>
        </w:tc>
        <w:tc>
          <w:tcPr>
            <w:tcW w:w="130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90 CD</w:t>
            </w:r>
          </w:p>
        </w:tc>
        <w:tc>
          <w:tcPr>
            <w:tcW w:w="1163"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09/19/2022</w:t>
            </w:r>
          </w:p>
        </w:tc>
        <w:tc>
          <w:tcPr>
            <w:tcW w:w="141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01/01/2023</w:t>
            </w:r>
          </w:p>
        </w:tc>
        <w:tc>
          <w:tcPr>
            <w:tcW w:w="1420" w:type="dxa"/>
          </w:tcPr>
          <w:p>
            <w:pPr>
              <w:autoSpaceDE w:val="0"/>
              <w:autoSpaceDN w:val="0"/>
              <w:adjustRightInd w:val="0"/>
              <w:spacing w:line="276" w:lineRule="auto"/>
              <w:rPr>
                <w:rFonts w:eastAsia="Calibri"/>
                <w:bCs/>
                <w:color w:val="000000"/>
                <w:sz w:val="20"/>
                <w:szCs w:val="20"/>
              </w:rPr>
            </w:pPr>
            <w:r>
              <w:rPr>
                <w:rFonts w:eastAsia="Calibri"/>
                <w:bCs/>
                <w:color w:val="000000"/>
                <w:sz w:val="20"/>
                <w:szCs w:val="20"/>
              </w:rPr>
              <w:t>With two (2) extension orders due to unfavorable weather condition and one (1) suspension order due to various reasons</w:t>
            </w:r>
          </w:p>
        </w:tc>
      </w:tr>
      <w:tr>
        <w:trPr>
          <w:jc w:val="center"/>
        </w:trPr>
        <w:tc>
          <w:tcPr>
            <w:tcW w:w="2122" w:type="dxa"/>
          </w:tcPr>
          <w:p>
            <w:pPr>
              <w:numPr>
                <w:ilvl w:val="0"/>
                <w:numId w:val="55"/>
              </w:numPr>
              <w:autoSpaceDE w:val="0"/>
              <w:autoSpaceDN w:val="0"/>
              <w:adjustRightInd w:val="0"/>
              <w:spacing w:line="276" w:lineRule="auto"/>
              <w:ind w:left="318"/>
              <w:rPr>
                <w:rFonts w:eastAsia="Calibri"/>
                <w:bCs/>
                <w:color w:val="000000"/>
                <w:sz w:val="20"/>
                <w:szCs w:val="20"/>
              </w:rPr>
            </w:pPr>
            <w:r>
              <w:rPr>
                <w:rFonts w:eastAsia="Calibri"/>
                <w:bCs/>
                <w:color w:val="000000"/>
                <w:sz w:val="20"/>
                <w:szCs w:val="20"/>
              </w:rPr>
              <w:t xml:space="preserve">Upgrading of Local Access Road at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Kiotoy</w:t>
            </w:r>
            <w:proofErr w:type="spellEnd"/>
          </w:p>
        </w:tc>
        <w:tc>
          <w:tcPr>
            <w:tcW w:w="1478" w:type="dxa"/>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19,979,695.81</w:t>
            </w:r>
          </w:p>
        </w:tc>
        <w:tc>
          <w:tcPr>
            <w:tcW w:w="130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150 CD</w:t>
            </w:r>
          </w:p>
        </w:tc>
        <w:tc>
          <w:tcPr>
            <w:tcW w:w="1163"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03/09/2023</w:t>
            </w:r>
          </w:p>
        </w:tc>
        <w:tc>
          <w:tcPr>
            <w:tcW w:w="141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01/26/2023</w:t>
            </w:r>
          </w:p>
        </w:tc>
        <w:tc>
          <w:tcPr>
            <w:tcW w:w="1420" w:type="dxa"/>
          </w:tcPr>
          <w:p>
            <w:pPr>
              <w:autoSpaceDE w:val="0"/>
              <w:autoSpaceDN w:val="0"/>
              <w:adjustRightInd w:val="0"/>
              <w:spacing w:line="276" w:lineRule="auto"/>
              <w:rPr>
                <w:rFonts w:eastAsia="Calibri"/>
                <w:bCs/>
                <w:color w:val="000000"/>
                <w:sz w:val="20"/>
                <w:szCs w:val="20"/>
              </w:rPr>
            </w:pPr>
            <w:r>
              <w:rPr>
                <w:rFonts w:eastAsia="Calibri"/>
                <w:bCs/>
                <w:color w:val="000000"/>
                <w:sz w:val="20"/>
                <w:szCs w:val="20"/>
              </w:rPr>
              <w:t xml:space="preserve">With two (2) extension orders due to </w:t>
            </w:r>
            <w:r>
              <w:rPr>
                <w:rFonts w:eastAsia="Calibri"/>
                <w:bCs/>
                <w:color w:val="000000"/>
                <w:sz w:val="20"/>
                <w:szCs w:val="20"/>
              </w:rPr>
              <w:lastRenderedPageBreak/>
              <w:t>unfavorable weather condition</w:t>
            </w:r>
          </w:p>
        </w:tc>
      </w:tr>
      <w:tr>
        <w:trPr>
          <w:jc w:val="center"/>
        </w:trPr>
        <w:tc>
          <w:tcPr>
            <w:tcW w:w="2122" w:type="dxa"/>
          </w:tcPr>
          <w:p>
            <w:pPr>
              <w:numPr>
                <w:ilvl w:val="0"/>
                <w:numId w:val="55"/>
              </w:numPr>
              <w:autoSpaceDE w:val="0"/>
              <w:autoSpaceDN w:val="0"/>
              <w:adjustRightInd w:val="0"/>
              <w:spacing w:line="276" w:lineRule="auto"/>
              <w:ind w:left="318"/>
              <w:rPr>
                <w:rFonts w:eastAsia="Calibri"/>
                <w:bCs/>
                <w:color w:val="000000"/>
                <w:sz w:val="20"/>
                <w:szCs w:val="20"/>
              </w:rPr>
            </w:pPr>
            <w:r>
              <w:rPr>
                <w:rFonts w:eastAsia="Calibri"/>
                <w:bCs/>
                <w:color w:val="000000"/>
                <w:sz w:val="20"/>
                <w:szCs w:val="20"/>
              </w:rPr>
              <w:lastRenderedPageBreak/>
              <w:t xml:space="preserve">Upgrading of Local Access Road-Concreting of Roads at </w:t>
            </w:r>
            <w:proofErr w:type="spellStart"/>
            <w:r>
              <w:rPr>
                <w:rFonts w:eastAsia="Calibri"/>
                <w:bCs/>
                <w:color w:val="000000"/>
                <w:sz w:val="20"/>
                <w:szCs w:val="20"/>
              </w:rPr>
              <w:t>Brgy</w:t>
            </w:r>
            <w:proofErr w:type="spellEnd"/>
            <w:r>
              <w:rPr>
                <w:rFonts w:eastAsia="Calibri"/>
                <w:bCs/>
                <w:color w:val="000000"/>
                <w:sz w:val="20"/>
                <w:szCs w:val="20"/>
              </w:rPr>
              <w:t>. San Roque</w:t>
            </w:r>
          </w:p>
        </w:tc>
        <w:tc>
          <w:tcPr>
            <w:tcW w:w="1478" w:type="dxa"/>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9,989,999.59</w:t>
            </w:r>
          </w:p>
        </w:tc>
        <w:tc>
          <w:tcPr>
            <w:tcW w:w="130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100 CD</w:t>
            </w:r>
          </w:p>
        </w:tc>
        <w:tc>
          <w:tcPr>
            <w:tcW w:w="1163"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12/25/2022</w:t>
            </w:r>
          </w:p>
        </w:tc>
        <w:tc>
          <w:tcPr>
            <w:tcW w:w="141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01/28/2023</w:t>
            </w:r>
          </w:p>
        </w:tc>
        <w:tc>
          <w:tcPr>
            <w:tcW w:w="1420" w:type="dxa"/>
          </w:tcPr>
          <w:p>
            <w:pPr>
              <w:autoSpaceDE w:val="0"/>
              <w:autoSpaceDN w:val="0"/>
              <w:adjustRightInd w:val="0"/>
              <w:spacing w:line="276" w:lineRule="auto"/>
              <w:rPr>
                <w:rFonts w:eastAsia="Calibri"/>
                <w:bCs/>
                <w:color w:val="000000"/>
                <w:sz w:val="20"/>
                <w:szCs w:val="20"/>
              </w:rPr>
            </w:pPr>
            <w:r>
              <w:rPr>
                <w:rFonts w:eastAsia="Calibri"/>
                <w:bCs/>
                <w:color w:val="000000"/>
                <w:sz w:val="20"/>
                <w:szCs w:val="20"/>
              </w:rPr>
              <w:t>With one (1) extension order due to unfavorable weather condition</w:t>
            </w:r>
          </w:p>
        </w:tc>
      </w:tr>
      <w:tr>
        <w:trPr>
          <w:jc w:val="center"/>
        </w:trPr>
        <w:tc>
          <w:tcPr>
            <w:tcW w:w="2122" w:type="dxa"/>
          </w:tcPr>
          <w:p>
            <w:pPr>
              <w:numPr>
                <w:ilvl w:val="0"/>
                <w:numId w:val="55"/>
              </w:numPr>
              <w:autoSpaceDE w:val="0"/>
              <w:autoSpaceDN w:val="0"/>
              <w:adjustRightInd w:val="0"/>
              <w:spacing w:line="276" w:lineRule="auto"/>
              <w:ind w:left="318"/>
              <w:rPr>
                <w:rFonts w:eastAsia="Calibri"/>
                <w:bCs/>
                <w:color w:val="000000"/>
                <w:sz w:val="20"/>
                <w:szCs w:val="20"/>
              </w:rPr>
            </w:pPr>
            <w:r>
              <w:rPr>
                <w:rFonts w:eastAsia="Calibri"/>
                <w:bCs/>
                <w:color w:val="000000"/>
                <w:sz w:val="20"/>
                <w:szCs w:val="20"/>
              </w:rPr>
              <w:t xml:space="preserve">Upgrading of Local Access Road at </w:t>
            </w:r>
            <w:proofErr w:type="spellStart"/>
            <w:r>
              <w:rPr>
                <w:rFonts w:eastAsia="Calibri"/>
                <w:bCs/>
                <w:color w:val="000000"/>
                <w:sz w:val="20"/>
                <w:szCs w:val="20"/>
              </w:rPr>
              <w:t>Brgy</w:t>
            </w:r>
            <w:proofErr w:type="spellEnd"/>
            <w:r>
              <w:rPr>
                <w:rFonts w:eastAsia="Calibri"/>
                <w:bCs/>
                <w:color w:val="000000"/>
                <w:sz w:val="20"/>
                <w:szCs w:val="20"/>
              </w:rPr>
              <w:t>. Buenavista</w:t>
            </w:r>
          </w:p>
        </w:tc>
        <w:tc>
          <w:tcPr>
            <w:tcW w:w="1478" w:type="dxa"/>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9,994,179.08</w:t>
            </w:r>
          </w:p>
        </w:tc>
        <w:tc>
          <w:tcPr>
            <w:tcW w:w="130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120 CD</w:t>
            </w:r>
          </w:p>
        </w:tc>
        <w:tc>
          <w:tcPr>
            <w:tcW w:w="1163"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01/21/2023</w:t>
            </w:r>
          </w:p>
        </w:tc>
        <w:tc>
          <w:tcPr>
            <w:tcW w:w="141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02/25/2023</w:t>
            </w:r>
          </w:p>
        </w:tc>
        <w:tc>
          <w:tcPr>
            <w:tcW w:w="1420" w:type="dxa"/>
          </w:tcPr>
          <w:p>
            <w:pPr>
              <w:autoSpaceDE w:val="0"/>
              <w:autoSpaceDN w:val="0"/>
              <w:adjustRightInd w:val="0"/>
              <w:spacing w:line="276" w:lineRule="auto"/>
              <w:rPr>
                <w:rFonts w:eastAsia="Calibri"/>
                <w:bCs/>
                <w:color w:val="000000"/>
                <w:sz w:val="20"/>
                <w:szCs w:val="20"/>
              </w:rPr>
            </w:pPr>
            <w:r>
              <w:rPr>
                <w:rFonts w:eastAsia="Calibri"/>
                <w:bCs/>
                <w:color w:val="000000"/>
                <w:sz w:val="20"/>
                <w:szCs w:val="20"/>
              </w:rPr>
              <w:t>With one (1) extension order due to unfavorable weather condition</w:t>
            </w:r>
          </w:p>
        </w:tc>
      </w:tr>
      <w:tr>
        <w:trPr>
          <w:jc w:val="center"/>
        </w:trPr>
        <w:tc>
          <w:tcPr>
            <w:tcW w:w="2122" w:type="dxa"/>
          </w:tcPr>
          <w:p>
            <w:pPr>
              <w:numPr>
                <w:ilvl w:val="0"/>
                <w:numId w:val="55"/>
              </w:numPr>
              <w:autoSpaceDE w:val="0"/>
              <w:autoSpaceDN w:val="0"/>
              <w:adjustRightInd w:val="0"/>
              <w:spacing w:line="276" w:lineRule="auto"/>
              <w:ind w:left="318"/>
              <w:rPr>
                <w:rFonts w:eastAsia="Calibri"/>
                <w:bCs/>
                <w:color w:val="000000"/>
                <w:sz w:val="20"/>
                <w:szCs w:val="20"/>
              </w:rPr>
            </w:pPr>
            <w:r>
              <w:rPr>
                <w:rFonts w:eastAsia="Calibri"/>
                <w:bCs/>
                <w:color w:val="000000"/>
                <w:sz w:val="20"/>
                <w:szCs w:val="20"/>
              </w:rPr>
              <w:t xml:space="preserve">Upgrading of Local Access Road in Sitio </w:t>
            </w:r>
            <w:proofErr w:type="spellStart"/>
            <w:r>
              <w:rPr>
                <w:rFonts w:eastAsia="Calibri"/>
                <w:bCs/>
                <w:color w:val="000000"/>
                <w:sz w:val="20"/>
                <w:szCs w:val="20"/>
              </w:rPr>
              <w:t>Tagactac</w:t>
            </w:r>
            <w:proofErr w:type="spellEnd"/>
            <w:r>
              <w:rPr>
                <w:rFonts w:eastAsia="Calibri"/>
                <w:bCs/>
                <w:color w:val="000000"/>
                <w:sz w:val="20"/>
                <w:szCs w:val="20"/>
              </w:rPr>
              <w:t xml:space="preserve">, San Nicolas to </w:t>
            </w:r>
            <w:proofErr w:type="spellStart"/>
            <w:r>
              <w:rPr>
                <w:rFonts w:eastAsia="Calibri"/>
                <w:bCs/>
                <w:color w:val="000000"/>
                <w:sz w:val="20"/>
                <w:szCs w:val="20"/>
              </w:rPr>
              <w:t>Mabunao</w:t>
            </w:r>
            <w:proofErr w:type="spellEnd"/>
            <w:r>
              <w:rPr>
                <w:rFonts w:eastAsia="Calibri"/>
                <w:bCs/>
                <w:color w:val="000000"/>
                <w:sz w:val="20"/>
                <w:szCs w:val="20"/>
              </w:rPr>
              <w:t xml:space="preserve"> (Concreting of Roads) at </w:t>
            </w:r>
            <w:proofErr w:type="spellStart"/>
            <w:r>
              <w:rPr>
                <w:rFonts w:eastAsia="Calibri"/>
                <w:bCs/>
                <w:color w:val="000000"/>
                <w:sz w:val="20"/>
                <w:szCs w:val="20"/>
              </w:rPr>
              <w:t>Brgy</w:t>
            </w:r>
            <w:proofErr w:type="spellEnd"/>
            <w:r>
              <w:rPr>
                <w:rFonts w:eastAsia="Calibri"/>
                <w:bCs/>
                <w:color w:val="000000"/>
                <w:sz w:val="20"/>
                <w:szCs w:val="20"/>
              </w:rPr>
              <w:t>. San Nicolas</w:t>
            </w:r>
          </w:p>
        </w:tc>
        <w:tc>
          <w:tcPr>
            <w:tcW w:w="1478" w:type="dxa"/>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14,989,782.08</w:t>
            </w:r>
          </w:p>
        </w:tc>
        <w:tc>
          <w:tcPr>
            <w:tcW w:w="130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90 CD</w:t>
            </w:r>
          </w:p>
        </w:tc>
        <w:tc>
          <w:tcPr>
            <w:tcW w:w="1163"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12/11/2022</w:t>
            </w:r>
          </w:p>
        </w:tc>
        <w:tc>
          <w:tcPr>
            <w:tcW w:w="141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01/27/2023</w:t>
            </w:r>
          </w:p>
        </w:tc>
        <w:tc>
          <w:tcPr>
            <w:tcW w:w="1420" w:type="dxa"/>
          </w:tcPr>
          <w:p>
            <w:pPr>
              <w:autoSpaceDE w:val="0"/>
              <w:autoSpaceDN w:val="0"/>
              <w:adjustRightInd w:val="0"/>
              <w:spacing w:line="276" w:lineRule="auto"/>
              <w:rPr>
                <w:rFonts w:eastAsia="Calibri"/>
                <w:bCs/>
                <w:color w:val="000000"/>
                <w:sz w:val="20"/>
                <w:szCs w:val="20"/>
              </w:rPr>
            </w:pPr>
            <w:r>
              <w:rPr>
                <w:rFonts w:eastAsia="Calibri"/>
                <w:bCs/>
                <w:color w:val="000000"/>
                <w:sz w:val="20"/>
                <w:szCs w:val="20"/>
              </w:rPr>
              <w:t>With one (1) extension order due to unfavorable weather condition</w:t>
            </w:r>
          </w:p>
        </w:tc>
      </w:tr>
      <w:tr>
        <w:trPr>
          <w:jc w:val="center"/>
        </w:trPr>
        <w:tc>
          <w:tcPr>
            <w:tcW w:w="2122" w:type="dxa"/>
          </w:tcPr>
          <w:p>
            <w:pPr>
              <w:numPr>
                <w:ilvl w:val="0"/>
                <w:numId w:val="55"/>
              </w:numPr>
              <w:autoSpaceDE w:val="0"/>
              <w:autoSpaceDN w:val="0"/>
              <w:adjustRightInd w:val="0"/>
              <w:spacing w:line="276" w:lineRule="auto"/>
              <w:ind w:left="318"/>
              <w:rPr>
                <w:rFonts w:eastAsia="Calibri"/>
                <w:bCs/>
                <w:color w:val="000000"/>
                <w:sz w:val="20"/>
                <w:szCs w:val="20"/>
              </w:rPr>
            </w:pPr>
            <w:r>
              <w:rPr>
                <w:rFonts w:eastAsia="Calibri"/>
                <w:bCs/>
                <w:color w:val="000000"/>
                <w:sz w:val="20"/>
                <w:szCs w:val="20"/>
              </w:rPr>
              <w:t xml:space="preserve">Upgrading of Local Access Road at </w:t>
            </w:r>
            <w:proofErr w:type="spellStart"/>
            <w:r>
              <w:rPr>
                <w:rFonts w:eastAsia="Calibri"/>
                <w:bCs/>
                <w:color w:val="000000"/>
                <w:sz w:val="20"/>
                <w:szCs w:val="20"/>
              </w:rPr>
              <w:t>Brgy</w:t>
            </w:r>
            <w:proofErr w:type="spellEnd"/>
            <w:r>
              <w:rPr>
                <w:rFonts w:eastAsia="Calibri"/>
                <w:bCs/>
                <w:color w:val="000000"/>
                <w:sz w:val="20"/>
                <w:szCs w:val="20"/>
              </w:rPr>
              <w:t>. Sta. Cruz</w:t>
            </w:r>
          </w:p>
        </w:tc>
        <w:tc>
          <w:tcPr>
            <w:tcW w:w="1478" w:type="dxa"/>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14,996,653.94</w:t>
            </w:r>
          </w:p>
        </w:tc>
        <w:tc>
          <w:tcPr>
            <w:tcW w:w="130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100 CD</w:t>
            </w:r>
          </w:p>
        </w:tc>
        <w:tc>
          <w:tcPr>
            <w:tcW w:w="1163"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01/12/2023</w:t>
            </w:r>
          </w:p>
        </w:tc>
        <w:tc>
          <w:tcPr>
            <w:tcW w:w="1416" w:type="dxa"/>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03/05/2023</w:t>
            </w:r>
          </w:p>
        </w:tc>
        <w:tc>
          <w:tcPr>
            <w:tcW w:w="1420" w:type="dxa"/>
          </w:tcPr>
          <w:p>
            <w:pPr>
              <w:autoSpaceDE w:val="0"/>
              <w:autoSpaceDN w:val="0"/>
              <w:adjustRightInd w:val="0"/>
              <w:spacing w:line="276" w:lineRule="auto"/>
              <w:rPr>
                <w:rFonts w:eastAsia="Calibri"/>
                <w:bCs/>
                <w:color w:val="000000"/>
                <w:sz w:val="20"/>
                <w:szCs w:val="20"/>
              </w:rPr>
            </w:pPr>
            <w:r>
              <w:rPr>
                <w:rFonts w:eastAsia="Calibri"/>
                <w:bCs/>
                <w:color w:val="000000"/>
                <w:sz w:val="20"/>
                <w:szCs w:val="20"/>
              </w:rPr>
              <w:t>With one (1) extension order due to unfavorable weather condition</w:t>
            </w:r>
          </w:p>
        </w:tc>
      </w:tr>
      <w:tr>
        <w:trPr>
          <w:jc w:val="center"/>
        </w:trPr>
        <w:tc>
          <w:tcPr>
            <w:tcW w:w="2122" w:type="dxa"/>
          </w:tcPr>
          <w:p>
            <w:pPr>
              <w:autoSpaceDE w:val="0"/>
              <w:autoSpaceDN w:val="0"/>
              <w:adjustRightInd w:val="0"/>
              <w:spacing w:line="276" w:lineRule="auto"/>
              <w:rPr>
                <w:rFonts w:eastAsia="Calibri"/>
                <w:b/>
                <w:color w:val="000000"/>
                <w:sz w:val="20"/>
                <w:szCs w:val="20"/>
              </w:rPr>
            </w:pPr>
            <w:r>
              <w:rPr>
                <w:rFonts w:eastAsia="Calibri"/>
                <w:b/>
                <w:color w:val="000000"/>
                <w:sz w:val="20"/>
                <w:szCs w:val="20"/>
              </w:rPr>
              <w:t>Total</w:t>
            </w:r>
          </w:p>
        </w:tc>
        <w:tc>
          <w:tcPr>
            <w:tcW w:w="1478" w:type="dxa"/>
          </w:tcPr>
          <w:p>
            <w:pPr>
              <w:autoSpaceDE w:val="0"/>
              <w:autoSpaceDN w:val="0"/>
              <w:adjustRightInd w:val="0"/>
              <w:spacing w:line="276" w:lineRule="auto"/>
              <w:jc w:val="right"/>
              <w:rPr>
                <w:rFonts w:eastAsia="Calibri"/>
                <w:b/>
                <w:color w:val="000000"/>
                <w:sz w:val="20"/>
                <w:szCs w:val="20"/>
              </w:rPr>
            </w:pPr>
            <w:r>
              <w:rPr>
                <w:rFonts w:eastAsia="Calibri"/>
                <w:b/>
                <w:color w:val="000000"/>
                <w:sz w:val="20"/>
                <w:szCs w:val="20"/>
              </w:rPr>
              <w:t>127,412,622.37</w:t>
            </w:r>
          </w:p>
        </w:tc>
        <w:tc>
          <w:tcPr>
            <w:tcW w:w="1306" w:type="dxa"/>
          </w:tcPr>
          <w:p>
            <w:pPr>
              <w:autoSpaceDE w:val="0"/>
              <w:autoSpaceDN w:val="0"/>
              <w:adjustRightInd w:val="0"/>
              <w:spacing w:line="276" w:lineRule="auto"/>
              <w:jc w:val="both"/>
              <w:rPr>
                <w:rFonts w:eastAsia="Calibri"/>
                <w:bCs/>
                <w:color w:val="000000"/>
                <w:sz w:val="20"/>
                <w:szCs w:val="20"/>
              </w:rPr>
            </w:pPr>
          </w:p>
        </w:tc>
        <w:tc>
          <w:tcPr>
            <w:tcW w:w="1163" w:type="dxa"/>
          </w:tcPr>
          <w:p>
            <w:pPr>
              <w:autoSpaceDE w:val="0"/>
              <w:autoSpaceDN w:val="0"/>
              <w:adjustRightInd w:val="0"/>
              <w:spacing w:line="276" w:lineRule="auto"/>
              <w:jc w:val="both"/>
              <w:rPr>
                <w:rFonts w:eastAsia="Calibri"/>
                <w:bCs/>
                <w:color w:val="000000"/>
                <w:sz w:val="20"/>
                <w:szCs w:val="20"/>
              </w:rPr>
            </w:pPr>
          </w:p>
        </w:tc>
        <w:tc>
          <w:tcPr>
            <w:tcW w:w="1416" w:type="dxa"/>
          </w:tcPr>
          <w:p>
            <w:pPr>
              <w:autoSpaceDE w:val="0"/>
              <w:autoSpaceDN w:val="0"/>
              <w:adjustRightInd w:val="0"/>
              <w:spacing w:line="276" w:lineRule="auto"/>
              <w:jc w:val="both"/>
              <w:rPr>
                <w:rFonts w:eastAsia="Calibri"/>
                <w:bCs/>
                <w:color w:val="000000"/>
                <w:sz w:val="20"/>
                <w:szCs w:val="20"/>
              </w:rPr>
            </w:pPr>
          </w:p>
        </w:tc>
        <w:tc>
          <w:tcPr>
            <w:tcW w:w="1420" w:type="dxa"/>
          </w:tcPr>
          <w:p>
            <w:pPr>
              <w:autoSpaceDE w:val="0"/>
              <w:autoSpaceDN w:val="0"/>
              <w:adjustRightInd w:val="0"/>
              <w:spacing w:line="276" w:lineRule="auto"/>
              <w:jc w:val="both"/>
              <w:rPr>
                <w:rFonts w:eastAsia="Calibri"/>
                <w:bCs/>
                <w:color w:val="000000"/>
                <w:sz w:val="20"/>
                <w:szCs w:val="20"/>
              </w:rPr>
            </w:pPr>
          </w:p>
        </w:tc>
      </w:tr>
    </w:tbl>
    <w:p>
      <w:pPr>
        <w:autoSpaceDE w:val="0"/>
        <w:autoSpaceDN w:val="0"/>
        <w:adjustRightInd w:val="0"/>
        <w:spacing w:line="276" w:lineRule="auto"/>
        <w:jc w:val="both"/>
        <w:rPr>
          <w:rFonts w:eastAsia="Calibri"/>
          <w:bCs/>
          <w:i/>
          <w:iCs/>
          <w:color w:val="000000"/>
        </w:rPr>
      </w:pPr>
      <w:r>
        <w:rPr>
          <w:rFonts w:eastAsia="Calibri"/>
          <w:bCs/>
          <w:i/>
          <w:iCs/>
          <w:color w:val="000000"/>
        </w:rPr>
        <w:t>*the computed target date of completion includes the allowable maximum number of days (seven days) from the receipt of Notice to Proceed (NTP) by the contractor in order for construction works to commence</w:t>
      </w:r>
    </w:p>
    <w:p>
      <w:pPr>
        <w:autoSpaceDE w:val="0"/>
        <w:autoSpaceDN w:val="0"/>
        <w:adjustRightInd w:val="0"/>
        <w:spacing w:line="276" w:lineRule="auto"/>
        <w:jc w:val="both"/>
        <w:rPr>
          <w:rFonts w:eastAsia="Calibri"/>
          <w:bCs/>
          <w:i/>
          <w:iCs/>
          <w:color w:val="000000"/>
        </w:rPr>
      </w:pPr>
      <w:r>
        <w:rPr>
          <w:rFonts w:eastAsia="Calibri"/>
          <w:bCs/>
          <w:i/>
          <w:iCs/>
          <w:color w:val="000000"/>
        </w:rPr>
        <w:t>**after the granting of additional time extension and/or work suspension</w:t>
      </w:r>
    </w:p>
    <w:p>
      <w:pPr>
        <w:autoSpaceDE w:val="0"/>
        <w:autoSpaceDN w:val="0"/>
        <w:adjustRightInd w:val="0"/>
        <w:spacing w:line="276" w:lineRule="auto"/>
        <w:ind w:left="1080"/>
        <w:contextualSpacing/>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Discussion of the above-noted projects are as follows:</w:t>
      </w:r>
    </w:p>
    <w:p>
      <w:pPr>
        <w:autoSpaceDE w:val="0"/>
        <w:autoSpaceDN w:val="0"/>
        <w:adjustRightInd w:val="0"/>
        <w:spacing w:line="276" w:lineRule="auto"/>
        <w:ind w:left="1080"/>
        <w:contextualSpacing/>
        <w:jc w:val="both"/>
        <w:rPr>
          <w:rFonts w:eastAsia="Calibri"/>
          <w:bCs/>
          <w:color w:val="000000"/>
        </w:rPr>
      </w:pPr>
    </w:p>
    <w:p>
      <w:pPr>
        <w:numPr>
          <w:ilvl w:val="0"/>
          <w:numId w:val="52"/>
        </w:numPr>
        <w:autoSpaceDE w:val="0"/>
        <w:autoSpaceDN w:val="0"/>
        <w:adjustRightInd w:val="0"/>
        <w:spacing w:line="276" w:lineRule="auto"/>
        <w:ind w:left="360"/>
        <w:contextualSpacing/>
        <w:jc w:val="both"/>
        <w:rPr>
          <w:rFonts w:eastAsia="Calibri"/>
          <w:bCs/>
          <w:color w:val="000000"/>
        </w:rPr>
      </w:pPr>
      <w:r>
        <w:rPr>
          <w:rFonts w:eastAsia="Calibri"/>
          <w:bCs/>
          <w:color w:val="000000"/>
        </w:rPr>
        <w:t xml:space="preserve">For project no. 1, all the cited reasons for the time extensions and work suspension granted are all related to unfavorable weather conditions. However, for Extension Order No. 2 – 4 and Suspension Order No. 1, there are no attached documents (PAGASA certification, etc.) to support the claim. </w:t>
      </w:r>
    </w:p>
    <w:p>
      <w:pPr>
        <w:autoSpaceDE w:val="0"/>
        <w:autoSpaceDN w:val="0"/>
        <w:adjustRightInd w:val="0"/>
        <w:spacing w:line="276" w:lineRule="auto"/>
        <w:ind w:left="360"/>
        <w:contextualSpacing/>
        <w:jc w:val="both"/>
        <w:rPr>
          <w:rFonts w:eastAsia="Calibri"/>
          <w:bCs/>
          <w:color w:val="000000"/>
        </w:rPr>
      </w:pPr>
    </w:p>
    <w:p>
      <w:pPr>
        <w:numPr>
          <w:ilvl w:val="0"/>
          <w:numId w:val="52"/>
        </w:numPr>
        <w:autoSpaceDE w:val="0"/>
        <w:autoSpaceDN w:val="0"/>
        <w:adjustRightInd w:val="0"/>
        <w:spacing w:line="276" w:lineRule="auto"/>
        <w:ind w:left="360"/>
        <w:contextualSpacing/>
        <w:jc w:val="both"/>
        <w:rPr>
          <w:rFonts w:eastAsia="Calibri"/>
          <w:bCs/>
          <w:color w:val="000000"/>
        </w:rPr>
      </w:pPr>
      <w:r>
        <w:rPr>
          <w:rFonts w:eastAsia="Calibri"/>
          <w:bCs/>
          <w:color w:val="000000"/>
        </w:rPr>
        <w:lastRenderedPageBreak/>
        <w:t xml:space="preserve">For project no. 2, Extension Order Nos. 1 - 3 were issued for unfavorable weather conditions and another suspension order was issued for various reasons, to wit: (a) a portion of the land of the cemetery with the presence of concrete burial chamber will be affected and the families should be negotiated; (b) grown falcata trees will be affected and needs the approval of the owner; and (c) a concrete fence will also be affected and the owner should be negotiated. However, the granting of such suspension order is deemed inefficient since the contractor could have acted on the enumerated reasons for suspension while the project was extended and no work was being done on-site due to unfavorable weather conditions. As a result, an unnecessary and an avoidable delay has been incurred. </w:t>
      </w:r>
    </w:p>
    <w:p>
      <w:pPr>
        <w:autoSpaceDE w:val="0"/>
        <w:autoSpaceDN w:val="0"/>
        <w:adjustRightInd w:val="0"/>
        <w:spacing w:line="276" w:lineRule="auto"/>
        <w:ind w:left="360"/>
        <w:contextualSpacing/>
        <w:jc w:val="both"/>
        <w:rPr>
          <w:rFonts w:eastAsia="Calibri"/>
          <w:bCs/>
          <w:color w:val="000000"/>
        </w:rPr>
      </w:pPr>
    </w:p>
    <w:p>
      <w:pPr>
        <w:autoSpaceDE w:val="0"/>
        <w:autoSpaceDN w:val="0"/>
        <w:adjustRightInd w:val="0"/>
        <w:spacing w:line="276" w:lineRule="auto"/>
        <w:ind w:left="360"/>
        <w:contextualSpacing/>
        <w:jc w:val="both"/>
        <w:rPr>
          <w:rFonts w:eastAsia="Calibri"/>
          <w:bCs/>
          <w:color w:val="000000"/>
        </w:rPr>
      </w:pPr>
      <w:r>
        <w:rPr>
          <w:rFonts w:eastAsia="Calibri"/>
          <w:bCs/>
          <w:color w:val="000000"/>
        </w:rPr>
        <w:t>Moreover, confirmation with the Barangay personnel revealed that as of February 15, 2023, the project is still on-going and far from completion. It is worthy to note that the construction of the project started on December 17, 2021 and after all those extensions and suspension granted, the revised target date of completion on February 4, 2023 yet the project still remained uncompleted.</w:t>
      </w:r>
    </w:p>
    <w:p>
      <w:pPr>
        <w:autoSpaceDE w:val="0"/>
        <w:autoSpaceDN w:val="0"/>
        <w:adjustRightInd w:val="0"/>
        <w:spacing w:line="276" w:lineRule="auto"/>
        <w:ind w:left="360"/>
        <w:contextualSpacing/>
        <w:jc w:val="both"/>
        <w:rPr>
          <w:rFonts w:eastAsia="Calibri"/>
          <w:bCs/>
          <w:i/>
          <w:iCs/>
          <w:color w:val="000000"/>
        </w:rPr>
      </w:pPr>
    </w:p>
    <w:p>
      <w:pPr>
        <w:numPr>
          <w:ilvl w:val="0"/>
          <w:numId w:val="52"/>
        </w:numPr>
        <w:autoSpaceDE w:val="0"/>
        <w:autoSpaceDN w:val="0"/>
        <w:adjustRightInd w:val="0"/>
        <w:spacing w:line="276" w:lineRule="auto"/>
        <w:ind w:left="360"/>
        <w:contextualSpacing/>
        <w:jc w:val="both"/>
        <w:rPr>
          <w:rFonts w:eastAsia="Calibri"/>
          <w:bCs/>
          <w:color w:val="000000"/>
        </w:rPr>
      </w:pPr>
      <w:r>
        <w:rPr>
          <w:rFonts w:eastAsia="Calibri"/>
          <w:bCs/>
          <w:color w:val="000000"/>
        </w:rPr>
        <w:t xml:space="preserve">For project no. 4, the reasons enumerated for the grant of suspension order are as follows: (a) delay in securing gate pass for every entry of personnel and vehicles passing TADECO premises as protocol of the management going to the project site for biosecurity reasons; and (b) heavy machineries and equipment are required to be disinfected which causes the contractor to provide chemicals and personnel to disinfect said equipment. </w:t>
      </w:r>
    </w:p>
    <w:p>
      <w:pPr>
        <w:autoSpaceDE w:val="0"/>
        <w:autoSpaceDN w:val="0"/>
        <w:adjustRightInd w:val="0"/>
        <w:spacing w:line="276" w:lineRule="auto"/>
        <w:ind w:left="360"/>
        <w:contextualSpacing/>
        <w:jc w:val="both"/>
        <w:rPr>
          <w:rFonts w:eastAsia="Calibri"/>
          <w:bCs/>
          <w:i/>
          <w:iCs/>
          <w:color w:val="000000"/>
        </w:rPr>
      </w:pPr>
    </w:p>
    <w:p>
      <w:pPr>
        <w:numPr>
          <w:ilvl w:val="0"/>
          <w:numId w:val="52"/>
        </w:numPr>
        <w:autoSpaceDE w:val="0"/>
        <w:autoSpaceDN w:val="0"/>
        <w:adjustRightInd w:val="0"/>
        <w:spacing w:line="276" w:lineRule="auto"/>
        <w:ind w:left="360"/>
        <w:contextualSpacing/>
        <w:jc w:val="both"/>
        <w:rPr>
          <w:rFonts w:eastAsia="Calibri"/>
          <w:bCs/>
          <w:color w:val="000000"/>
        </w:rPr>
      </w:pPr>
      <w:r>
        <w:rPr>
          <w:rFonts w:eastAsia="Calibri"/>
          <w:bCs/>
          <w:color w:val="000000"/>
        </w:rPr>
        <w:t>For project no. 5, there are noted errors in the Extension Orders issued such as the extension order number, specified location and the year indicated in the revised target date of completion.</w:t>
      </w:r>
    </w:p>
    <w:p>
      <w:pPr>
        <w:spacing w:line="276" w:lineRule="auto"/>
        <w:ind w:left="360"/>
        <w:contextualSpacing/>
        <w:rPr>
          <w:rFonts w:eastAsia="Calibri"/>
          <w:bCs/>
          <w:color w:val="000000"/>
        </w:rPr>
      </w:pPr>
    </w:p>
    <w:p>
      <w:pPr>
        <w:numPr>
          <w:ilvl w:val="0"/>
          <w:numId w:val="52"/>
        </w:numPr>
        <w:autoSpaceDE w:val="0"/>
        <w:autoSpaceDN w:val="0"/>
        <w:adjustRightInd w:val="0"/>
        <w:spacing w:line="276" w:lineRule="auto"/>
        <w:ind w:left="360"/>
        <w:contextualSpacing/>
        <w:jc w:val="both"/>
        <w:rPr>
          <w:rFonts w:eastAsia="Calibri"/>
          <w:bCs/>
          <w:color w:val="000000"/>
        </w:rPr>
      </w:pPr>
      <w:r>
        <w:rPr>
          <w:rFonts w:eastAsia="Calibri"/>
          <w:bCs/>
          <w:color w:val="000000"/>
        </w:rPr>
        <w:t>For the other remaining projects, the reason cited for various time extensions is due to unfavorable weather condition.</w:t>
      </w:r>
    </w:p>
    <w:p>
      <w:pPr>
        <w:autoSpaceDE w:val="0"/>
        <w:autoSpaceDN w:val="0"/>
        <w:adjustRightInd w:val="0"/>
        <w:spacing w:line="276" w:lineRule="auto"/>
        <w:ind w:left="1080"/>
        <w:contextualSpacing/>
        <w:jc w:val="both"/>
        <w:rPr>
          <w:rFonts w:eastAsia="Calibri"/>
          <w:bCs/>
          <w:i/>
          <w:i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In summary, the City Government of </w:t>
      </w:r>
      <w:proofErr w:type="spellStart"/>
      <w:r>
        <w:rPr>
          <w:rFonts w:eastAsia="Calibri"/>
          <w:bCs/>
          <w:color w:val="000000"/>
        </w:rPr>
        <w:t>Panabo</w:t>
      </w:r>
      <w:proofErr w:type="spellEnd"/>
      <w:r>
        <w:rPr>
          <w:rFonts w:eastAsia="Calibri"/>
          <w:bCs/>
          <w:color w:val="000000"/>
        </w:rPr>
        <w:t xml:space="preserve"> granted time extensions mainly due to unfavorable weather conditions. However, it is difficult to establish that the grant of the same is advantageous to the government and is not abused by the contractor, especially in avoiding liabilities when significant delays have been incurred. Moreover, Section 10.5 of the revised Implementing Rules and Regulations (IRR) of Republic Act (RA) No. 9184, states: </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ind w:left="720" w:right="702"/>
        <w:jc w:val="both"/>
        <w:rPr>
          <w:rFonts w:eastAsia="Calibri"/>
          <w:bCs/>
          <w:color w:val="000000"/>
        </w:rPr>
      </w:pPr>
      <w:r>
        <w:rPr>
          <w:rFonts w:eastAsia="Calibri"/>
          <w:bCs/>
          <w:color w:val="000000"/>
        </w:rPr>
        <w:t xml:space="preserve">Extension of contract time shall be granted for rainy/unworkable days considered unfavorable for the prosecution of the works at the site, based </w:t>
      </w:r>
      <w:r>
        <w:rPr>
          <w:rFonts w:eastAsia="Calibri"/>
          <w:bCs/>
          <w:color w:val="000000"/>
        </w:rPr>
        <w:lastRenderedPageBreak/>
        <w:t xml:space="preserve">on the actual conditions obtained at the site, </w:t>
      </w:r>
      <w:r>
        <w:rPr>
          <w:rFonts w:eastAsia="Calibri"/>
          <w:b/>
          <w:color w:val="000000"/>
        </w:rPr>
        <w:t>in excess of the number of rainy/unworkable days pre-determined by the government in relation to the original contract time during the conduct of detailed engineering</w:t>
      </w:r>
      <w:r>
        <w:rPr>
          <w:rFonts w:eastAsia="Calibri"/>
          <w:bCs/>
          <w:color w:val="000000"/>
        </w:rPr>
        <w:t>…xxx… (Emphasis ours)</w:t>
      </w:r>
    </w:p>
    <w:p>
      <w:pPr>
        <w:autoSpaceDE w:val="0"/>
        <w:autoSpaceDN w:val="0"/>
        <w:adjustRightInd w:val="0"/>
        <w:spacing w:line="276" w:lineRule="auto"/>
        <w:ind w:firstLine="720"/>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In addition, Annex A of the same IRR provides:</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ind w:left="720" w:right="702"/>
        <w:jc w:val="both"/>
        <w:rPr>
          <w:rFonts w:eastAsia="Calibri"/>
          <w:bCs/>
          <w:iCs/>
          <w:color w:val="000000"/>
        </w:rPr>
      </w:pPr>
      <w:r>
        <w:rPr>
          <w:rFonts w:eastAsia="Calibri"/>
          <w:bCs/>
          <w:iCs/>
          <w:color w:val="000000"/>
        </w:rPr>
        <w:t xml:space="preserve">…xxx…in the preparation of the Bidding Documents, </w:t>
      </w:r>
      <w:r>
        <w:rPr>
          <w:rFonts w:eastAsia="Calibri"/>
          <w:b/>
          <w:iCs/>
          <w:color w:val="000000"/>
        </w:rPr>
        <w:t>the agency shall make an estimate of the actual number of working days required to complete the project through PERT/CPM analysis of the project activities and corrected for holidays and weekends. Likewise, the agency shall make an estimate of the number of rainy/unworkable days considered unfavorable for the prosecution of the works at the site, based on the records of the Philippine Atmospheric, Geophysical and Astronomical Services Administration (PAGASA), and incorporate the same in the corrected actual number of working days determined above, which shall be made the basis of the total contract time.</w:t>
      </w:r>
      <w:r>
        <w:rPr>
          <w:rFonts w:eastAsia="Calibri"/>
          <w:bCs/>
          <w:iCs/>
          <w:color w:val="000000"/>
        </w:rPr>
        <w:t xml:space="preserve"> The estimated number of rainy/unworkable days considered unfavorable for the prosecution of the works at the site shall be made known before the date of bidding through the Instructions to Bidders for the purpose of guiding the contractor in preparing his bid and as reference to both the GOP and winning contractors taking action on the requests for time extensions.” (Emphasis ours)</w:t>
      </w:r>
    </w:p>
    <w:p>
      <w:pPr>
        <w:autoSpaceDE w:val="0"/>
        <w:autoSpaceDN w:val="0"/>
        <w:adjustRightInd w:val="0"/>
        <w:spacing w:line="276" w:lineRule="auto"/>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 xml:space="preserve">In light of the foregoing, the CEO has not submitted the PERT/CPM analysis of the abovementioned projects done during the detailed engineering phase which would serve as the basis whether rainy/unworkable days has been considered in determining the total contract time. This would help in determining whether the requested time extensions by the contractors are fitting and proper. Also, there is no updated/revised S-curve submitted on projects with time extensions and work suspensions which could have helped in assessing whether the progress of work done on-site is still within the set timeline and could have aided the agency in initiating the appropriate actions to be done.  </w:t>
      </w: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i/>
          <w:iCs/>
          <w:color w:val="000000"/>
        </w:rPr>
      </w:pPr>
    </w:p>
    <w:p>
      <w:pPr>
        <w:numPr>
          <w:ilvl w:val="0"/>
          <w:numId w:val="51"/>
        </w:numPr>
        <w:autoSpaceDE w:val="0"/>
        <w:autoSpaceDN w:val="0"/>
        <w:adjustRightInd w:val="0"/>
        <w:spacing w:line="276" w:lineRule="auto"/>
        <w:ind w:left="360"/>
        <w:contextualSpacing/>
        <w:jc w:val="both"/>
        <w:rPr>
          <w:rFonts w:eastAsia="Calibri"/>
          <w:b/>
          <w:i/>
          <w:iCs/>
          <w:color w:val="000000"/>
        </w:rPr>
      </w:pPr>
      <w:r>
        <w:rPr>
          <w:rFonts w:eastAsia="Calibri"/>
          <w:b/>
          <w:i/>
          <w:iCs/>
          <w:color w:val="000000"/>
        </w:rPr>
        <w:lastRenderedPageBreak/>
        <w:t xml:space="preserve">Projects in the amount of P139,923,963.42 with target date of completion in CY 2023 but still considered as delayed as at year-end based on the submitted S-curve </w:t>
      </w:r>
    </w:p>
    <w:p>
      <w:pPr>
        <w:autoSpaceDE w:val="0"/>
        <w:autoSpaceDN w:val="0"/>
        <w:adjustRightInd w:val="0"/>
        <w:spacing w:line="276" w:lineRule="auto"/>
        <w:jc w:val="both"/>
        <w:rPr>
          <w:rFonts w:eastAsia="Calibri"/>
          <w:bCs/>
          <w:iCs/>
          <w:color w:val="000000"/>
        </w:rPr>
      </w:pPr>
    </w:p>
    <w:p>
      <w:pPr>
        <w:autoSpaceDE w:val="0"/>
        <w:autoSpaceDN w:val="0"/>
        <w:adjustRightInd w:val="0"/>
        <w:spacing w:line="276" w:lineRule="auto"/>
        <w:jc w:val="both"/>
        <w:rPr>
          <w:rFonts w:eastAsia="Calibri"/>
          <w:bCs/>
          <w:i/>
          <w:iCs/>
          <w:color w:val="000000"/>
        </w:rPr>
      </w:pPr>
      <w:r>
        <w:rPr>
          <w:rFonts w:eastAsia="Calibri"/>
          <w:bCs/>
          <w:i/>
          <w:iCs/>
          <w:color w:val="000000"/>
        </w:rPr>
        <w:t>Table 23.5. On-going completed projects with negative slippage as of December 31, 2022</w:t>
      </w:r>
    </w:p>
    <w:tbl>
      <w:tblPr>
        <w:tblStyle w:val="TableGrid42"/>
        <w:tblW w:w="9039" w:type="dxa"/>
        <w:jc w:val="center"/>
        <w:tblLook w:val="04A0" w:firstRow="1" w:lastRow="0" w:firstColumn="1" w:lastColumn="0" w:noHBand="0" w:noVBand="1"/>
      </w:tblPr>
      <w:tblGrid>
        <w:gridCol w:w="2835"/>
        <w:gridCol w:w="1466"/>
        <w:gridCol w:w="1216"/>
        <w:gridCol w:w="1216"/>
        <w:gridCol w:w="1216"/>
        <w:gridCol w:w="1105"/>
      </w:tblGrid>
      <w:tr>
        <w:trPr>
          <w:trHeight w:val="909"/>
          <w:tblHeader/>
          <w:jc w:val="center"/>
        </w:trPr>
        <w:tc>
          <w:tcPr>
            <w:tcW w:w="2769" w:type="dxa"/>
            <w:vAlign w:val="bottom"/>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Project</w:t>
            </w:r>
          </w:p>
        </w:tc>
        <w:tc>
          <w:tcPr>
            <w:tcW w:w="1435" w:type="dxa"/>
            <w:vAlign w:val="bottom"/>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Contract Cost</w:t>
            </w:r>
          </w:p>
        </w:tc>
        <w:tc>
          <w:tcPr>
            <w:tcW w:w="1190" w:type="dxa"/>
            <w:vAlign w:val="bottom"/>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Target Date of Completion</w:t>
            </w:r>
          </w:p>
        </w:tc>
        <w:tc>
          <w:tcPr>
            <w:tcW w:w="1190" w:type="dxa"/>
            <w:vAlign w:val="bottom"/>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 xml:space="preserve"> Percentage of Completion as at 12/31/22*</w:t>
            </w:r>
          </w:p>
        </w:tc>
        <w:tc>
          <w:tcPr>
            <w:tcW w:w="1190" w:type="dxa"/>
            <w:vAlign w:val="bottom"/>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Should-be Percentage of Completion as at 12/31/22**</w:t>
            </w:r>
          </w:p>
        </w:tc>
        <w:tc>
          <w:tcPr>
            <w:tcW w:w="1265" w:type="dxa"/>
            <w:vAlign w:val="bottom"/>
          </w:tcPr>
          <w:p>
            <w:pPr>
              <w:autoSpaceDE w:val="0"/>
              <w:autoSpaceDN w:val="0"/>
              <w:adjustRightInd w:val="0"/>
              <w:spacing w:line="276" w:lineRule="auto"/>
              <w:jc w:val="center"/>
              <w:rPr>
                <w:rFonts w:eastAsia="Calibri"/>
                <w:b/>
                <w:color w:val="000000"/>
                <w:sz w:val="20"/>
                <w:szCs w:val="20"/>
              </w:rPr>
            </w:pPr>
            <w:r>
              <w:rPr>
                <w:rFonts w:eastAsia="Calibri"/>
                <w:b/>
                <w:color w:val="000000"/>
                <w:sz w:val="20"/>
                <w:szCs w:val="20"/>
              </w:rPr>
              <w:t>Difference</w:t>
            </w:r>
          </w:p>
        </w:tc>
      </w:tr>
      <w:tr>
        <w:trPr>
          <w:trHeight w:val="466"/>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Improvement/Rehabilitation of Water System at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Mabunao</w:t>
            </w:r>
            <w:proofErr w:type="spellEnd"/>
          </w:p>
        </w:tc>
        <w:tc>
          <w:tcPr>
            <w:tcW w:w="1435" w:type="dxa"/>
            <w:vAlign w:val="bottom"/>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19,997,250.64</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02/01/2023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33%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60%</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-27%</w:t>
            </w:r>
          </w:p>
        </w:tc>
      </w:tr>
      <w:tr>
        <w:trPr>
          <w:trHeight w:val="227"/>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Upgrading of Level III Water System at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Kasilak</w:t>
            </w:r>
            <w:proofErr w:type="spellEnd"/>
          </w:p>
        </w:tc>
        <w:tc>
          <w:tcPr>
            <w:tcW w:w="1435" w:type="dxa"/>
            <w:vAlign w:val="bottom"/>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4,997,648.77</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02/15/2023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77%</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80%</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-3%</w:t>
            </w:r>
          </w:p>
        </w:tc>
      </w:tr>
      <w:tr>
        <w:trPr>
          <w:trHeight w:val="454"/>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Rehabilitation/Improvement of Level III Water System at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Manay</w:t>
            </w:r>
            <w:proofErr w:type="spellEnd"/>
          </w:p>
        </w:tc>
        <w:tc>
          <w:tcPr>
            <w:tcW w:w="1435" w:type="dxa"/>
            <w:vAlign w:val="bottom"/>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19,943,123.52</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04/02/2023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15%</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58%</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-43%</w:t>
            </w:r>
          </w:p>
        </w:tc>
      </w:tr>
      <w:tr>
        <w:trPr>
          <w:trHeight w:val="233"/>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Improvement of Water System from Level II to Level III at </w:t>
            </w:r>
            <w:proofErr w:type="spellStart"/>
            <w:r>
              <w:rPr>
                <w:rFonts w:eastAsia="Calibri"/>
                <w:bCs/>
                <w:color w:val="000000"/>
                <w:sz w:val="20"/>
                <w:szCs w:val="20"/>
              </w:rPr>
              <w:t>Brgy</w:t>
            </w:r>
            <w:proofErr w:type="spellEnd"/>
            <w:r>
              <w:rPr>
                <w:rFonts w:eastAsia="Calibri"/>
                <w:bCs/>
                <w:color w:val="000000"/>
                <w:sz w:val="20"/>
                <w:szCs w:val="20"/>
              </w:rPr>
              <w:t xml:space="preserve">. New </w:t>
            </w:r>
            <w:proofErr w:type="spellStart"/>
            <w:r>
              <w:rPr>
                <w:rFonts w:eastAsia="Calibri"/>
                <w:bCs/>
                <w:color w:val="000000"/>
                <w:sz w:val="20"/>
                <w:szCs w:val="20"/>
              </w:rPr>
              <w:t>Malitbog</w:t>
            </w:r>
            <w:proofErr w:type="spellEnd"/>
          </w:p>
        </w:tc>
        <w:tc>
          <w:tcPr>
            <w:tcW w:w="1435" w:type="dxa"/>
            <w:vAlign w:val="bottom"/>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14,996,838.50</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03/04/2023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38%</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45%</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-7%</w:t>
            </w:r>
          </w:p>
        </w:tc>
      </w:tr>
      <w:tr>
        <w:trPr>
          <w:trHeight w:val="466"/>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Rehabilitation/Upgrading Level III Water System Including Drilling of Potable Water Source at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Malativas</w:t>
            </w:r>
            <w:proofErr w:type="spellEnd"/>
          </w:p>
        </w:tc>
        <w:tc>
          <w:tcPr>
            <w:tcW w:w="1435" w:type="dxa"/>
            <w:vAlign w:val="bottom"/>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14,996,861.36</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01/27/2023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57%</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82%</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-32%</w:t>
            </w:r>
          </w:p>
        </w:tc>
      </w:tr>
      <w:tr>
        <w:trPr>
          <w:trHeight w:val="233"/>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Expansion of Level III Water System (Construction of Water System) at </w:t>
            </w:r>
            <w:proofErr w:type="spellStart"/>
            <w:r>
              <w:rPr>
                <w:rFonts w:eastAsia="Calibri"/>
                <w:bCs/>
                <w:color w:val="000000"/>
                <w:sz w:val="20"/>
                <w:szCs w:val="20"/>
              </w:rPr>
              <w:t>Brgy</w:t>
            </w:r>
            <w:proofErr w:type="spellEnd"/>
            <w:r>
              <w:rPr>
                <w:rFonts w:eastAsia="Calibri"/>
                <w:bCs/>
                <w:color w:val="000000"/>
                <w:sz w:val="20"/>
                <w:szCs w:val="20"/>
              </w:rPr>
              <w:t>. San Nicolas</w:t>
            </w:r>
          </w:p>
        </w:tc>
        <w:tc>
          <w:tcPr>
            <w:tcW w:w="1435" w:type="dxa"/>
            <w:vAlign w:val="bottom"/>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4,982,998.53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02/15/2023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67%</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77%</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-10%</w:t>
            </w:r>
          </w:p>
        </w:tc>
      </w:tr>
      <w:tr>
        <w:trPr>
          <w:trHeight w:val="251"/>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Water System at </w:t>
            </w:r>
            <w:proofErr w:type="spellStart"/>
            <w:r>
              <w:rPr>
                <w:rFonts w:eastAsia="Calibri"/>
                <w:bCs/>
                <w:color w:val="000000"/>
                <w:sz w:val="20"/>
                <w:szCs w:val="20"/>
              </w:rPr>
              <w:t>Brgy</w:t>
            </w:r>
            <w:proofErr w:type="spellEnd"/>
            <w:r>
              <w:rPr>
                <w:rFonts w:eastAsia="Calibri"/>
                <w:bCs/>
                <w:color w:val="000000"/>
                <w:sz w:val="20"/>
                <w:szCs w:val="20"/>
              </w:rPr>
              <w:t>. Sta. Cruz</w:t>
            </w:r>
          </w:p>
        </w:tc>
        <w:tc>
          <w:tcPr>
            <w:tcW w:w="1435" w:type="dxa"/>
            <w:vAlign w:val="bottom"/>
          </w:tcPr>
          <w:p>
            <w:pPr>
              <w:autoSpaceDE w:val="0"/>
              <w:autoSpaceDN w:val="0"/>
              <w:adjustRightInd w:val="0"/>
              <w:spacing w:line="276" w:lineRule="auto"/>
              <w:jc w:val="right"/>
              <w:rPr>
                <w:rFonts w:eastAsia="Calibri"/>
                <w:bCs/>
                <w:color w:val="000000"/>
                <w:sz w:val="20"/>
                <w:szCs w:val="20"/>
              </w:rPr>
            </w:pPr>
            <w:r>
              <w:rPr>
                <w:rFonts w:eastAsia="Calibri"/>
                <w:bCs/>
                <w:color w:val="000000"/>
                <w:sz w:val="20"/>
                <w:szCs w:val="20"/>
              </w:rPr>
              <w:t>4,977,498.22</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02/15/2023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10%</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77%</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-67%</w:t>
            </w:r>
          </w:p>
        </w:tc>
      </w:tr>
      <w:tr>
        <w:trPr>
          <w:trHeight w:val="454"/>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Improvement/Expansion of Water System at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Tagpore</w:t>
            </w:r>
            <w:proofErr w:type="spellEnd"/>
          </w:p>
        </w:tc>
        <w:tc>
          <w:tcPr>
            <w:tcW w:w="1435" w:type="dxa"/>
            <w:vAlign w:val="bottom"/>
          </w:tcPr>
          <w:p>
            <w:pPr>
              <w:autoSpaceDE w:val="0"/>
              <w:autoSpaceDN w:val="0"/>
              <w:adjustRightInd w:val="0"/>
              <w:spacing w:line="276" w:lineRule="auto"/>
              <w:jc w:val="right"/>
              <w:rPr>
                <w:sz w:val="20"/>
                <w:szCs w:val="20"/>
              </w:rPr>
            </w:pPr>
            <w:r>
              <w:rPr>
                <w:rFonts w:eastAsia="Calibri"/>
                <w:bCs/>
                <w:color w:val="000000"/>
                <w:sz w:val="20"/>
                <w:szCs w:val="20"/>
              </w:rPr>
              <w:t>17,996,660.89</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01/27/2023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35%</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82%</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-47%</w:t>
            </w:r>
          </w:p>
        </w:tc>
      </w:tr>
      <w:tr>
        <w:trPr>
          <w:trHeight w:val="454"/>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Improvement/Expansion of Water System at </w:t>
            </w:r>
            <w:proofErr w:type="spellStart"/>
            <w:r>
              <w:rPr>
                <w:rFonts w:eastAsia="Calibri"/>
                <w:bCs/>
                <w:color w:val="000000"/>
                <w:sz w:val="20"/>
                <w:szCs w:val="20"/>
              </w:rPr>
              <w:t>Brgy</w:t>
            </w:r>
            <w:proofErr w:type="spellEnd"/>
            <w:r>
              <w:rPr>
                <w:rFonts w:eastAsia="Calibri"/>
                <w:bCs/>
                <w:color w:val="000000"/>
                <w:sz w:val="20"/>
                <w:szCs w:val="20"/>
              </w:rPr>
              <w:t>. Consolacion</w:t>
            </w:r>
          </w:p>
        </w:tc>
        <w:tc>
          <w:tcPr>
            <w:tcW w:w="1435" w:type="dxa"/>
            <w:vAlign w:val="bottom"/>
          </w:tcPr>
          <w:p>
            <w:pPr>
              <w:autoSpaceDE w:val="0"/>
              <w:autoSpaceDN w:val="0"/>
              <w:adjustRightInd w:val="0"/>
              <w:spacing w:line="276" w:lineRule="auto"/>
              <w:jc w:val="right"/>
              <w:rPr>
                <w:sz w:val="20"/>
                <w:szCs w:val="20"/>
              </w:rPr>
            </w:pPr>
            <w:r>
              <w:rPr>
                <w:rFonts w:eastAsia="Calibri"/>
                <w:bCs/>
                <w:color w:val="000000"/>
                <w:sz w:val="20"/>
                <w:szCs w:val="20"/>
              </w:rPr>
              <w:t>5,996,030.15</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03/14/2023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34%</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35%</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w:t>
            </w:r>
          </w:p>
        </w:tc>
      </w:tr>
      <w:tr>
        <w:trPr>
          <w:trHeight w:val="454"/>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Improvement/Expansion of Water System at </w:t>
            </w:r>
            <w:proofErr w:type="spellStart"/>
            <w:r>
              <w:rPr>
                <w:rFonts w:eastAsia="Calibri"/>
                <w:bCs/>
                <w:color w:val="000000"/>
                <w:sz w:val="20"/>
                <w:szCs w:val="20"/>
              </w:rPr>
              <w:t>Brgy</w:t>
            </w:r>
            <w:proofErr w:type="spellEnd"/>
            <w:r>
              <w:rPr>
                <w:rFonts w:eastAsia="Calibri"/>
                <w:bCs/>
                <w:color w:val="000000"/>
                <w:sz w:val="20"/>
                <w:szCs w:val="20"/>
              </w:rPr>
              <w:t>. Katipunan</w:t>
            </w:r>
          </w:p>
        </w:tc>
        <w:tc>
          <w:tcPr>
            <w:tcW w:w="1435" w:type="dxa"/>
            <w:vAlign w:val="bottom"/>
          </w:tcPr>
          <w:p>
            <w:pPr>
              <w:autoSpaceDE w:val="0"/>
              <w:autoSpaceDN w:val="0"/>
              <w:adjustRightInd w:val="0"/>
              <w:spacing w:line="276" w:lineRule="auto"/>
              <w:jc w:val="right"/>
              <w:rPr>
                <w:sz w:val="20"/>
                <w:szCs w:val="20"/>
              </w:rPr>
            </w:pPr>
            <w:r>
              <w:rPr>
                <w:sz w:val="20"/>
                <w:szCs w:val="20"/>
              </w:rPr>
              <w:t>3,986,731.79</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02/15/2023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64%</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77%</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-13%</w:t>
            </w:r>
          </w:p>
        </w:tc>
      </w:tr>
      <w:tr>
        <w:trPr>
          <w:trHeight w:val="454"/>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r>
              <w:rPr>
                <w:rFonts w:eastAsia="Calibri"/>
                <w:bCs/>
                <w:color w:val="000000"/>
                <w:sz w:val="20"/>
                <w:szCs w:val="20"/>
              </w:rPr>
              <w:t xml:space="preserve">Improvement/Expansion of Water System at </w:t>
            </w:r>
            <w:proofErr w:type="spellStart"/>
            <w:r>
              <w:rPr>
                <w:rFonts w:eastAsia="Calibri"/>
                <w:bCs/>
                <w:color w:val="000000"/>
                <w:sz w:val="20"/>
                <w:szCs w:val="20"/>
              </w:rPr>
              <w:t>Brgy</w:t>
            </w:r>
            <w:proofErr w:type="spellEnd"/>
            <w:r>
              <w:rPr>
                <w:rFonts w:eastAsia="Calibri"/>
                <w:bCs/>
                <w:color w:val="000000"/>
                <w:sz w:val="20"/>
                <w:szCs w:val="20"/>
              </w:rPr>
              <w:t xml:space="preserve">. </w:t>
            </w:r>
            <w:proofErr w:type="spellStart"/>
            <w:r>
              <w:rPr>
                <w:rFonts w:eastAsia="Calibri"/>
                <w:bCs/>
                <w:color w:val="000000"/>
                <w:sz w:val="20"/>
                <w:szCs w:val="20"/>
              </w:rPr>
              <w:t>Tibungol</w:t>
            </w:r>
            <w:proofErr w:type="spellEnd"/>
          </w:p>
        </w:tc>
        <w:tc>
          <w:tcPr>
            <w:tcW w:w="1435" w:type="dxa"/>
            <w:vAlign w:val="bottom"/>
          </w:tcPr>
          <w:p>
            <w:pPr>
              <w:autoSpaceDE w:val="0"/>
              <w:autoSpaceDN w:val="0"/>
              <w:adjustRightInd w:val="0"/>
              <w:spacing w:line="276" w:lineRule="auto"/>
              <w:jc w:val="right"/>
              <w:rPr>
                <w:sz w:val="20"/>
                <w:szCs w:val="20"/>
              </w:rPr>
            </w:pPr>
            <w:r>
              <w:rPr>
                <w:sz w:val="20"/>
                <w:szCs w:val="20"/>
              </w:rPr>
              <w:t>5,998,000.00</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02/15/2023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30%</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77%</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-47%</w:t>
            </w:r>
          </w:p>
        </w:tc>
      </w:tr>
      <w:tr>
        <w:trPr>
          <w:trHeight w:val="454"/>
          <w:jc w:val="center"/>
        </w:trPr>
        <w:tc>
          <w:tcPr>
            <w:tcW w:w="2769" w:type="dxa"/>
          </w:tcPr>
          <w:p>
            <w:pPr>
              <w:numPr>
                <w:ilvl w:val="0"/>
                <w:numId w:val="55"/>
              </w:numPr>
              <w:autoSpaceDE w:val="0"/>
              <w:autoSpaceDN w:val="0"/>
              <w:adjustRightInd w:val="0"/>
              <w:spacing w:line="276" w:lineRule="auto"/>
              <w:ind w:left="356"/>
              <w:jc w:val="both"/>
              <w:rPr>
                <w:rFonts w:eastAsia="Calibri"/>
                <w:bCs/>
                <w:color w:val="000000"/>
                <w:sz w:val="20"/>
                <w:szCs w:val="20"/>
              </w:rPr>
            </w:pPr>
            <w:proofErr w:type="spellStart"/>
            <w:r>
              <w:rPr>
                <w:rFonts w:eastAsia="Calibri"/>
                <w:bCs/>
                <w:color w:val="000000"/>
                <w:sz w:val="20"/>
                <w:szCs w:val="20"/>
              </w:rPr>
              <w:lastRenderedPageBreak/>
              <w:t>Panabo</w:t>
            </w:r>
            <w:proofErr w:type="spellEnd"/>
            <w:r>
              <w:rPr>
                <w:rFonts w:eastAsia="Calibri"/>
                <w:bCs/>
                <w:color w:val="000000"/>
                <w:sz w:val="20"/>
                <w:szCs w:val="20"/>
              </w:rPr>
              <w:t xml:space="preserve"> Mangrove Forest Park at </w:t>
            </w:r>
            <w:proofErr w:type="spellStart"/>
            <w:r>
              <w:rPr>
                <w:rFonts w:eastAsia="Calibri"/>
                <w:bCs/>
                <w:color w:val="000000"/>
                <w:sz w:val="20"/>
                <w:szCs w:val="20"/>
              </w:rPr>
              <w:t>Brgy</w:t>
            </w:r>
            <w:proofErr w:type="spellEnd"/>
            <w:r>
              <w:rPr>
                <w:rFonts w:eastAsia="Calibri"/>
                <w:bCs/>
                <w:color w:val="000000"/>
                <w:sz w:val="20"/>
                <w:szCs w:val="20"/>
              </w:rPr>
              <w:t>. J.P. Laurel***</w:t>
            </w:r>
          </w:p>
        </w:tc>
        <w:tc>
          <w:tcPr>
            <w:tcW w:w="1435" w:type="dxa"/>
            <w:vAlign w:val="bottom"/>
          </w:tcPr>
          <w:p>
            <w:pPr>
              <w:autoSpaceDE w:val="0"/>
              <w:autoSpaceDN w:val="0"/>
              <w:adjustRightInd w:val="0"/>
              <w:spacing w:line="276" w:lineRule="auto"/>
              <w:jc w:val="right"/>
              <w:rPr>
                <w:sz w:val="20"/>
                <w:szCs w:val="20"/>
              </w:rPr>
            </w:pPr>
            <w:r>
              <w:rPr>
                <w:sz w:val="20"/>
                <w:szCs w:val="20"/>
              </w:rPr>
              <w:t>21,054,321.05</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02/19/2023</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35%</w:t>
            </w:r>
          </w:p>
        </w:tc>
        <w:tc>
          <w:tcPr>
            <w:tcW w:w="1190"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100%</w:t>
            </w:r>
          </w:p>
        </w:tc>
        <w:tc>
          <w:tcPr>
            <w:tcW w:w="1265" w:type="dxa"/>
            <w:vAlign w:val="bottom"/>
          </w:tcPr>
          <w:p>
            <w:pPr>
              <w:autoSpaceDE w:val="0"/>
              <w:autoSpaceDN w:val="0"/>
              <w:adjustRightInd w:val="0"/>
              <w:spacing w:line="276" w:lineRule="auto"/>
              <w:jc w:val="center"/>
              <w:rPr>
                <w:rFonts w:eastAsia="Calibri"/>
                <w:bCs/>
                <w:color w:val="000000"/>
                <w:sz w:val="20"/>
                <w:szCs w:val="20"/>
              </w:rPr>
            </w:pPr>
            <w:r>
              <w:rPr>
                <w:rFonts w:eastAsia="Calibri"/>
                <w:bCs/>
                <w:color w:val="000000"/>
                <w:sz w:val="20"/>
                <w:szCs w:val="20"/>
              </w:rPr>
              <w:t>-65%</w:t>
            </w:r>
          </w:p>
        </w:tc>
      </w:tr>
      <w:tr>
        <w:trPr>
          <w:trHeight w:val="227"/>
          <w:jc w:val="center"/>
        </w:trPr>
        <w:tc>
          <w:tcPr>
            <w:tcW w:w="2769" w:type="dxa"/>
          </w:tcPr>
          <w:p>
            <w:pPr>
              <w:autoSpaceDE w:val="0"/>
              <w:autoSpaceDN w:val="0"/>
              <w:adjustRightInd w:val="0"/>
              <w:spacing w:line="276" w:lineRule="auto"/>
              <w:jc w:val="both"/>
              <w:rPr>
                <w:rFonts w:eastAsia="Calibri"/>
                <w:b/>
                <w:color w:val="000000"/>
                <w:sz w:val="20"/>
                <w:szCs w:val="20"/>
              </w:rPr>
            </w:pPr>
            <w:r>
              <w:rPr>
                <w:rFonts w:eastAsia="Calibri"/>
                <w:b/>
                <w:color w:val="000000"/>
                <w:sz w:val="20"/>
                <w:szCs w:val="20"/>
              </w:rPr>
              <w:t>Total</w:t>
            </w:r>
          </w:p>
        </w:tc>
        <w:tc>
          <w:tcPr>
            <w:tcW w:w="1435" w:type="dxa"/>
            <w:vAlign w:val="bottom"/>
          </w:tcPr>
          <w:p>
            <w:pPr>
              <w:autoSpaceDE w:val="0"/>
              <w:autoSpaceDN w:val="0"/>
              <w:adjustRightInd w:val="0"/>
              <w:spacing w:line="276" w:lineRule="auto"/>
              <w:jc w:val="right"/>
              <w:rPr>
                <w:rFonts w:eastAsia="Calibri"/>
                <w:b/>
                <w:color w:val="000000"/>
                <w:sz w:val="20"/>
                <w:szCs w:val="20"/>
              </w:rPr>
            </w:pPr>
            <w:r>
              <w:rPr>
                <w:rFonts w:eastAsia="Calibri"/>
                <w:b/>
                <w:color w:val="000000"/>
                <w:sz w:val="20"/>
                <w:szCs w:val="20"/>
              </w:rPr>
              <w:t>139,923,963.42</w:t>
            </w:r>
          </w:p>
        </w:tc>
        <w:tc>
          <w:tcPr>
            <w:tcW w:w="1190" w:type="dxa"/>
          </w:tcPr>
          <w:p>
            <w:pPr>
              <w:autoSpaceDE w:val="0"/>
              <w:autoSpaceDN w:val="0"/>
              <w:adjustRightInd w:val="0"/>
              <w:spacing w:line="276" w:lineRule="auto"/>
              <w:jc w:val="both"/>
              <w:rPr>
                <w:rFonts w:eastAsia="Calibri"/>
                <w:bCs/>
                <w:color w:val="000000"/>
                <w:sz w:val="20"/>
                <w:szCs w:val="20"/>
              </w:rPr>
            </w:pPr>
          </w:p>
        </w:tc>
        <w:tc>
          <w:tcPr>
            <w:tcW w:w="1190" w:type="dxa"/>
          </w:tcPr>
          <w:p>
            <w:pPr>
              <w:autoSpaceDE w:val="0"/>
              <w:autoSpaceDN w:val="0"/>
              <w:adjustRightInd w:val="0"/>
              <w:spacing w:line="276" w:lineRule="auto"/>
              <w:jc w:val="both"/>
              <w:rPr>
                <w:rFonts w:eastAsia="Calibri"/>
                <w:bCs/>
                <w:color w:val="000000"/>
                <w:sz w:val="20"/>
                <w:szCs w:val="20"/>
              </w:rPr>
            </w:pPr>
          </w:p>
        </w:tc>
        <w:tc>
          <w:tcPr>
            <w:tcW w:w="1190" w:type="dxa"/>
          </w:tcPr>
          <w:p>
            <w:pPr>
              <w:autoSpaceDE w:val="0"/>
              <w:autoSpaceDN w:val="0"/>
              <w:adjustRightInd w:val="0"/>
              <w:spacing w:line="276" w:lineRule="auto"/>
              <w:jc w:val="both"/>
              <w:rPr>
                <w:rFonts w:eastAsia="Calibri"/>
                <w:bCs/>
                <w:color w:val="000000"/>
                <w:sz w:val="20"/>
                <w:szCs w:val="20"/>
              </w:rPr>
            </w:pPr>
          </w:p>
        </w:tc>
        <w:tc>
          <w:tcPr>
            <w:tcW w:w="1265" w:type="dxa"/>
          </w:tcPr>
          <w:p>
            <w:pPr>
              <w:autoSpaceDE w:val="0"/>
              <w:autoSpaceDN w:val="0"/>
              <w:adjustRightInd w:val="0"/>
              <w:spacing w:line="276" w:lineRule="auto"/>
              <w:jc w:val="both"/>
              <w:rPr>
                <w:rFonts w:eastAsia="Calibri"/>
                <w:bCs/>
                <w:color w:val="000000"/>
                <w:sz w:val="20"/>
                <w:szCs w:val="20"/>
              </w:rPr>
            </w:pPr>
          </w:p>
        </w:tc>
      </w:tr>
    </w:tbl>
    <w:p>
      <w:pPr>
        <w:autoSpaceDE w:val="0"/>
        <w:autoSpaceDN w:val="0"/>
        <w:adjustRightInd w:val="0"/>
        <w:spacing w:line="276" w:lineRule="auto"/>
        <w:jc w:val="both"/>
        <w:rPr>
          <w:rFonts w:eastAsia="Calibri"/>
          <w:bCs/>
          <w:i/>
          <w:iCs/>
          <w:color w:val="000000"/>
        </w:rPr>
      </w:pPr>
      <w:r>
        <w:rPr>
          <w:rFonts w:eastAsia="Calibri"/>
          <w:bCs/>
          <w:i/>
          <w:iCs/>
          <w:color w:val="000000"/>
        </w:rPr>
        <w:t>*based on the project monitoring status provided by the City Engineer’s Office (CEO) as at 12/31/22</w:t>
      </w:r>
    </w:p>
    <w:p>
      <w:pPr>
        <w:autoSpaceDE w:val="0"/>
        <w:autoSpaceDN w:val="0"/>
        <w:adjustRightInd w:val="0"/>
        <w:spacing w:line="276" w:lineRule="auto"/>
        <w:jc w:val="both"/>
        <w:rPr>
          <w:rFonts w:eastAsia="Calibri"/>
          <w:bCs/>
          <w:i/>
          <w:iCs/>
          <w:color w:val="000000"/>
        </w:rPr>
      </w:pPr>
      <w:r>
        <w:rPr>
          <w:rFonts w:eastAsia="Calibri"/>
          <w:bCs/>
          <w:i/>
          <w:iCs/>
          <w:color w:val="000000"/>
        </w:rPr>
        <w:t>**approximate computation based on the initial S-curve submitted by the contractor</w:t>
      </w:r>
    </w:p>
    <w:p>
      <w:pPr>
        <w:autoSpaceDE w:val="0"/>
        <w:autoSpaceDN w:val="0"/>
        <w:adjustRightInd w:val="0"/>
        <w:spacing w:line="276" w:lineRule="auto"/>
        <w:jc w:val="both"/>
        <w:rPr>
          <w:rFonts w:eastAsia="Calibri"/>
          <w:bCs/>
          <w:i/>
          <w:iCs/>
          <w:color w:val="000000"/>
        </w:rPr>
      </w:pPr>
      <w:r>
        <w:rPr>
          <w:rFonts w:eastAsia="Calibri"/>
          <w:bCs/>
          <w:i/>
          <w:iCs/>
          <w:color w:val="000000"/>
        </w:rPr>
        <w:t>***in the submitted S-curve, the number of days indicated is 150 CD, hence, the projects should be completed by year-end</w:t>
      </w:r>
    </w:p>
    <w:p>
      <w:pPr>
        <w:autoSpaceDE w:val="0"/>
        <w:autoSpaceDN w:val="0"/>
        <w:adjustRightInd w:val="0"/>
        <w:spacing w:line="276" w:lineRule="auto"/>
        <w:jc w:val="both"/>
        <w:rPr>
          <w:rFonts w:eastAsia="Calibri"/>
          <w:bCs/>
          <w:i/>
          <w:iCs/>
          <w:color w:val="000000"/>
        </w:rPr>
      </w:pPr>
    </w:p>
    <w:p>
      <w:pPr>
        <w:autoSpaceDE w:val="0"/>
        <w:autoSpaceDN w:val="0"/>
        <w:adjustRightInd w:val="0"/>
        <w:spacing w:line="276" w:lineRule="auto"/>
        <w:jc w:val="both"/>
        <w:rPr>
          <w:rFonts w:eastAsia="Calibri"/>
          <w:bCs/>
          <w:color w:val="000000"/>
        </w:rPr>
      </w:pPr>
      <w:r>
        <w:rPr>
          <w:rFonts w:eastAsia="Calibri"/>
          <w:bCs/>
          <w:color w:val="000000"/>
        </w:rPr>
        <w:t>For those projects with estimated target date of completion in CY 2023, the Audit Team evaluated the percentage of completion of the said projects as at year-end. The percentage of completion indicated in the project monitoring provided by the CEO was compared to the initial S-curve submitted by the contractor during the bidding process. The result of such evaluation showed that projects in an aggregate amount of P139,923,963.42, with target date of completion in CY 2023, still incurred minimal to significant delays as at year-end. The difference in the actual percentage of completion against the should-be percentage of completion ranges from -1% to -65% as indicated in the preceding table.</w:t>
      </w:r>
    </w:p>
    <w:p>
      <w:pPr>
        <w:autoSpaceDE w:val="0"/>
        <w:autoSpaceDN w:val="0"/>
        <w:adjustRightInd w:val="0"/>
        <w:spacing w:line="276" w:lineRule="auto"/>
        <w:jc w:val="both"/>
        <w:rPr>
          <w:rFonts w:eastAsia="Calibri"/>
          <w:bCs/>
          <w:i/>
          <w:iCs/>
          <w:color w:val="000000"/>
        </w:rPr>
      </w:pPr>
    </w:p>
    <w:p>
      <w:pPr>
        <w:numPr>
          <w:ilvl w:val="0"/>
          <w:numId w:val="51"/>
        </w:numPr>
        <w:autoSpaceDE w:val="0"/>
        <w:autoSpaceDN w:val="0"/>
        <w:adjustRightInd w:val="0"/>
        <w:spacing w:line="276" w:lineRule="auto"/>
        <w:ind w:left="360"/>
        <w:contextualSpacing/>
        <w:jc w:val="both"/>
        <w:rPr>
          <w:rFonts w:eastAsia="Calibri"/>
          <w:b/>
          <w:i/>
          <w:iCs/>
          <w:color w:val="000000"/>
        </w:rPr>
      </w:pPr>
      <w:r>
        <w:rPr>
          <w:rFonts w:eastAsia="Calibri"/>
          <w:b/>
          <w:i/>
          <w:iCs/>
          <w:color w:val="000000"/>
        </w:rPr>
        <w:t>Delay in the electrification projects totaling P5,000,000.00 in various barangays</w:t>
      </w:r>
    </w:p>
    <w:p>
      <w:pPr>
        <w:autoSpaceDE w:val="0"/>
        <w:autoSpaceDN w:val="0"/>
        <w:adjustRightInd w:val="0"/>
        <w:spacing w:line="276" w:lineRule="auto"/>
        <w:ind w:firstLine="720"/>
        <w:jc w:val="both"/>
        <w:rPr>
          <w:rFonts w:eastAsia="Calibri"/>
          <w:bCs/>
          <w:i/>
          <w:iCs/>
          <w:color w:val="000000"/>
        </w:rPr>
      </w:pPr>
    </w:p>
    <w:p>
      <w:pPr>
        <w:autoSpaceDE w:val="0"/>
        <w:autoSpaceDN w:val="0"/>
        <w:adjustRightInd w:val="0"/>
        <w:spacing w:line="276" w:lineRule="auto"/>
        <w:ind w:left="360"/>
        <w:jc w:val="both"/>
        <w:rPr>
          <w:rFonts w:eastAsia="Calibri"/>
          <w:bCs/>
          <w:i/>
          <w:iCs/>
          <w:color w:val="000000"/>
        </w:rPr>
      </w:pPr>
      <w:r>
        <w:rPr>
          <w:rFonts w:eastAsia="Calibri"/>
          <w:bCs/>
          <w:i/>
          <w:iCs/>
          <w:color w:val="000000"/>
        </w:rPr>
        <w:t xml:space="preserve">    Table 23.6. On-going Electrification Project as at December 31, 2022</w:t>
      </w:r>
    </w:p>
    <w:tbl>
      <w:tblPr>
        <w:tblStyle w:val="TableGrid42"/>
        <w:tblW w:w="0" w:type="auto"/>
        <w:jc w:val="center"/>
        <w:tblLook w:val="04A0" w:firstRow="1" w:lastRow="0" w:firstColumn="1" w:lastColumn="0" w:noHBand="0" w:noVBand="1"/>
      </w:tblPr>
      <w:tblGrid>
        <w:gridCol w:w="3600"/>
        <w:gridCol w:w="2160"/>
        <w:gridCol w:w="1710"/>
      </w:tblGrid>
      <w:tr>
        <w:trPr>
          <w:trHeight w:val="521"/>
          <w:jc w:val="center"/>
        </w:trPr>
        <w:tc>
          <w:tcPr>
            <w:tcW w:w="3600"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Project</w:t>
            </w:r>
          </w:p>
        </w:tc>
        <w:tc>
          <w:tcPr>
            <w:tcW w:w="2160"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 xml:space="preserve">Cost </w:t>
            </w:r>
          </w:p>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(Guaranty Deposits)</w:t>
            </w:r>
          </w:p>
        </w:tc>
        <w:tc>
          <w:tcPr>
            <w:tcW w:w="1710" w:type="dxa"/>
            <w:vAlign w:val="bottom"/>
          </w:tcPr>
          <w:p>
            <w:pPr>
              <w:autoSpaceDE w:val="0"/>
              <w:autoSpaceDN w:val="0"/>
              <w:adjustRightInd w:val="0"/>
              <w:spacing w:line="276" w:lineRule="auto"/>
              <w:jc w:val="center"/>
              <w:rPr>
                <w:rFonts w:eastAsia="Calibri"/>
                <w:b/>
                <w:color w:val="000000"/>
                <w:sz w:val="22"/>
                <w:szCs w:val="22"/>
              </w:rPr>
            </w:pPr>
            <w:r>
              <w:rPr>
                <w:rFonts w:eastAsia="Calibri"/>
                <w:b/>
                <w:color w:val="000000"/>
                <w:sz w:val="22"/>
                <w:szCs w:val="22"/>
              </w:rPr>
              <w:t>Percentage of Completion as at 12/31/22</w:t>
            </w:r>
          </w:p>
        </w:tc>
      </w:tr>
      <w:tr>
        <w:trPr>
          <w:trHeight w:val="296"/>
          <w:jc w:val="center"/>
        </w:trPr>
        <w:tc>
          <w:tcPr>
            <w:tcW w:w="3600" w:type="dxa"/>
          </w:tcPr>
          <w:p>
            <w:pPr>
              <w:numPr>
                <w:ilvl w:val="0"/>
                <w:numId w:val="55"/>
              </w:numPr>
              <w:autoSpaceDE w:val="0"/>
              <w:autoSpaceDN w:val="0"/>
              <w:adjustRightInd w:val="0"/>
              <w:spacing w:line="276" w:lineRule="auto"/>
              <w:ind w:left="410"/>
              <w:jc w:val="both"/>
              <w:rPr>
                <w:rFonts w:eastAsia="Calibri"/>
                <w:bCs/>
                <w:color w:val="000000"/>
                <w:sz w:val="22"/>
                <w:szCs w:val="22"/>
              </w:rPr>
            </w:pPr>
            <w:r>
              <w:rPr>
                <w:rFonts w:eastAsia="Calibri"/>
                <w:bCs/>
                <w:color w:val="000000"/>
                <w:sz w:val="22"/>
                <w:szCs w:val="22"/>
              </w:rPr>
              <w:t xml:space="preserve">Electrification at </w:t>
            </w:r>
            <w:proofErr w:type="spellStart"/>
            <w:r>
              <w:rPr>
                <w:rFonts w:eastAsia="Calibri"/>
                <w:bCs/>
                <w:color w:val="000000"/>
                <w:sz w:val="22"/>
                <w:szCs w:val="22"/>
              </w:rPr>
              <w:t>Brgy</w:t>
            </w:r>
            <w:proofErr w:type="spellEnd"/>
            <w:r>
              <w:rPr>
                <w:rFonts w:eastAsia="Calibri"/>
                <w:bCs/>
                <w:color w:val="000000"/>
                <w:sz w:val="22"/>
                <w:szCs w:val="22"/>
              </w:rPr>
              <w:t xml:space="preserve">. </w:t>
            </w:r>
            <w:proofErr w:type="spellStart"/>
            <w:r>
              <w:rPr>
                <w:rFonts w:eastAsia="Calibri"/>
                <w:bCs/>
                <w:color w:val="000000"/>
                <w:sz w:val="22"/>
                <w:szCs w:val="22"/>
              </w:rPr>
              <w:t>Kasilak</w:t>
            </w:r>
            <w:proofErr w:type="spellEnd"/>
          </w:p>
        </w:tc>
        <w:tc>
          <w:tcPr>
            <w:tcW w:w="2160" w:type="dxa"/>
            <w:vAlign w:val="bottom"/>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t>2,000,000.00</w:t>
            </w:r>
          </w:p>
        </w:tc>
        <w:tc>
          <w:tcPr>
            <w:tcW w:w="1710" w:type="dxa"/>
            <w:vAlign w:val="bottom"/>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50%</w:t>
            </w:r>
          </w:p>
        </w:tc>
      </w:tr>
      <w:tr>
        <w:trPr>
          <w:trHeight w:val="308"/>
          <w:jc w:val="center"/>
        </w:trPr>
        <w:tc>
          <w:tcPr>
            <w:tcW w:w="3600" w:type="dxa"/>
          </w:tcPr>
          <w:p>
            <w:pPr>
              <w:numPr>
                <w:ilvl w:val="0"/>
                <w:numId w:val="55"/>
              </w:numPr>
              <w:autoSpaceDE w:val="0"/>
              <w:autoSpaceDN w:val="0"/>
              <w:adjustRightInd w:val="0"/>
              <w:spacing w:line="276" w:lineRule="auto"/>
              <w:ind w:left="410"/>
              <w:jc w:val="both"/>
              <w:rPr>
                <w:rFonts w:eastAsia="Calibri"/>
                <w:bCs/>
                <w:color w:val="000000"/>
                <w:sz w:val="22"/>
                <w:szCs w:val="22"/>
              </w:rPr>
            </w:pPr>
            <w:r>
              <w:rPr>
                <w:rFonts w:eastAsia="Calibri"/>
                <w:bCs/>
                <w:color w:val="000000"/>
                <w:sz w:val="22"/>
                <w:szCs w:val="22"/>
              </w:rPr>
              <w:t xml:space="preserve">Electrification at </w:t>
            </w:r>
            <w:proofErr w:type="spellStart"/>
            <w:r>
              <w:rPr>
                <w:rFonts w:eastAsia="Calibri"/>
                <w:bCs/>
                <w:color w:val="000000"/>
                <w:sz w:val="22"/>
                <w:szCs w:val="22"/>
              </w:rPr>
              <w:t>Brgy</w:t>
            </w:r>
            <w:proofErr w:type="spellEnd"/>
            <w:r>
              <w:rPr>
                <w:rFonts w:eastAsia="Calibri"/>
                <w:bCs/>
                <w:color w:val="000000"/>
                <w:sz w:val="22"/>
                <w:szCs w:val="22"/>
              </w:rPr>
              <w:t xml:space="preserve">. </w:t>
            </w:r>
            <w:proofErr w:type="spellStart"/>
            <w:r>
              <w:rPr>
                <w:rFonts w:eastAsia="Calibri"/>
                <w:bCs/>
                <w:color w:val="000000"/>
                <w:sz w:val="22"/>
                <w:szCs w:val="22"/>
              </w:rPr>
              <w:t>Malativas</w:t>
            </w:r>
            <w:proofErr w:type="spellEnd"/>
          </w:p>
        </w:tc>
        <w:tc>
          <w:tcPr>
            <w:tcW w:w="2160" w:type="dxa"/>
            <w:vAlign w:val="bottom"/>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t>1,000,000.00</w:t>
            </w:r>
          </w:p>
        </w:tc>
        <w:tc>
          <w:tcPr>
            <w:tcW w:w="1710" w:type="dxa"/>
            <w:vAlign w:val="bottom"/>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80%</w:t>
            </w:r>
          </w:p>
        </w:tc>
      </w:tr>
      <w:tr>
        <w:trPr>
          <w:trHeight w:val="308"/>
          <w:jc w:val="center"/>
        </w:trPr>
        <w:tc>
          <w:tcPr>
            <w:tcW w:w="3600" w:type="dxa"/>
          </w:tcPr>
          <w:p>
            <w:pPr>
              <w:numPr>
                <w:ilvl w:val="0"/>
                <w:numId w:val="55"/>
              </w:numPr>
              <w:autoSpaceDE w:val="0"/>
              <w:autoSpaceDN w:val="0"/>
              <w:adjustRightInd w:val="0"/>
              <w:spacing w:line="276" w:lineRule="auto"/>
              <w:ind w:left="410"/>
              <w:jc w:val="both"/>
              <w:rPr>
                <w:rFonts w:eastAsia="Calibri"/>
                <w:bCs/>
                <w:color w:val="000000"/>
                <w:sz w:val="22"/>
                <w:szCs w:val="22"/>
              </w:rPr>
            </w:pPr>
            <w:r>
              <w:rPr>
                <w:rFonts w:eastAsia="Calibri"/>
                <w:bCs/>
                <w:color w:val="000000"/>
                <w:sz w:val="22"/>
                <w:szCs w:val="22"/>
              </w:rPr>
              <w:t xml:space="preserve">Electrification at </w:t>
            </w:r>
            <w:proofErr w:type="spellStart"/>
            <w:r>
              <w:rPr>
                <w:rFonts w:eastAsia="Calibri"/>
                <w:bCs/>
                <w:color w:val="000000"/>
                <w:sz w:val="22"/>
                <w:szCs w:val="22"/>
              </w:rPr>
              <w:t>Brgy</w:t>
            </w:r>
            <w:proofErr w:type="spellEnd"/>
            <w:r>
              <w:rPr>
                <w:rFonts w:eastAsia="Calibri"/>
                <w:bCs/>
                <w:color w:val="000000"/>
                <w:sz w:val="22"/>
                <w:szCs w:val="22"/>
              </w:rPr>
              <w:t xml:space="preserve">. </w:t>
            </w:r>
            <w:proofErr w:type="spellStart"/>
            <w:r>
              <w:rPr>
                <w:rFonts w:eastAsia="Calibri"/>
                <w:bCs/>
                <w:color w:val="000000"/>
                <w:sz w:val="22"/>
                <w:szCs w:val="22"/>
              </w:rPr>
              <w:t>Tagpore</w:t>
            </w:r>
            <w:proofErr w:type="spellEnd"/>
          </w:p>
        </w:tc>
        <w:tc>
          <w:tcPr>
            <w:tcW w:w="2160" w:type="dxa"/>
            <w:vAlign w:val="bottom"/>
          </w:tcPr>
          <w:p>
            <w:pPr>
              <w:autoSpaceDE w:val="0"/>
              <w:autoSpaceDN w:val="0"/>
              <w:adjustRightInd w:val="0"/>
              <w:spacing w:line="276" w:lineRule="auto"/>
              <w:jc w:val="right"/>
              <w:rPr>
                <w:rFonts w:eastAsia="Calibri"/>
                <w:bCs/>
                <w:color w:val="000000"/>
                <w:sz w:val="22"/>
                <w:szCs w:val="22"/>
              </w:rPr>
            </w:pPr>
            <w:r>
              <w:rPr>
                <w:rFonts w:eastAsia="Calibri"/>
                <w:bCs/>
                <w:color w:val="000000"/>
                <w:sz w:val="22"/>
                <w:szCs w:val="22"/>
              </w:rPr>
              <w:t>2,000,000.00</w:t>
            </w:r>
          </w:p>
        </w:tc>
        <w:tc>
          <w:tcPr>
            <w:tcW w:w="1710" w:type="dxa"/>
            <w:vAlign w:val="bottom"/>
          </w:tcPr>
          <w:p>
            <w:pPr>
              <w:autoSpaceDE w:val="0"/>
              <w:autoSpaceDN w:val="0"/>
              <w:adjustRightInd w:val="0"/>
              <w:spacing w:line="276" w:lineRule="auto"/>
              <w:jc w:val="center"/>
              <w:rPr>
                <w:rFonts w:eastAsia="Calibri"/>
                <w:bCs/>
                <w:color w:val="000000"/>
                <w:sz w:val="22"/>
                <w:szCs w:val="22"/>
              </w:rPr>
            </w:pPr>
            <w:r>
              <w:rPr>
                <w:rFonts w:eastAsia="Calibri"/>
                <w:bCs/>
                <w:color w:val="000000"/>
                <w:sz w:val="22"/>
                <w:szCs w:val="22"/>
              </w:rPr>
              <w:t>50%</w:t>
            </w:r>
          </w:p>
        </w:tc>
      </w:tr>
      <w:tr>
        <w:trPr>
          <w:trHeight w:val="308"/>
          <w:jc w:val="center"/>
        </w:trPr>
        <w:tc>
          <w:tcPr>
            <w:tcW w:w="3600" w:type="dxa"/>
          </w:tcPr>
          <w:p>
            <w:pPr>
              <w:autoSpaceDE w:val="0"/>
              <w:autoSpaceDN w:val="0"/>
              <w:adjustRightInd w:val="0"/>
              <w:spacing w:line="276" w:lineRule="auto"/>
              <w:jc w:val="both"/>
              <w:rPr>
                <w:rFonts w:eastAsia="Calibri"/>
                <w:b/>
                <w:color w:val="000000"/>
                <w:sz w:val="22"/>
                <w:szCs w:val="22"/>
              </w:rPr>
            </w:pPr>
            <w:r>
              <w:rPr>
                <w:rFonts w:eastAsia="Calibri"/>
                <w:b/>
                <w:color w:val="000000"/>
                <w:sz w:val="22"/>
                <w:szCs w:val="22"/>
              </w:rPr>
              <w:t>Total</w:t>
            </w:r>
          </w:p>
        </w:tc>
        <w:tc>
          <w:tcPr>
            <w:tcW w:w="2160" w:type="dxa"/>
          </w:tcPr>
          <w:p>
            <w:pPr>
              <w:autoSpaceDE w:val="0"/>
              <w:autoSpaceDN w:val="0"/>
              <w:adjustRightInd w:val="0"/>
              <w:spacing w:line="276" w:lineRule="auto"/>
              <w:jc w:val="right"/>
              <w:rPr>
                <w:rFonts w:eastAsia="Calibri"/>
                <w:b/>
                <w:color w:val="000000"/>
                <w:sz w:val="22"/>
                <w:szCs w:val="22"/>
              </w:rPr>
            </w:pPr>
            <w:r>
              <w:rPr>
                <w:rFonts w:eastAsia="Calibri"/>
                <w:b/>
                <w:color w:val="000000"/>
                <w:sz w:val="22"/>
                <w:szCs w:val="22"/>
              </w:rPr>
              <w:t>5,000,000.00</w:t>
            </w:r>
          </w:p>
        </w:tc>
        <w:tc>
          <w:tcPr>
            <w:tcW w:w="1710" w:type="dxa"/>
          </w:tcPr>
          <w:p>
            <w:pPr>
              <w:autoSpaceDE w:val="0"/>
              <w:autoSpaceDN w:val="0"/>
              <w:adjustRightInd w:val="0"/>
              <w:spacing w:line="276" w:lineRule="auto"/>
              <w:jc w:val="center"/>
              <w:rPr>
                <w:rFonts w:eastAsia="Calibri"/>
                <w:bCs/>
                <w:color w:val="000000"/>
                <w:sz w:val="22"/>
                <w:szCs w:val="22"/>
              </w:rPr>
            </w:pPr>
          </w:p>
        </w:tc>
      </w:tr>
    </w:tbl>
    <w:p>
      <w:pPr>
        <w:autoSpaceDE w:val="0"/>
        <w:autoSpaceDN w:val="0"/>
        <w:adjustRightInd w:val="0"/>
        <w:spacing w:line="276" w:lineRule="auto"/>
        <w:ind w:firstLine="720"/>
        <w:jc w:val="both"/>
        <w:rPr>
          <w:rFonts w:eastAsia="Calibri"/>
          <w:bCs/>
          <w:i/>
          <w:iCs/>
          <w:color w:val="000000"/>
          <w:highlight w:val="yellow"/>
        </w:rPr>
      </w:pPr>
    </w:p>
    <w:p>
      <w:pPr>
        <w:autoSpaceDE w:val="0"/>
        <w:autoSpaceDN w:val="0"/>
        <w:adjustRightInd w:val="0"/>
        <w:spacing w:line="276" w:lineRule="auto"/>
        <w:jc w:val="both"/>
        <w:rPr>
          <w:rFonts w:eastAsia="Calibri"/>
          <w:bCs/>
          <w:color w:val="000000"/>
        </w:rPr>
      </w:pPr>
      <w:r>
        <w:rPr>
          <w:rFonts w:eastAsia="Calibri"/>
          <w:bCs/>
          <w:color w:val="000000"/>
        </w:rPr>
        <w:t xml:space="preserve">For the electrification projects of the City, the contracted party for the implementation of the same is the Davao Light and Power Company (DLPC), being the sole provider of electricity in the city. On the acknowledgement letter issued by the DLPC regarding the application for extension of line and electrical facilities of the City, it is stated that upon payment of the same, the scheduling of work shall commence. Further, the payment shall be refunded to the City at the rate equivalent to 75% of the gross distribution revenue for </w:t>
      </w:r>
      <w:r>
        <w:rPr>
          <w:rFonts w:eastAsia="Calibri"/>
          <w:bCs/>
          <w:color w:val="000000"/>
        </w:rPr>
        <w:lastRenderedPageBreak/>
        <w:t>the calendar year derived from all customers connected to the facilities, until such amount is fully refunded. The City issued the corresponding checks on June 14, 2022 and an Acknowledgement Receipt was issued by DLPC on July 5, 2022. However, the electrification works for the above-noted projects still remained uncompleted as at year-end despite the passage of a significant period of time.</w:t>
      </w:r>
    </w:p>
    <w:p>
      <w:pPr>
        <w:autoSpaceDE w:val="0"/>
        <w:autoSpaceDN w:val="0"/>
        <w:adjustRightInd w:val="0"/>
        <w:spacing w:line="276" w:lineRule="auto"/>
        <w:ind w:left="1440"/>
        <w:contextualSpacing/>
        <w:jc w:val="both"/>
        <w:rPr>
          <w:rFonts w:eastAsia="Calibri"/>
          <w:bCs/>
          <w:color w:val="000000"/>
        </w:rPr>
      </w:pPr>
    </w:p>
    <w:p>
      <w:pPr>
        <w:autoSpaceDE w:val="0"/>
        <w:autoSpaceDN w:val="0"/>
        <w:adjustRightInd w:val="0"/>
        <w:spacing w:line="276" w:lineRule="auto"/>
        <w:jc w:val="both"/>
        <w:rPr>
          <w:rFonts w:eastAsia="Calibri"/>
          <w:bCs/>
          <w:color w:val="000000"/>
        </w:rPr>
      </w:pPr>
      <w:r>
        <w:rPr>
          <w:rFonts w:eastAsia="Calibri"/>
          <w:bCs/>
          <w:color w:val="000000"/>
        </w:rPr>
        <w:t>The unutilized funds received from Department of Budget and Management (DBM) under Local Government Support Fund (LGSF) Support to Barangay Development Program (SBDP) and Assistance to Cities (AC) as at year-end could be reverted back to the National Treasury as specified in the rules and regulations. Such reversion would result to uncompleted projects and wastage of government funds. Lastly, the delayed implementation of projects hinders the delivery of timely and optimum benefits to the community/constituents.</w:t>
      </w:r>
    </w:p>
    <w:p>
      <w:pPr>
        <w:autoSpaceDE w:val="0"/>
        <w:autoSpaceDN w:val="0"/>
        <w:adjustRightInd w:val="0"/>
        <w:spacing w:line="276" w:lineRule="auto"/>
        <w:ind w:firstLine="720"/>
        <w:jc w:val="both"/>
        <w:rPr>
          <w:rFonts w:eastAsia="Calibri"/>
          <w:bCs/>
          <w:color w:val="000000"/>
          <w:highlight w:val="yellow"/>
        </w:rPr>
      </w:pPr>
    </w:p>
    <w:p>
      <w:pPr>
        <w:autoSpaceDE w:val="0"/>
        <w:autoSpaceDN w:val="0"/>
        <w:adjustRightInd w:val="0"/>
        <w:spacing w:line="276" w:lineRule="auto"/>
        <w:jc w:val="both"/>
        <w:rPr>
          <w:rFonts w:eastAsia="Calibri"/>
          <w:b/>
          <w:color w:val="000000"/>
        </w:rPr>
      </w:pPr>
      <w:r>
        <w:rPr>
          <w:rFonts w:eastAsia="Calibri"/>
          <w:b/>
          <w:color w:val="000000"/>
        </w:rPr>
        <w:t xml:space="preserve">Recommendations: </w:t>
      </w:r>
    </w:p>
    <w:p>
      <w:pPr>
        <w:autoSpaceDE w:val="0"/>
        <w:autoSpaceDN w:val="0"/>
        <w:adjustRightInd w:val="0"/>
        <w:spacing w:line="276" w:lineRule="auto"/>
        <w:jc w:val="both"/>
        <w:rPr>
          <w:rFonts w:eastAsia="Calibri"/>
          <w:bCs/>
        </w:rPr>
      </w:pPr>
    </w:p>
    <w:p>
      <w:pPr>
        <w:autoSpaceDE w:val="0"/>
        <w:autoSpaceDN w:val="0"/>
        <w:adjustRightInd w:val="0"/>
        <w:spacing w:line="276" w:lineRule="auto"/>
        <w:jc w:val="both"/>
        <w:rPr>
          <w:rFonts w:eastAsia="Calibri"/>
          <w:bCs/>
        </w:rPr>
      </w:pPr>
      <w:r>
        <w:rPr>
          <w:rFonts w:eastAsia="Calibri"/>
          <w:bCs/>
        </w:rPr>
        <w:t>We recommended the City Mayor to direct the City Engineering Office to:</w:t>
      </w:r>
    </w:p>
    <w:p>
      <w:pPr>
        <w:spacing w:line="276" w:lineRule="auto"/>
        <w:ind w:left="720"/>
        <w:contextualSpacing/>
        <w:rPr>
          <w:rFonts w:eastAsia="Calibri"/>
          <w:b/>
        </w:rPr>
      </w:pPr>
    </w:p>
    <w:p>
      <w:pPr>
        <w:numPr>
          <w:ilvl w:val="1"/>
          <w:numId w:val="56"/>
        </w:numPr>
        <w:autoSpaceDE w:val="0"/>
        <w:autoSpaceDN w:val="0"/>
        <w:adjustRightInd w:val="0"/>
        <w:spacing w:line="276" w:lineRule="auto"/>
        <w:ind w:left="720"/>
        <w:contextualSpacing/>
        <w:jc w:val="both"/>
        <w:rPr>
          <w:rFonts w:eastAsia="Calibri"/>
          <w:bCs/>
        </w:rPr>
      </w:pPr>
      <w:r>
        <w:rPr>
          <w:rFonts w:eastAsia="Calibri"/>
          <w:bCs/>
        </w:rPr>
        <w:t xml:space="preserve">Submit the necessary documents (i.e. PAGASA certification, etc.) to support the justification of unfavorable weather conditions on various time extensions and suspension granted pertaining to the Upgrading of Local Access Road project at </w:t>
      </w:r>
      <w:proofErr w:type="spellStart"/>
      <w:r>
        <w:rPr>
          <w:rFonts w:eastAsia="Calibri"/>
          <w:bCs/>
        </w:rPr>
        <w:t>Brgy</w:t>
      </w:r>
      <w:proofErr w:type="spellEnd"/>
      <w:r>
        <w:rPr>
          <w:rFonts w:eastAsia="Calibri"/>
          <w:bCs/>
        </w:rPr>
        <w:t xml:space="preserve">. </w:t>
      </w:r>
      <w:proofErr w:type="spellStart"/>
      <w:r>
        <w:rPr>
          <w:rFonts w:eastAsia="Calibri"/>
          <w:bCs/>
        </w:rPr>
        <w:t>Katualan</w:t>
      </w:r>
      <w:proofErr w:type="spellEnd"/>
      <w:r>
        <w:rPr>
          <w:rFonts w:eastAsia="Calibri"/>
          <w:bCs/>
        </w:rPr>
        <w:t>;</w:t>
      </w:r>
    </w:p>
    <w:p>
      <w:pPr>
        <w:autoSpaceDE w:val="0"/>
        <w:autoSpaceDN w:val="0"/>
        <w:adjustRightInd w:val="0"/>
        <w:spacing w:line="276" w:lineRule="auto"/>
        <w:ind w:left="720"/>
        <w:contextualSpacing/>
        <w:jc w:val="both"/>
        <w:rPr>
          <w:rFonts w:eastAsia="Calibri"/>
          <w:bCs/>
        </w:rPr>
      </w:pPr>
    </w:p>
    <w:p>
      <w:pPr>
        <w:numPr>
          <w:ilvl w:val="1"/>
          <w:numId w:val="56"/>
        </w:numPr>
        <w:autoSpaceDE w:val="0"/>
        <w:autoSpaceDN w:val="0"/>
        <w:adjustRightInd w:val="0"/>
        <w:spacing w:line="276" w:lineRule="auto"/>
        <w:ind w:left="720"/>
        <w:contextualSpacing/>
        <w:jc w:val="both"/>
        <w:rPr>
          <w:rFonts w:eastAsia="Calibri"/>
          <w:bCs/>
        </w:rPr>
      </w:pPr>
      <w:r>
        <w:rPr>
          <w:rFonts w:eastAsia="Calibri"/>
          <w:bCs/>
        </w:rPr>
        <w:t xml:space="preserve">Provide a written justification on the deficiencies noted on the issued Extension Orders for the Upgrading of Local Access Road project at </w:t>
      </w:r>
      <w:proofErr w:type="spellStart"/>
      <w:r>
        <w:rPr>
          <w:rFonts w:eastAsia="Calibri"/>
          <w:bCs/>
        </w:rPr>
        <w:t>Brgy</w:t>
      </w:r>
      <w:proofErr w:type="spellEnd"/>
      <w:r>
        <w:rPr>
          <w:rFonts w:eastAsia="Calibri"/>
          <w:bCs/>
        </w:rPr>
        <w:t xml:space="preserve">. </w:t>
      </w:r>
      <w:proofErr w:type="spellStart"/>
      <w:r>
        <w:rPr>
          <w:rFonts w:eastAsia="Calibri"/>
          <w:bCs/>
        </w:rPr>
        <w:t>Kiotoy</w:t>
      </w:r>
      <w:proofErr w:type="spellEnd"/>
      <w:r>
        <w:rPr>
          <w:rFonts w:eastAsia="Calibri"/>
          <w:bCs/>
        </w:rPr>
        <w:t xml:space="preserve"> for further evaluation by the Audit Team;</w:t>
      </w:r>
    </w:p>
    <w:p>
      <w:pPr>
        <w:spacing w:line="276" w:lineRule="auto"/>
        <w:ind w:left="720"/>
        <w:contextualSpacing/>
        <w:rPr>
          <w:rFonts w:eastAsia="Calibri"/>
          <w:bCs/>
        </w:rPr>
      </w:pPr>
    </w:p>
    <w:p>
      <w:pPr>
        <w:numPr>
          <w:ilvl w:val="1"/>
          <w:numId w:val="56"/>
        </w:numPr>
        <w:autoSpaceDE w:val="0"/>
        <w:autoSpaceDN w:val="0"/>
        <w:adjustRightInd w:val="0"/>
        <w:spacing w:line="276" w:lineRule="auto"/>
        <w:ind w:left="720"/>
        <w:contextualSpacing/>
        <w:jc w:val="both"/>
        <w:rPr>
          <w:rFonts w:eastAsia="Calibri"/>
          <w:bCs/>
        </w:rPr>
      </w:pPr>
      <w:r>
        <w:rPr>
          <w:rFonts w:eastAsia="Calibri"/>
          <w:bCs/>
        </w:rPr>
        <w:t xml:space="preserve">Prepare the required PERT/CPM network of the project activities as an attachment to the POW and include an estimate on the rainy/unworkable days to arrive at a realistic basis of the total contract time of the project and avoid incurrence of unnecessary delays; </w:t>
      </w:r>
    </w:p>
    <w:p>
      <w:pPr>
        <w:spacing w:line="276" w:lineRule="auto"/>
        <w:ind w:left="720"/>
        <w:contextualSpacing/>
        <w:rPr>
          <w:rFonts w:eastAsia="Calibri"/>
          <w:bCs/>
        </w:rPr>
      </w:pPr>
    </w:p>
    <w:p>
      <w:pPr>
        <w:numPr>
          <w:ilvl w:val="1"/>
          <w:numId w:val="56"/>
        </w:numPr>
        <w:autoSpaceDE w:val="0"/>
        <w:autoSpaceDN w:val="0"/>
        <w:adjustRightInd w:val="0"/>
        <w:spacing w:line="276" w:lineRule="auto"/>
        <w:ind w:left="720"/>
        <w:contextualSpacing/>
        <w:jc w:val="both"/>
        <w:rPr>
          <w:rFonts w:eastAsia="Calibri"/>
          <w:bCs/>
        </w:rPr>
      </w:pPr>
      <w:r>
        <w:rPr>
          <w:rFonts w:eastAsia="Calibri"/>
          <w:bCs/>
        </w:rPr>
        <w:t>Ensure that the grant of time extension and/or work suspension is thoroughly reviewed and supported with complete and sufficient documentation to prevent abuse by the contractors</w:t>
      </w:r>
    </w:p>
    <w:p>
      <w:pPr>
        <w:spacing w:line="276" w:lineRule="auto"/>
        <w:ind w:left="720"/>
        <w:contextualSpacing/>
        <w:rPr>
          <w:rFonts w:eastAsia="Calibri"/>
          <w:bCs/>
        </w:rPr>
      </w:pPr>
    </w:p>
    <w:p>
      <w:pPr>
        <w:autoSpaceDE w:val="0"/>
        <w:autoSpaceDN w:val="0"/>
        <w:adjustRightInd w:val="0"/>
        <w:spacing w:line="276" w:lineRule="auto"/>
        <w:contextualSpacing/>
        <w:jc w:val="both"/>
        <w:rPr>
          <w:rFonts w:eastAsia="Calibri"/>
          <w:bCs/>
        </w:rPr>
      </w:pPr>
      <w:r>
        <w:rPr>
          <w:rFonts w:eastAsia="Calibri"/>
          <w:bCs/>
        </w:rPr>
        <w:t>We further recommended to direct the City Planning and Development Office and concerned offices to closely monitor and evaluate the status of the implementation of projects to facilitate the imposition of the proper legal action against contractors with unjustified delays incurred.</w:t>
      </w:r>
    </w:p>
    <w:p>
      <w:pPr>
        <w:ind w:right="270"/>
        <w:rPr>
          <w:b/>
        </w:rPr>
      </w:pPr>
      <w:r>
        <w:rPr>
          <w:b/>
        </w:rPr>
        <w:lastRenderedPageBreak/>
        <w:t>Management’s Comment:</w:t>
      </w:r>
    </w:p>
    <w:p>
      <w:pPr>
        <w:ind w:right="270"/>
      </w:pPr>
    </w:p>
    <w:p>
      <w:pPr>
        <w:spacing w:line="276" w:lineRule="auto"/>
        <w:ind w:right="-7"/>
        <w:jc w:val="both"/>
      </w:pPr>
      <w:r>
        <w:t>The management was amenable with the audit observation and recommendations. The management assured that they are employing best efforts to complete the projects. They also stated that the CEO are currently conducting evaluation on the status of the implementation of the on-going projects and any unjustified significant delays incurred by the contractors shall be referred to the CLO and BAC for their appropriate action.</w:t>
      </w:r>
    </w:p>
    <w:p>
      <w:pPr>
        <w:spacing w:line="276" w:lineRule="auto"/>
        <w:ind w:right="270"/>
      </w:pPr>
    </w:p>
    <w:p>
      <w:pPr>
        <w:spacing w:line="276" w:lineRule="auto"/>
        <w:rPr>
          <w:i/>
        </w:rPr>
      </w:pPr>
    </w:p>
    <w:p>
      <w:pPr>
        <w:spacing w:line="276" w:lineRule="auto"/>
        <w:rPr>
          <w:b/>
          <w:bCs/>
          <w:i/>
        </w:rPr>
      </w:pPr>
      <w:r>
        <w:rPr>
          <w:b/>
          <w:bCs/>
          <w:i/>
        </w:rPr>
        <w:t>Non-optimal utilization of Local Disaster Risk Reduction and Management Fund</w:t>
      </w:r>
    </w:p>
    <w:p>
      <w:pPr>
        <w:spacing w:line="276" w:lineRule="auto"/>
        <w:ind w:right="270"/>
        <w:rPr>
          <w:i/>
          <w:color w:val="FF0000"/>
        </w:rPr>
      </w:pPr>
    </w:p>
    <w:p>
      <w:pPr>
        <w:pStyle w:val="ListParagraph"/>
        <w:numPr>
          <w:ilvl w:val="0"/>
          <w:numId w:val="74"/>
        </w:numPr>
        <w:spacing w:after="0"/>
        <w:ind w:left="0" w:firstLine="0"/>
        <w:contextualSpacing w:val="0"/>
        <w:jc w:val="both"/>
        <w:rPr>
          <w:rFonts w:ascii="Times New Roman" w:hAnsi="Times New Roman"/>
          <w:b/>
          <w:sz w:val="24"/>
          <w:szCs w:val="24"/>
        </w:rPr>
      </w:pPr>
      <w:r>
        <w:rPr>
          <w:rFonts w:ascii="Times New Roman" w:hAnsi="Times New Roman"/>
          <w:b/>
          <w:sz w:val="24"/>
          <w:szCs w:val="24"/>
        </w:rPr>
        <w:t>The City was not able to fully utilized the LDRRM Fund intended for various Projects/Programs/Activities with only 60.00% percent utilization or P112.871 million, out of P188.127 million total available funds from the 70% mitigation fund and prior years unexpended balances, thus the City’s objectives to strengthen its capacity to build disaster resilience and enhance disaster preparedness and response capabilities were not fully attained.</w:t>
      </w:r>
    </w:p>
    <w:p>
      <w:pPr>
        <w:spacing w:line="276" w:lineRule="auto"/>
        <w:jc w:val="both"/>
        <w:rPr>
          <w:b/>
        </w:rPr>
      </w:pPr>
    </w:p>
    <w:p>
      <w:pPr>
        <w:spacing w:line="276" w:lineRule="auto"/>
        <w:jc w:val="both"/>
      </w:pPr>
      <w:r>
        <w:t>Section 21 of R.A. No. 10121, otherwise known as the Philippine Disaster Reduction and Management of 2010, states:</w:t>
      </w:r>
    </w:p>
    <w:p>
      <w:pPr>
        <w:spacing w:line="276" w:lineRule="auto"/>
        <w:jc w:val="both"/>
      </w:pPr>
    </w:p>
    <w:p>
      <w:pPr>
        <w:tabs>
          <w:tab w:val="left" w:pos="9000"/>
        </w:tabs>
        <w:spacing w:line="276" w:lineRule="auto"/>
        <w:ind w:left="720" w:right="702"/>
        <w:jc w:val="both"/>
      </w:pPr>
      <w:r>
        <w:t xml:space="preserve">The present Local Calamity Fund shall henceforth be known as the Local Disaster Risk Reduction and Management Fund (LDRRMF). Not less than five percent (5%) of the estimated revenue from regular sources shall be set aside as the LDRRMF to support disaster risk management activities such as, but not limited to, pre-disaster preparedness programs, including training, purchasing life-saving rescue equipment, supplies and medicines, for post-disaster activities, for the payment of premiums on calamity </w:t>
      </w:r>
      <w:proofErr w:type="gramStart"/>
      <w:r>
        <w:t>insurance..</w:t>
      </w:r>
      <w:proofErr w:type="gramEnd"/>
      <w:r>
        <w:t xml:space="preserve"> </w:t>
      </w:r>
      <w:r>
        <w:rPr>
          <w:b/>
        </w:rPr>
        <w:t>The LDRRMC shall monitor and evaluate the use and disbursement of the LDRRMF based on the LDRRMP as incorporated in the local development plans, annual work and financial plan.</w:t>
      </w:r>
      <w:r>
        <w:t>” (Emphasis ours)</w:t>
      </w:r>
    </w:p>
    <w:p>
      <w:pPr>
        <w:tabs>
          <w:tab w:val="left" w:pos="9000"/>
        </w:tabs>
        <w:spacing w:line="276" w:lineRule="auto"/>
        <w:ind w:right="360"/>
        <w:jc w:val="both"/>
      </w:pPr>
    </w:p>
    <w:p>
      <w:pPr>
        <w:spacing w:line="276" w:lineRule="auto"/>
        <w:jc w:val="both"/>
      </w:pPr>
      <w:r>
        <w:t>Based on the CY 2022 Annual and Supplemental Budgets, CY 2022 Disaster Risk Reduction and Management Plan as incorporated in the Annual Investment Program, Status of Appropriations, Allotment and Obligations (SAAOB) as of December 31, 2022, the total funds available for the LDRRMF and its corresponding utilization for CY 2022 is presented below:</w:t>
      </w:r>
    </w:p>
    <w:p>
      <w:pPr>
        <w:spacing w:line="276" w:lineRule="auto"/>
        <w:ind w:right="360"/>
        <w:jc w:val="both"/>
      </w:pPr>
    </w:p>
    <w:p>
      <w:pPr>
        <w:spacing w:line="276" w:lineRule="auto"/>
        <w:ind w:right="360"/>
        <w:jc w:val="both"/>
      </w:pPr>
    </w:p>
    <w:p>
      <w:pPr>
        <w:spacing w:line="276" w:lineRule="auto"/>
        <w:ind w:right="360"/>
        <w:jc w:val="both"/>
      </w:pPr>
    </w:p>
    <w:p>
      <w:pPr>
        <w:spacing w:line="276" w:lineRule="auto"/>
        <w:ind w:right="360"/>
        <w:jc w:val="both"/>
        <w:rPr>
          <w:i/>
          <w:color w:val="FF0000"/>
        </w:rPr>
      </w:pPr>
      <w:r>
        <w:rPr>
          <w:i/>
        </w:rPr>
        <w:lastRenderedPageBreak/>
        <w:t>Table 24.1. LDRRMF-Current &amp; Continuing Appropriation</w:t>
      </w:r>
    </w:p>
    <w:tbl>
      <w:tblPr>
        <w:tblStyle w:val="TableGrid37"/>
        <w:tblW w:w="9720" w:type="dxa"/>
        <w:jc w:val="center"/>
        <w:tblLayout w:type="fixed"/>
        <w:tblCellMar>
          <w:left w:w="72" w:type="dxa"/>
          <w:right w:w="72" w:type="dxa"/>
        </w:tblCellMar>
        <w:tblLook w:val="04A0" w:firstRow="1" w:lastRow="0" w:firstColumn="1" w:lastColumn="0" w:noHBand="0" w:noVBand="1"/>
      </w:tblPr>
      <w:tblGrid>
        <w:gridCol w:w="2360"/>
        <w:gridCol w:w="1600"/>
        <w:gridCol w:w="1620"/>
        <w:gridCol w:w="1530"/>
        <w:gridCol w:w="1620"/>
        <w:gridCol w:w="990"/>
      </w:tblGrid>
      <w:tr>
        <w:trPr>
          <w:tblHeader/>
          <w:jc w:val="center"/>
        </w:trPr>
        <w:tc>
          <w:tcPr>
            <w:tcW w:w="2360" w:type="dxa"/>
            <w:vAlign w:val="center"/>
          </w:tcPr>
          <w:p>
            <w:pPr>
              <w:spacing w:line="276" w:lineRule="auto"/>
              <w:jc w:val="center"/>
              <w:rPr>
                <w:b/>
                <w:sz w:val="22"/>
                <w:szCs w:val="22"/>
              </w:rPr>
            </w:pPr>
            <w:r>
              <w:rPr>
                <w:b/>
                <w:sz w:val="22"/>
                <w:szCs w:val="22"/>
              </w:rPr>
              <w:t>Particulars/Year</w:t>
            </w:r>
          </w:p>
        </w:tc>
        <w:tc>
          <w:tcPr>
            <w:tcW w:w="1600" w:type="dxa"/>
            <w:vAlign w:val="center"/>
          </w:tcPr>
          <w:p>
            <w:pPr>
              <w:spacing w:line="276" w:lineRule="auto"/>
              <w:jc w:val="center"/>
              <w:rPr>
                <w:b/>
                <w:sz w:val="22"/>
                <w:szCs w:val="22"/>
              </w:rPr>
            </w:pPr>
            <w:r>
              <w:rPr>
                <w:b/>
                <w:sz w:val="22"/>
                <w:szCs w:val="22"/>
              </w:rPr>
              <w:t>Appropriation</w:t>
            </w:r>
          </w:p>
        </w:tc>
        <w:tc>
          <w:tcPr>
            <w:tcW w:w="1620" w:type="dxa"/>
            <w:vAlign w:val="center"/>
          </w:tcPr>
          <w:p>
            <w:pPr>
              <w:spacing w:line="276" w:lineRule="auto"/>
              <w:jc w:val="center"/>
              <w:rPr>
                <w:b/>
                <w:sz w:val="22"/>
                <w:szCs w:val="22"/>
              </w:rPr>
            </w:pPr>
            <w:r>
              <w:rPr>
                <w:b/>
                <w:sz w:val="22"/>
                <w:szCs w:val="22"/>
              </w:rPr>
              <w:t>Utilization</w:t>
            </w:r>
          </w:p>
          <w:p>
            <w:pPr>
              <w:spacing w:line="276" w:lineRule="auto"/>
              <w:jc w:val="center"/>
              <w:rPr>
                <w:b/>
                <w:sz w:val="22"/>
                <w:szCs w:val="22"/>
              </w:rPr>
            </w:pPr>
            <w:r>
              <w:rPr>
                <w:b/>
                <w:sz w:val="22"/>
                <w:szCs w:val="22"/>
              </w:rPr>
              <w:t>CY 2022</w:t>
            </w:r>
          </w:p>
        </w:tc>
        <w:tc>
          <w:tcPr>
            <w:tcW w:w="1530" w:type="dxa"/>
            <w:vAlign w:val="center"/>
          </w:tcPr>
          <w:p>
            <w:pPr>
              <w:spacing w:line="276" w:lineRule="auto"/>
              <w:jc w:val="center"/>
              <w:rPr>
                <w:b/>
                <w:sz w:val="22"/>
                <w:szCs w:val="22"/>
              </w:rPr>
            </w:pPr>
            <w:r>
              <w:rPr>
                <w:b/>
                <w:sz w:val="22"/>
                <w:szCs w:val="22"/>
              </w:rPr>
              <w:t>Transferred to STF</w:t>
            </w:r>
          </w:p>
        </w:tc>
        <w:tc>
          <w:tcPr>
            <w:tcW w:w="1620" w:type="dxa"/>
          </w:tcPr>
          <w:p>
            <w:pPr>
              <w:spacing w:line="276" w:lineRule="auto"/>
              <w:jc w:val="center"/>
              <w:rPr>
                <w:b/>
                <w:sz w:val="22"/>
                <w:szCs w:val="22"/>
              </w:rPr>
            </w:pPr>
            <w:r>
              <w:rPr>
                <w:b/>
                <w:sz w:val="22"/>
                <w:szCs w:val="22"/>
              </w:rPr>
              <w:t>Balance as of 12/31/2022</w:t>
            </w:r>
          </w:p>
        </w:tc>
        <w:tc>
          <w:tcPr>
            <w:tcW w:w="990" w:type="dxa"/>
            <w:vAlign w:val="center"/>
          </w:tcPr>
          <w:p>
            <w:pPr>
              <w:spacing w:line="276" w:lineRule="auto"/>
              <w:jc w:val="center"/>
              <w:rPr>
                <w:b/>
                <w:sz w:val="22"/>
                <w:szCs w:val="22"/>
              </w:rPr>
            </w:pPr>
            <w:r>
              <w:rPr>
                <w:b/>
                <w:sz w:val="22"/>
                <w:szCs w:val="22"/>
              </w:rPr>
              <w:t>Under-utilized</w:t>
            </w:r>
          </w:p>
        </w:tc>
      </w:tr>
      <w:tr>
        <w:trPr>
          <w:jc w:val="center"/>
        </w:trPr>
        <w:tc>
          <w:tcPr>
            <w:tcW w:w="9720" w:type="dxa"/>
            <w:gridSpan w:val="6"/>
          </w:tcPr>
          <w:p>
            <w:pPr>
              <w:spacing w:line="276" w:lineRule="auto"/>
              <w:jc w:val="both"/>
              <w:rPr>
                <w:b/>
                <w:sz w:val="22"/>
                <w:szCs w:val="22"/>
              </w:rPr>
            </w:pPr>
            <w:r>
              <w:rPr>
                <w:b/>
                <w:sz w:val="22"/>
                <w:szCs w:val="22"/>
              </w:rPr>
              <w:t>Current Appropriation CY 2022</w:t>
            </w:r>
          </w:p>
        </w:tc>
      </w:tr>
      <w:tr>
        <w:trPr>
          <w:jc w:val="center"/>
        </w:trPr>
        <w:tc>
          <w:tcPr>
            <w:tcW w:w="2360" w:type="dxa"/>
          </w:tcPr>
          <w:p>
            <w:pPr>
              <w:spacing w:line="276" w:lineRule="auto"/>
              <w:rPr>
                <w:sz w:val="22"/>
                <w:szCs w:val="22"/>
              </w:rPr>
            </w:pPr>
            <w:r>
              <w:rPr>
                <w:sz w:val="22"/>
                <w:szCs w:val="22"/>
              </w:rPr>
              <w:t>Disaster Prevention and Mitigation</w:t>
            </w:r>
          </w:p>
        </w:tc>
        <w:tc>
          <w:tcPr>
            <w:tcW w:w="1600" w:type="dxa"/>
          </w:tcPr>
          <w:p>
            <w:pPr>
              <w:spacing w:line="276" w:lineRule="auto"/>
              <w:jc w:val="right"/>
              <w:rPr>
                <w:sz w:val="22"/>
                <w:szCs w:val="22"/>
              </w:rPr>
            </w:pPr>
            <w:r>
              <w:rPr>
                <w:sz w:val="22"/>
                <w:szCs w:val="22"/>
              </w:rPr>
              <w:t>P23,300,000.00</w:t>
            </w:r>
          </w:p>
        </w:tc>
        <w:tc>
          <w:tcPr>
            <w:tcW w:w="1620" w:type="dxa"/>
            <w:shd w:val="clear" w:color="auto" w:fill="auto"/>
          </w:tcPr>
          <w:p>
            <w:pPr>
              <w:spacing w:line="276" w:lineRule="auto"/>
              <w:jc w:val="right"/>
              <w:rPr>
                <w:sz w:val="22"/>
                <w:szCs w:val="22"/>
              </w:rPr>
            </w:pPr>
            <w:r>
              <w:rPr>
                <w:sz w:val="22"/>
                <w:szCs w:val="22"/>
              </w:rPr>
              <w:t>P1,067,929.72</w:t>
            </w:r>
          </w:p>
        </w:tc>
        <w:tc>
          <w:tcPr>
            <w:tcW w:w="1530" w:type="dxa"/>
            <w:shd w:val="clear" w:color="auto" w:fill="auto"/>
          </w:tcPr>
          <w:p>
            <w:pPr>
              <w:spacing w:line="276" w:lineRule="auto"/>
              <w:jc w:val="right"/>
              <w:rPr>
                <w:sz w:val="22"/>
                <w:szCs w:val="22"/>
              </w:rPr>
            </w:pPr>
            <w:r>
              <w:rPr>
                <w:sz w:val="22"/>
                <w:szCs w:val="22"/>
              </w:rPr>
              <w:t>P832,070.28</w:t>
            </w:r>
          </w:p>
        </w:tc>
        <w:tc>
          <w:tcPr>
            <w:tcW w:w="1620" w:type="dxa"/>
          </w:tcPr>
          <w:p>
            <w:pPr>
              <w:spacing w:line="276" w:lineRule="auto"/>
              <w:jc w:val="right"/>
              <w:rPr>
                <w:sz w:val="22"/>
                <w:szCs w:val="22"/>
              </w:rPr>
            </w:pPr>
            <w:r>
              <w:rPr>
                <w:sz w:val="22"/>
                <w:szCs w:val="22"/>
              </w:rPr>
              <w:t>P21,400,000.00</w:t>
            </w:r>
          </w:p>
        </w:tc>
        <w:tc>
          <w:tcPr>
            <w:tcW w:w="990" w:type="dxa"/>
          </w:tcPr>
          <w:p>
            <w:pPr>
              <w:spacing w:line="276" w:lineRule="auto"/>
              <w:jc w:val="center"/>
              <w:rPr>
                <w:sz w:val="22"/>
                <w:szCs w:val="22"/>
              </w:rPr>
            </w:pPr>
            <w:r>
              <w:rPr>
                <w:sz w:val="22"/>
                <w:szCs w:val="22"/>
              </w:rPr>
              <w:t>91.85%</w:t>
            </w:r>
          </w:p>
        </w:tc>
      </w:tr>
      <w:tr>
        <w:trPr>
          <w:jc w:val="center"/>
        </w:trPr>
        <w:tc>
          <w:tcPr>
            <w:tcW w:w="2360" w:type="dxa"/>
          </w:tcPr>
          <w:p>
            <w:pPr>
              <w:spacing w:line="276" w:lineRule="auto"/>
              <w:rPr>
                <w:sz w:val="22"/>
                <w:szCs w:val="22"/>
              </w:rPr>
            </w:pPr>
            <w:r>
              <w:rPr>
                <w:sz w:val="22"/>
                <w:szCs w:val="22"/>
              </w:rPr>
              <w:t>Disaster Preparedness</w:t>
            </w:r>
          </w:p>
        </w:tc>
        <w:tc>
          <w:tcPr>
            <w:tcW w:w="1600" w:type="dxa"/>
          </w:tcPr>
          <w:p>
            <w:pPr>
              <w:spacing w:line="276" w:lineRule="auto"/>
              <w:jc w:val="right"/>
              <w:rPr>
                <w:sz w:val="22"/>
                <w:szCs w:val="22"/>
              </w:rPr>
            </w:pPr>
            <w:r>
              <w:rPr>
                <w:sz w:val="22"/>
                <w:szCs w:val="22"/>
              </w:rPr>
              <w:t>20,500,000.00</w:t>
            </w:r>
          </w:p>
        </w:tc>
        <w:tc>
          <w:tcPr>
            <w:tcW w:w="1620" w:type="dxa"/>
          </w:tcPr>
          <w:p>
            <w:pPr>
              <w:spacing w:line="276" w:lineRule="auto"/>
              <w:jc w:val="right"/>
              <w:rPr>
                <w:sz w:val="22"/>
                <w:szCs w:val="22"/>
              </w:rPr>
            </w:pPr>
            <w:r>
              <w:rPr>
                <w:sz w:val="22"/>
                <w:szCs w:val="22"/>
              </w:rPr>
              <w:t>5,089,980.00</w:t>
            </w:r>
          </w:p>
        </w:tc>
        <w:tc>
          <w:tcPr>
            <w:tcW w:w="1530" w:type="dxa"/>
          </w:tcPr>
          <w:p>
            <w:pPr>
              <w:spacing w:line="276" w:lineRule="auto"/>
              <w:jc w:val="right"/>
              <w:rPr>
                <w:sz w:val="22"/>
                <w:szCs w:val="22"/>
              </w:rPr>
            </w:pPr>
            <w:r>
              <w:rPr>
                <w:sz w:val="22"/>
                <w:szCs w:val="22"/>
              </w:rPr>
              <w:t>-0.00-</w:t>
            </w:r>
          </w:p>
        </w:tc>
        <w:tc>
          <w:tcPr>
            <w:tcW w:w="1620" w:type="dxa"/>
          </w:tcPr>
          <w:p>
            <w:pPr>
              <w:spacing w:line="276" w:lineRule="auto"/>
              <w:jc w:val="right"/>
              <w:rPr>
                <w:sz w:val="22"/>
                <w:szCs w:val="22"/>
              </w:rPr>
            </w:pPr>
            <w:r>
              <w:rPr>
                <w:sz w:val="22"/>
                <w:szCs w:val="22"/>
              </w:rPr>
              <w:t>15,410,020.00</w:t>
            </w:r>
          </w:p>
        </w:tc>
        <w:tc>
          <w:tcPr>
            <w:tcW w:w="990" w:type="dxa"/>
          </w:tcPr>
          <w:p>
            <w:pPr>
              <w:spacing w:line="276" w:lineRule="auto"/>
              <w:jc w:val="center"/>
              <w:rPr>
                <w:sz w:val="22"/>
                <w:szCs w:val="22"/>
              </w:rPr>
            </w:pPr>
            <w:r>
              <w:rPr>
                <w:sz w:val="22"/>
                <w:szCs w:val="22"/>
              </w:rPr>
              <w:t>75.17%</w:t>
            </w:r>
          </w:p>
        </w:tc>
      </w:tr>
      <w:tr>
        <w:trPr>
          <w:jc w:val="center"/>
        </w:trPr>
        <w:tc>
          <w:tcPr>
            <w:tcW w:w="2360" w:type="dxa"/>
          </w:tcPr>
          <w:p>
            <w:pPr>
              <w:spacing w:line="276" w:lineRule="auto"/>
              <w:rPr>
                <w:sz w:val="22"/>
                <w:szCs w:val="22"/>
              </w:rPr>
            </w:pPr>
            <w:r>
              <w:rPr>
                <w:sz w:val="22"/>
                <w:szCs w:val="22"/>
              </w:rPr>
              <w:t>Disaster Response</w:t>
            </w:r>
          </w:p>
        </w:tc>
        <w:tc>
          <w:tcPr>
            <w:tcW w:w="1600" w:type="dxa"/>
          </w:tcPr>
          <w:p>
            <w:pPr>
              <w:spacing w:line="276" w:lineRule="auto"/>
              <w:jc w:val="right"/>
              <w:rPr>
                <w:sz w:val="22"/>
                <w:szCs w:val="22"/>
              </w:rPr>
            </w:pPr>
            <w:r>
              <w:rPr>
                <w:sz w:val="22"/>
                <w:szCs w:val="22"/>
              </w:rPr>
              <w:t>4,840,193.20</w:t>
            </w:r>
          </w:p>
        </w:tc>
        <w:tc>
          <w:tcPr>
            <w:tcW w:w="1620" w:type="dxa"/>
          </w:tcPr>
          <w:p>
            <w:pPr>
              <w:spacing w:line="276" w:lineRule="auto"/>
              <w:jc w:val="right"/>
              <w:rPr>
                <w:sz w:val="22"/>
                <w:szCs w:val="22"/>
              </w:rPr>
            </w:pPr>
            <w:r>
              <w:rPr>
                <w:sz w:val="22"/>
                <w:szCs w:val="22"/>
              </w:rPr>
              <w:t>3,986,745.00</w:t>
            </w:r>
          </w:p>
        </w:tc>
        <w:tc>
          <w:tcPr>
            <w:tcW w:w="1530" w:type="dxa"/>
          </w:tcPr>
          <w:p>
            <w:pPr>
              <w:spacing w:line="276" w:lineRule="auto"/>
              <w:jc w:val="right"/>
              <w:rPr>
                <w:sz w:val="22"/>
                <w:szCs w:val="22"/>
              </w:rPr>
            </w:pPr>
            <w:r>
              <w:rPr>
                <w:sz w:val="22"/>
                <w:szCs w:val="22"/>
              </w:rPr>
              <w:t>853,448.20</w:t>
            </w:r>
          </w:p>
        </w:tc>
        <w:tc>
          <w:tcPr>
            <w:tcW w:w="1620" w:type="dxa"/>
          </w:tcPr>
          <w:p>
            <w:pPr>
              <w:spacing w:line="276" w:lineRule="auto"/>
              <w:jc w:val="right"/>
              <w:rPr>
                <w:sz w:val="22"/>
                <w:szCs w:val="22"/>
              </w:rPr>
            </w:pPr>
            <w:r>
              <w:rPr>
                <w:sz w:val="22"/>
                <w:szCs w:val="22"/>
              </w:rPr>
              <w:t>-0.00-</w:t>
            </w:r>
          </w:p>
        </w:tc>
        <w:tc>
          <w:tcPr>
            <w:tcW w:w="990" w:type="dxa"/>
          </w:tcPr>
          <w:p>
            <w:pPr>
              <w:spacing w:line="276" w:lineRule="auto"/>
              <w:jc w:val="center"/>
              <w:rPr>
                <w:sz w:val="22"/>
                <w:szCs w:val="22"/>
              </w:rPr>
            </w:pPr>
          </w:p>
        </w:tc>
      </w:tr>
      <w:tr>
        <w:trPr>
          <w:jc w:val="center"/>
        </w:trPr>
        <w:tc>
          <w:tcPr>
            <w:tcW w:w="2360" w:type="dxa"/>
          </w:tcPr>
          <w:p>
            <w:pPr>
              <w:spacing w:line="276" w:lineRule="auto"/>
              <w:rPr>
                <w:sz w:val="22"/>
                <w:szCs w:val="22"/>
              </w:rPr>
            </w:pPr>
            <w:r>
              <w:rPr>
                <w:sz w:val="22"/>
                <w:szCs w:val="22"/>
              </w:rPr>
              <w:t>Disaster Rehabilitation and Recovery</w:t>
            </w:r>
          </w:p>
        </w:tc>
        <w:tc>
          <w:tcPr>
            <w:tcW w:w="1600" w:type="dxa"/>
          </w:tcPr>
          <w:p>
            <w:pPr>
              <w:spacing w:line="276" w:lineRule="auto"/>
              <w:jc w:val="right"/>
              <w:rPr>
                <w:sz w:val="22"/>
                <w:szCs w:val="22"/>
              </w:rPr>
            </w:pPr>
            <w:r>
              <w:rPr>
                <w:sz w:val="22"/>
                <w:szCs w:val="22"/>
              </w:rPr>
              <w:t>5,000,000.00</w:t>
            </w:r>
          </w:p>
        </w:tc>
        <w:tc>
          <w:tcPr>
            <w:tcW w:w="1620" w:type="dxa"/>
            <w:shd w:val="clear" w:color="auto" w:fill="auto"/>
          </w:tcPr>
          <w:p>
            <w:pPr>
              <w:spacing w:line="276" w:lineRule="auto"/>
              <w:jc w:val="right"/>
              <w:rPr>
                <w:sz w:val="22"/>
                <w:szCs w:val="22"/>
              </w:rPr>
            </w:pPr>
            <w:r>
              <w:rPr>
                <w:sz w:val="22"/>
                <w:szCs w:val="22"/>
              </w:rPr>
              <w:t>3,930,228.45</w:t>
            </w:r>
          </w:p>
        </w:tc>
        <w:tc>
          <w:tcPr>
            <w:tcW w:w="1530" w:type="dxa"/>
            <w:shd w:val="clear" w:color="auto" w:fill="auto"/>
          </w:tcPr>
          <w:p>
            <w:pPr>
              <w:spacing w:line="276" w:lineRule="auto"/>
              <w:jc w:val="right"/>
              <w:rPr>
                <w:sz w:val="22"/>
                <w:szCs w:val="22"/>
              </w:rPr>
            </w:pPr>
            <w:r>
              <w:rPr>
                <w:sz w:val="22"/>
                <w:szCs w:val="22"/>
              </w:rPr>
              <w:t>1,040,019.00</w:t>
            </w:r>
          </w:p>
        </w:tc>
        <w:tc>
          <w:tcPr>
            <w:tcW w:w="1620" w:type="dxa"/>
          </w:tcPr>
          <w:p>
            <w:pPr>
              <w:spacing w:line="276" w:lineRule="auto"/>
              <w:jc w:val="right"/>
              <w:rPr>
                <w:sz w:val="22"/>
                <w:szCs w:val="22"/>
              </w:rPr>
            </w:pPr>
            <w:r>
              <w:rPr>
                <w:sz w:val="22"/>
                <w:szCs w:val="22"/>
              </w:rPr>
              <w:t>29,752.55</w:t>
            </w:r>
          </w:p>
        </w:tc>
        <w:tc>
          <w:tcPr>
            <w:tcW w:w="990" w:type="dxa"/>
          </w:tcPr>
          <w:p>
            <w:pPr>
              <w:spacing w:line="276" w:lineRule="auto"/>
              <w:jc w:val="center"/>
              <w:rPr>
                <w:sz w:val="22"/>
                <w:szCs w:val="22"/>
              </w:rPr>
            </w:pPr>
            <w:r>
              <w:rPr>
                <w:sz w:val="22"/>
                <w:szCs w:val="22"/>
              </w:rPr>
              <w:t>0.60%</w:t>
            </w:r>
          </w:p>
        </w:tc>
      </w:tr>
      <w:tr>
        <w:trPr>
          <w:jc w:val="center"/>
        </w:trPr>
        <w:tc>
          <w:tcPr>
            <w:tcW w:w="2360" w:type="dxa"/>
          </w:tcPr>
          <w:p>
            <w:pPr>
              <w:spacing w:line="276" w:lineRule="auto"/>
              <w:rPr>
                <w:b/>
                <w:sz w:val="22"/>
                <w:szCs w:val="22"/>
              </w:rPr>
            </w:pPr>
            <w:r>
              <w:rPr>
                <w:b/>
                <w:sz w:val="22"/>
                <w:szCs w:val="22"/>
              </w:rPr>
              <w:t>Total 70% Component</w:t>
            </w:r>
          </w:p>
        </w:tc>
        <w:tc>
          <w:tcPr>
            <w:tcW w:w="1600" w:type="dxa"/>
          </w:tcPr>
          <w:p>
            <w:pPr>
              <w:spacing w:line="276" w:lineRule="auto"/>
              <w:jc w:val="right"/>
              <w:rPr>
                <w:b/>
                <w:sz w:val="22"/>
                <w:szCs w:val="22"/>
              </w:rPr>
            </w:pPr>
            <w:r>
              <w:rPr>
                <w:b/>
                <w:sz w:val="22"/>
                <w:szCs w:val="22"/>
              </w:rPr>
              <w:t>53,640,193.20</w:t>
            </w:r>
          </w:p>
        </w:tc>
        <w:tc>
          <w:tcPr>
            <w:tcW w:w="1620" w:type="dxa"/>
          </w:tcPr>
          <w:p>
            <w:pPr>
              <w:spacing w:line="276" w:lineRule="auto"/>
              <w:jc w:val="right"/>
              <w:rPr>
                <w:b/>
                <w:sz w:val="22"/>
                <w:szCs w:val="22"/>
              </w:rPr>
            </w:pPr>
            <w:r>
              <w:rPr>
                <w:b/>
                <w:sz w:val="22"/>
                <w:szCs w:val="22"/>
              </w:rPr>
              <w:t>14,074,883.17</w:t>
            </w:r>
          </w:p>
        </w:tc>
        <w:tc>
          <w:tcPr>
            <w:tcW w:w="1530" w:type="dxa"/>
          </w:tcPr>
          <w:p>
            <w:pPr>
              <w:spacing w:line="276" w:lineRule="auto"/>
              <w:jc w:val="right"/>
              <w:rPr>
                <w:b/>
                <w:sz w:val="22"/>
                <w:szCs w:val="22"/>
              </w:rPr>
            </w:pPr>
            <w:r>
              <w:rPr>
                <w:b/>
                <w:sz w:val="22"/>
                <w:szCs w:val="22"/>
              </w:rPr>
              <w:t>2,725,537.48</w:t>
            </w:r>
          </w:p>
        </w:tc>
        <w:tc>
          <w:tcPr>
            <w:tcW w:w="1620" w:type="dxa"/>
          </w:tcPr>
          <w:p>
            <w:pPr>
              <w:spacing w:line="276" w:lineRule="auto"/>
              <w:jc w:val="right"/>
              <w:rPr>
                <w:b/>
                <w:sz w:val="22"/>
                <w:szCs w:val="22"/>
              </w:rPr>
            </w:pPr>
            <w:r>
              <w:rPr>
                <w:b/>
                <w:sz w:val="22"/>
                <w:szCs w:val="22"/>
              </w:rPr>
              <w:t>36,839,772.55</w:t>
            </w:r>
          </w:p>
        </w:tc>
        <w:tc>
          <w:tcPr>
            <w:tcW w:w="990" w:type="dxa"/>
          </w:tcPr>
          <w:p>
            <w:pPr>
              <w:spacing w:line="276" w:lineRule="auto"/>
              <w:jc w:val="center"/>
              <w:rPr>
                <w:b/>
                <w:sz w:val="22"/>
                <w:szCs w:val="22"/>
              </w:rPr>
            </w:pPr>
            <w:r>
              <w:rPr>
                <w:b/>
                <w:sz w:val="22"/>
                <w:szCs w:val="22"/>
              </w:rPr>
              <w:t>68.68%</w:t>
            </w:r>
          </w:p>
        </w:tc>
      </w:tr>
      <w:tr>
        <w:trPr>
          <w:jc w:val="center"/>
        </w:trPr>
        <w:tc>
          <w:tcPr>
            <w:tcW w:w="2360" w:type="dxa"/>
          </w:tcPr>
          <w:p>
            <w:pPr>
              <w:spacing w:line="276" w:lineRule="auto"/>
              <w:rPr>
                <w:sz w:val="22"/>
                <w:szCs w:val="22"/>
              </w:rPr>
            </w:pPr>
            <w:r>
              <w:rPr>
                <w:sz w:val="22"/>
                <w:szCs w:val="22"/>
              </w:rPr>
              <w:t>Quick Response Fund</w:t>
            </w:r>
          </w:p>
        </w:tc>
        <w:tc>
          <w:tcPr>
            <w:tcW w:w="1600" w:type="dxa"/>
          </w:tcPr>
          <w:p>
            <w:pPr>
              <w:spacing w:line="276" w:lineRule="auto"/>
              <w:jc w:val="right"/>
              <w:rPr>
                <w:sz w:val="22"/>
                <w:szCs w:val="22"/>
              </w:rPr>
            </w:pPr>
            <w:r>
              <w:rPr>
                <w:sz w:val="22"/>
                <w:szCs w:val="22"/>
              </w:rPr>
              <w:t>22,988,654.23</w:t>
            </w:r>
          </w:p>
        </w:tc>
        <w:tc>
          <w:tcPr>
            <w:tcW w:w="1620" w:type="dxa"/>
          </w:tcPr>
          <w:p>
            <w:pPr>
              <w:spacing w:line="276" w:lineRule="auto"/>
              <w:jc w:val="right"/>
              <w:rPr>
                <w:sz w:val="22"/>
                <w:szCs w:val="22"/>
              </w:rPr>
            </w:pPr>
            <w:r>
              <w:rPr>
                <w:sz w:val="22"/>
                <w:szCs w:val="22"/>
              </w:rPr>
              <w:t>15,717,101.98</w:t>
            </w:r>
          </w:p>
        </w:tc>
        <w:tc>
          <w:tcPr>
            <w:tcW w:w="1530" w:type="dxa"/>
          </w:tcPr>
          <w:p>
            <w:pPr>
              <w:spacing w:line="276" w:lineRule="auto"/>
              <w:jc w:val="right"/>
              <w:rPr>
                <w:sz w:val="22"/>
                <w:szCs w:val="22"/>
              </w:rPr>
            </w:pPr>
            <w:r>
              <w:rPr>
                <w:sz w:val="22"/>
                <w:szCs w:val="22"/>
              </w:rPr>
              <w:t>7,271,552.25</w:t>
            </w:r>
          </w:p>
        </w:tc>
        <w:tc>
          <w:tcPr>
            <w:tcW w:w="1620" w:type="dxa"/>
          </w:tcPr>
          <w:p>
            <w:pPr>
              <w:spacing w:line="276" w:lineRule="auto"/>
              <w:jc w:val="right"/>
              <w:rPr>
                <w:sz w:val="22"/>
                <w:szCs w:val="22"/>
              </w:rPr>
            </w:pPr>
            <w:r>
              <w:rPr>
                <w:sz w:val="22"/>
                <w:szCs w:val="22"/>
              </w:rPr>
              <w:t>-0.00-</w:t>
            </w:r>
          </w:p>
        </w:tc>
        <w:tc>
          <w:tcPr>
            <w:tcW w:w="990" w:type="dxa"/>
          </w:tcPr>
          <w:p>
            <w:pPr>
              <w:spacing w:line="276" w:lineRule="auto"/>
              <w:jc w:val="center"/>
              <w:rPr>
                <w:sz w:val="22"/>
                <w:szCs w:val="22"/>
              </w:rPr>
            </w:pPr>
          </w:p>
        </w:tc>
      </w:tr>
      <w:tr>
        <w:trPr>
          <w:jc w:val="center"/>
        </w:trPr>
        <w:tc>
          <w:tcPr>
            <w:tcW w:w="2360" w:type="dxa"/>
          </w:tcPr>
          <w:p>
            <w:pPr>
              <w:spacing w:line="276" w:lineRule="auto"/>
              <w:rPr>
                <w:sz w:val="22"/>
                <w:szCs w:val="22"/>
              </w:rPr>
            </w:pPr>
            <w:r>
              <w:rPr>
                <w:b/>
                <w:sz w:val="22"/>
                <w:szCs w:val="22"/>
              </w:rPr>
              <w:t>Total 30% Component</w:t>
            </w:r>
          </w:p>
        </w:tc>
        <w:tc>
          <w:tcPr>
            <w:tcW w:w="1600" w:type="dxa"/>
          </w:tcPr>
          <w:p>
            <w:pPr>
              <w:spacing w:line="276" w:lineRule="auto"/>
              <w:jc w:val="right"/>
              <w:rPr>
                <w:b/>
                <w:sz w:val="22"/>
                <w:szCs w:val="22"/>
              </w:rPr>
            </w:pPr>
            <w:r>
              <w:rPr>
                <w:b/>
                <w:sz w:val="22"/>
                <w:szCs w:val="22"/>
              </w:rPr>
              <w:t>22,988,654.23</w:t>
            </w:r>
          </w:p>
        </w:tc>
        <w:tc>
          <w:tcPr>
            <w:tcW w:w="1620" w:type="dxa"/>
          </w:tcPr>
          <w:p>
            <w:pPr>
              <w:spacing w:line="276" w:lineRule="auto"/>
              <w:jc w:val="right"/>
              <w:rPr>
                <w:b/>
                <w:sz w:val="22"/>
                <w:szCs w:val="22"/>
              </w:rPr>
            </w:pPr>
            <w:r>
              <w:rPr>
                <w:b/>
                <w:sz w:val="22"/>
                <w:szCs w:val="22"/>
              </w:rPr>
              <w:t>15,717,101.98</w:t>
            </w:r>
          </w:p>
        </w:tc>
        <w:tc>
          <w:tcPr>
            <w:tcW w:w="1530" w:type="dxa"/>
          </w:tcPr>
          <w:p>
            <w:pPr>
              <w:spacing w:line="276" w:lineRule="auto"/>
              <w:jc w:val="right"/>
              <w:rPr>
                <w:b/>
                <w:sz w:val="22"/>
                <w:szCs w:val="22"/>
              </w:rPr>
            </w:pPr>
            <w:r>
              <w:rPr>
                <w:b/>
                <w:sz w:val="22"/>
                <w:szCs w:val="22"/>
              </w:rPr>
              <w:t>7,271,552.25</w:t>
            </w:r>
          </w:p>
        </w:tc>
        <w:tc>
          <w:tcPr>
            <w:tcW w:w="1620" w:type="dxa"/>
          </w:tcPr>
          <w:p>
            <w:pPr>
              <w:spacing w:line="276" w:lineRule="auto"/>
              <w:jc w:val="right"/>
              <w:rPr>
                <w:sz w:val="22"/>
                <w:szCs w:val="22"/>
              </w:rPr>
            </w:pPr>
            <w:r>
              <w:rPr>
                <w:sz w:val="22"/>
                <w:szCs w:val="22"/>
              </w:rPr>
              <w:t>-0.00-</w:t>
            </w:r>
          </w:p>
        </w:tc>
        <w:tc>
          <w:tcPr>
            <w:tcW w:w="990" w:type="dxa"/>
          </w:tcPr>
          <w:p>
            <w:pPr>
              <w:spacing w:line="276" w:lineRule="auto"/>
              <w:jc w:val="center"/>
              <w:rPr>
                <w:sz w:val="22"/>
                <w:szCs w:val="22"/>
              </w:rPr>
            </w:pPr>
          </w:p>
        </w:tc>
      </w:tr>
      <w:tr>
        <w:trPr>
          <w:jc w:val="center"/>
        </w:trPr>
        <w:tc>
          <w:tcPr>
            <w:tcW w:w="2360" w:type="dxa"/>
          </w:tcPr>
          <w:p>
            <w:pPr>
              <w:spacing w:line="276" w:lineRule="auto"/>
              <w:rPr>
                <w:b/>
                <w:sz w:val="22"/>
                <w:szCs w:val="22"/>
              </w:rPr>
            </w:pPr>
            <w:r>
              <w:rPr>
                <w:b/>
                <w:sz w:val="22"/>
                <w:szCs w:val="22"/>
              </w:rPr>
              <w:t>Total-Current</w:t>
            </w:r>
          </w:p>
        </w:tc>
        <w:tc>
          <w:tcPr>
            <w:tcW w:w="1600" w:type="dxa"/>
          </w:tcPr>
          <w:p>
            <w:pPr>
              <w:spacing w:line="276" w:lineRule="auto"/>
              <w:jc w:val="right"/>
              <w:rPr>
                <w:b/>
                <w:sz w:val="22"/>
                <w:szCs w:val="22"/>
              </w:rPr>
            </w:pPr>
            <w:r>
              <w:rPr>
                <w:b/>
                <w:sz w:val="22"/>
                <w:szCs w:val="22"/>
              </w:rPr>
              <w:t>76,628,847.43</w:t>
            </w:r>
          </w:p>
        </w:tc>
        <w:tc>
          <w:tcPr>
            <w:tcW w:w="1620" w:type="dxa"/>
          </w:tcPr>
          <w:p>
            <w:pPr>
              <w:spacing w:line="276" w:lineRule="auto"/>
              <w:jc w:val="right"/>
              <w:rPr>
                <w:b/>
                <w:sz w:val="22"/>
                <w:szCs w:val="22"/>
              </w:rPr>
            </w:pPr>
            <w:r>
              <w:rPr>
                <w:b/>
                <w:sz w:val="22"/>
                <w:szCs w:val="22"/>
              </w:rPr>
              <w:t>29,791,985.15</w:t>
            </w:r>
          </w:p>
        </w:tc>
        <w:tc>
          <w:tcPr>
            <w:tcW w:w="1530" w:type="dxa"/>
          </w:tcPr>
          <w:p>
            <w:pPr>
              <w:spacing w:line="276" w:lineRule="auto"/>
              <w:jc w:val="right"/>
              <w:rPr>
                <w:b/>
                <w:sz w:val="22"/>
                <w:szCs w:val="22"/>
              </w:rPr>
            </w:pPr>
            <w:r>
              <w:rPr>
                <w:b/>
                <w:sz w:val="22"/>
                <w:szCs w:val="22"/>
              </w:rPr>
              <w:t>9,997,089.73</w:t>
            </w:r>
          </w:p>
        </w:tc>
        <w:tc>
          <w:tcPr>
            <w:tcW w:w="1620" w:type="dxa"/>
          </w:tcPr>
          <w:p>
            <w:pPr>
              <w:spacing w:line="276" w:lineRule="auto"/>
              <w:jc w:val="right"/>
              <w:rPr>
                <w:b/>
                <w:sz w:val="22"/>
                <w:szCs w:val="22"/>
              </w:rPr>
            </w:pPr>
            <w:r>
              <w:rPr>
                <w:b/>
                <w:sz w:val="22"/>
                <w:szCs w:val="22"/>
              </w:rPr>
              <w:t>36,839,772.55</w:t>
            </w:r>
          </w:p>
        </w:tc>
        <w:tc>
          <w:tcPr>
            <w:tcW w:w="990" w:type="dxa"/>
          </w:tcPr>
          <w:p>
            <w:pPr>
              <w:spacing w:line="276" w:lineRule="auto"/>
              <w:jc w:val="center"/>
              <w:rPr>
                <w:b/>
                <w:sz w:val="22"/>
                <w:szCs w:val="22"/>
              </w:rPr>
            </w:pPr>
            <w:r>
              <w:rPr>
                <w:b/>
                <w:sz w:val="22"/>
                <w:szCs w:val="22"/>
              </w:rPr>
              <w:t>48.08%</w:t>
            </w:r>
          </w:p>
        </w:tc>
      </w:tr>
      <w:tr>
        <w:trPr>
          <w:jc w:val="center"/>
        </w:trPr>
        <w:tc>
          <w:tcPr>
            <w:tcW w:w="9720" w:type="dxa"/>
            <w:gridSpan w:val="6"/>
          </w:tcPr>
          <w:p>
            <w:pPr>
              <w:spacing w:line="276" w:lineRule="auto"/>
              <w:rPr>
                <w:b/>
                <w:sz w:val="22"/>
                <w:szCs w:val="22"/>
              </w:rPr>
            </w:pPr>
            <w:r>
              <w:rPr>
                <w:b/>
                <w:sz w:val="22"/>
                <w:szCs w:val="22"/>
              </w:rPr>
              <w:t>Continuing Appropriation</w:t>
            </w:r>
          </w:p>
        </w:tc>
      </w:tr>
      <w:tr>
        <w:trPr>
          <w:jc w:val="center"/>
        </w:trPr>
        <w:tc>
          <w:tcPr>
            <w:tcW w:w="2360" w:type="dxa"/>
          </w:tcPr>
          <w:p>
            <w:pPr>
              <w:spacing w:line="276" w:lineRule="auto"/>
              <w:rPr>
                <w:sz w:val="22"/>
                <w:szCs w:val="22"/>
              </w:rPr>
            </w:pPr>
            <w:r>
              <w:rPr>
                <w:sz w:val="22"/>
                <w:szCs w:val="22"/>
              </w:rPr>
              <w:t>CY 2017</w:t>
            </w:r>
          </w:p>
        </w:tc>
        <w:tc>
          <w:tcPr>
            <w:tcW w:w="1600" w:type="dxa"/>
          </w:tcPr>
          <w:p>
            <w:pPr>
              <w:spacing w:line="276" w:lineRule="auto"/>
              <w:jc w:val="right"/>
              <w:rPr>
                <w:sz w:val="22"/>
                <w:szCs w:val="22"/>
              </w:rPr>
            </w:pPr>
            <w:r>
              <w:rPr>
                <w:sz w:val="22"/>
                <w:szCs w:val="22"/>
              </w:rPr>
              <w:t>485,000.00</w:t>
            </w:r>
          </w:p>
        </w:tc>
        <w:tc>
          <w:tcPr>
            <w:tcW w:w="1620" w:type="dxa"/>
          </w:tcPr>
          <w:p>
            <w:pPr>
              <w:spacing w:line="276" w:lineRule="auto"/>
              <w:jc w:val="right"/>
              <w:rPr>
                <w:sz w:val="22"/>
                <w:szCs w:val="22"/>
              </w:rPr>
            </w:pPr>
            <w:r>
              <w:rPr>
                <w:sz w:val="22"/>
                <w:szCs w:val="22"/>
              </w:rPr>
              <w:t>-0.00-</w:t>
            </w:r>
          </w:p>
        </w:tc>
        <w:tc>
          <w:tcPr>
            <w:tcW w:w="1530" w:type="dxa"/>
          </w:tcPr>
          <w:p>
            <w:pPr>
              <w:spacing w:line="276" w:lineRule="auto"/>
              <w:jc w:val="right"/>
              <w:rPr>
                <w:sz w:val="22"/>
                <w:szCs w:val="22"/>
              </w:rPr>
            </w:pPr>
          </w:p>
        </w:tc>
        <w:tc>
          <w:tcPr>
            <w:tcW w:w="1620" w:type="dxa"/>
          </w:tcPr>
          <w:p>
            <w:pPr>
              <w:spacing w:line="276" w:lineRule="auto"/>
              <w:jc w:val="right"/>
              <w:rPr>
                <w:sz w:val="22"/>
                <w:szCs w:val="22"/>
              </w:rPr>
            </w:pPr>
            <w:r>
              <w:rPr>
                <w:sz w:val="22"/>
                <w:szCs w:val="22"/>
              </w:rPr>
              <w:t>485,000.00</w:t>
            </w:r>
          </w:p>
        </w:tc>
        <w:tc>
          <w:tcPr>
            <w:tcW w:w="990" w:type="dxa"/>
          </w:tcPr>
          <w:p>
            <w:pPr>
              <w:spacing w:line="276" w:lineRule="auto"/>
              <w:jc w:val="center"/>
              <w:rPr>
                <w:sz w:val="22"/>
                <w:szCs w:val="22"/>
              </w:rPr>
            </w:pPr>
            <w:r>
              <w:rPr>
                <w:sz w:val="22"/>
                <w:szCs w:val="22"/>
              </w:rPr>
              <w:t>100.00%</w:t>
            </w:r>
          </w:p>
        </w:tc>
      </w:tr>
      <w:tr>
        <w:trPr>
          <w:jc w:val="center"/>
        </w:trPr>
        <w:tc>
          <w:tcPr>
            <w:tcW w:w="2360" w:type="dxa"/>
          </w:tcPr>
          <w:p>
            <w:pPr>
              <w:spacing w:line="276" w:lineRule="auto"/>
              <w:rPr>
                <w:sz w:val="22"/>
                <w:szCs w:val="22"/>
              </w:rPr>
            </w:pPr>
            <w:r>
              <w:rPr>
                <w:sz w:val="22"/>
                <w:szCs w:val="22"/>
              </w:rPr>
              <w:t>CY 2018</w:t>
            </w:r>
          </w:p>
        </w:tc>
        <w:tc>
          <w:tcPr>
            <w:tcW w:w="1600" w:type="dxa"/>
          </w:tcPr>
          <w:p>
            <w:pPr>
              <w:spacing w:line="276" w:lineRule="auto"/>
              <w:jc w:val="right"/>
              <w:rPr>
                <w:sz w:val="22"/>
                <w:szCs w:val="22"/>
              </w:rPr>
            </w:pPr>
            <w:r>
              <w:rPr>
                <w:sz w:val="22"/>
                <w:szCs w:val="22"/>
              </w:rPr>
              <w:t>46,120.00</w:t>
            </w:r>
          </w:p>
        </w:tc>
        <w:tc>
          <w:tcPr>
            <w:tcW w:w="1620" w:type="dxa"/>
          </w:tcPr>
          <w:p>
            <w:pPr>
              <w:spacing w:line="276" w:lineRule="auto"/>
              <w:jc w:val="right"/>
              <w:rPr>
                <w:sz w:val="22"/>
                <w:szCs w:val="22"/>
              </w:rPr>
            </w:pPr>
            <w:r>
              <w:rPr>
                <w:sz w:val="22"/>
                <w:szCs w:val="22"/>
              </w:rPr>
              <w:t>-0.00-</w:t>
            </w:r>
          </w:p>
        </w:tc>
        <w:tc>
          <w:tcPr>
            <w:tcW w:w="1530" w:type="dxa"/>
          </w:tcPr>
          <w:p>
            <w:pPr>
              <w:spacing w:line="276" w:lineRule="auto"/>
              <w:jc w:val="right"/>
              <w:rPr>
                <w:sz w:val="22"/>
                <w:szCs w:val="22"/>
              </w:rPr>
            </w:pPr>
          </w:p>
        </w:tc>
        <w:tc>
          <w:tcPr>
            <w:tcW w:w="1620" w:type="dxa"/>
          </w:tcPr>
          <w:p>
            <w:pPr>
              <w:spacing w:line="276" w:lineRule="auto"/>
              <w:jc w:val="right"/>
              <w:rPr>
                <w:sz w:val="22"/>
                <w:szCs w:val="22"/>
              </w:rPr>
            </w:pPr>
            <w:r>
              <w:rPr>
                <w:sz w:val="22"/>
                <w:szCs w:val="22"/>
              </w:rPr>
              <w:t>46,120.00</w:t>
            </w:r>
          </w:p>
        </w:tc>
        <w:tc>
          <w:tcPr>
            <w:tcW w:w="990" w:type="dxa"/>
          </w:tcPr>
          <w:p>
            <w:pPr>
              <w:spacing w:line="276" w:lineRule="auto"/>
              <w:jc w:val="center"/>
              <w:rPr>
                <w:sz w:val="22"/>
                <w:szCs w:val="22"/>
              </w:rPr>
            </w:pPr>
            <w:r>
              <w:rPr>
                <w:sz w:val="22"/>
                <w:szCs w:val="22"/>
              </w:rPr>
              <w:t>100.00%</w:t>
            </w:r>
          </w:p>
        </w:tc>
      </w:tr>
      <w:tr>
        <w:trPr>
          <w:jc w:val="center"/>
        </w:trPr>
        <w:tc>
          <w:tcPr>
            <w:tcW w:w="2360" w:type="dxa"/>
          </w:tcPr>
          <w:p>
            <w:pPr>
              <w:spacing w:line="276" w:lineRule="auto"/>
              <w:rPr>
                <w:sz w:val="22"/>
                <w:szCs w:val="22"/>
              </w:rPr>
            </w:pPr>
            <w:r>
              <w:rPr>
                <w:sz w:val="22"/>
                <w:szCs w:val="22"/>
              </w:rPr>
              <w:t>CY 2019</w:t>
            </w:r>
          </w:p>
        </w:tc>
        <w:tc>
          <w:tcPr>
            <w:tcW w:w="1600" w:type="dxa"/>
          </w:tcPr>
          <w:p>
            <w:pPr>
              <w:spacing w:line="276" w:lineRule="auto"/>
              <w:jc w:val="right"/>
              <w:rPr>
                <w:sz w:val="22"/>
                <w:szCs w:val="22"/>
              </w:rPr>
            </w:pPr>
            <w:r>
              <w:rPr>
                <w:sz w:val="22"/>
                <w:szCs w:val="22"/>
              </w:rPr>
              <w:t>16,194.01</w:t>
            </w:r>
          </w:p>
        </w:tc>
        <w:tc>
          <w:tcPr>
            <w:tcW w:w="1620" w:type="dxa"/>
          </w:tcPr>
          <w:p>
            <w:pPr>
              <w:spacing w:line="276" w:lineRule="auto"/>
              <w:jc w:val="right"/>
              <w:rPr>
                <w:sz w:val="22"/>
                <w:szCs w:val="22"/>
              </w:rPr>
            </w:pPr>
            <w:r>
              <w:rPr>
                <w:sz w:val="22"/>
                <w:szCs w:val="22"/>
              </w:rPr>
              <w:t>-0.00-</w:t>
            </w:r>
          </w:p>
        </w:tc>
        <w:tc>
          <w:tcPr>
            <w:tcW w:w="1530" w:type="dxa"/>
          </w:tcPr>
          <w:p>
            <w:pPr>
              <w:spacing w:line="276" w:lineRule="auto"/>
              <w:jc w:val="right"/>
              <w:rPr>
                <w:sz w:val="22"/>
                <w:szCs w:val="22"/>
              </w:rPr>
            </w:pPr>
          </w:p>
        </w:tc>
        <w:tc>
          <w:tcPr>
            <w:tcW w:w="1620" w:type="dxa"/>
          </w:tcPr>
          <w:p>
            <w:pPr>
              <w:spacing w:line="276" w:lineRule="auto"/>
              <w:jc w:val="right"/>
              <w:rPr>
                <w:sz w:val="22"/>
                <w:szCs w:val="22"/>
              </w:rPr>
            </w:pPr>
            <w:r>
              <w:rPr>
                <w:sz w:val="22"/>
                <w:szCs w:val="22"/>
              </w:rPr>
              <w:t>16,194.01</w:t>
            </w:r>
          </w:p>
        </w:tc>
        <w:tc>
          <w:tcPr>
            <w:tcW w:w="990" w:type="dxa"/>
          </w:tcPr>
          <w:p>
            <w:pPr>
              <w:spacing w:line="276" w:lineRule="auto"/>
              <w:jc w:val="center"/>
              <w:rPr>
                <w:sz w:val="22"/>
                <w:szCs w:val="22"/>
              </w:rPr>
            </w:pPr>
            <w:r>
              <w:rPr>
                <w:sz w:val="22"/>
                <w:szCs w:val="22"/>
              </w:rPr>
              <w:t>100.00%</w:t>
            </w:r>
          </w:p>
        </w:tc>
      </w:tr>
      <w:tr>
        <w:trPr>
          <w:jc w:val="center"/>
        </w:trPr>
        <w:tc>
          <w:tcPr>
            <w:tcW w:w="2360" w:type="dxa"/>
          </w:tcPr>
          <w:p>
            <w:pPr>
              <w:spacing w:line="276" w:lineRule="auto"/>
              <w:rPr>
                <w:sz w:val="22"/>
                <w:szCs w:val="22"/>
              </w:rPr>
            </w:pPr>
            <w:r>
              <w:rPr>
                <w:sz w:val="22"/>
                <w:szCs w:val="22"/>
              </w:rPr>
              <w:t>CY 2020</w:t>
            </w:r>
          </w:p>
        </w:tc>
        <w:tc>
          <w:tcPr>
            <w:tcW w:w="1600" w:type="dxa"/>
          </w:tcPr>
          <w:p>
            <w:pPr>
              <w:spacing w:line="276" w:lineRule="auto"/>
              <w:jc w:val="right"/>
              <w:rPr>
                <w:sz w:val="22"/>
                <w:szCs w:val="22"/>
              </w:rPr>
            </w:pPr>
            <w:r>
              <w:rPr>
                <w:sz w:val="22"/>
                <w:szCs w:val="22"/>
              </w:rPr>
              <w:t>2,259,648.50</w:t>
            </w:r>
          </w:p>
        </w:tc>
        <w:tc>
          <w:tcPr>
            <w:tcW w:w="1620" w:type="dxa"/>
          </w:tcPr>
          <w:p>
            <w:pPr>
              <w:spacing w:line="276" w:lineRule="auto"/>
              <w:jc w:val="right"/>
              <w:rPr>
                <w:sz w:val="22"/>
                <w:szCs w:val="22"/>
              </w:rPr>
            </w:pPr>
            <w:r>
              <w:rPr>
                <w:sz w:val="22"/>
                <w:szCs w:val="22"/>
              </w:rPr>
              <w:t>735,500.00</w:t>
            </w:r>
          </w:p>
        </w:tc>
        <w:tc>
          <w:tcPr>
            <w:tcW w:w="1530" w:type="dxa"/>
          </w:tcPr>
          <w:p>
            <w:pPr>
              <w:spacing w:line="276" w:lineRule="auto"/>
              <w:jc w:val="right"/>
              <w:rPr>
                <w:sz w:val="22"/>
                <w:szCs w:val="22"/>
              </w:rPr>
            </w:pPr>
          </w:p>
        </w:tc>
        <w:tc>
          <w:tcPr>
            <w:tcW w:w="1620" w:type="dxa"/>
          </w:tcPr>
          <w:p>
            <w:pPr>
              <w:spacing w:line="276" w:lineRule="auto"/>
              <w:jc w:val="right"/>
              <w:rPr>
                <w:sz w:val="22"/>
                <w:szCs w:val="22"/>
              </w:rPr>
            </w:pPr>
            <w:r>
              <w:rPr>
                <w:sz w:val="22"/>
                <w:szCs w:val="22"/>
              </w:rPr>
              <w:t>1,524,148.50</w:t>
            </w:r>
          </w:p>
        </w:tc>
        <w:tc>
          <w:tcPr>
            <w:tcW w:w="990" w:type="dxa"/>
          </w:tcPr>
          <w:p>
            <w:pPr>
              <w:spacing w:line="276" w:lineRule="auto"/>
              <w:jc w:val="center"/>
              <w:rPr>
                <w:sz w:val="22"/>
                <w:szCs w:val="22"/>
              </w:rPr>
            </w:pPr>
            <w:r>
              <w:rPr>
                <w:sz w:val="22"/>
                <w:szCs w:val="22"/>
              </w:rPr>
              <w:t>67.45%</w:t>
            </w:r>
          </w:p>
        </w:tc>
      </w:tr>
      <w:tr>
        <w:trPr>
          <w:jc w:val="center"/>
        </w:trPr>
        <w:tc>
          <w:tcPr>
            <w:tcW w:w="2360" w:type="dxa"/>
          </w:tcPr>
          <w:p>
            <w:pPr>
              <w:spacing w:line="276" w:lineRule="auto"/>
              <w:rPr>
                <w:sz w:val="22"/>
                <w:szCs w:val="22"/>
              </w:rPr>
            </w:pPr>
            <w:r>
              <w:rPr>
                <w:sz w:val="22"/>
                <w:szCs w:val="22"/>
              </w:rPr>
              <w:t>CY 2021</w:t>
            </w:r>
          </w:p>
        </w:tc>
        <w:tc>
          <w:tcPr>
            <w:tcW w:w="1600" w:type="dxa"/>
          </w:tcPr>
          <w:p>
            <w:pPr>
              <w:spacing w:line="276" w:lineRule="auto"/>
              <w:jc w:val="right"/>
              <w:rPr>
                <w:sz w:val="22"/>
                <w:szCs w:val="22"/>
              </w:rPr>
            </w:pPr>
            <w:r>
              <w:rPr>
                <w:sz w:val="22"/>
                <w:szCs w:val="22"/>
              </w:rPr>
              <w:t>14,065,525.26</w:t>
            </w:r>
          </w:p>
        </w:tc>
        <w:tc>
          <w:tcPr>
            <w:tcW w:w="1620" w:type="dxa"/>
          </w:tcPr>
          <w:p>
            <w:pPr>
              <w:spacing w:line="276" w:lineRule="auto"/>
              <w:jc w:val="right"/>
              <w:rPr>
                <w:sz w:val="22"/>
                <w:szCs w:val="22"/>
              </w:rPr>
            </w:pPr>
            <w:r>
              <w:rPr>
                <w:sz w:val="22"/>
                <w:szCs w:val="22"/>
              </w:rPr>
              <w:t>8,750,768.99</w:t>
            </w:r>
          </w:p>
        </w:tc>
        <w:tc>
          <w:tcPr>
            <w:tcW w:w="1530" w:type="dxa"/>
          </w:tcPr>
          <w:p>
            <w:pPr>
              <w:spacing w:line="276" w:lineRule="auto"/>
              <w:jc w:val="right"/>
              <w:rPr>
                <w:sz w:val="22"/>
                <w:szCs w:val="22"/>
              </w:rPr>
            </w:pPr>
          </w:p>
        </w:tc>
        <w:tc>
          <w:tcPr>
            <w:tcW w:w="1620" w:type="dxa"/>
          </w:tcPr>
          <w:p>
            <w:pPr>
              <w:spacing w:line="276" w:lineRule="auto"/>
              <w:jc w:val="right"/>
              <w:rPr>
                <w:sz w:val="22"/>
                <w:szCs w:val="22"/>
              </w:rPr>
            </w:pPr>
            <w:r>
              <w:rPr>
                <w:sz w:val="22"/>
                <w:szCs w:val="22"/>
              </w:rPr>
              <w:t>5,314,756.27</w:t>
            </w:r>
          </w:p>
        </w:tc>
        <w:tc>
          <w:tcPr>
            <w:tcW w:w="990" w:type="dxa"/>
          </w:tcPr>
          <w:p>
            <w:pPr>
              <w:spacing w:line="276" w:lineRule="auto"/>
              <w:jc w:val="center"/>
              <w:rPr>
                <w:sz w:val="22"/>
                <w:szCs w:val="22"/>
              </w:rPr>
            </w:pPr>
            <w:r>
              <w:rPr>
                <w:sz w:val="22"/>
                <w:szCs w:val="22"/>
              </w:rPr>
              <w:t>37.79%</w:t>
            </w:r>
          </w:p>
        </w:tc>
      </w:tr>
      <w:tr>
        <w:trPr>
          <w:jc w:val="center"/>
        </w:trPr>
        <w:tc>
          <w:tcPr>
            <w:tcW w:w="2360" w:type="dxa"/>
          </w:tcPr>
          <w:p>
            <w:pPr>
              <w:spacing w:line="276" w:lineRule="auto"/>
              <w:rPr>
                <w:b/>
                <w:sz w:val="22"/>
                <w:szCs w:val="22"/>
              </w:rPr>
            </w:pPr>
            <w:r>
              <w:rPr>
                <w:b/>
                <w:sz w:val="22"/>
                <w:szCs w:val="22"/>
              </w:rPr>
              <w:t>Total-Continuing</w:t>
            </w:r>
          </w:p>
        </w:tc>
        <w:tc>
          <w:tcPr>
            <w:tcW w:w="1600" w:type="dxa"/>
          </w:tcPr>
          <w:p>
            <w:pPr>
              <w:spacing w:line="276" w:lineRule="auto"/>
              <w:jc w:val="right"/>
              <w:rPr>
                <w:b/>
                <w:sz w:val="22"/>
                <w:szCs w:val="22"/>
              </w:rPr>
            </w:pPr>
            <w:r>
              <w:rPr>
                <w:b/>
                <w:sz w:val="22"/>
                <w:szCs w:val="22"/>
              </w:rPr>
              <w:t>16,872,487.77</w:t>
            </w:r>
          </w:p>
        </w:tc>
        <w:tc>
          <w:tcPr>
            <w:tcW w:w="1620" w:type="dxa"/>
          </w:tcPr>
          <w:p>
            <w:pPr>
              <w:spacing w:line="276" w:lineRule="auto"/>
              <w:jc w:val="right"/>
              <w:rPr>
                <w:b/>
                <w:sz w:val="22"/>
                <w:szCs w:val="22"/>
              </w:rPr>
            </w:pPr>
            <w:r>
              <w:rPr>
                <w:b/>
                <w:sz w:val="22"/>
                <w:szCs w:val="22"/>
              </w:rPr>
              <w:t>9,486,268.99</w:t>
            </w:r>
          </w:p>
        </w:tc>
        <w:tc>
          <w:tcPr>
            <w:tcW w:w="1530" w:type="dxa"/>
          </w:tcPr>
          <w:p>
            <w:pPr>
              <w:spacing w:line="276" w:lineRule="auto"/>
              <w:jc w:val="right"/>
              <w:rPr>
                <w:sz w:val="22"/>
                <w:szCs w:val="22"/>
              </w:rPr>
            </w:pPr>
          </w:p>
        </w:tc>
        <w:tc>
          <w:tcPr>
            <w:tcW w:w="1620" w:type="dxa"/>
          </w:tcPr>
          <w:p>
            <w:pPr>
              <w:spacing w:line="276" w:lineRule="auto"/>
              <w:jc w:val="right"/>
              <w:rPr>
                <w:b/>
                <w:sz w:val="22"/>
                <w:szCs w:val="22"/>
              </w:rPr>
            </w:pPr>
            <w:r>
              <w:rPr>
                <w:b/>
                <w:sz w:val="22"/>
                <w:szCs w:val="22"/>
              </w:rPr>
              <w:t>7,386,218.78</w:t>
            </w:r>
          </w:p>
        </w:tc>
        <w:tc>
          <w:tcPr>
            <w:tcW w:w="990" w:type="dxa"/>
          </w:tcPr>
          <w:p>
            <w:pPr>
              <w:spacing w:line="276" w:lineRule="auto"/>
              <w:jc w:val="center"/>
              <w:rPr>
                <w:b/>
                <w:sz w:val="22"/>
                <w:szCs w:val="22"/>
              </w:rPr>
            </w:pPr>
            <w:r>
              <w:rPr>
                <w:b/>
                <w:sz w:val="22"/>
                <w:szCs w:val="22"/>
              </w:rPr>
              <w:t>43.78%</w:t>
            </w:r>
          </w:p>
        </w:tc>
      </w:tr>
      <w:tr>
        <w:trPr>
          <w:jc w:val="center"/>
        </w:trPr>
        <w:tc>
          <w:tcPr>
            <w:tcW w:w="2360" w:type="dxa"/>
          </w:tcPr>
          <w:p>
            <w:pPr>
              <w:spacing w:line="276" w:lineRule="auto"/>
              <w:rPr>
                <w:b/>
                <w:sz w:val="22"/>
                <w:szCs w:val="22"/>
              </w:rPr>
            </w:pPr>
            <w:r>
              <w:rPr>
                <w:b/>
                <w:sz w:val="22"/>
                <w:szCs w:val="22"/>
              </w:rPr>
              <w:t>GRAND TOTAL</w:t>
            </w:r>
          </w:p>
        </w:tc>
        <w:tc>
          <w:tcPr>
            <w:tcW w:w="1600" w:type="dxa"/>
          </w:tcPr>
          <w:p>
            <w:pPr>
              <w:spacing w:line="276" w:lineRule="auto"/>
              <w:jc w:val="right"/>
              <w:rPr>
                <w:b/>
                <w:sz w:val="22"/>
                <w:szCs w:val="22"/>
              </w:rPr>
            </w:pPr>
            <w:r>
              <w:rPr>
                <w:b/>
                <w:sz w:val="22"/>
                <w:szCs w:val="22"/>
              </w:rPr>
              <w:t>P93,501,335.20</w:t>
            </w:r>
          </w:p>
        </w:tc>
        <w:tc>
          <w:tcPr>
            <w:tcW w:w="1620" w:type="dxa"/>
          </w:tcPr>
          <w:p>
            <w:pPr>
              <w:spacing w:line="276" w:lineRule="auto"/>
              <w:jc w:val="right"/>
              <w:rPr>
                <w:b/>
                <w:sz w:val="22"/>
                <w:szCs w:val="22"/>
              </w:rPr>
            </w:pPr>
            <w:r>
              <w:rPr>
                <w:b/>
                <w:sz w:val="22"/>
                <w:szCs w:val="22"/>
              </w:rPr>
              <w:t>P39,278,254.14</w:t>
            </w:r>
          </w:p>
        </w:tc>
        <w:tc>
          <w:tcPr>
            <w:tcW w:w="1530" w:type="dxa"/>
          </w:tcPr>
          <w:p>
            <w:pPr>
              <w:spacing w:line="276" w:lineRule="auto"/>
              <w:jc w:val="right"/>
              <w:rPr>
                <w:b/>
                <w:sz w:val="22"/>
                <w:szCs w:val="22"/>
              </w:rPr>
            </w:pPr>
            <w:r>
              <w:rPr>
                <w:b/>
                <w:sz w:val="22"/>
                <w:szCs w:val="22"/>
              </w:rPr>
              <w:t>P9,997,089.73</w:t>
            </w:r>
          </w:p>
        </w:tc>
        <w:tc>
          <w:tcPr>
            <w:tcW w:w="1620" w:type="dxa"/>
          </w:tcPr>
          <w:p>
            <w:pPr>
              <w:spacing w:line="276" w:lineRule="auto"/>
              <w:jc w:val="right"/>
              <w:rPr>
                <w:b/>
                <w:sz w:val="22"/>
                <w:szCs w:val="22"/>
              </w:rPr>
            </w:pPr>
            <w:r>
              <w:rPr>
                <w:b/>
                <w:sz w:val="22"/>
                <w:szCs w:val="22"/>
              </w:rPr>
              <w:t>P44,225,991.33</w:t>
            </w:r>
          </w:p>
        </w:tc>
        <w:tc>
          <w:tcPr>
            <w:tcW w:w="990" w:type="dxa"/>
          </w:tcPr>
          <w:p>
            <w:pPr>
              <w:spacing w:line="276" w:lineRule="auto"/>
              <w:jc w:val="center"/>
              <w:rPr>
                <w:b/>
                <w:sz w:val="22"/>
                <w:szCs w:val="22"/>
              </w:rPr>
            </w:pPr>
            <w:r>
              <w:rPr>
                <w:b/>
                <w:sz w:val="22"/>
                <w:szCs w:val="22"/>
              </w:rPr>
              <w:t>47.30%</w:t>
            </w:r>
          </w:p>
        </w:tc>
      </w:tr>
    </w:tbl>
    <w:p>
      <w:pPr>
        <w:spacing w:line="276" w:lineRule="auto"/>
        <w:jc w:val="both"/>
        <w:rPr>
          <w:b/>
        </w:rPr>
      </w:pPr>
    </w:p>
    <w:p>
      <w:pPr>
        <w:spacing w:line="276" w:lineRule="auto"/>
        <w:jc w:val="both"/>
      </w:pPr>
      <w:r>
        <w:t>Furthermore, unexpended QRF and DRRMF-MOOE from previous years (2017-2021) which were transferred to the Special Trust Fund remains available for utilization by the City as follows:</w:t>
      </w:r>
    </w:p>
    <w:p>
      <w:pPr>
        <w:spacing w:line="276" w:lineRule="auto"/>
        <w:ind w:right="360"/>
        <w:jc w:val="both"/>
      </w:pPr>
    </w:p>
    <w:p>
      <w:pPr>
        <w:spacing w:line="276" w:lineRule="auto"/>
        <w:ind w:right="360"/>
        <w:jc w:val="both"/>
        <w:rPr>
          <w:i/>
          <w:color w:val="FF0000"/>
        </w:rPr>
      </w:pPr>
      <w:r>
        <w:rPr>
          <w:i/>
        </w:rPr>
        <w:t>Table 24.2. Special Trust Fund CY 2018-2022</w:t>
      </w:r>
    </w:p>
    <w:tbl>
      <w:tblPr>
        <w:tblStyle w:val="TableGrid37"/>
        <w:tblW w:w="5225" w:type="pct"/>
        <w:jc w:val="center"/>
        <w:tblLayout w:type="fixed"/>
        <w:tblCellMar>
          <w:left w:w="72" w:type="dxa"/>
          <w:right w:w="72" w:type="dxa"/>
        </w:tblCellMar>
        <w:tblLook w:val="04A0" w:firstRow="1" w:lastRow="0" w:firstColumn="1" w:lastColumn="0" w:noHBand="0" w:noVBand="1"/>
      </w:tblPr>
      <w:tblGrid>
        <w:gridCol w:w="1671"/>
        <w:gridCol w:w="1559"/>
        <w:gridCol w:w="1557"/>
        <w:gridCol w:w="1465"/>
        <w:gridCol w:w="1480"/>
        <w:gridCol w:w="1447"/>
      </w:tblGrid>
      <w:tr>
        <w:trPr>
          <w:tblHeader/>
          <w:jc w:val="center"/>
        </w:trPr>
        <w:tc>
          <w:tcPr>
            <w:tcW w:w="910" w:type="pct"/>
            <w:vAlign w:val="center"/>
          </w:tcPr>
          <w:p>
            <w:pPr>
              <w:spacing w:line="276" w:lineRule="auto"/>
              <w:jc w:val="center"/>
              <w:rPr>
                <w:b/>
                <w:sz w:val="22"/>
                <w:szCs w:val="22"/>
              </w:rPr>
            </w:pPr>
            <w:r>
              <w:rPr>
                <w:b/>
                <w:sz w:val="22"/>
                <w:szCs w:val="22"/>
              </w:rPr>
              <w:t>Particulars/</w:t>
            </w:r>
          </w:p>
          <w:p>
            <w:pPr>
              <w:spacing w:line="276" w:lineRule="auto"/>
              <w:jc w:val="center"/>
              <w:rPr>
                <w:b/>
                <w:sz w:val="22"/>
                <w:szCs w:val="22"/>
              </w:rPr>
            </w:pPr>
            <w:r>
              <w:rPr>
                <w:b/>
                <w:sz w:val="22"/>
                <w:szCs w:val="22"/>
              </w:rPr>
              <w:t>Year</w:t>
            </w:r>
          </w:p>
        </w:tc>
        <w:tc>
          <w:tcPr>
            <w:tcW w:w="849" w:type="pct"/>
            <w:vAlign w:val="center"/>
          </w:tcPr>
          <w:p>
            <w:pPr>
              <w:spacing w:line="276" w:lineRule="auto"/>
              <w:jc w:val="center"/>
              <w:rPr>
                <w:b/>
                <w:sz w:val="22"/>
                <w:szCs w:val="22"/>
              </w:rPr>
            </w:pPr>
            <w:r>
              <w:rPr>
                <w:b/>
                <w:sz w:val="22"/>
                <w:szCs w:val="22"/>
              </w:rPr>
              <w:t>Amount Transferred to STF</w:t>
            </w:r>
          </w:p>
        </w:tc>
        <w:tc>
          <w:tcPr>
            <w:tcW w:w="848" w:type="pct"/>
            <w:vAlign w:val="center"/>
          </w:tcPr>
          <w:p>
            <w:pPr>
              <w:spacing w:line="276" w:lineRule="auto"/>
              <w:jc w:val="center"/>
              <w:rPr>
                <w:b/>
                <w:sz w:val="22"/>
                <w:szCs w:val="22"/>
              </w:rPr>
            </w:pPr>
            <w:r>
              <w:rPr>
                <w:b/>
                <w:sz w:val="22"/>
                <w:szCs w:val="22"/>
              </w:rPr>
              <w:t>Amount Programmed</w:t>
            </w:r>
          </w:p>
          <w:p>
            <w:pPr>
              <w:spacing w:line="276" w:lineRule="auto"/>
              <w:jc w:val="center"/>
              <w:rPr>
                <w:sz w:val="22"/>
                <w:szCs w:val="22"/>
              </w:rPr>
            </w:pPr>
            <w:r>
              <w:rPr>
                <w:sz w:val="22"/>
                <w:szCs w:val="22"/>
              </w:rPr>
              <w:t>(includes re-appropriation from STF of various years)</w:t>
            </w:r>
          </w:p>
        </w:tc>
        <w:tc>
          <w:tcPr>
            <w:tcW w:w="798" w:type="pct"/>
            <w:vAlign w:val="center"/>
          </w:tcPr>
          <w:p>
            <w:pPr>
              <w:spacing w:line="276" w:lineRule="auto"/>
              <w:jc w:val="center"/>
              <w:rPr>
                <w:b/>
                <w:sz w:val="22"/>
                <w:szCs w:val="22"/>
              </w:rPr>
            </w:pPr>
            <w:r>
              <w:rPr>
                <w:b/>
                <w:sz w:val="22"/>
                <w:szCs w:val="22"/>
              </w:rPr>
              <w:t>Utilization</w:t>
            </w:r>
          </w:p>
          <w:p>
            <w:pPr>
              <w:spacing w:line="276" w:lineRule="auto"/>
              <w:jc w:val="center"/>
              <w:rPr>
                <w:sz w:val="22"/>
                <w:szCs w:val="22"/>
              </w:rPr>
            </w:pPr>
            <w:r>
              <w:rPr>
                <w:sz w:val="22"/>
                <w:szCs w:val="22"/>
              </w:rPr>
              <w:t>(Previous &amp; Current Year)</w:t>
            </w:r>
          </w:p>
        </w:tc>
        <w:tc>
          <w:tcPr>
            <w:tcW w:w="806" w:type="pct"/>
            <w:vAlign w:val="center"/>
          </w:tcPr>
          <w:p>
            <w:pPr>
              <w:spacing w:line="276" w:lineRule="auto"/>
              <w:jc w:val="center"/>
              <w:rPr>
                <w:b/>
                <w:sz w:val="22"/>
                <w:szCs w:val="22"/>
              </w:rPr>
            </w:pPr>
            <w:r>
              <w:rPr>
                <w:b/>
                <w:sz w:val="22"/>
                <w:szCs w:val="22"/>
              </w:rPr>
              <w:t>Declared as Savings &amp; Re-appropriated/ Reverted in STF</w:t>
            </w:r>
          </w:p>
        </w:tc>
        <w:tc>
          <w:tcPr>
            <w:tcW w:w="788" w:type="pct"/>
            <w:vAlign w:val="center"/>
          </w:tcPr>
          <w:p>
            <w:pPr>
              <w:spacing w:line="276" w:lineRule="auto"/>
              <w:jc w:val="center"/>
              <w:rPr>
                <w:b/>
                <w:sz w:val="22"/>
                <w:szCs w:val="22"/>
              </w:rPr>
            </w:pPr>
            <w:r>
              <w:rPr>
                <w:b/>
                <w:sz w:val="22"/>
                <w:szCs w:val="22"/>
              </w:rPr>
              <w:t>Unutilized Balance as of</w:t>
            </w:r>
          </w:p>
          <w:p>
            <w:pPr>
              <w:spacing w:line="276" w:lineRule="auto"/>
              <w:jc w:val="center"/>
              <w:rPr>
                <w:b/>
                <w:sz w:val="22"/>
                <w:szCs w:val="22"/>
              </w:rPr>
            </w:pPr>
            <w:r>
              <w:rPr>
                <w:b/>
                <w:sz w:val="22"/>
                <w:szCs w:val="22"/>
              </w:rPr>
              <w:t>12/31/2022</w:t>
            </w:r>
          </w:p>
        </w:tc>
      </w:tr>
      <w:tr>
        <w:trPr>
          <w:jc w:val="center"/>
        </w:trPr>
        <w:tc>
          <w:tcPr>
            <w:tcW w:w="910" w:type="pct"/>
          </w:tcPr>
          <w:p>
            <w:pPr>
              <w:spacing w:line="276" w:lineRule="auto"/>
              <w:rPr>
                <w:sz w:val="22"/>
                <w:szCs w:val="22"/>
              </w:rPr>
            </w:pPr>
            <w:r>
              <w:rPr>
                <w:sz w:val="22"/>
                <w:szCs w:val="22"/>
              </w:rPr>
              <w:t xml:space="preserve">STF 2022 </w:t>
            </w:r>
          </w:p>
          <w:p>
            <w:pPr>
              <w:spacing w:line="276" w:lineRule="auto"/>
              <w:rPr>
                <w:sz w:val="22"/>
                <w:szCs w:val="22"/>
              </w:rPr>
            </w:pPr>
            <w:r>
              <w:rPr>
                <w:sz w:val="22"/>
                <w:szCs w:val="22"/>
              </w:rPr>
              <w:t>(Calamity Fund 2021)</w:t>
            </w:r>
          </w:p>
        </w:tc>
        <w:tc>
          <w:tcPr>
            <w:tcW w:w="849" w:type="pct"/>
          </w:tcPr>
          <w:p>
            <w:pPr>
              <w:spacing w:line="276" w:lineRule="auto"/>
              <w:jc w:val="right"/>
              <w:rPr>
                <w:sz w:val="22"/>
                <w:szCs w:val="22"/>
              </w:rPr>
            </w:pPr>
            <w:r>
              <w:rPr>
                <w:sz w:val="22"/>
                <w:szCs w:val="22"/>
              </w:rPr>
              <w:t>35,206,494.46</w:t>
            </w:r>
          </w:p>
        </w:tc>
        <w:tc>
          <w:tcPr>
            <w:tcW w:w="848" w:type="pct"/>
          </w:tcPr>
          <w:p>
            <w:pPr>
              <w:spacing w:line="276" w:lineRule="auto"/>
              <w:jc w:val="right"/>
              <w:rPr>
                <w:sz w:val="22"/>
                <w:szCs w:val="22"/>
              </w:rPr>
            </w:pPr>
            <w:r>
              <w:rPr>
                <w:sz w:val="22"/>
                <w:szCs w:val="22"/>
              </w:rPr>
              <w:t>23,057,299.95</w:t>
            </w:r>
          </w:p>
        </w:tc>
        <w:tc>
          <w:tcPr>
            <w:tcW w:w="798" w:type="pct"/>
          </w:tcPr>
          <w:p>
            <w:pPr>
              <w:spacing w:line="276" w:lineRule="auto"/>
              <w:jc w:val="right"/>
              <w:rPr>
                <w:sz w:val="22"/>
                <w:szCs w:val="22"/>
              </w:rPr>
            </w:pPr>
            <w:r>
              <w:rPr>
                <w:sz w:val="22"/>
                <w:szCs w:val="22"/>
              </w:rPr>
              <w:t>2,199,126.80</w:t>
            </w:r>
          </w:p>
        </w:tc>
        <w:tc>
          <w:tcPr>
            <w:tcW w:w="806" w:type="pct"/>
          </w:tcPr>
          <w:p>
            <w:pPr>
              <w:spacing w:line="276" w:lineRule="auto"/>
              <w:jc w:val="right"/>
              <w:rPr>
                <w:sz w:val="22"/>
                <w:szCs w:val="22"/>
              </w:rPr>
            </w:pPr>
            <w:r>
              <w:rPr>
                <w:sz w:val="22"/>
                <w:szCs w:val="22"/>
              </w:rPr>
              <w:t>0.00</w:t>
            </w:r>
          </w:p>
        </w:tc>
        <w:tc>
          <w:tcPr>
            <w:tcW w:w="788" w:type="pct"/>
          </w:tcPr>
          <w:p>
            <w:pPr>
              <w:spacing w:line="276" w:lineRule="auto"/>
              <w:jc w:val="right"/>
              <w:rPr>
                <w:sz w:val="22"/>
                <w:szCs w:val="22"/>
              </w:rPr>
            </w:pPr>
            <w:r>
              <w:rPr>
                <w:sz w:val="22"/>
                <w:szCs w:val="22"/>
              </w:rPr>
              <w:t>20,858,173.15</w:t>
            </w:r>
          </w:p>
        </w:tc>
      </w:tr>
      <w:tr>
        <w:trPr>
          <w:jc w:val="center"/>
        </w:trPr>
        <w:tc>
          <w:tcPr>
            <w:tcW w:w="910" w:type="pct"/>
          </w:tcPr>
          <w:p>
            <w:pPr>
              <w:spacing w:line="276" w:lineRule="auto"/>
              <w:rPr>
                <w:sz w:val="22"/>
                <w:szCs w:val="22"/>
              </w:rPr>
            </w:pPr>
            <w:r>
              <w:rPr>
                <w:sz w:val="22"/>
                <w:szCs w:val="22"/>
              </w:rPr>
              <w:t xml:space="preserve">STF 2021 </w:t>
            </w:r>
          </w:p>
          <w:p>
            <w:pPr>
              <w:spacing w:line="276" w:lineRule="auto"/>
              <w:rPr>
                <w:sz w:val="22"/>
                <w:szCs w:val="22"/>
              </w:rPr>
            </w:pPr>
            <w:r>
              <w:rPr>
                <w:sz w:val="22"/>
                <w:szCs w:val="22"/>
              </w:rPr>
              <w:t>(Calamity Fund 2020)</w:t>
            </w:r>
          </w:p>
        </w:tc>
        <w:tc>
          <w:tcPr>
            <w:tcW w:w="849" w:type="pct"/>
          </w:tcPr>
          <w:p>
            <w:pPr>
              <w:spacing w:line="276" w:lineRule="auto"/>
              <w:jc w:val="right"/>
              <w:rPr>
                <w:sz w:val="22"/>
                <w:szCs w:val="22"/>
              </w:rPr>
            </w:pPr>
            <w:r>
              <w:rPr>
                <w:sz w:val="22"/>
                <w:szCs w:val="22"/>
              </w:rPr>
              <w:t>16,436,582.71</w:t>
            </w:r>
          </w:p>
        </w:tc>
        <w:tc>
          <w:tcPr>
            <w:tcW w:w="848" w:type="pct"/>
          </w:tcPr>
          <w:p>
            <w:pPr>
              <w:spacing w:line="276" w:lineRule="auto"/>
              <w:jc w:val="right"/>
              <w:rPr>
                <w:sz w:val="22"/>
                <w:szCs w:val="22"/>
              </w:rPr>
            </w:pPr>
            <w:r>
              <w:rPr>
                <w:sz w:val="22"/>
                <w:szCs w:val="22"/>
              </w:rPr>
              <w:t>15,943,316.63</w:t>
            </w:r>
          </w:p>
        </w:tc>
        <w:tc>
          <w:tcPr>
            <w:tcW w:w="798" w:type="pct"/>
          </w:tcPr>
          <w:p>
            <w:pPr>
              <w:spacing w:line="276" w:lineRule="auto"/>
              <w:jc w:val="right"/>
              <w:rPr>
                <w:sz w:val="22"/>
                <w:szCs w:val="22"/>
              </w:rPr>
            </w:pPr>
            <w:r>
              <w:rPr>
                <w:sz w:val="22"/>
                <w:szCs w:val="22"/>
              </w:rPr>
              <w:t>11,047,064.60</w:t>
            </w:r>
          </w:p>
        </w:tc>
        <w:tc>
          <w:tcPr>
            <w:tcW w:w="806" w:type="pct"/>
          </w:tcPr>
          <w:p>
            <w:pPr>
              <w:spacing w:line="276" w:lineRule="auto"/>
              <w:jc w:val="right"/>
              <w:rPr>
                <w:sz w:val="22"/>
                <w:szCs w:val="22"/>
              </w:rPr>
            </w:pPr>
            <w:r>
              <w:rPr>
                <w:sz w:val="22"/>
                <w:szCs w:val="22"/>
              </w:rPr>
              <w:t>0.00</w:t>
            </w:r>
          </w:p>
        </w:tc>
        <w:tc>
          <w:tcPr>
            <w:tcW w:w="788" w:type="pct"/>
          </w:tcPr>
          <w:p>
            <w:pPr>
              <w:spacing w:line="276" w:lineRule="auto"/>
              <w:jc w:val="right"/>
              <w:rPr>
                <w:sz w:val="22"/>
                <w:szCs w:val="22"/>
              </w:rPr>
            </w:pPr>
            <w:r>
              <w:rPr>
                <w:sz w:val="22"/>
                <w:szCs w:val="22"/>
              </w:rPr>
              <w:t>4,896,252.03</w:t>
            </w:r>
          </w:p>
        </w:tc>
      </w:tr>
      <w:tr>
        <w:trPr>
          <w:jc w:val="center"/>
        </w:trPr>
        <w:tc>
          <w:tcPr>
            <w:tcW w:w="910" w:type="pct"/>
          </w:tcPr>
          <w:p>
            <w:pPr>
              <w:spacing w:line="276" w:lineRule="auto"/>
              <w:rPr>
                <w:sz w:val="22"/>
                <w:szCs w:val="22"/>
              </w:rPr>
            </w:pPr>
            <w:r>
              <w:rPr>
                <w:sz w:val="22"/>
                <w:szCs w:val="22"/>
              </w:rPr>
              <w:t xml:space="preserve">STF 2020 </w:t>
            </w:r>
          </w:p>
          <w:p>
            <w:pPr>
              <w:spacing w:line="276" w:lineRule="auto"/>
              <w:rPr>
                <w:sz w:val="22"/>
                <w:szCs w:val="22"/>
              </w:rPr>
            </w:pPr>
            <w:r>
              <w:rPr>
                <w:sz w:val="22"/>
                <w:szCs w:val="22"/>
              </w:rPr>
              <w:t>(Calamity Fund 2019)</w:t>
            </w:r>
          </w:p>
        </w:tc>
        <w:tc>
          <w:tcPr>
            <w:tcW w:w="849" w:type="pct"/>
          </w:tcPr>
          <w:p>
            <w:pPr>
              <w:spacing w:line="276" w:lineRule="auto"/>
              <w:jc w:val="right"/>
              <w:rPr>
                <w:sz w:val="22"/>
                <w:szCs w:val="22"/>
              </w:rPr>
            </w:pPr>
            <w:r>
              <w:rPr>
                <w:sz w:val="22"/>
                <w:szCs w:val="22"/>
              </w:rPr>
              <w:t>30,278,554.73</w:t>
            </w:r>
          </w:p>
        </w:tc>
        <w:tc>
          <w:tcPr>
            <w:tcW w:w="848" w:type="pct"/>
          </w:tcPr>
          <w:p>
            <w:pPr>
              <w:spacing w:line="276" w:lineRule="auto"/>
              <w:jc w:val="right"/>
              <w:rPr>
                <w:sz w:val="22"/>
                <w:szCs w:val="22"/>
              </w:rPr>
            </w:pPr>
            <w:r>
              <w:rPr>
                <w:sz w:val="22"/>
                <w:szCs w:val="22"/>
              </w:rPr>
              <w:t>36,956,174.11</w:t>
            </w:r>
          </w:p>
        </w:tc>
        <w:tc>
          <w:tcPr>
            <w:tcW w:w="798" w:type="pct"/>
          </w:tcPr>
          <w:p>
            <w:pPr>
              <w:spacing w:line="276" w:lineRule="auto"/>
              <w:jc w:val="right"/>
              <w:rPr>
                <w:sz w:val="22"/>
                <w:szCs w:val="22"/>
              </w:rPr>
            </w:pPr>
            <w:r>
              <w:rPr>
                <w:sz w:val="22"/>
                <w:szCs w:val="22"/>
              </w:rPr>
              <w:t>30,676,162.14</w:t>
            </w:r>
          </w:p>
        </w:tc>
        <w:tc>
          <w:tcPr>
            <w:tcW w:w="806" w:type="pct"/>
          </w:tcPr>
          <w:p>
            <w:pPr>
              <w:spacing w:line="276" w:lineRule="auto"/>
              <w:jc w:val="right"/>
              <w:rPr>
                <w:sz w:val="22"/>
                <w:szCs w:val="22"/>
              </w:rPr>
            </w:pPr>
            <w:r>
              <w:rPr>
                <w:sz w:val="22"/>
                <w:szCs w:val="22"/>
              </w:rPr>
              <w:t>5,780,775.65</w:t>
            </w:r>
          </w:p>
        </w:tc>
        <w:tc>
          <w:tcPr>
            <w:tcW w:w="788" w:type="pct"/>
          </w:tcPr>
          <w:p>
            <w:pPr>
              <w:spacing w:line="276" w:lineRule="auto"/>
              <w:jc w:val="right"/>
              <w:rPr>
                <w:sz w:val="22"/>
                <w:szCs w:val="22"/>
              </w:rPr>
            </w:pPr>
            <w:r>
              <w:rPr>
                <w:sz w:val="22"/>
                <w:szCs w:val="22"/>
              </w:rPr>
              <w:t>499,236.32</w:t>
            </w:r>
          </w:p>
        </w:tc>
      </w:tr>
      <w:tr>
        <w:trPr>
          <w:jc w:val="center"/>
        </w:trPr>
        <w:tc>
          <w:tcPr>
            <w:tcW w:w="910" w:type="pct"/>
          </w:tcPr>
          <w:p>
            <w:pPr>
              <w:spacing w:line="276" w:lineRule="auto"/>
              <w:rPr>
                <w:sz w:val="22"/>
                <w:szCs w:val="22"/>
              </w:rPr>
            </w:pPr>
            <w:r>
              <w:rPr>
                <w:sz w:val="22"/>
                <w:szCs w:val="22"/>
              </w:rPr>
              <w:lastRenderedPageBreak/>
              <w:t>STF 2019</w:t>
            </w:r>
          </w:p>
          <w:p>
            <w:pPr>
              <w:spacing w:line="276" w:lineRule="auto"/>
              <w:rPr>
                <w:sz w:val="22"/>
                <w:szCs w:val="22"/>
              </w:rPr>
            </w:pPr>
            <w:r>
              <w:rPr>
                <w:sz w:val="22"/>
                <w:szCs w:val="22"/>
              </w:rPr>
              <w:t>(Calamity Fund 2018)</w:t>
            </w:r>
          </w:p>
        </w:tc>
        <w:tc>
          <w:tcPr>
            <w:tcW w:w="849" w:type="pct"/>
          </w:tcPr>
          <w:p>
            <w:pPr>
              <w:spacing w:line="276" w:lineRule="auto"/>
              <w:jc w:val="right"/>
              <w:rPr>
                <w:sz w:val="22"/>
                <w:szCs w:val="22"/>
              </w:rPr>
            </w:pPr>
            <w:r>
              <w:rPr>
                <w:sz w:val="22"/>
                <w:szCs w:val="22"/>
              </w:rPr>
              <w:t>26,688,099.40</w:t>
            </w:r>
          </w:p>
        </w:tc>
        <w:tc>
          <w:tcPr>
            <w:tcW w:w="848" w:type="pct"/>
          </w:tcPr>
          <w:p>
            <w:pPr>
              <w:spacing w:line="276" w:lineRule="auto"/>
              <w:jc w:val="right"/>
              <w:rPr>
                <w:sz w:val="22"/>
                <w:szCs w:val="22"/>
              </w:rPr>
            </w:pPr>
            <w:r>
              <w:rPr>
                <w:sz w:val="22"/>
                <w:szCs w:val="22"/>
              </w:rPr>
              <w:t>29,651,416.62</w:t>
            </w:r>
          </w:p>
        </w:tc>
        <w:tc>
          <w:tcPr>
            <w:tcW w:w="798" w:type="pct"/>
          </w:tcPr>
          <w:p>
            <w:pPr>
              <w:spacing w:line="276" w:lineRule="auto"/>
              <w:jc w:val="right"/>
              <w:rPr>
                <w:sz w:val="22"/>
                <w:szCs w:val="22"/>
              </w:rPr>
            </w:pPr>
            <w:r>
              <w:rPr>
                <w:sz w:val="22"/>
                <w:szCs w:val="22"/>
              </w:rPr>
              <w:t>25,384,817.91</w:t>
            </w:r>
          </w:p>
        </w:tc>
        <w:tc>
          <w:tcPr>
            <w:tcW w:w="806" w:type="pct"/>
          </w:tcPr>
          <w:p>
            <w:pPr>
              <w:spacing w:line="276" w:lineRule="auto"/>
              <w:jc w:val="right"/>
              <w:rPr>
                <w:sz w:val="22"/>
                <w:szCs w:val="22"/>
              </w:rPr>
            </w:pPr>
            <w:r>
              <w:rPr>
                <w:sz w:val="22"/>
                <w:szCs w:val="22"/>
              </w:rPr>
              <w:t>2,215,878.22</w:t>
            </w:r>
          </w:p>
        </w:tc>
        <w:tc>
          <w:tcPr>
            <w:tcW w:w="788" w:type="pct"/>
          </w:tcPr>
          <w:p>
            <w:pPr>
              <w:spacing w:line="276" w:lineRule="auto"/>
              <w:jc w:val="right"/>
              <w:rPr>
                <w:sz w:val="22"/>
                <w:szCs w:val="22"/>
              </w:rPr>
            </w:pPr>
            <w:r>
              <w:rPr>
                <w:sz w:val="22"/>
                <w:szCs w:val="22"/>
              </w:rPr>
              <w:t>2,050,720.49</w:t>
            </w:r>
          </w:p>
        </w:tc>
      </w:tr>
      <w:tr>
        <w:trPr>
          <w:jc w:val="center"/>
        </w:trPr>
        <w:tc>
          <w:tcPr>
            <w:tcW w:w="910" w:type="pct"/>
          </w:tcPr>
          <w:p>
            <w:pPr>
              <w:spacing w:line="276" w:lineRule="auto"/>
              <w:rPr>
                <w:sz w:val="22"/>
                <w:szCs w:val="22"/>
              </w:rPr>
            </w:pPr>
            <w:r>
              <w:rPr>
                <w:sz w:val="22"/>
                <w:szCs w:val="22"/>
              </w:rPr>
              <w:t>STF 2018</w:t>
            </w:r>
          </w:p>
          <w:p>
            <w:pPr>
              <w:spacing w:line="276" w:lineRule="auto"/>
              <w:rPr>
                <w:sz w:val="22"/>
                <w:szCs w:val="22"/>
              </w:rPr>
            </w:pPr>
            <w:r>
              <w:rPr>
                <w:sz w:val="22"/>
                <w:szCs w:val="22"/>
              </w:rPr>
              <w:t>(Calamity Fund 2017)</w:t>
            </w:r>
          </w:p>
        </w:tc>
        <w:tc>
          <w:tcPr>
            <w:tcW w:w="849" w:type="pct"/>
          </w:tcPr>
          <w:p>
            <w:pPr>
              <w:spacing w:line="276" w:lineRule="auto"/>
              <w:jc w:val="right"/>
              <w:rPr>
                <w:sz w:val="22"/>
                <w:szCs w:val="22"/>
              </w:rPr>
            </w:pPr>
            <w:r>
              <w:rPr>
                <w:sz w:val="22"/>
                <w:szCs w:val="22"/>
              </w:rPr>
              <w:t>12,970,771.65</w:t>
            </w:r>
          </w:p>
        </w:tc>
        <w:tc>
          <w:tcPr>
            <w:tcW w:w="848" w:type="pct"/>
          </w:tcPr>
          <w:p>
            <w:pPr>
              <w:spacing w:line="276" w:lineRule="auto"/>
              <w:jc w:val="right"/>
              <w:rPr>
                <w:sz w:val="22"/>
                <w:szCs w:val="22"/>
              </w:rPr>
            </w:pPr>
            <w:r>
              <w:rPr>
                <w:sz w:val="22"/>
                <w:szCs w:val="22"/>
              </w:rPr>
              <w:t>12,006,918.00</w:t>
            </w:r>
          </w:p>
        </w:tc>
        <w:tc>
          <w:tcPr>
            <w:tcW w:w="798" w:type="pct"/>
          </w:tcPr>
          <w:p>
            <w:pPr>
              <w:spacing w:line="276" w:lineRule="auto"/>
              <w:jc w:val="right"/>
              <w:rPr>
                <w:sz w:val="22"/>
                <w:szCs w:val="22"/>
              </w:rPr>
            </w:pPr>
            <w:r>
              <w:rPr>
                <w:sz w:val="22"/>
                <w:szCs w:val="22"/>
              </w:rPr>
              <w:t>9,850,500.00</w:t>
            </w:r>
          </w:p>
        </w:tc>
        <w:tc>
          <w:tcPr>
            <w:tcW w:w="806" w:type="pct"/>
          </w:tcPr>
          <w:p>
            <w:pPr>
              <w:spacing w:line="276" w:lineRule="auto"/>
              <w:jc w:val="right"/>
              <w:rPr>
                <w:sz w:val="22"/>
                <w:szCs w:val="22"/>
              </w:rPr>
            </w:pPr>
            <w:r>
              <w:rPr>
                <w:sz w:val="22"/>
                <w:szCs w:val="22"/>
              </w:rPr>
              <w:t>2,156,418.00</w:t>
            </w:r>
          </w:p>
        </w:tc>
        <w:tc>
          <w:tcPr>
            <w:tcW w:w="788" w:type="pct"/>
          </w:tcPr>
          <w:p>
            <w:pPr>
              <w:spacing w:line="276" w:lineRule="auto"/>
              <w:jc w:val="right"/>
              <w:rPr>
                <w:sz w:val="22"/>
                <w:szCs w:val="22"/>
              </w:rPr>
            </w:pPr>
            <w:r>
              <w:rPr>
                <w:sz w:val="22"/>
                <w:szCs w:val="22"/>
              </w:rPr>
              <w:t>0.00</w:t>
            </w:r>
          </w:p>
        </w:tc>
      </w:tr>
      <w:tr>
        <w:trPr>
          <w:jc w:val="center"/>
        </w:trPr>
        <w:tc>
          <w:tcPr>
            <w:tcW w:w="910" w:type="pct"/>
          </w:tcPr>
          <w:p>
            <w:pPr>
              <w:spacing w:line="276" w:lineRule="auto"/>
              <w:jc w:val="both"/>
              <w:rPr>
                <w:b/>
                <w:sz w:val="22"/>
                <w:szCs w:val="22"/>
              </w:rPr>
            </w:pPr>
            <w:r>
              <w:rPr>
                <w:b/>
                <w:sz w:val="22"/>
                <w:szCs w:val="22"/>
              </w:rPr>
              <w:t>Total</w:t>
            </w:r>
          </w:p>
        </w:tc>
        <w:tc>
          <w:tcPr>
            <w:tcW w:w="849" w:type="pct"/>
          </w:tcPr>
          <w:p>
            <w:pPr>
              <w:spacing w:line="276" w:lineRule="auto"/>
              <w:jc w:val="right"/>
              <w:rPr>
                <w:b/>
                <w:sz w:val="22"/>
                <w:szCs w:val="22"/>
              </w:rPr>
            </w:pPr>
            <w:r>
              <w:rPr>
                <w:b/>
                <w:sz w:val="22"/>
                <w:szCs w:val="22"/>
              </w:rPr>
              <w:t>121,580,502.95</w:t>
            </w:r>
          </w:p>
        </w:tc>
        <w:tc>
          <w:tcPr>
            <w:tcW w:w="848" w:type="pct"/>
          </w:tcPr>
          <w:p>
            <w:pPr>
              <w:spacing w:line="276" w:lineRule="auto"/>
              <w:jc w:val="right"/>
              <w:rPr>
                <w:b/>
                <w:sz w:val="22"/>
                <w:szCs w:val="22"/>
              </w:rPr>
            </w:pPr>
            <w:r>
              <w:rPr>
                <w:b/>
                <w:sz w:val="22"/>
                <w:szCs w:val="22"/>
              </w:rPr>
              <w:t>117,615,125.31</w:t>
            </w:r>
          </w:p>
        </w:tc>
        <w:tc>
          <w:tcPr>
            <w:tcW w:w="798" w:type="pct"/>
          </w:tcPr>
          <w:p>
            <w:pPr>
              <w:spacing w:line="276" w:lineRule="auto"/>
              <w:jc w:val="right"/>
              <w:rPr>
                <w:b/>
                <w:sz w:val="22"/>
                <w:szCs w:val="22"/>
              </w:rPr>
            </w:pPr>
            <w:r>
              <w:rPr>
                <w:b/>
                <w:sz w:val="22"/>
                <w:szCs w:val="22"/>
              </w:rPr>
              <w:t>79,157,671.45</w:t>
            </w:r>
          </w:p>
        </w:tc>
        <w:tc>
          <w:tcPr>
            <w:tcW w:w="806" w:type="pct"/>
          </w:tcPr>
          <w:p>
            <w:pPr>
              <w:spacing w:line="276" w:lineRule="auto"/>
              <w:jc w:val="right"/>
              <w:rPr>
                <w:b/>
                <w:sz w:val="22"/>
                <w:szCs w:val="22"/>
              </w:rPr>
            </w:pPr>
            <w:r>
              <w:rPr>
                <w:b/>
                <w:sz w:val="22"/>
                <w:szCs w:val="22"/>
              </w:rPr>
              <w:t>10,153,071.87</w:t>
            </w:r>
          </w:p>
        </w:tc>
        <w:tc>
          <w:tcPr>
            <w:tcW w:w="788" w:type="pct"/>
          </w:tcPr>
          <w:p>
            <w:pPr>
              <w:spacing w:line="276" w:lineRule="auto"/>
              <w:jc w:val="right"/>
              <w:rPr>
                <w:b/>
                <w:sz w:val="22"/>
                <w:szCs w:val="22"/>
              </w:rPr>
            </w:pPr>
            <w:r>
              <w:rPr>
                <w:b/>
                <w:sz w:val="22"/>
                <w:szCs w:val="22"/>
              </w:rPr>
              <w:t>28,304,381.99</w:t>
            </w:r>
          </w:p>
        </w:tc>
      </w:tr>
    </w:tbl>
    <w:p>
      <w:pPr>
        <w:spacing w:line="276" w:lineRule="auto"/>
        <w:ind w:firstLine="720"/>
        <w:jc w:val="both"/>
      </w:pPr>
    </w:p>
    <w:p>
      <w:pPr>
        <w:spacing w:line="276" w:lineRule="auto"/>
        <w:jc w:val="both"/>
      </w:pPr>
      <w:r>
        <w:t xml:space="preserve">It was observed that P36,839,772.55 and P 7,386,218.78 or 68.68% and 43.78% of the current and continuing appropriations under the LDRRM Fund, respectively, was not utilized during the year. Furthermore, P28,304,381.99 of the appropriations under the Special Trust Fund remained unutilized as at December 31, 2022. Details are presented in </w:t>
      </w:r>
      <w:r>
        <w:rPr>
          <w:i/>
        </w:rPr>
        <w:t>Annex T</w:t>
      </w:r>
      <w:r>
        <w:t>, meanwhile, a summary of the data is shown below:</w:t>
      </w:r>
    </w:p>
    <w:p>
      <w:pPr>
        <w:spacing w:line="276" w:lineRule="auto"/>
        <w:ind w:right="360"/>
        <w:jc w:val="both"/>
      </w:pPr>
    </w:p>
    <w:p>
      <w:pPr>
        <w:spacing w:line="276" w:lineRule="auto"/>
        <w:ind w:right="360"/>
        <w:jc w:val="both"/>
        <w:rPr>
          <w:i/>
        </w:rPr>
      </w:pPr>
      <w:r>
        <w:rPr>
          <w:i/>
        </w:rPr>
        <w:t>Table 24.3. Percentage of Utilization-LDRRMF</w:t>
      </w:r>
    </w:p>
    <w:tbl>
      <w:tblPr>
        <w:tblStyle w:val="TableGrid37"/>
        <w:tblW w:w="0" w:type="auto"/>
        <w:jc w:val="center"/>
        <w:tblCellMar>
          <w:left w:w="72" w:type="dxa"/>
          <w:right w:w="72" w:type="dxa"/>
        </w:tblCellMar>
        <w:tblLook w:val="04A0" w:firstRow="1" w:lastRow="0" w:firstColumn="1" w:lastColumn="0" w:noHBand="0" w:noVBand="1"/>
      </w:tblPr>
      <w:tblGrid>
        <w:gridCol w:w="2293"/>
        <w:gridCol w:w="658"/>
        <w:gridCol w:w="1519"/>
        <w:gridCol w:w="658"/>
        <w:gridCol w:w="1519"/>
        <w:gridCol w:w="658"/>
        <w:gridCol w:w="1479"/>
      </w:tblGrid>
      <w:tr>
        <w:trPr>
          <w:jc w:val="center"/>
        </w:trPr>
        <w:tc>
          <w:tcPr>
            <w:tcW w:w="0" w:type="auto"/>
            <w:vMerge w:val="restart"/>
            <w:vAlign w:val="center"/>
          </w:tcPr>
          <w:p>
            <w:pPr>
              <w:spacing w:line="276" w:lineRule="auto"/>
              <w:jc w:val="center"/>
              <w:rPr>
                <w:b/>
                <w:sz w:val="22"/>
                <w:szCs w:val="22"/>
              </w:rPr>
            </w:pPr>
            <w:r>
              <w:rPr>
                <w:b/>
                <w:sz w:val="22"/>
                <w:szCs w:val="22"/>
              </w:rPr>
              <w:t>Particulars</w:t>
            </w:r>
          </w:p>
        </w:tc>
        <w:tc>
          <w:tcPr>
            <w:tcW w:w="2177" w:type="dxa"/>
            <w:gridSpan w:val="2"/>
          </w:tcPr>
          <w:p>
            <w:pPr>
              <w:spacing w:line="276" w:lineRule="auto"/>
              <w:jc w:val="center"/>
              <w:rPr>
                <w:b/>
                <w:sz w:val="22"/>
                <w:szCs w:val="22"/>
              </w:rPr>
            </w:pPr>
            <w:r>
              <w:rPr>
                <w:b/>
                <w:sz w:val="22"/>
                <w:szCs w:val="22"/>
              </w:rPr>
              <w:t>Appropriation</w:t>
            </w:r>
          </w:p>
        </w:tc>
        <w:tc>
          <w:tcPr>
            <w:tcW w:w="2177" w:type="dxa"/>
            <w:gridSpan w:val="2"/>
          </w:tcPr>
          <w:p>
            <w:pPr>
              <w:spacing w:line="276" w:lineRule="auto"/>
              <w:jc w:val="center"/>
              <w:rPr>
                <w:b/>
                <w:sz w:val="22"/>
                <w:szCs w:val="22"/>
              </w:rPr>
            </w:pPr>
            <w:r>
              <w:rPr>
                <w:b/>
                <w:sz w:val="22"/>
                <w:szCs w:val="22"/>
              </w:rPr>
              <w:t>Utilization</w:t>
            </w:r>
          </w:p>
        </w:tc>
        <w:tc>
          <w:tcPr>
            <w:tcW w:w="2137" w:type="dxa"/>
            <w:gridSpan w:val="2"/>
          </w:tcPr>
          <w:p>
            <w:pPr>
              <w:spacing w:line="276" w:lineRule="auto"/>
              <w:jc w:val="center"/>
              <w:rPr>
                <w:b/>
                <w:sz w:val="22"/>
                <w:szCs w:val="22"/>
              </w:rPr>
            </w:pPr>
            <w:r>
              <w:rPr>
                <w:b/>
                <w:sz w:val="22"/>
                <w:szCs w:val="22"/>
              </w:rPr>
              <w:t>Unutilized Balance as of 12/31/2022</w:t>
            </w:r>
          </w:p>
        </w:tc>
      </w:tr>
      <w:tr>
        <w:trPr>
          <w:jc w:val="center"/>
        </w:trPr>
        <w:tc>
          <w:tcPr>
            <w:tcW w:w="0" w:type="auto"/>
            <w:vMerge/>
            <w:vAlign w:val="center"/>
          </w:tcPr>
          <w:p>
            <w:pPr>
              <w:spacing w:line="276" w:lineRule="auto"/>
              <w:jc w:val="center"/>
              <w:rPr>
                <w:b/>
                <w:sz w:val="22"/>
                <w:szCs w:val="22"/>
              </w:rPr>
            </w:pPr>
          </w:p>
        </w:tc>
        <w:tc>
          <w:tcPr>
            <w:tcW w:w="658" w:type="dxa"/>
          </w:tcPr>
          <w:p>
            <w:pPr>
              <w:spacing w:line="276" w:lineRule="auto"/>
              <w:jc w:val="center"/>
              <w:rPr>
                <w:b/>
                <w:sz w:val="22"/>
                <w:szCs w:val="22"/>
              </w:rPr>
            </w:pPr>
            <w:r>
              <w:rPr>
                <w:b/>
                <w:sz w:val="22"/>
                <w:szCs w:val="22"/>
              </w:rPr>
              <w:t>PPAs</w:t>
            </w:r>
          </w:p>
        </w:tc>
        <w:tc>
          <w:tcPr>
            <w:tcW w:w="1519" w:type="dxa"/>
            <w:vAlign w:val="center"/>
          </w:tcPr>
          <w:p>
            <w:pPr>
              <w:spacing w:line="276" w:lineRule="auto"/>
              <w:jc w:val="center"/>
              <w:rPr>
                <w:b/>
                <w:sz w:val="22"/>
                <w:szCs w:val="22"/>
              </w:rPr>
            </w:pPr>
            <w:r>
              <w:rPr>
                <w:b/>
                <w:sz w:val="22"/>
                <w:szCs w:val="22"/>
              </w:rPr>
              <w:t>Amount</w:t>
            </w:r>
          </w:p>
        </w:tc>
        <w:tc>
          <w:tcPr>
            <w:tcW w:w="658" w:type="dxa"/>
          </w:tcPr>
          <w:p>
            <w:pPr>
              <w:spacing w:line="276" w:lineRule="auto"/>
              <w:jc w:val="center"/>
              <w:rPr>
                <w:b/>
                <w:sz w:val="22"/>
                <w:szCs w:val="22"/>
              </w:rPr>
            </w:pPr>
            <w:r>
              <w:rPr>
                <w:b/>
                <w:sz w:val="22"/>
                <w:szCs w:val="22"/>
              </w:rPr>
              <w:t>PPAs</w:t>
            </w:r>
          </w:p>
        </w:tc>
        <w:tc>
          <w:tcPr>
            <w:tcW w:w="1519" w:type="dxa"/>
            <w:vAlign w:val="center"/>
          </w:tcPr>
          <w:p>
            <w:pPr>
              <w:spacing w:line="276" w:lineRule="auto"/>
              <w:jc w:val="center"/>
              <w:rPr>
                <w:b/>
                <w:sz w:val="22"/>
                <w:szCs w:val="22"/>
              </w:rPr>
            </w:pPr>
            <w:r>
              <w:rPr>
                <w:b/>
                <w:sz w:val="22"/>
                <w:szCs w:val="22"/>
              </w:rPr>
              <w:t>Amount</w:t>
            </w:r>
          </w:p>
        </w:tc>
        <w:tc>
          <w:tcPr>
            <w:tcW w:w="658" w:type="dxa"/>
          </w:tcPr>
          <w:p>
            <w:pPr>
              <w:spacing w:line="276" w:lineRule="auto"/>
              <w:jc w:val="center"/>
              <w:rPr>
                <w:b/>
                <w:sz w:val="22"/>
                <w:szCs w:val="22"/>
              </w:rPr>
            </w:pPr>
            <w:r>
              <w:rPr>
                <w:b/>
                <w:sz w:val="22"/>
                <w:szCs w:val="22"/>
              </w:rPr>
              <w:t>PPAs</w:t>
            </w:r>
          </w:p>
        </w:tc>
        <w:tc>
          <w:tcPr>
            <w:tcW w:w="1479" w:type="dxa"/>
            <w:vAlign w:val="center"/>
          </w:tcPr>
          <w:p>
            <w:pPr>
              <w:spacing w:line="276" w:lineRule="auto"/>
              <w:jc w:val="center"/>
              <w:rPr>
                <w:b/>
                <w:sz w:val="22"/>
                <w:szCs w:val="22"/>
              </w:rPr>
            </w:pPr>
            <w:r>
              <w:rPr>
                <w:b/>
                <w:sz w:val="22"/>
                <w:szCs w:val="22"/>
              </w:rPr>
              <w:t>Amount</w:t>
            </w:r>
          </w:p>
        </w:tc>
      </w:tr>
      <w:tr>
        <w:trPr>
          <w:jc w:val="center"/>
        </w:trPr>
        <w:tc>
          <w:tcPr>
            <w:tcW w:w="8005" w:type="dxa"/>
            <w:gridSpan w:val="7"/>
          </w:tcPr>
          <w:p>
            <w:pPr>
              <w:spacing w:line="276" w:lineRule="auto"/>
              <w:jc w:val="both"/>
              <w:rPr>
                <w:b/>
                <w:sz w:val="22"/>
                <w:szCs w:val="22"/>
              </w:rPr>
            </w:pPr>
            <w:r>
              <w:rPr>
                <w:b/>
                <w:sz w:val="22"/>
                <w:szCs w:val="22"/>
              </w:rPr>
              <w:t>Current Appropriation</w:t>
            </w:r>
          </w:p>
        </w:tc>
      </w:tr>
      <w:tr>
        <w:trPr>
          <w:jc w:val="center"/>
        </w:trPr>
        <w:tc>
          <w:tcPr>
            <w:tcW w:w="0" w:type="auto"/>
          </w:tcPr>
          <w:p>
            <w:pPr>
              <w:spacing w:line="276" w:lineRule="auto"/>
              <w:rPr>
                <w:sz w:val="22"/>
                <w:szCs w:val="22"/>
              </w:rPr>
            </w:pPr>
            <w:r>
              <w:rPr>
                <w:sz w:val="22"/>
                <w:szCs w:val="22"/>
              </w:rPr>
              <w:t>70% DRRMF Component</w:t>
            </w:r>
          </w:p>
        </w:tc>
        <w:tc>
          <w:tcPr>
            <w:tcW w:w="658" w:type="dxa"/>
          </w:tcPr>
          <w:p>
            <w:pPr>
              <w:spacing w:line="276" w:lineRule="auto"/>
              <w:jc w:val="center"/>
              <w:rPr>
                <w:sz w:val="22"/>
                <w:szCs w:val="22"/>
              </w:rPr>
            </w:pPr>
            <w:r>
              <w:rPr>
                <w:sz w:val="22"/>
                <w:szCs w:val="22"/>
              </w:rPr>
              <w:t>26</w:t>
            </w:r>
          </w:p>
        </w:tc>
        <w:tc>
          <w:tcPr>
            <w:tcW w:w="1519" w:type="dxa"/>
          </w:tcPr>
          <w:p>
            <w:pPr>
              <w:spacing w:line="276" w:lineRule="auto"/>
              <w:jc w:val="right"/>
              <w:rPr>
                <w:sz w:val="22"/>
                <w:szCs w:val="22"/>
              </w:rPr>
            </w:pPr>
            <w:r>
              <w:rPr>
                <w:sz w:val="22"/>
                <w:szCs w:val="22"/>
              </w:rPr>
              <w:t>53,640,193.20</w:t>
            </w:r>
          </w:p>
        </w:tc>
        <w:tc>
          <w:tcPr>
            <w:tcW w:w="658" w:type="dxa"/>
          </w:tcPr>
          <w:p>
            <w:pPr>
              <w:spacing w:line="276" w:lineRule="auto"/>
              <w:jc w:val="center"/>
              <w:rPr>
                <w:sz w:val="22"/>
                <w:szCs w:val="22"/>
              </w:rPr>
            </w:pPr>
            <w:r>
              <w:rPr>
                <w:sz w:val="22"/>
                <w:szCs w:val="22"/>
              </w:rPr>
              <w:t>9</w:t>
            </w:r>
          </w:p>
        </w:tc>
        <w:tc>
          <w:tcPr>
            <w:tcW w:w="1519" w:type="dxa"/>
          </w:tcPr>
          <w:p>
            <w:pPr>
              <w:spacing w:line="276" w:lineRule="auto"/>
              <w:jc w:val="right"/>
              <w:rPr>
                <w:sz w:val="22"/>
                <w:szCs w:val="22"/>
              </w:rPr>
            </w:pPr>
            <w:r>
              <w:rPr>
                <w:sz w:val="22"/>
                <w:szCs w:val="22"/>
              </w:rPr>
              <w:t>14,074,883.17</w:t>
            </w:r>
          </w:p>
        </w:tc>
        <w:tc>
          <w:tcPr>
            <w:tcW w:w="658" w:type="dxa"/>
          </w:tcPr>
          <w:p>
            <w:pPr>
              <w:spacing w:line="276" w:lineRule="auto"/>
              <w:jc w:val="center"/>
              <w:rPr>
                <w:sz w:val="22"/>
                <w:szCs w:val="22"/>
              </w:rPr>
            </w:pPr>
            <w:r>
              <w:rPr>
                <w:sz w:val="22"/>
                <w:szCs w:val="22"/>
              </w:rPr>
              <w:t>17</w:t>
            </w:r>
          </w:p>
        </w:tc>
        <w:tc>
          <w:tcPr>
            <w:tcW w:w="1479" w:type="dxa"/>
          </w:tcPr>
          <w:p>
            <w:pPr>
              <w:spacing w:line="276" w:lineRule="auto"/>
              <w:jc w:val="right"/>
              <w:rPr>
                <w:sz w:val="22"/>
                <w:szCs w:val="22"/>
              </w:rPr>
            </w:pPr>
            <w:r>
              <w:rPr>
                <w:sz w:val="22"/>
                <w:szCs w:val="22"/>
              </w:rPr>
              <w:t>39,565,310.03</w:t>
            </w:r>
          </w:p>
        </w:tc>
      </w:tr>
      <w:tr>
        <w:trPr>
          <w:jc w:val="center"/>
        </w:trPr>
        <w:tc>
          <w:tcPr>
            <w:tcW w:w="0" w:type="auto"/>
            <w:shd w:val="clear" w:color="auto" w:fill="auto"/>
            <w:vAlign w:val="center"/>
          </w:tcPr>
          <w:p>
            <w:pPr>
              <w:spacing w:line="276" w:lineRule="auto"/>
              <w:rPr>
                <w:sz w:val="22"/>
                <w:szCs w:val="22"/>
              </w:rPr>
            </w:pPr>
            <w:r>
              <w:rPr>
                <w:sz w:val="22"/>
                <w:szCs w:val="22"/>
              </w:rPr>
              <w:t>Percentage (%)</w:t>
            </w:r>
          </w:p>
        </w:tc>
        <w:tc>
          <w:tcPr>
            <w:tcW w:w="658" w:type="dxa"/>
          </w:tcPr>
          <w:p>
            <w:pPr>
              <w:spacing w:line="276" w:lineRule="auto"/>
              <w:jc w:val="center"/>
              <w:rPr>
                <w:sz w:val="22"/>
                <w:szCs w:val="22"/>
              </w:rPr>
            </w:pPr>
          </w:p>
        </w:tc>
        <w:tc>
          <w:tcPr>
            <w:tcW w:w="1519" w:type="dxa"/>
            <w:shd w:val="clear" w:color="auto" w:fill="auto"/>
            <w:vAlign w:val="center"/>
          </w:tcPr>
          <w:p>
            <w:pPr>
              <w:spacing w:line="276" w:lineRule="auto"/>
              <w:jc w:val="center"/>
              <w:rPr>
                <w:sz w:val="22"/>
                <w:szCs w:val="22"/>
              </w:rPr>
            </w:pPr>
            <w:r>
              <w:rPr>
                <w:sz w:val="22"/>
                <w:szCs w:val="22"/>
              </w:rPr>
              <w:t>100.00%</w:t>
            </w:r>
          </w:p>
        </w:tc>
        <w:tc>
          <w:tcPr>
            <w:tcW w:w="658" w:type="dxa"/>
          </w:tcPr>
          <w:p>
            <w:pPr>
              <w:spacing w:line="276" w:lineRule="auto"/>
              <w:jc w:val="center"/>
              <w:rPr>
                <w:sz w:val="22"/>
                <w:szCs w:val="22"/>
              </w:rPr>
            </w:pPr>
          </w:p>
        </w:tc>
        <w:tc>
          <w:tcPr>
            <w:tcW w:w="1519" w:type="dxa"/>
            <w:shd w:val="clear" w:color="auto" w:fill="auto"/>
            <w:vAlign w:val="center"/>
          </w:tcPr>
          <w:p>
            <w:pPr>
              <w:spacing w:line="276" w:lineRule="auto"/>
              <w:jc w:val="center"/>
              <w:rPr>
                <w:sz w:val="22"/>
                <w:szCs w:val="22"/>
              </w:rPr>
            </w:pPr>
            <w:r>
              <w:rPr>
                <w:sz w:val="22"/>
                <w:szCs w:val="22"/>
              </w:rPr>
              <w:t>26.24%</w:t>
            </w:r>
          </w:p>
        </w:tc>
        <w:tc>
          <w:tcPr>
            <w:tcW w:w="658" w:type="dxa"/>
          </w:tcPr>
          <w:p>
            <w:pPr>
              <w:spacing w:line="276" w:lineRule="auto"/>
              <w:jc w:val="center"/>
              <w:rPr>
                <w:sz w:val="22"/>
                <w:szCs w:val="22"/>
              </w:rPr>
            </w:pPr>
          </w:p>
        </w:tc>
        <w:tc>
          <w:tcPr>
            <w:tcW w:w="1479" w:type="dxa"/>
            <w:shd w:val="clear" w:color="auto" w:fill="auto"/>
          </w:tcPr>
          <w:p>
            <w:pPr>
              <w:spacing w:line="276" w:lineRule="auto"/>
              <w:jc w:val="center"/>
              <w:rPr>
                <w:sz w:val="22"/>
                <w:szCs w:val="22"/>
              </w:rPr>
            </w:pPr>
            <w:r>
              <w:rPr>
                <w:sz w:val="22"/>
                <w:szCs w:val="22"/>
              </w:rPr>
              <w:t>73.76%</w:t>
            </w:r>
          </w:p>
        </w:tc>
      </w:tr>
      <w:tr>
        <w:trPr>
          <w:jc w:val="center"/>
        </w:trPr>
        <w:tc>
          <w:tcPr>
            <w:tcW w:w="8005" w:type="dxa"/>
            <w:gridSpan w:val="7"/>
          </w:tcPr>
          <w:p>
            <w:pPr>
              <w:spacing w:line="276" w:lineRule="auto"/>
              <w:jc w:val="both"/>
              <w:rPr>
                <w:sz w:val="22"/>
                <w:szCs w:val="22"/>
              </w:rPr>
            </w:pPr>
            <w:r>
              <w:rPr>
                <w:b/>
                <w:sz w:val="22"/>
                <w:szCs w:val="22"/>
              </w:rPr>
              <w:t>Continuing Appropriation</w:t>
            </w:r>
          </w:p>
        </w:tc>
      </w:tr>
      <w:tr>
        <w:trPr>
          <w:jc w:val="center"/>
        </w:trPr>
        <w:tc>
          <w:tcPr>
            <w:tcW w:w="0" w:type="auto"/>
          </w:tcPr>
          <w:p>
            <w:pPr>
              <w:spacing w:line="276" w:lineRule="auto"/>
              <w:rPr>
                <w:sz w:val="22"/>
                <w:szCs w:val="22"/>
              </w:rPr>
            </w:pPr>
            <w:r>
              <w:rPr>
                <w:sz w:val="22"/>
                <w:szCs w:val="22"/>
              </w:rPr>
              <w:t>CY 2017-2021</w:t>
            </w:r>
          </w:p>
        </w:tc>
        <w:tc>
          <w:tcPr>
            <w:tcW w:w="658" w:type="dxa"/>
          </w:tcPr>
          <w:p>
            <w:pPr>
              <w:spacing w:line="276" w:lineRule="auto"/>
              <w:jc w:val="center"/>
              <w:rPr>
                <w:sz w:val="22"/>
                <w:szCs w:val="22"/>
              </w:rPr>
            </w:pPr>
            <w:r>
              <w:rPr>
                <w:sz w:val="22"/>
                <w:szCs w:val="22"/>
              </w:rPr>
              <w:t>20</w:t>
            </w:r>
          </w:p>
        </w:tc>
        <w:tc>
          <w:tcPr>
            <w:tcW w:w="1519" w:type="dxa"/>
          </w:tcPr>
          <w:p>
            <w:pPr>
              <w:spacing w:line="276" w:lineRule="auto"/>
              <w:jc w:val="right"/>
              <w:rPr>
                <w:sz w:val="22"/>
                <w:szCs w:val="22"/>
              </w:rPr>
            </w:pPr>
            <w:r>
              <w:rPr>
                <w:sz w:val="22"/>
                <w:szCs w:val="22"/>
              </w:rPr>
              <w:t>16,872,487.77</w:t>
            </w:r>
          </w:p>
        </w:tc>
        <w:tc>
          <w:tcPr>
            <w:tcW w:w="658" w:type="dxa"/>
          </w:tcPr>
          <w:p>
            <w:pPr>
              <w:spacing w:line="276" w:lineRule="auto"/>
              <w:jc w:val="center"/>
              <w:rPr>
                <w:sz w:val="22"/>
                <w:szCs w:val="22"/>
              </w:rPr>
            </w:pPr>
            <w:r>
              <w:rPr>
                <w:sz w:val="22"/>
                <w:szCs w:val="22"/>
              </w:rPr>
              <w:t>4</w:t>
            </w:r>
          </w:p>
        </w:tc>
        <w:tc>
          <w:tcPr>
            <w:tcW w:w="1519" w:type="dxa"/>
          </w:tcPr>
          <w:p>
            <w:pPr>
              <w:spacing w:line="276" w:lineRule="auto"/>
              <w:jc w:val="right"/>
              <w:rPr>
                <w:sz w:val="22"/>
                <w:szCs w:val="22"/>
              </w:rPr>
            </w:pPr>
            <w:r>
              <w:rPr>
                <w:sz w:val="22"/>
                <w:szCs w:val="22"/>
              </w:rPr>
              <w:t>9,486,268.99</w:t>
            </w:r>
          </w:p>
        </w:tc>
        <w:tc>
          <w:tcPr>
            <w:tcW w:w="658" w:type="dxa"/>
          </w:tcPr>
          <w:p>
            <w:pPr>
              <w:spacing w:line="276" w:lineRule="auto"/>
              <w:jc w:val="center"/>
              <w:rPr>
                <w:sz w:val="22"/>
                <w:szCs w:val="22"/>
              </w:rPr>
            </w:pPr>
            <w:r>
              <w:rPr>
                <w:sz w:val="22"/>
                <w:szCs w:val="22"/>
              </w:rPr>
              <w:t>16</w:t>
            </w:r>
          </w:p>
        </w:tc>
        <w:tc>
          <w:tcPr>
            <w:tcW w:w="1479" w:type="dxa"/>
          </w:tcPr>
          <w:p>
            <w:pPr>
              <w:spacing w:line="276" w:lineRule="auto"/>
              <w:jc w:val="right"/>
              <w:rPr>
                <w:sz w:val="22"/>
                <w:szCs w:val="22"/>
              </w:rPr>
            </w:pPr>
            <w:r>
              <w:rPr>
                <w:sz w:val="22"/>
                <w:szCs w:val="22"/>
              </w:rPr>
              <w:t>7,386,218.78</w:t>
            </w:r>
          </w:p>
        </w:tc>
      </w:tr>
      <w:tr>
        <w:trPr>
          <w:jc w:val="center"/>
        </w:trPr>
        <w:tc>
          <w:tcPr>
            <w:tcW w:w="0" w:type="auto"/>
            <w:shd w:val="clear" w:color="auto" w:fill="auto"/>
            <w:vAlign w:val="center"/>
          </w:tcPr>
          <w:p>
            <w:pPr>
              <w:spacing w:line="276" w:lineRule="auto"/>
              <w:rPr>
                <w:sz w:val="22"/>
                <w:szCs w:val="22"/>
              </w:rPr>
            </w:pPr>
            <w:r>
              <w:rPr>
                <w:sz w:val="22"/>
                <w:szCs w:val="22"/>
              </w:rPr>
              <w:t>Percentage (%)</w:t>
            </w:r>
          </w:p>
        </w:tc>
        <w:tc>
          <w:tcPr>
            <w:tcW w:w="658" w:type="dxa"/>
          </w:tcPr>
          <w:p>
            <w:pPr>
              <w:spacing w:line="276" w:lineRule="auto"/>
              <w:jc w:val="center"/>
              <w:rPr>
                <w:sz w:val="22"/>
                <w:szCs w:val="22"/>
              </w:rPr>
            </w:pPr>
          </w:p>
        </w:tc>
        <w:tc>
          <w:tcPr>
            <w:tcW w:w="1519" w:type="dxa"/>
            <w:shd w:val="clear" w:color="auto" w:fill="auto"/>
            <w:vAlign w:val="center"/>
          </w:tcPr>
          <w:p>
            <w:pPr>
              <w:spacing w:line="276" w:lineRule="auto"/>
              <w:jc w:val="center"/>
              <w:rPr>
                <w:sz w:val="22"/>
                <w:szCs w:val="22"/>
              </w:rPr>
            </w:pPr>
            <w:r>
              <w:rPr>
                <w:sz w:val="22"/>
                <w:szCs w:val="22"/>
              </w:rPr>
              <w:t>100.00%</w:t>
            </w:r>
          </w:p>
        </w:tc>
        <w:tc>
          <w:tcPr>
            <w:tcW w:w="658" w:type="dxa"/>
          </w:tcPr>
          <w:p>
            <w:pPr>
              <w:spacing w:line="276" w:lineRule="auto"/>
              <w:jc w:val="center"/>
              <w:rPr>
                <w:sz w:val="22"/>
                <w:szCs w:val="22"/>
              </w:rPr>
            </w:pPr>
          </w:p>
        </w:tc>
        <w:tc>
          <w:tcPr>
            <w:tcW w:w="1519" w:type="dxa"/>
            <w:shd w:val="clear" w:color="auto" w:fill="auto"/>
            <w:vAlign w:val="center"/>
          </w:tcPr>
          <w:p>
            <w:pPr>
              <w:spacing w:line="276" w:lineRule="auto"/>
              <w:jc w:val="center"/>
              <w:rPr>
                <w:sz w:val="22"/>
                <w:szCs w:val="22"/>
              </w:rPr>
            </w:pPr>
            <w:r>
              <w:rPr>
                <w:sz w:val="22"/>
                <w:szCs w:val="22"/>
              </w:rPr>
              <w:t>56.22%</w:t>
            </w:r>
          </w:p>
        </w:tc>
        <w:tc>
          <w:tcPr>
            <w:tcW w:w="658" w:type="dxa"/>
          </w:tcPr>
          <w:p>
            <w:pPr>
              <w:spacing w:line="276" w:lineRule="auto"/>
              <w:jc w:val="center"/>
              <w:rPr>
                <w:sz w:val="22"/>
                <w:szCs w:val="22"/>
              </w:rPr>
            </w:pPr>
          </w:p>
        </w:tc>
        <w:tc>
          <w:tcPr>
            <w:tcW w:w="1479" w:type="dxa"/>
            <w:shd w:val="clear" w:color="auto" w:fill="auto"/>
          </w:tcPr>
          <w:p>
            <w:pPr>
              <w:spacing w:line="276" w:lineRule="auto"/>
              <w:jc w:val="center"/>
              <w:rPr>
                <w:sz w:val="22"/>
                <w:szCs w:val="22"/>
              </w:rPr>
            </w:pPr>
            <w:r>
              <w:rPr>
                <w:sz w:val="22"/>
                <w:szCs w:val="22"/>
              </w:rPr>
              <w:t>43.78%</w:t>
            </w:r>
          </w:p>
        </w:tc>
      </w:tr>
      <w:tr>
        <w:trPr>
          <w:jc w:val="center"/>
        </w:trPr>
        <w:tc>
          <w:tcPr>
            <w:tcW w:w="8005" w:type="dxa"/>
            <w:gridSpan w:val="7"/>
          </w:tcPr>
          <w:p>
            <w:pPr>
              <w:spacing w:line="276" w:lineRule="auto"/>
              <w:rPr>
                <w:b/>
                <w:sz w:val="22"/>
                <w:szCs w:val="22"/>
              </w:rPr>
            </w:pPr>
            <w:r>
              <w:rPr>
                <w:b/>
                <w:sz w:val="22"/>
                <w:szCs w:val="22"/>
              </w:rPr>
              <w:t>Appropriated Special Trust Fund</w:t>
            </w:r>
          </w:p>
        </w:tc>
      </w:tr>
      <w:tr>
        <w:trPr>
          <w:jc w:val="center"/>
        </w:trPr>
        <w:tc>
          <w:tcPr>
            <w:tcW w:w="0" w:type="auto"/>
            <w:shd w:val="clear" w:color="auto" w:fill="auto"/>
            <w:vAlign w:val="center"/>
          </w:tcPr>
          <w:p>
            <w:pPr>
              <w:spacing w:line="276" w:lineRule="auto"/>
              <w:rPr>
                <w:sz w:val="22"/>
                <w:szCs w:val="22"/>
              </w:rPr>
            </w:pPr>
            <w:r>
              <w:rPr>
                <w:sz w:val="22"/>
                <w:szCs w:val="22"/>
              </w:rPr>
              <w:t>CY 2017-2021</w:t>
            </w:r>
          </w:p>
        </w:tc>
        <w:tc>
          <w:tcPr>
            <w:tcW w:w="658" w:type="dxa"/>
          </w:tcPr>
          <w:p>
            <w:pPr>
              <w:spacing w:line="276" w:lineRule="auto"/>
              <w:jc w:val="center"/>
              <w:rPr>
                <w:sz w:val="22"/>
                <w:szCs w:val="22"/>
              </w:rPr>
            </w:pPr>
            <w:r>
              <w:rPr>
                <w:sz w:val="22"/>
                <w:szCs w:val="22"/>
              </w:rPr>
              <w:t>100</w:t>
            </w:r>
          </w:p>
        </w:tc>
        <w:tc>
          <w:tcPr>
            <w:tcW w:w="1519" w:type="dxa"/>
            <w:shd w:val="clear" w:color="auto" w:fill="auto"/>
            <w:vAlign w:val="center"/>
          </w:tcPr>
          <w:p>
            <w:pPr>
              <w:spacing w:line="276" w:lineRule="auto"/>
              <w:jc w:val="right"/>
              <w:rPr>
                <w:sz w:val="22"/>
                <w:szCs w:val="22"/>
              </w:rPr>
            </w:pPr>
            <w:r>
              <w:rPr>
                <w:sz w:val="22"/>
                <w:szCs w:val="22"/>
              </w:rPr>
              <w:t>117,615,125.31</w:t>
            </w:r>
          </w:p>
        </w:tc>
        <w:tc>
          <w:tcPr>
            <w:tcW w:w="658" w:type="dxa"/>
          </w:tcPr>
          <w:p>
            <w:pPr>
              <w:spacing w:line="276" w:lineRule="auto"/>
              <w:jc w:val="center"/>
              <w:rPr>
                <w:sz w:val="22"/>
                <w:szCs w:val="22"/>
              </w:rPr>
            </w:pPr>
            <w:r>
              <w:rPr>
                <w:sz w:val="22"/>
                <w:szCs w:val="22"/>
              </w:rPr>
              <w:t>74</w:t>
            </w:r>
          </w:p>
        </w:tc>
        <w:tc>
          <w:tcPr>
            <w:tcW w:w="1519" w:type="dxa"/>
            <w:shd w:val="clear" w:color="auto" w:fill="auto"/>
            <w:vAlign w:val="center"/>
          </w:tcPr>
          <w:p>
            <w:pPr>
              <w:spacing w:line="276" w:lineRule="auto"/>
              <w:jc w:val="right"/>
              <w:rPr>
                <w:sz w:val="22"/>
                <w:szCs w:val="22"/>
              </w:rPr>
            </w:pPr>
            <w:r>
              <w:rPr>
                <w:sz w:val="22"/>
                <w:szCs w:val="22"/>
              </w:rPr>
              <w:t>89,310,743.32</w:t>
            </w:r>
          </w:p>
        </w:tc>
        <w:tc>
          <w:tcPr>
            <w:tcW w:w="658" w:type="dxa"/>
          </w:tcPr>
          <w:p>
            <w:pPr>
              <w:spacing w:line="276" w:lineRule="auto"/>
              <w:jc w:val="center"/>
              <w:rPr>
                <w:sz w:val="22"/>
                <w:szCs w:val="22"/>
              </w:rPr>
            </w:pPr>
            <w:r>
              <w:rPr>
                <w:sz w:val="22"/>
                <w:szCs w:val="22"/>
              </w:rPr>
              <w:t>26</w:t>
            </w:r>
          </w:p>
        </w:tc>
        <w:tc>
          <w:tcPr>
            <w:tcW w:w="1479" w:type="dxa"/>
            <w:shd w:val="clear" w:color="auto" w:fill="auto"/>
            <w:vAlign w:val="center"/>
          </w:tcPr>
          <w:p>
            <w:pPr>
              <w:spacing w:line="276" w:lineRule="auto"/>
              <w:jc w:val="right"/>
              <w:rPr>
                <w:sz w:val="22"/>
                <w:szCs w:val="22"/>
              </w:rPr>
            </w:pPr>
            <w:r>
              <w:rPr>
                <w:sz w:val="22"/>
                <w:szCs w:val="22"/>
              </w:rPr>
              <w:t>28,304,381.99</w:t>
            </w:r>
          </w:p>
        </w:tc>
      </w:tr>
      <w:tr>
        <w:trPr>
          <w:jc w:val="center"/>
        </w:trPr>
        <w:tc>
          <w:tcPr>
            <w:tcW w:w="0" w:type="auto"/>
            <w:shd w:val="clear" w:color="auto" w:fill="auto"/>
            <w:vAlign w:val="center"/>
          </w:tcPr>
          <w:p>
            <w:pPr>
              <w:spacing w:line="276" w:lineRule="auto"/>
              <w:rPr>
                <w:sz w:val="22"/>
                <w:szCs w:val="22"/>
              </w:rPr>
            </w:pPr>
            <w:r>
              <w:rPr>
                <w:sz w:val="22"/>
                <w:szCs w:val="22"/>
              </w:rPr>
              <w:t>Percentage (%)</w:t>
            </w:r>
          </w:p>
        </w:tc>
        <w:tc>
          <w:tcPr>
            <w:tcW w:w="658" w:type="dxa"/>
          </w:tcPr>
          <w:p>
            <w:pPr>
              <w:spacing w:line="276" w:lineRule="auto"/>
              <w:jc w:val="center"/>
              <w:rPr>
                <w:sz w:val="22"/>
                <w:szCs w:val="22"/>
              </w:rPr>
            </w:pPr>
          </w:p>
        </w:tc>
        <w:tc>
          <w:tcPr>
            <w:tcW w:w="1519" w:type="dxa"/>
            <w:shd w:val="clear" w:color="auto" w:fill="auto"/>
            <w:vAlign w:val="center"/>
          </w:tcPr>
          <w:p>
            <w:pPr>
              <w:spacing w:line="276" w:lineRule="auto"/>
              <w:jc w:val="center"/>
              <w:rPr>
                <w:sz w:val="22"/>
                <w:szCs w:val="22"/>
              </w:rPr>
            </w:pPr>
            <w:r>
              <w:rPr>
                <w:sz w:val="22"/>
                <w:szCs w:val="22"/>
              </w:rPr>
              <w:t>100.00%</w:t>
            </w:r>
          </w:p>
        </w:tc>
        <w:tc>
          <w:tcPr>
            <w:tcW w:w="658" w:type="dxa"/>
          </w:tcPr>
          <w:p>
            <w:pPr>
              <w:spacing w:line="276" w:lineRule="auto"/>
              <w:jc w:val="center"/>
              <w:rPr>
                <w:sz w:val="22"/>
                <w:szCs w:val="22"/>
              </w:rPr>
            </w:pPr>
          </w:p>
        </w:tc>
        <w:tc>
          <w:tcPr>
            <w:tcW w:w="1519" w:type="dxa"/>
            <w:shd w:val="clear" w:color="auto" w:fill="auto"/>
            <w:vAlign w:val="center"/>
          </w:tcPr>
          <w:p>
            <w:pPr>
              <w:spacing w:line="276" w:lineRule="auto"/>
              <w:jc w:val="center"/>
              <w:rPr>
                <w:sz w:val="22"/>
                <w:szCs w:val="22"/>
              </w:rPr>
            </w:pPr>
            <w:r>
              <w:rPr>
                <w:sz w:val="22"/>
                <w:szCs w:val="22"/>
              </w:rPr>
              <w:t>75.93%</w:t>
            </w:r>
          </w:p>
        </w:tc>
        <w:tc>
          <w:tcPr>
            <w:tcW w:w="658" w:type="dxa"/>
          </w:tcPr>
          <w:p>
            <w:pPr>
              <w:spacing w:line="276" w:lineRule="auto"/>
              <w:jc w:val="center"/>
              <w:rPr>
                <w:sz w:val="22"/>
                <w:szCs w:val="22"/>
              </w:rPr>
            </w:pPr>
          </w:p>
        </w:tc>
        <w:tc>
          <w:tcPr>
            <w:tcW w:w="1479" w:type="dxa"/>
            <w:shd w:val="clear" w:color="auto" w:fill="auto"/>
          </w:tcPr>
          <w:p>
            <w:pPr>
              <w:spacing w:line="276" w:lineRule="auto"/>
              <w:jc w:val="center"/>
              <w:rPr>
                <w:sz w:val="22"/>
                <w:szCs w:val="22"/>
              </w:rPr>
            </w:pPr>
            <w:r>
              <w:rPr>
                <w:sz w:val="22"/>
                <w:szCs w:val="22"/>
              </w:rPr>
              <w:t>24.07%</w:t>
            </w:r>
          </w:p>
        </w:tc>
      </w:tr>
      <w:tr>
        <w:trPr>
          <w:jc w:val="center"/>
        </w:trPr>
        <w:tc>
          <w:tcPr>
            <w:tcW w:w="0" w:type="auto"/>
          </w:tcPr>
          <w:p>
            <w:pPr>
              <w:spacing w:line="276" w:lineRule="auto"/>
              <w:rPr>
                <w:b/>
                <w:sz w:val="22"/>
                <w:szCs w:val="22"/>
              </w:rPr>
            </w:pPr>
            <w:r>
              <w:rPr>
                <w:b/>
                <w:sz w:val="22"/>
                <w:szCs w:val="22"/>
              </w:rPr>
              <w:t>Total Appropriation</w:t>
            </w:r>
          </w:p>
        </w:tc>
        <w:tc>
          <w:tcPr>
            <w:tcW w:w="658" w:type="dxa"/>
          </w:tcPr>
          <w:p>
            <w:pPr>
              <w:spacing w:line="276" w:lineRule="auto"/>
              <w:jc w:val="center"/>
              <w:rPr>
                <w:b/>
                <w:sz w:val="22"/>
                <w:szCs w:val="22"/>
              </w:rPr>
            </w:pPr>
            <w:r>
              <w:rPr>
                <w:b/>
                <w:sz w:val="22"/>
                <w:szCs w:val="22"/>
              </w:rPr>
              <w:t>146</w:t>
            </w:r>
          </w:p>
        </w:tc>
        <w:tc>
          <w:tcPr>
            <w:tcW w:w="1519" w:type="dxa"/>
            <w:shd w:val="clear" w:color="auto" w:fill="auto"/>
            <w:vAlign w:val="center"/>
          </w:tcPr>
          <w:p>
            <w:pPr>
              <w:spacing w:line="276" w:lineRule="auto"/>
              <w:jc w:val="right"/>
              <w:rPr>
                <w:b/>
                <w:sz w:val="22"/>
                <w:szCs w:val="22"/>
              </w:rPr>
            </w:pPr>
            <w:r>
              <w:rPr>
                <w:b/>
                <w:sz w:val="22"/>
                <w:szCs w:val="22"/>
              </w:rPr>
              <w:t xml:space="preserve">188,127,806.28 </w:t>
            </w:r>
          </w:p>
        </w:tc>
        <w:tc>
          <w:tcPr>
            <w:tcW w:w="658" w:type="dxa"/>
          </w:tcPr>
          <w:p>
            <w:pPr>
              <w:spacing w:line="276" w:lineRule="auto"/>
              <w:jc w:val="center"/>
              <w:rPr>
                <w:b/>
                <w:sz w:val="22"/>
                <w:szCs w:val="22"/>
              </w:rPr>
            </w:pPr>
            <w:r>
              <w:rPr>
                <w:b/>
                <w:sz w:val="22"/>
                <w:szCs w:val="22"/>
              </w:rPr>
              <w:t>87</w:t>
            </w:r>
          </w:p>
        </w:tc>
        <w:tc>
          <w:tcPr>
            <w:tcW w:w="1519" w:type="dxa"/>
            <w:shd w:val="clear" w:color="auto" w:fill="auto"/>
            <w:vAlign w:val="center"/>
          </w:tcPr>
          <w:p>
            <w:pPr>
              <w:spacing w:line="276" w:lineRule="auto"/>
              <w:jc w:val="right"/>
              <w:rPr>
                <w:b/>
                <w:sz w:val="22"/>
                <w:szCs w:val="22"/>
              </w:rPr>
            </w:pPr>
            <w:r>
              <w:rPr>
                <w:b/>
                <w:sz w:val="22"/>
                <w:szCs w:val="22"/>
              </w:rPr>
              <w:t xml:space="preserve">112,871,895.48 </w:t>
            </w:r>
          </w:p>
        </w:tc>
        <w:tc>
          <w:tcPr>
            <w:tcW w:w="658" w:type="dxa"/>
          </w:tcPr>
          <w:p>
            <w:pPr>
              <w:spacing w:line="276" w:lineRule="auto"/>
              <w:jc w:val="center"/>
              <w:rPr>
                <w:b/>
                <w:sz w:val="22"/>
                <w:szCs w:val="22"/>
              </w:rPr>
            </w:pPr>
            <w:r>
              <w:rPr>
                <w:b/>
                <w:sz w:val="22"/>
                <w:szCs w:val="22"/>
              </w:rPr>
              <w:t>59</w:t>
            </w:r>
          </w:p>
        </w:tc>
        <w:tc>
          <w:tcPr>
            <w:tcW w:w="1479" w:type="dxa"/>
            <w:shd w:val="clear" w:color="auto" w:fill="auto"/>
            <w:vAlign w:val="center"/>
          </w:tcPr>
          <w:p>
            <w:pPr>
              <w:spacing w:line="276" w:lineRule="auto"/>
              <w:jc w:val="right"/>
              <w:rPr>
                <w:b/>
                <w:sz w:val="22"/>
                <w:szCs w:val="22"/>
              </w:rPr>
            </w:pPr>
            <w:r>
              <w:rPr>
                <w:b/>
                <w:sz w:val="22"/>
                <w:szCs w:val="22"/>
              </w:rPr>
              <w:t xml:space="preserve">75,255,910.80 </w:t>
            </w:r>
          </w:p>
        </w:tc>
      </w:tr>
      <w:tr>
        <w:trPr>
          <w:jc w:val="center"/>
        </w:trPr>
        <w:tc>
          <w:tcPr>
            <w:tcW w:w="0" w:type="auto"/>
          </w:tcPr>
          <w:p>
            <w:pPr>
              <w:spacing w:line="276" w:lineRule="auto"/>
              <w:rPr>
                <w:b/>
                <w:sz w:val="22"/>
                <w:szCs w:val="22"/>
              </w:rPr>
            </w:pPr>
            <w:r>
              <w:rPr>
                <w:b/>
                <w:sz w:val="22"/>
                <w:szCs w:val="22"/>
              </w:rPr>
              <w:t>Percentage</w:t>
            </w:r>
          </w:p>
        </w:tc>
        <w:tc>
          <w:tcPr>
            <w:tcW w:w="658" w:type="dxa"/>
          </w:tcPr>
          <w:p>
            <w:pPr>
              <w:spacing w:line="276" w:lineRule="auto"/>
              <w:jc w:val="center"/>
              <w:rPr>
                <w:b/>
                <w:sz w:val="22"/>
                <w:szCs w:val="22"/>
              </w:rPr>
            </w:pPr>
          </w:p>
        </w:tc>
        <w:tc>
          <w:tcPr>
            <w:tcW w:w="1519" w:type="dxa"/>
            <w:vAlign w:val="center"/>
          </w:tcPr>
          <w:p>
            <w:pPr>
              <w:spacing w:line="276" w:lineRule="auto"/>
              <w:jc w:val="center"/>
              <w:rPr>
                <w:b/>
                <w:sz w:val="22"/>
                <w:szCs w:val="22"/>
              </w:rPr>
            </w:pPr>
            <w:r>
              <w:rPr>
                <w:b/>
                <w:sz w:val="22"/>
                <w:szCs w:val="22"/>
              </w:rPr>
              <w:t>100.00%</w:t>
            </w:r>
          </w:p>
        </w:tc>
        <w:tc>
          <w:tcPr>
            <w:tcW w:w="658" w:type="dxa"/>
          </w:tcPr>
          <w:p>
            <w:pPr>
              <w:spacing w:line="276" w:lineRule="auto"/>
              <w:jc w:val="center"/>
              <w:rPr>
                <w:b/>
                <w:sz w:val="22"/>
                <w:szCs w:val="22"/>
              </w:rPr>
            </w:pPr>
          </w:p>
        </w:tc>
        <w:tc>
          <w:tcPr>
            <w:tcW w:w="1519" w:type="dxa"/>
            <w:vAlign w:val="center"/>
          </w:tcPr>
          <w:p>
            <w:pPr>
              <w:spacing w:line="276" w:lineRule="auto"/>
              <w:jc w:val="center"/>
              <w:rPr>
                <w:b/>
                <w:sz w:val="22"/>
                <w:szCs w:val="22"/>
              </w:rPr>
            </w:pPr>
            <w:r>
              <w:rPr>
                <w:b/>
                <w:sz w:val="22"/>
                <w:szCs w:val="22"/>
              </w:rPr>
              <w:t>60.00%</w:t>
            </w:r>
          </w:p>
        </w:tc>
        <w:tc>
          <w:tcPr>
            <w:tcW w:w="658" w:type="dxa"/>
          </w:tcPr>
          <w:p>
            <w:pPr>
              <w:spacing w:line="276" w:lineRule="auto"/>
              <w:jc w:val="center"/>
              <w:rPr>
                <w:b/>
                <w:sz w:val="22"/>
                <w:szCs w:val="22"/>
              </w:rPr>
            </w:pPr>
          </w:p>
        </w:tc>
        <w:tc>
          <w:tcPr>
            <w:tcW w:w="1479" w:type="dxa"/>
            <w:vAlign w:val="center"/>
          </w:tcPr>
          <w:p>
            <w:pPr>
              <w:spacing w:line="276" w:lineRule="auto"/>
              <w:jc w:val="center"/>
              <w:rPr>
                <w:b/>
                <w:sz w:val="22"/>
                <w:szCs w:val="22"/>
              </w:rPr>
            </w:pPr>
            <w:r>
              <w:rPr>
                <w:b/>
                <w:sz w:val="22"/>
                <w:szCs w:val="22"/>
              </w:rPr>
              <w:t>40.00%</w:t>
            </w:r>
          </w:p>
        </w:tc>
      </w:tr>
    </w:tbl>
    <w:p>
      <w:pPr>
        <w:spacing w:line="276" w:lineRule="auto"/>
        <w:jc w:val="both"/>
      </w:pPr>
    </w:p>
    <w:p>
      <w:pPr>
        <w:spacing w:line="276" w:lineRule="auto"/>
        <w:jc w:val="both"/>
        <w:rPr>
          <w:i/>
        </w:rPr>
      </w:pPr>
      <w:r>
        <w:t>Out of the total funds allocated for the Programs, Projects, Activities under the LDRRM Fund, composed of current, continuing, and Special Trust Fund appropriations, amounting to P188,127,806.28, only P112,871,895.48 or 60% was utilized, leaving a balance of P75,255,910.80 or 40% intended for fifty-nine (59) PPAs which remained uncompleted/unimplemented as at year-end.</w:t>
      </w:r>
    </w:p>
    <w:p>
      <w:pPr>
        <w:spacing w:line="276" w:lineRule="auto"/>
        <w:jc w:val="both"/>
      </w:pPr>
      <w:r>
        <w:lastRenderedPageBreak/>
        <w:t>According to CDRRMO, not all PPAs charged to LDRRMF are implemented by their office. Other departments/offices have PPAs charged under the said fund. Interview with the respective implementing offices revealed the following:</w:t>
      </w:r>
    </w:p>
    <w:p>
      <w:pPr>
        <w:spacing w:line="276" w:lineRule="auto"/>
        <w:jc w:val="both"/>
      </w:pPr>
    </w:p>
    <w:p>
      <w:pPr>
        <w:numPr>
          <w:ilvl w:val="0"/>
          <w:numId w:val="35"/>
        </w:numPr>
        <w:spacing w:line="276" w:lineRule="auto"/>
        <w:ind w:left="360"/>
        <w:contextualSpacing/>
        <w:jc w:val="both"/>
      </w:pPr>
      <w:r>
        <w:t>CDRRMO – Delay in the procurement of supplies and equipment due to failure of bidding due to non-submission of bids. Difficulty in finding qualified suppliers and rapid price increase of equipment to be procured is encountered by the CDRRMO.</w:t>
      </w:r>
    </w:p>
    <w:p>
      <w:pPr>
        <w:spacing w:line="276" w:lineRule="auto"/>
        <w:ind w:left="360"/>
        <w:contextualSpacing/>
        <w:jc w:val="both"/>
      </w:pPr>
    </w:p>
    <w:p>
      <w:pPr>
        <w:numPr>
          <w:ilvl w:val="0"/>
          <w:numId w:val="35"/>
        </w:numPr>
        <w:spacing w:line="276" w:lineRule="auto"/>
        <w:ind w:left="360"/>
        <w:contextualSpacing/>
        <w:jc w:val="both"/>
      </w:pPr>
      <w:r>
        <w:t>City Engineering Office (CEO) – Lack of manpower, rebidding of projects, and various problems encountered in the site were among the reasons cited by the CEO which caused delay in the implementation of projects. As to the purchase of Personal Protective Equipment for Critical Infrastructure Assessment amounting to P100,000, the CEO was unaware that they will be the one to process the documents for its procurement.</w:t>
      </w:r>
    </w:p>
    <w:p>
      <w:pPr>
        <w:spacing w:line="276" w:lineRule="auto"/>
        <w:ind w:left="360"/>
        <w:contextualSpacing/>
      </w:pPr>
    </w:p>
    <w:p>
      <w:pPr>
        <w:numPr>
          <w:ilvl w:val="0"/>
          <w:numId w:val="35"/>
        </w:numPr>
        <w:spacing w:line="276" w:lineRule="auto"/>
        <w:ind w:left="360"/>
        <w:contextualSpacing/>
        <w:jc w:val="both"/>
      </w:pPr>
      <w:r>
        <w:t>City Planning Development Office - Delay in the procurement of drone was due to failure of bidding. Nevertheless, the contract was already awarded and the item will be delivered in the ensuing year.</w:t>
      </w:r>
    </w:p>
    <w:p>
      <w:pPr>
        <w:spacing w:line="276" w:lineRule="auto"/>
        <w:ind w:left="360"/>
        <w:contextualSpacing/>
      </w:pPr>
    </w:p>
    <w:p>
      <w:pPr>
        <w:numPr>
          <w:ilvl w:val="0"/>
          <w:numId w:val="35"/>
        </w:numPr>
        <w:spacing w:line="276" w:lineRule="auto"/>
        <w:ind w:left="360"/>
        <w:contextualSpacing/>
        <w:jc w:val="both"/>
      </w:pPr>
      <w:r>
        <w:t>City Veterinary Section - Delay in the procurement of rescue vehicle was due to failure of bidding. Nevertheless, the contract was already awarded and the vehicle was delivered in the ensuing year. As to the African Swine Flu (ASF) Eradication Program, although the program was already implemented, there is an unexpended balance of the funds since the actual farmers affected is lesser as compared to the budget/plan.</w:t>
      </w:r>
    </w:p>
    <w:p>
      <w:pPr>
        <w:spacing w:line="276" w:lineRule="auto"/>
        <w:ind w:left="360"/>
        <w:contextualSpacing/>
      </w:pPr>
    </w:p>
    <w:p>
      <w:pPr>
        <w:numPr>
          <w:ilvl w:val="0"/>
          <w:numId w:val="35"/>
        </w:numPr>
        <w:spacing w:line="276" w:lineRule="auto"/>
        <w:ind w:left="360"/>
        <w:contextualSpacing/>
        <w:jc w:val="both"/>
      </w:pPr>
      <w:r>
        <w:t>City Health Office – Additional funding for COVID-19 was unutilized since the office became aware of the said funding in the later part of the year. The procurement of medical, dental and laboratory supplies could no longer push through due to time constraint since the fund will be reverted to the Special Trust Fund by year-end.</w:t>
      </w:r>
    </w:p>
    <w:p>
      <w:pPr>
        <w:spacing w:line="276" w:lineRule="auto"/>
        <w:ind w:left="360"/>
        <w:contextualSpacing/>
      </w:pPr>
    </w:p>
    <w:p>
      <w:pPr>
        <w:numPr>
          <w:ilvl w:val="0"/>
          <w:numId w:val="35"/>
        </w:numPr>
        <w:spacing w:line="276" w:lineRule="auto"/>
        <w:ind w:left="360"/>
        <w:contextualSpacing/>
        <w:jc w:val="both"/>
      </w:pPr>
      <w:r>
        <w:t>City Social Welfare and Development Office –Cash for Work Program was not utilized since funding from the Province of Davao del Norte for the same program was received.</w:t>
      </w:r>
    </w:p>
    <w:p>
      <w:pPr>
        <w:spacing w:line="276" w:lineRule="auto"/>
        <w:jc w:val="both"/>
      </w:pPr>
    </w:p>
    <w:p>
      <w:pPr>
        <w:spacing w:line="276" w:lineRule="auto"/>
        <w:jc w:val="both"/>
      </w:pPr>
      <w:r>
        <w:t xml:space="preserve">Further inquiry also revealed that funds for some of the unimplemented projects under the Current, Continuing and STF Appropriations are already subject for the declaration of savings as agreed by the CDRRM Council and City Development Council and pending the approval of the Sangguniang </w:t>
      </w:r>
      <w:proofErr w:type="spellStart"/>
      <w:r>
        <w:t>Panlungsod</w:t>
      </w:r>
      <w:proofErr w:type="spellEnd"/>
      <w:r>
        <w:t>.</w:t>
      </w:r>
    </w:p>
    <w:p>
      <w:pPr>
        <w:spacing w:line="276" w:lineRule="auto"/>
        <w:ind w:left="720"/>
        <w:contextualSpacing/>
        <w:jc w:val="both"/>
      </w:pPr>
    </w:p>
    <w:p>
      <w:pPr>
        <w:spacing w:line="276" w:lineRule="auto"/>
        <w:contextualSpacing/>
        <w:jc w:val="both"/>
      </w:pPr>
      <w:r>
        <w:lastRenderedPageBreak/>
        <w:t xml:space="preserve">We remind Management that PPAs under the LDRRM Fund should have been implemented on the year that it was programmed. The delay in the implementation is clearly in deviation of the plans and targets set in the Annual Investment Program and denotes lapses in the capacity of the LGU in the implementation of said projects and connotes the absence of proper planning on the part of the management. Had holistic and proper planning were conducted prior to the integration of the projects in the 5% LDRRM Fund, the reasons/causes cited for the delayed implementation could have been avoided. </w:t>
      </w:r>
    </w:p>
    <w:p>
      <w:pPr>
        <w:spacing w:line="276" w:lineRule="auto"/>
        <w:ind w:firstLine="720"/>
        <w:contextualSpacing/>
        <w:jc w:val="both"/>
      </w:pPr>
    </w:p>
    <w:p>
      <w:pPr>
        <w:spacing w:line="276" w:lineRule="auto"/>
        <w:contextualSpacing/>
        <w:jc w:val="both"/>
      </w:pPr>
      <w:r>
        <w:t>The non-optimal utilization of the 5% LDRRMF contravenes the purpose of R.A. No. 10121 which provides that the LDRRMF shall be holistically utilized for disaster risk reduction, preparedness and mitigation as well as disaster response and recovery. The delay in the implementation and completion of the projects adversely affected the timely delivery of services to the intended beneficiaries. This condition may affect the City’s objectives to strengthen its capacity to build disaster resilience and enhance disaster preparedness and response capabilities.</w:t>
      </w:r>
    </w:p>
    <w:p>
      <w:pPr>
        <w:spacing w:line="276" w:lineRule="auto"/>
        <w:ind w:right="360"/>
        <w:jc w:val="both"/>
      </w:pPr>
    </w:p>
    <w:p>
      <w:pPr>
        <w:spacing w:line="276" w:lineRule="auto"/>
        <w:ind w:right="360"/>
        <w:jc w:val="both"/>
        <w:rPr>
          <w:b/>
        </w:rPr>
      </w:pPr>
      <w:r>
        <w:rPr>
          <w:b/>
        </w:rPr>
        <w:t>Recommendations:</w:t>
      </w:r>
    </w:p>
    <w:p>
      <w:pPr>
        <w:spacing w:line="276" w:lineRule="auto"/>
        <w:ind w:right="360"/>
        <w:jc w:val="both"/>
        <w:rPr>
          <w:b/>
        </w:rPr>
      </w:pPr>
    </w:p>
    <w:p>
      <w:pPr>
        <w:spacing w:line="276" w:lineRule="auto"/>
        <w:ind w:right="360"/>
        <w:jc w:val="both"/>
      </w:pPr>
      <w:r>
        <w:t>We recommended the City Mayor to:</w:t>
      </w:r>
    </w:p>
    <w:p>
      <w:pPr>
        <w:spacing w:line="276" w:lineRule="auto"/>
        <w:ind w:right="360"/>
        <w:jc w:val="both"/>
      </w:pPr>
    </w:p>
    <w:p>
      <w:pPr>
        <w:numPr>
          <w:ilvl w:val="0"/>
          <w:numId w:val="36"/>
        </w:numPr>
        <w:spacing w:line="276" w:lineRule="auto"/>
        <w:contextualSpacing/>
        <w:jc w:val="both"/>
      </w:pPr>
      <w:r>
        <w:t>Direct the CDRRM Council and CDRRM Office to monitor and evaluate the implementation of all LDRRMF PPAs, to include in the evaluation process the reasons/causes why the projects were not realized as planned and to come up with the suited strategies to address the problems encountered to avoid its recurrence in the future;</w:t>
      </w:r>
    </w:p>
    <w:p>
      <w:pPr>
        <w:spacing w:line="276" w:lineRule="auto"/>
        <w:ind w:left="720"/>
        <w:contextualSpacing/>
        <w:jc w:val="both"/>
      </w:pPr>
    </w:p>
    <w:p>
      <w:pPr>
        <w:numPr>
          <w:ilvl w:val="0"/>
          <w:numId w:val="36"/>
        </w:numPr>
        <w:spacing w:line="276" w:lineRule="auto"/>
        <w:contextualSpacing/>
        <w:jc w:val="both"/>
      </w:pPr>
      <w:r>
        <w:t>Require the respective Implementing Offices to expedite the implementation and maximize the utilization of all PPAs programmed under LDRRMF for the purpose of preventing possible loss of life, damage to government and private properties, and loss of livelihood.</w:t>
      </w:r>
    </w:p>
    <w:p>
      <w:pPr>
        <w:spacing w:line="276" w:lineRule="auto"/>
        <w:ind w:left="720"/>
        <w:contextualSpacing/>
      </w:pPr>
    </w:p>
    <w:p>
      <w:pPr>
        <w:numPr>
          <w:ilvl w:val="0"/>
          <w:numId w:val="36"/>
        </w:numPr>
        <w:spacing w:line="276" w:lineRule="auto"/>
        <w:contextualSpacing/>
        <w:jc w:val="both"/>
      </w:pPr>
      <w:r>
        <w:t xml:space="preserve">Instruct the CDRRMO, City Planning and Development Office and the Proponent/Implementing Offices to meticulously plan and propose PPAs under the LDRRMF that are attainable within the budget year to prevent delays in the implementation and achieve optimal utilization of the fund. </w:t>
      </w:r>
    </w:p>
    <w:p>
      <w:pPr>
        <w:spacing w:line="276" w:lineRule="auto"/>
        <w:ind w:right="270"/>
        <w:rPr>
          <w:b/>
        </w:rPr>
      </w:pPr>
    </w:p>
    <w:p>
      <w:pPr>
        <w:spacing w:line="276" w:lineRule="auto"/>
        <w:ind w:right="270"/>
        <w:rPr>
          <w:b/>
        </w:rPr>
      </w:pPr>
    </w:p>
    <w:p>
      <w:pPr>
        <w:spacing w:line="276" w:lineRule="auto"/>
        <w:ind w:right="270"/>
        <w:rPr>
          <w:b/>
        </w:rPr>
      </w:pPr>
    </w:p>
    <w:p>
      <w:pPr>
        <w:spacing w:line="276" w:lineRule="auto"/>
        <w:ind w:right="270"/>
        <w:rPr>
          <w:b/>
        </w:rPr>
      </w:pPr>
    </w:p>
    <w:p>
      <w:pPr>
        <w:spacing w:line="276" w:lineRule="auto"/>
        <w:ind w:right="162"/>
        <w:jc w:val="both"/>
        <w:rPr>
          <w:b/>
          <w:bCs/>
        </w:rPr>
      </w:pPr>
      <w:r>
        <w:rPr>
          <w:b/>
          <w:bCs/>
        </w:rPr>
        <w:lastRenderedPageBreak/>
        <w:t>Management’s Comment:</w:t>
      </w:r>
    </w:p>
    <w:p>
      <w:pPr>
        <w:spacing w:line="276" w:lineRule="auto"/>
        <w:jc w:val="both"/>
        <w:rPr>
          <w:b/>
        </w:rPr>
      </w:pPr>
    </w:p>
    <w:p>
      <w:pPr>
        <w:spacing w:line="276" w:lineRule="auto"/>
        <w:jc w:val="both"/>
      </w:pPr>
      <w:r>
        <w:t>The management was amenable with the audit observation and recommendations. CHO explained that the non-utilization of the LDRRM Funds appropriated for COVID-19 related project are as follow:</w:t>
      </w:r>
    </w:p>
    <w:p>
      <w:pPr>
        <w:spacing w:line="276" w:lineRule="auto"/>
        <w:jc w:val="both"/>
      </w:pPr>
    </w:p>
    <w:p>
      <w:pPr>
        <w:pStyle w:val="ListParagraph"/>
        <w:numPr>
          <w:ilvl w:val="0"/>
          <w:numId w:val="78"/>
        </w:numPr>
        <w:jc w:val="both"/>
        <w:rPr>
          <w:rFonts w:ascii="Times New Roman" w:hAnsi="Times New Roman"/>
          <w:sz w:val="24"/>
          <w:szCs w:val="24"/>
        </w:rPr>
      </w:pPr>
      <w:r>
        <w:rPr>
          <w:rFonts w:ascii="Times New Roman" w:hAnsi="Times New Roman"/>
          <w:sz w:val="24"/>
          <w:szCs w:val="24"/>
        </w:rPr>
        <w:t>Drastic decrease in COVID-19 positive cases; thus, the decrease in COVID-related operations requiring usage of Personal Protective Equipment (PPE), thus, funding for the purchase of PPE was not utilized</w:t>
      </w:r>
    </w:p>
    <w:p>
      <w:pPr>
        <w:pStyle w:val="ListParagraph"/>
        <w:numPr>
          <w:ilvl w:val="0"/>
          <w:numId w:val="78"/>
        </w:numPr>
        <w:jc w:val="both"/>
        <w:rPr>
          <w:rFonts w:ascii="Times New Roman" w:hAnsi="Times New Roman"/>
          <w:sz w:val="24"/>
          <w:szCs w:val="24"/>
        </w:rPr>
      </w:pPr>
      <w:r>
        <w:rPr>
          <w:rFonts w:ascii="Times New Roman" w:hAnsi="Times New Roman"/>
          <w:sz w:val="24"/>
          <w:szCs w:val="24"/>
        </w:rPr>
        <w:t>Failure of bidding in the procurement of medical equipment</w:t>
      </w:r>
    </w:p>
    <w:p>
      <w:pPr>
        <w:pStyle w:val="ListParagraph"/>
        <w:numPr>
          <w:ilvl w:val="0"/>
          <w:numId w:val="78"/>
        </w:numPr>
        <w:jc w:val="both"/>
        <w:rPr>
          <w:rFonts w:ascii="Times New Roman" w:hAnsi="Times New Roman"/>
          <w:sz w:val="24"/>
          <w:szCs w:val="24"/>
        </w:rPr>
      </w:pPr>
      <w:r>
        <w:rPr>
          <w:rFonts w:ascii="Times New Roman" w:hAnsi="Times New Roman"/>
          <w:sz w:val="24"/>
          <w:szCs w:val="24"/>
        </w:rPr>
        <w:t>Time constraint in the processing of documents for the implementation of projects</w:t>
      </w:r>
    </w:p>
    <w:p>
      <w:pPr>
        <w:spacing w:line="276" w:lineRule="auto"/>
        <w:jc w:val="both"/>
      </w:pPr>
      <w:r>
        <w:t>However, the CHO assured that the transaction will resume in the 1</w:t>
      </w:r>
      <w:r>
        <w:rPr>
          <w:vertAlign w:val="superscript"/>
        </w:rPr>
        <w:t>st</w:t>
      </w:r>
      <w:r>
        <w:t xml:space="preserve"> quarter of CY 2023 to enable the project implementation and fund utilization for the LDRRM programs, projects and activities.</w:t>
      </w:r>
    </w:p>
    <w:p>
      <w:pPr>
        <w:spacing w:line="276" w:lineRule="auto"/>
        <w:jc w:val="both"/>
      </w:pPr>
    </w:p>
    <w:p>
      <w:pPr>
        <w:spacing w:line="276" w:lineRule="auto"/>
        <w:jc w:val="both"/>
      </w:pPr>
      <w:r>
        <w:t>The CEO explained that they were not aware of the funding for the purchase of Personal Protective Equipment (PPE) for critical infrastructure assessment. Furthermore, the CEO stated that their office is mandated to provide safe, fast, economical and reliable mobility of people, goods and services through construction, improvement and maintenance of infrastructure projects under RA 7160. The CEO committed to work diligently in the accomplishment of their commitment despite the lack of resources and equipment.</w:t>
      </w:r>
    </w:p>
    <w:p>
      <w:pPr>
        <w:spacing w:line="276" w:lineRule="auto"/>
        <w:jc w:val="both"/>
      </w:pPr>
    </w:p>
    <w:p>
      <w:pPr>
        <w:spacing w:line="276" w:lineRule="auto"/>
        <w:jc w:val="both"/>
      </w:pPr>
      <w:r>
        <w:t>The CPDO stated that in order to accomplish optimum utilization of the 5% CDRRM Fund, they will continue to religiously monitor and evaluate the project implementation and strengthen the feedback mechanism among implementing offices and other partner agencies.</w:t>
      </w:r>
    </w:p>
    <w:p>
      <w:pPr>
        <w:spacing w:line="276" w:lineRule="auto"/>
        <w:jc w:val="both"/>
      </w:pPr>
    </w:p>
    <w:p>
      <w:pPr>
        <w:spacing w:line="276" w:lineRule="auto"/>
        <w:jc w:val="both"/>
      </w:pPr>
      <w:r>
        <w:t xml:space="preserve">During the exit conference, the CDRRMO acknowledged the above-state deficiencies and admitted that they have lapses in monitoring the balance of CDRRM Fund especially for those projects being implemented by other offices. However, they committed to comply with the audit recommendations. The City Accountant further added that the monitoring of unutilized funds will become a regular agendum during the CDRRM Council’s regular meeting. </w:t>
      </w:r>
    </w:p>
    <w:p>
      <w:pPr>
        <w:spacing w:line="276" w:lineRule="auto"/>
        <w:ind w:right="270"/>
        <w:rPr>
          <w:b/>
        </w:rPr>
      </w:pPr>
    </w:p>
    <w:p>
      <w:pPr>
        <w:spacing w:line="276" w:lineRule="auto"/>
        <w:ind w:right="270"/>
        <w:rPr>
          <w:b/>
        </w:rPr>
      </w:pPr>
    </w:p>
    <w:p>
      <w:pPr>
        <w:spacing w:line="276" w:lineRule="auto"/>
        <w:ind w:right="270"/>
        <w:rPr>
          <w:b/>
        </w:rPr>
      </w:pPr>
    </w:p>
    <w:p>
      <w:pPr>
        <w:spacing w:line="276" w:lineRule="auto"/>
        <w:ind w:right="270"/>
        <w:rPr>
          <w:b/>
        </w:rPr>
      </w:pPr>
    </w:p>
    <w:p>
      <w:pPr>
        <w:spacing w:line="276" w:lineRule="auto"/>
        <w:ind w:right="270"/>
        <w:rPr>
          <w:b/>
        </w:rPr>
      </w:pPr>
    </w:p>
    <w:p>
      <w:pPr>
        <w:spacing w:line="276" w:lineRule="auto"/>
        <w:ind w:right="270"/>
        <w:rPr>
          <w:b/>
        </w:rPr>
      </w:pPr>
    </w:p>
    <w:p>
      <w:pPr>
        <w:spacing w:line="276" w:lineRule="auto"/>
        <w:ind w:right="270"/>
        <w:rPr>
          <w:b/>
        </w:rPr>
      </w:pPr>
    </w:p>
    <w:p>
      <w:pPr>
        <w:pStyle w:val="ListParagraph"/>
        <w:numPr>
          <w:ilvl w:val="0"/>
          <w:numId w:val="1"/>
        </w:numPr>
        <w:spacing w:after="0"/>
        <w:ind w:left="360" w:right="270"/>
        <w:jc w:val="both"/>
        <w:rPr>
          <w:rFonts w:ascii="Times New Roman" w:hAnsi="Times New Roman"/>
          <w:b/>
          <w:sz w:val="24"/>
          <w:szCs w:val="24"/>
        </w:rPr>
      </w:pPr>
      <w:r>
        <w:rPr>
          <w:rFonts w:ascii="Times New Roman" w:hAnsi="Times New Roman"/>
          <w:b/>
          <w:sz w:val="24"/>
          <w:szCs w:val="24"/>
        </w:rPr>
        <w:lastRenderedPageBreak/>
        <w:t>OTHERS</w:t>
      </w:r>
    </w:p>
    <w:p>
      <w:pPr>
        <w:pStyle w:val="ListParagraph"/>
        <w:spacing w:after="0"/>
        <w:ind w:left="360" w:right="270"/>
        <w:contextualSpacing w:val="0"/>
        <w:rPr>
          <w:rFonts w:ascii="Times New Roman" w:hAnsi="Times New Roman"/>
          <w:b/>
          <w:sz w:val="24"/>
          <w:szCs w:val="24"/>
        </w:rPr>
      </w:pPr>
    </w:p>
    <w:p>
      <w:pPr>
        <w:autoSpaceDE w:val="0"/>
        <w:autoSpaceDN w:val="0"/>
        <w:adjustRightInd w:val="0"/>
        <w:jc w:val="both"/>
        <w:rPr>
          <w:rFonts w:eastAsiaTheme="minorHAnsi"/>
          <w:b/>
          <w:bCs/>
        </w:rPr>
      </w:pPr>
      <w:r>
        <w:rPr>
          <w:rFonts w:eastAsiaTheme="minorHAnsi"/>
          <w:b/>
          <w:bCs/>
        </w:rPr>
        <w:t>Implementation of Gender and Development Programs and Projects</w:t>
      </w:r>
    </w:p>
    <w:p>
      <w:pPr>
        <w:autoSpaceDE w:val="0"/>
        <w:autoSpaceDN w:val="0"/>
        <w:adjustRightInd w:val="0"/>
        <w:jc w:val="both"/>
        <w:rPr>
          <w:rFonts w:eastAsiaTheme="minorHAnsi"/>
          <w:b/>
          <w:bCs/>
        </w:rPr>
      </w:pPr>
    </w:p>
    <w:p>
      <w:pPr>
        <w:spacing w:line="276" w:lineRule="auto"/>
        <w:jc w:val="both"/>
      </w:pPr>
      <w:r>
        <w:t>The total GAD-related expenditures for CY 2022 were projected to amount P</w:t>
      </w:r>
      <w:r>
        <w:rPr>
          <w:rFonts w:eastAsia="Calibri"/>
          <w:bCs/>
          <w:lang w:val="en-PH" w:eastAsia="en-PH"/>
        </w:rPr>
        <w:t xml:space="preserve">82,492,192.00 </w:t>
      </w:r>
      <w:r>
        <w:t xml:space="preserve">or 7.42 percent of the total General Fund budget of </w:t>
      </w:r>
      <w:proofErr w:type="gramStart"/>
      <w:r>
        <w:t>CGP  for</w:t>
      </w:r>
      <w:proofErr w:type="gramEnd"/>
      <w:r>
        <w:t xml:space="preserve"> CY 2022. The said amount exceeded the required five percent to be set aside for the implementation of GAD programs and projects.</w:t>
      </w:r>
    </w:p>
    <w:p>
      <w:pPr>
        <w:spacing w:line="276" w:lineRule="auto"/>
        <w:ind w:firstLine="720"/>
        <w:jc w:val="both"/>
      </w:pPr>
    </w:p>
    <w:p>
      <w:pPr>
        <w:spacing w:line="276" w:lineRule="auto"/>
        <w:jc w:val="both"/>
      </w:pPr>
      <w:r>
        <w:t>The GAD Plan and Budget (GPB) for CY 2022 were approved by the DILG Provincial Office on November 12, 2021 while the Approved GPB was indorsed to COA on March 1, 2023. Summary of programs and activities embodied in the GAD Plan and Budget for the year for both its employees and clientele are as follows:</w:t>
      </w:r>
    </w:p>
    <w:p>
      <w:pPr>
        <w:spacing w:line="276" w:lineRule="auto"/>
        <w:ind w:firstLine="720"/>
        <w:jc w:val="center"/>
      </w:pPr>
    </w:p>
    <w:tbl>
      <w:tblPr>
        <w:tblW w:w="7384" w:type="dxa"/>
        <w:jc w:val="center"/>
        <w:tblLook w:val="04A0" w:firstRow="1" w:lastRow="0" w:firstColumn="1" w:lastColumn="0" w:noHBand="0" w:noVBand="1"/>
      </w:tblPr>
      <w:tblGrid>
        <w:gridCol w:w="4139"/>
        <w:gridCol w:w="1896"/>
        <w:gridCol w:w="1349"/>
      </w:tblGrid>
      <w:tr>
        <w:trPr>
          <w:trHeight w:val="20"/>
          <w:tblHeader/>
          <w:jc w:val="center"/>
        </w:trPr>
        <w:tc>
          <w:tcPr>
            <w:tcW w:w="4139"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pPr>
              <w:spacing w:line="276" w:lineRule="auto"/>
              <w:jc w:val="center"/>
              <w:rPr>
                <w:b/>
                <w:bCs/>
                <w:sz w:val="22"/>
                <w:szCs w:val="22"/>
                <w:lang w:val="en-PH" w:eastAsia="en-PH"/>
              </w:rPr>
            </w:pPr>
            <w:r>
              <w:rPr>
                <w:b/>
                <w:bCs/>
                <w:sz w:val="22"/>
                <w:szCs w:val="22"/>
                <w:lang w:val="en-PH" w:eastAsia="en-PH"/>
              </w:rPr>
              <w:t>Gender Issue and/or GAD Mandate</w:t>
            </w:r>
          </w:p>
        </w:tc>
        <w:tc>
          <w:tcPr>
            <w:tcW w:w="1896" w:type="dxa"/>
            <w:tcBorders>
              <w:top w:val="single" w:sz="8" w:space="0" w:color="auto"/>
              <w:left w:val="nil"/>
              <w:bottom w:val="nil"/>
              <w:right w:val="single" w:sz="8" w:space="0" w:color="auto"/>
            </w:tcBorders>
            <w:shd w:val="clear" w:color="auto" w:fill="D9D9D9" w:themeFill="background1" w:themeFillShade="D9"/>
            <w:vAlign w:val="center"/>
            <w:hideMark/>
          </w:tcPr>
          <w:p>
            <w:pPr>
              <w:spacing w:line="276" w:lineRule="auto"/>
              <w:jc w:val="center"/>
              <w:rPr>
                <w:b/>
                <w:bCs/>
                <w:sz w:val="22"/>
                <w:szCs w:val="22"/>
                <w:lang w:val="en-PH" w:eastAsia="en-PH"/>
              </w:rPr>
            </w:pPr>
            <w:r>
              <w:rPr>
                <w:b/>
                <w:bCs/>
                <w:sz w:val="22"/>
                <w:szCs w:val="22"/>
                <w:lang w:val="en-PH" w:eastAsia="en-PH"/>
              </w:rPr>
              <w:t>GAD Budget</w:t>
            </w:r>
          </w:p>
        </w:tc>
        <w:tc>
          <w:tcPr>
            <w:tcW w:w="1349" w:type="dxa"/>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pPr>
              <w:spacing w:line="276" w:lineRule="auto"/>
              <w:jc w:val="center"/>
              <w:rPr>
                <w:b/>
                <w:bCs/>
                <w:sz w:val="22"/>
                <w:szCs w:val="22"/>
                <w:lang w:val="en-PH" w:eastAsia="en-PH"/>
              </w:rPr>
            </w:pPr>
            <w:r>
              <w:rPr>
                <w:b/>
                <w:bCs/>
                <w:sz w:val="22"/>
                <w:szCs w:val="22"/>
                <w:lang w:val="en-PH" w:eastAsia="en-PH"/>
              </w:rPr>
              <w:t>Percentage</w:t>
            </w:r>
          </w:p>
        </w:tc>
      </w:tr>
      <w:tr>
        <w:trPr>
          <w:trHeight w:val="20"/>
          <w:tblHeader/>
          <w:jc w:val="center"/>
        </w:trPr>
        <w:tc>
          <w:tcPr>
            <w:tcW w:w="4139" w:type="dxa"/>
            <w:vMerge/>
            <w:tcBorders>
              <w:top w:val="single" w:sz="8" w:space="0" w:color="auto"/>
              <w:left w:val="single" w:sz="8" w:space="0" w:color="auto"/>
              <w:bottom w:val="single" w:sz="8" w:space="0" w:color="000000"/>
              <w:right w:val="single" w:sz="8" w:space="0" w:color="auto"/>
            </w:tcBorders>
            <w:vAlign w:val="center"/>
            <w:hideMark/>
          </w:tcPr>
          <w:p>
            <w:pPr>
              <w:spacing w:line="276" w:lineRule="auto"/>
              <w:rPr>
                <w:b/>
                <w:bCs/>
                <w:sz w:val="22"/>
                <w:szCs w:val="22"/>
                <w:lang w:val="en-PH" w:eastAsia="en-PH"/>
              </w:rPr>
            </w:pPr>
          </w:p>
        </w:tc>
        <w:tc>
          <w:tcPr>
            <w:tcW w:w="1896" w:type="dxa"/>
            <w:tcBorders>
              <w:top w:val="nil"/>
              <w:left w:val="nil"/>
              <w:bottom w:val="single" w:sz="8" w:space="0" w:color="auto"/>
              <w:right w:val="single" w:sz="8" w:space="0" w:color="auto"/>
            </w:tcBorders>
            <w:shd w:val="clear" w:color="auto" w:fill="D9D9D9" w:themeFill="background1" w:themeFillShade="D9"/>
            <w:vAlign w:val="center"/>
            <w:hideMark/>
          </w:tcPr>
          <w:p>
            <w:pPr>
              <w:spacing w:line="276" w:lineRule="auto"/>
              <w:jc w:val="center"/>
              <w:rPr>
                <w:b/>
                <w:bCs/>
                <w:i/>
                <w:sz w:val="22"/>
                <w:szCs w:val="22"/>
                <w:lang w:val="en-PH" w:eastAsia="en-PH"/>
              </w:rPr>
            </w:pPr>
            <w:r>
              <w:rPr>
                <w:b/>
                <w:bCs/>
                <w:i/>
                <w:sz w:val="22"/>
                <w:szCs w:val="22"/>
                <w:lang w:val="en-PH" w:eastAsia="en-PH"/>
              </w:rPr>
              <w:t xml:space="preserve">(in </w:t>
            </w:r>
            <w:proofErr w:type="spellStart"/>
            <w:r>
              <w:rPr>
                <w:b/>
                <w:bCs/>
                <w:i/>
                <w:sz w:val="22"/>
                <w:szCs w:val="22"/>
                <w:lang w:val="en-PH" w:eastAsia="en-PH"/>
              </w:rPr>
              <w:t>PhP</w:t>
            </w:r>
            <w:proofErr w:type="spellEnd"/>
            <w:r>
              <w:rPr>
                <w:b/>
                <w:bCs/>
                <w:i/>
                <w:sz w:val="22"/>
                <w:szCs w:val="22"/>
                <w:lang w:val="en-PH" w:eastAsia="en-PH"/>
              </w:rPr>
              <w:t>)</w:t>
            </w:r>
          </w:p>
        </w:tc>
        <w:tc>
          <w:tcPr>
            <w:tcW w:w="1349" w:type="dxa"/>
            <w:vMerge/>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pPr>
              <w:spacing w:line="276" w:lineRule="auto"/>
              <w:rPr>
                <w:b/>
                <w:bCs/>
                <w:sz w:val="22"/>
                <w:szCs w:val="22"/>
                <w:lang w:val="en-PH" w:eastAsia="en-PH"/>
              </w:rPr>
            </w:pPr>
          </w:p>
        </w:tc>
      </w:tr>
      <w:tr>
        <w:trPr>
          <w:trHeight w:val="20"/>
          <w:jc w:val="center"/>
        </w:trPr>
        <w:tc>
          <w:tcPr>
            <w:tcW w:w="4139" w:type="dxa"/>
            <w:tcBorders>
              <w:top w:val="nil"/>
              <w:left w:val="single" w:sz="8" w:space="0" w:color="auto"/>
              <w:bottom w:val="single" w:sz="8" w:space="0" w:color="auto"/>
              <w:right w:val="single" w:sz="8" w:space="0" w:color="auto"/>
            </w:tcBorders>
            <w:shd w:val="clear" w:color="auto" w:fill="auto"/>
            <w:vAlign w:val="center"/>
            <w:hideMark/>
          </w:tcPr>
          <w:p>
            <w:pPr>
              <w:pStyle w:val="ListParagraph"/>
              <w:numPr>
                <w:ilvl w:val="0"/>
                <w:numId w:val="76"/>
              </w:numPr>
              <w:spacing w:after="0"/>
              <w:ind w:left="348"/>
              <w:jc w:val="both"/>
              <w:rPr>
                <w:rFonts w:ascii="Times New Roman" w:hAnsi="Times New Roman"/>
                <w:lang w:eastAsia="en-PH"/>
              </w:rPr>
            </w:pPr>
            <w:r>
              <w:rPr>
                <w:rFonts w:ascii="Times New Roman" w:hAnsi="Times New Roman"/>
                <w:lang w:eastAsia="en-PH"/>
              </w:rPr>
              <w:t>Client-Focused</w:t>
            </w:r>
          </w:p>
        </w:tc>
        <w:tc>
          <w:tcPr>
            <w:tcW w:w="1896" w:type="dxa"/>
            <w:tcBorders>
              <w:top w:val="nil"/>
              <w:left w:val="nil"/>
              <w:bottom w:val="single" w:sz="8" w:space="0" w:color="auto"/>
              <w:right w:val="single" w:sz="8" w:space="0" w:color="auto"/>
            </w:tcBorders>
            <w:shd w:val="clear" w:color="auto" w:fill="auto"/>
            <w:vAlign w:val="center"/>
          </w:tcPr>
          <w:p>
            <w:pPr>
              <w:spacing w:line="276" w:lineRule="auto"/>
              <w:jc w:val="right"/>
              <w:rPr>
                <w:sz w:val="22"/>
                <w:szCs w:val="22"/>
                <w:lang w:val="en-PH" w:eastAsia="en-PH"/>
              </w:rPr>
            </w:pPr>
            <w:r>
              <w:rPr>
                <w:sz w:val="22"/>
                <w:szCs w:val="22"/>
                <w:lang w:val="en-PH" w:eastAsia="en-PH"/>
              </w:rPr>
              <w:t>74,605,588.00</w:t>
            </w:r>
          </w:p>
        </w:tc>
        <w:tc>
          <w:tcPr>
            <w:tcW w:w="1349" w:type="dxa"/>
            <w:tcBorders>
              <w:top w:val="nil"/>
              <w:left w:val="nil"/>
              <w:bottom w:val="single" w:sz="8" w:space="0" w:color="auto"/>
              <w:right w:val="single" w:sz="8" w:space="0" w:color="auto"/>
            </w:tcBorders>
            <w:shd w:val="clear" w:color="auto" w:fill="auto"/>
            <w:vAlign w:val="center"/>
          </w:tcPr>
          <w:p>
            <w:pPr>
              <w:spacing w:line="276" w:lineRule="auto"/>
              <w:jc w:val="right"/>
              <w:rPr>
                <w:sz w:val="22"/>
                <w:szCs w:val="22"/>
                <w:lang w:val="en-PH" w:eastAsia="en-PH"/>
              </w:rPr>
            </w:pPr>
            <w:r>
              <w:rPr>
                <w:sz w:val="22"/>
                <w:szCs w:val="22"/>
                <w:lang w:val="en-PH" w:eastAsia="en-PH"/>
              </w:rPr>
              <w:t>90.44%</w:t>
            </w:r>
          </w:p>
        </w:tc>
      </w:tr>
      <w:tr>
        <w:trPr>
          <w:trHeight w:val="20"/>
          <w:jc w:val="center"/>
        </w:trPr>
        <w:tc>
          <w:tcPr>
            <w:tcW w:w="4139" w:type="dxa"/>
            <w:tcBorders>
              <w:top w:val="nil"/>
              <w:left w:val="single" w:sz="8" w:space="0" w:color="auto"/>
              <w:bottom w:val="single" w:sz="8" w:space="0" w:color="auto"/>
              <w:right w:val="single" w:sz="8" w:space="0" w:color="auto"/>
            </w:tcBorders>
            <w:shd w:val="clear" w:color="auto" w:fill="auto"/>
            <w:vAlign w:val="center"/>
            <w:hideMark/>
          </w:tcPr>
          <w:p>
            <w:pPr>
              <w:pStyle w:val="ListParagraph"/>
              <w:numPr>
                <w:ilvl w:val="0"/>
                <w:numId w:val="76"/>
              </w:numPr>
              <w:spacing w:after="0"/>
              <w:ind w:left="348"/>
              <w:jc w:val="both"/>
              <w:rPr>
                <w:rFonts w:ascii="Times New Roman" w:hAnsi="Times New Roman"/>
                <w:lang w:eastAsia="en-PH"/>
              </w:rPr>
            </w:pPr>
            <w:r>
              <w:rPr>
                <w:rFonts w:ascii="Times New Roman" w:hAnsi="Times New Roman"/>
                <w:lang w:eastAsia="en-PH"/>
              </w:rPr>
              <w:t>Organization-Focused</w:t>
            </w:r>
          </w:p>
        </w:tc>
        <w:tc>
          <w:tcPr>
            <w:tcW w:w="1896" w:type="dxa"/>
            <w:tcBorders>
              <w:top w:val="nil"/>
              <w:left w:val="nil"/>
              <w:bottom w:val="single" w:sz="8" w:space="0" w:color="auto"/>
              <w:right w:val="single" w:sz="8" w:space="0" w:color="auto"/>
            </w:tcBorders>
            <w:shd w:val="clear" w:color="auto" w:fill="auto"/>
            <w:vAlign w:val="center"/>
          </w:tcPr>
          <w:p>
            <w:pPr>
              <w:spacing w:line="276" w:lineRule="auto"/>
              <w:jc w:val="right"/>
              <w:rPr>
                <w:sz w:val="22"/>
                <w:szCs w:val="22"/>
                <w:lang w:val="en-PH" w:eastAsia="en-PH"/>
              </w:rPr>
            </w:pPr>
            <w:r>
              <w:rPr>
                <w:sz w:val="22"/>
                <w:szCs w:val="22"/>
                <w:lang w:val="en-PH" w:eastAsia="en-PH"/>
              </w:rPr>
              <w:t>2,309,104.00</w:t>
            </w:r>
          </w:p>
        </w:tc>
        <w:tc>
          <w:tcPr>
            <w:tcW w:w="1349" w:type="dxa"/>
            <w:tcBorders>
              <w:top w:val="nil"/>
              <w:left w:val="nil"/>
              <w:bottom w:val="single" w:sz="8" w:space="0" w:color="auto"/>
              <w:right w:val="single" w:sz="8" w:space="0" w:color="auto"/>
            </w:tcBorders>
            <w:shd w:val="clear" w:color="auto" w:fill="auto"/>
            <w:vAlign w:val="center"/>
          </w:tcPr>
          <w:p>
            <w:pPr>
              <w:spacing w:line="276" w:lineRule="auto"/>
              <w:jc w:val="right"/>
              <w:rPr>
                <w:sz w:val="22"/>
                <w:szCs w:val="22"/>
                <w:lang w:val="en-PH" w:eastAsia="en-PH"/>
              </w:rPr>
            </w:pPr>
            <w:r>
              <w:rPr>
                <w:sz w:val="22"/>
                <w:szCs w:val="22"/>
                <w:lang w:val="en-PH" w:eastAsia="en-PH"/>
              </w:rPr>
              <w:t>2.80%</w:t>
            </w:r>
          </w:p>
        </w:tc>
      </w:tr>
      <w:tr>
        <w:trPr>
          <w:trHeight w:val="20"/>
          <w:jc w:val="center"/>
        </w:trPr>
        <w:tc>
          <w:tcPr>
            <w:tcW w:w="4139" w:type="dxa"/>
            <w:tcBorders>
              <w:top w:val="nil"/>
              <w:left w:val="single" w:sz="8" w:space="0" w:color="auto"/>
              <w:bottom w:val="single" w:sz="8" w:space="0" w:color="auto"/>
              <w:right w:val="single" w:sz="8" w:space="0" w:color="auto"/>
            </w:tcBorders>
            <w:shd w:val="clear" w:color="auto" w:fill="auto"/>
            <w:vAlign w:val="center"/>
            <w:hideMark/>
          </w:tcPr>
          <w:p>
            <w:pPr>
              <w:pStyle w:val="ListParagraph"/>
              <w:numPr>
                <w:ilvl w:val="0"/>
                <w:numId w:val="76"/>
              </w:numPr>
              <w:spacing w:after="0"/>
              <w:ind w:left="348"/>
              <w:jc w:val="both"/>
              <w:rPr>
                <w:rFonts w:ascii="Times New Roman" w:hAnsi="Times New Roman"/>
                <w:lang w:eastAsia="en-PH"/>
              </w:rPr>
            </w:pPr>
            <w:r>
              <w:rPr>
                <w:rFonts w:ascii="Times New Roman" w:hAnsi="Times New Roman"/>
                <w:lang w:eastAsia="en-PH"/>
              </w:rPr>
              <w:t>Attributed PAPs</w:t>
            </w:r>
          </w:p>
        </w:tc>
        <w:tc>
          <w:tcPr>
            <w:tcW w:w="1896" w:type="dxa"/>
            <w:tcBorders>
              <w:top w:val="nil"/>
              <w:left w:val="nil"/>
              <w:bottom w:val="single" w:sz="8" w:space="0" w:color="auto"/>
              <w:right w:val="single" w:sz="8" w:space="0" w:color="auto"/>
            </w:tcBorders>
            <w:shd w:val="clear" w:color="auto" w:fill="auto"/>
            <w:vAlign w:val="center"/>
          </w:tcPr>
          <w:p>
            <w:pPr>
              <w:spacing w:line="276" w:lineRule="auto"/>
              <w:jc w:val="right"/>
              <w:rPr>
                <w:sz w:val="22"/>
                <w:szCs w:val="22"/>
                <w:lang w:val="en-PH" w:eastAsia="en-PH"/>
              </w:rPr>
            </w:pPr>
            <w:r>
              <w:rPr>
                <w:sz w:val="22"/>
                <w:szCs w:val="22"/>
                <w:lang w:val="en-PH" w:eastAsia="en-PH"/>
              </w:rPr>
              <w:t>5,577,500.00</w:t>
            </w:r>
          </w:p>
        </w:tc>
        <w:tc>
          <w:tcPr>
            <w:tcW w:w="1349" w:type="dxa"/>
            <w:tcBorders>
              <w:top w:val="nil"/>
              <w:left w:val="nil"/>
              <w:bottom w:val="single" w:sz="8" w:space="0" w:color="auto"/>
              <w:right w:val="single" w:sz="8" w:space="0" w:color="auto"/>
            </w:tcBorders>
            <w:shd w:val="clear" w:color="auto" w:fill="auto"/>
            <w:vAlign w:val="center"/>
          </w:tcPr>
          <w:p>
            <w:pPr>
              <w:spacing w:line="276" w:lineRule="auto"/>
              <w:jc w:val="right"/>
              <w:rPr>
                <w:sz w:val="22"/>
                <w:szCs w:val="22"/>
                <w:lang w:val="en-PH" w:eastAsia="en-PH"/>
              </w:rPr>
            </w:pPr>
            <w:r>
              <w:rPr>
                <w:sz w:val="22"/>
                <w:szCs w:val="22"/>
                <w:lang w:val="en-PH" w:eastAsia="en-PH"/>
              </w:rPr>
              <w:t>6.76%</w:t>
            </w:r>
          </w:p>
        </w:tc>
      </w:tr>
      <w:tr>
        <w:trPr>
          <w:trHeight w:val="20"/>
          <w:jc w:val="center"/>
        </w:trPr>
        <w:tc>
          <w:tcPr>
            <w:tcW w:w="4139" w:type="dxa"/>
            <w:tcBorders>
              <w:top w:val="nil"/>
              <w:left w:val="single" w:sz="8" w:space="0" w:color="auto"/>
              <w:bottom w:val="single" w:sz="8" w:space="0" w:color="auto"/>
              <w:right w:val="single" w:sz="8" w:space="0" w:color="auto"/>
            </w:tcBorders>
            <w:shd w:val="clear" w:color="auto" w:fill="auto"/>
            <w:vAlign w:val="center"/>
            <w:hideMark/>
          </w:tcPr>
          <w:p>
            <w:pPr>
              <w:spacing w:line="276" w:lineRule="auto"/>
              <w:jc w:val="both"/>
              <w:rPr>
                <w:b/>
                <w:bCs/>
                <w:sz w:val="22"/>
                <w:szCs w:val="22"/>
                <w:lang w:val="en-PH" w:eastAsia="en-PH"/>
              </w:rPr>
            </w:pPr>
            <w:r>
              <w:rPr>
                <w:b/>
                <w:bCs/>
                <w:sz w:val="22"/>
                <w:szCs w:val="22"/>
                <w:lang w:val="en-PH" w:eastAsia="en-PH"/>
              </w:rPr>
              <w:t>Total</w:t>
            </w:r>
          </w:p>
        </w:tc>
        <w:tc>
          <w:tcPr>
            <w:tcW w:w="1896" w:type="dxa"/>
            <w:tcBorders>
              <w:top w:val="nil"/>
              <w:left w:val="nil"/>
              <w:bottom w:val="single" w:sz="8" w:space="0" w:color="auto"/>
              <w:right w:val="single" w:sz="8" w:space="0" w:color="auto"/>
            </w:tcBorders>
            <w:shd w:val="clear" w:color="auto" w:fill="auto"/>
            <w:vAlign w:val="center"/>
            <w:hideMark/>
          </w:tcPr>
          <w:p>
            <w:pPr>
              <w:spacing w:line="276" w:lineRule="auto"/>
              <w:jc w:val="right"/>
              <w:rPr>
                <w:b/>
                <w:bCs/>
                <w:sz w:val="22"/>
                <w:szCs w:val="22"/>
                <w:lang w:val="en-PH" w:eastAsia="en-PH"/>
              </w:rPr>
            </w:pPr>
            <w:r>
              <w:rPr>
                <w:b/>
                <w:bCs/>
                <w:sz w:val="22"/>
                <w:szCs w:val="22"/>
                <w:lang w:val="en-PH" w:eastAsia="en-PH"/>
              </w:rPr>
              <w:t>82,492,192.00</w:t>
            </w:r>
          </w:p>
        </w:tc>
        <w:tc>
          <w:tcPr>
            <w:tcW w:w="1349" w:type="dxa"/>
            <w:tcBorders>
              <w:top w:val="nil"/>
              <w:left w:val="nil"/>
              <w:bottom w:val="single" w:sz="8" w:space="0" w:color="auto"/>
              <w:right w:val="single" w:sz="8" w:space="0" w:color="auto"/>
            </w:tcBorders>
            <w:shd w:val="clear" w:color="auto" w:fill="auto"/>
            <w:vAlign w:val="center"/>
            <w:hideMark/>
          </w:tcPr>
          <w:p>
            <w:pPr>
              <w:spacing w:line="276" w:lineRule="auto"/>
              <w:jc w:val="right"/>
              <w:rPr>
                <w:b/>
                <w:bCs/>
                <w:sz w:val="22"/>
                <w:szCs w:val="22"/>
                <w:lang w:val="en-PH" w:eastAsia="en-PH"/>
              </w:rPr>
            </w:pPr>
            <w:r>
              <w:rPr>
                <w:rFonts w:eastAsia="Calibri"/>
                <w:b/>
                <w:bCs/>
                <w:sz w:val="22"/>
                <w:szCs w:val="22"/>
                <w:lang w:val="en-PH" w:eastAsia="en-PH"/>
              </w:rPr>
              <w:t>100.00%</w:t>
            </w:r>
          </w:p>
        </w:tc>
      </w:tr>
      <w:tr>
        <w:trPr>
          <w:trHeight w:val="20"/>
          <w:jc w:val="center"/>
        </w:trPr>
        <w:tc>
          <w:tcPr>
            <w:tcW w:w="4139" w:type="dxa"/>
            <w:tcBorders>
              <w:top w:val="nil"/>
              <w:left w:val="single" w:sz="8" w:space="0" w:color="auto"/>
              <w:bottom w:val="single" w:sz="8" w:space="0" w:color="auto"/>
              <w:right w:val="single" w:sz="8" w:space="0" w:color="auto"/>
            </w:tcBorders>
            <w:shd w:val="clear" w:color="auto" w:fill="auto"/>
            <w:vAlign w:val="center"/>
            <w:hideMark/>
          </w:tcPr>
          <w:p>
            <w:pPr>
              <w:spacing w:line="276" w:lineRule="auto"/>
              <w:jc w:val="both"/>
              <w:rPr>
                <w:b/>
                <w:bCs/>
                <w:sz w:val="22"/>
                <w:szCs w:val="22"/>
                <w:lang w:val="en-PH" w:eastAsia="en-PH"/>
              </w:rPr>
            </w:pPr>
            <w:r>
              <w:rPr>
                <w:b/>
                <w:bCs/>
                <w:sz w:val="22"/>
                <w:szCs w:val="22"/>
                <w:lang w:val="en-PH" w:eastAsia="en-PH"/>
              </w:rPr>
              <w:t>Total Annual Appropriation CY2022</w:t>
            </w:r>
          </w:p>
        </w:tc>
        <w:tc>
          <w:tcPr>
            <w:tcW w:w="1896" w:type="dxa"/>
            <w:tcBorders>
              <w:top w:val="nil"/>
              <w:left w:val="nil"/>
              <w:bottom w:val="single" w:sz="8" w:space="0" w:color="auto"/>
              <w:right w:val="single" w:sz="8" w:space="0" w:color="auto"/>
            </w:tcBorders>
            <w:shd w:val="clear" w:color="auto" w:fill="auto"/>
            <w:vAlign w:val="center"/>
            <w:hideMark/>
          </w:tcPr>
          <w:p>
            <w:pPr>
              <w:spacing w:line="276" w:lineRule="auto"/>
              <w:jc w:val="right"/>
              <w:rPr>
                <w:b/>
                <w:bCs/>
                <w:sz w:val="22"/>
                <w:szCs w:val="22"/>
                <w:lang w:val="en-PH" w:eastAsia="en-PH"/>
              </w:rPr>
            </w:pPr>
            <w:r>
              <w:rPr>
                <w:b/>
                <w:bCs/>
                <w:sz w:val="22"/>
                <w:szCs w:val="22"/>
                <w:lang w:val="en-PH" w:eastAsia="en-PH"/>
              </w:rPr>
              <w:t>1,111,983,451.00</w:t>
            </w:r>
          </w:p>
        </w:tc>
        <w:tc>
          <w:tcPr>
            <w:tcW w:w="1349" w:type="dxa"/>
            <w:tcBorders>
              <w:top w:val="nil"/>
              <w:left w:val="nil"/>
              <w:bottom w:val="single" w:sz="8" w:space="0" w:color="auto"/>
              <w:right w:val="single" w:sz="8" w:space="0" w:color="auto"/>
            </w:tcBorders>
            <w:shd w:val="clear" w:color="auto" w:fill="auto"/>
            <w:vAlign w:val="center"/>
            <w:hideMark/>
          </w:tcPr>
          <w:p>
            <w:pPr>
              <w:spacing w:line="276" w:lineRule="auto"/>
              <w:jc w:val="both"/>
              <w:rPr>
                <w:sz w:val="22"/>
                <w:szCs w:val="22"/>
                <w:lang w:val="en-PH" w:eastAsia="en-PH"/>
              </w:rPr>
            </w:pPr>
            <w:r>
              <w:rPr>
                <w:rFonts w:eastAsia="Calibri"/>
                <w:sz w:val="22"/>
                <w:szCs w:val="22"/>
                <w:lang w:val="en-PH" w:eastAsia="en-PH"/>
              </w:rPr>
              <w:t> </w:t>
            </w:r>
          </w:p>
        </w:tc>
      </w:tr>
      <w:tr>
        <w:trPr>
          <w:trHeight w:val="20"/>
          <w:jc w:val="center"/>
        </w:trPr>
        <w:tc>
          <w:tcPr>
            <w:tcW w:w="4139" w:type="dxa"/>
            <w:tcBorders>
              <w:top w:val="nil"/>
              <w:left w:val="single" w:sz="8" w:space="0" w:color="auto"/>
              <w:bottom w:val="single" w:sz="8" w:space="0" w:color="auto"/>
              <w:right w:val="single" w:sz="8" w:space="0" w:color="auto"/>
            </w:tcBorders>
            <w:shd w:val="clear" w:color="auto" w:fill="auto"/>
            <w:vAlign w:val="center"/>
            <w:hideMark/>
          </w:tcPr>
          <w:p>
            <w:pPr>
              <w:spacing w:line="276" w:lineRule="auto"/>
              <w:jc w:val="both"/>
              <w:rPr>
                <w:b/>
                <w:bCs/>
                <w:sz w:val="22"/>
                <w:szCs w:val="22"/>
                <w:lang w:val="en-PH" w:eastAsia="en-PH"/>
              </w:rPr>
            </w:pPr>
            <w:r>
              <w:rPr>
                <w:b/>
                <w:bCs/>
                <w:sz w:val="22"/>
                <w:szCs w:val="22"/>
                <w:lang w:val="en-PH" w:eastAsia="en-PH"/>
              </w:rPr>
              <w:t>Percentage</w:t>
            </w:r>
          </w:p>
        </w:tc>
        <w:tc>
          <w:tcPr>
            <w:tcW w:w="1896" w:type="dxa"/>
            <w:tcBorders>
              <w:top w:val="nil"/>
              <w:left w:val="nil"/>
              <w:bottom w:val="single" w:sz="8" w:space="0" w:color="auto"/>
              <w:right w:val="single" w:sz="8" w:space="0" w:color="auto"/>
            </w:tcBorders>
            <w:shd w:val="clear" w:color="auto" w:fill="auto"/>
            <w:vAlign w:val="center"/>
            <w:hideMark/>
          </w:tcPr>
          <w:p>
            <w:pPr>
              <w:spacing w:line="276" w:lineRule="auto"/>
              <w:jc w:val="right"/>
              <w:rPr>
                <w:b/>
                <w:bCs/>
                <w:sz w:val="22"/>
                <w:szCs w:val="22"/>
                <w:lang w:val="en-PH" w:eastAsia="en-PH"/>
              </w:rPr>
            </w:pPr>
            <w:r>
              <w:rPr>
                <w:rFonts w:eastAsia="Calibri"/>
                <w:b/>
                <w:bCs/>
                <w:sz w:val="22"/>
                <w:szCs w:val="22"/>
                <w:lang w:val="en-PH" w:eastAsia="en-PH"/>
              </w:rPr>
              <w:t>7.42%</w:t>
            </w:r>
          </w:p>
        </w:tc>
        <w:tc>
          <w:tcPr>
            <w:tcW w:w="1349" w:type="dxa"/>
            <w:tcBorders>
              <w:top w:val="nil"/>
              <w:left w:val="nil"/>
              <w:bottom w:val="single" w:sz="8" w:space="0" w:color="auto"/>
              <w:right w:val="single" w:sz="8" w:space="0" w:color="auto"/>
            </w:tcBorders>
            <w:shd w:val="clear" w:color="auto" w:fill="auto"/>
            <w:vAlign w:val="center"/>
            <w:hideMark/>
          </w:tcPr>
          <w:p>
            <w:pPr>
              <w:spacing w:line="276" w:lineRule="auto"/>
              <w:jc w:val="both"/>
              <w:rPr>
                <w:b/>
                <w:bCs/>
                <w:sz w:val="22"/>
                <w:szCs w:val="22"/>
                <w:lang w:val="en-PH" w:eastAsia="en-PH"/>
              </w:rPr>
            </w:pPr>
            <w:r>
              <w:rPr>
                <w:rFonts w:eastAsia="Calibri"/>
                <w:b/>
                <w:bCs/>
                <w:sz w:val="22"/>
                <w:szCs w:val="22"/>
                <w:lang w:val="en-PH" w:eastAsia="en-PH"/>
              </w:rPr>
              <w:t> </w:t>
            </w:r>
          </w:p>
        </w:tc>
      </w:tr>
    </w:tbl>
    <w:p>
      <w:pPr>
        <w:spacing w:line="276" w:lineRule="auto"/>
        <w:jc w:val="both"/>
      </w:pPr>
    </w:p>
    <w:p>
      <w:pPr>
        <w:spacing w:line="276" w:lineRule="auto"/>
        <w:jc w:val="both"/>
      </w:pPr>
      <w:r>
        <w:t xml:space="preserve">Evaluation of the GAD Accomplishment Report showed that the Actual GAD Budget for the CY 2022 amounted to P90,595,488.94. The increase was from the enacted Supplemental Budgets with corresponding GAD appropriations. Moreover, 88.06% of the programs and activities were undertaken during the year. As can be gleaned from the table below, 93.34% of client-focused programs and 69.23% of the organization-focused programs were conducted during the year.  </w:t>
      </w:r>
    </w:p>
    <w:p>
      <w:pPr>
        <w:spacing w:line="276" w:lineRule="auto"/>
        <w:ind w:firstLine="720"/>
        <w:jc w:val="both"/>
      </w:pPr>
    </w:p>
    <w:tbl>
      <w:tblPr>
        <w:tblW w:w="5000" w:type="pct"/>
        <w:tblLook w:val="04A0" w:firstRow="1" w:lastRow="0" w:firstColumn="1" w:lastColumn="0" w:noHBand="0" w:noVBand="1"/>
      </w:tblPr>
      <w:tblGrid>
        <w:gridCol w:w="3707"/>
        <w:gridCol w:w="1683"/>
        <w:gridCol w:w="1755"/>
        <w:gridCol w:w="1711"/>
      </w:tblGrid>
      <w:tr>
        <w:trPr>
          <w:trHeight w:val="645"/>
        </w:trPr>
        <w:tc>
          <w:tcPr>
            <w:tcW w:w="2093" w:type="pct"/>
            <w:tcBorders>
              <w:top w:val="single" w:sz="8" w:space="0" w:color="auto"/>
              <w:left w:val="single" w:sz="8" w:space="0" w:color="auto"/>
              <w:bottom w:val="single" w:sz="8" w:space="0" w:color="auto"/>
              <w:right w:val="single" w:sz="8" w:space="0" w:color="auto"/>
            </w:tcBorders>
            <w:shd w:val="clear" w:color="auto" w:fill="auto"/>
            <w:vAlign w:val="center"/>
            <w:hideMark/>
          </w:tcPr>
          <w:p>
            <w:pPr>
              <w:spacing w:line="276" w:lineRule="auto"/>
              <w:jc w:val="center"/>
              <w:rPr>
                <w:b/>
                <w:bCs/>
                <w:sz w:val="22"/>
                <w:szCs w:val="22"/>
                <w:lang w:val="en-PH" w:eastAsia="en-PH"/>
              </w:rPr>
            </w:pPr>
            <w:r>
              <w:rPr>
                <w:b/>
                <w:bCs/>
                <w:sz w:val="22"/>
                <w:szCs w:val="22"/>
                <w:lang w:val="en-PH" w:eastAsia="en-PH"/>
              </w:rPr>
              <w:t>Gender Issue and/or GAD Mandate</w:t>
            </w:r>
          </w:p>
        </w:tc>
        <w:tc>
          <w:tcPr>
            <w:tcW w:w="950" w:type="pct"/>
            <w:tcBorders>
              <w:top w:val="single" w:sz="8" w:space="0" w:color="auto"/>
              <w:left w:val="nil"/>
              <w:bottom w:val="single" w:sz="8" w:space="0" w:color="auto"/>
              <w:right w:val="single" w:sz="8" w:space="0" w:color="auto"/>
            </w:tcBorders>
            <w:shd w:val="clear" w:color="auto" w:fill="auto"/>
            <w:vAlign w:val="center"/>
            <w:hideMark/>
          </w:tcPr>
          <w:p>
            <w:pPr>
              <w:spacing w:line="276" w:lineRule="auto"/>
              <w:jc w:val="center"/>
              <w:rPr>
                <w:b/>
                <w:bCs/>
                <w:sz w:val="22"/>
                <w:szCs w:val="22"/>
                <w:lang w:val="en-PH" w:eastAsia="en-PH"/>
              </w:rPr>
            </w:pPr>
            <w:r>
              <w:rPr>
                <w:b/>
                <w:bCs/>
                <w:sz w:val="22"/>
                <w:szCs w:val="22"/>
                <w:lang w:val="en-PH" w:eastAsia="en-PH"/>
              </w:rPr>
              <w:t xml:space="preserve">Actual GAD Budget </w:t>
            </w:r>
          </w:p>
        </w:tc>
        <w:tc>
          <w:tcPr>
            <w:tcW w:w="991" w:type="pct"/>
            <w:tcBorders>
              <w:top w:val="single" w:sz="8" w:space="0" w:color="auto"/>
              <w:left w:val="nil"/>
              <w:bottom w:val="single" w:sz="8" w:space="0" w:color="auto"/>
              <w:right w:val="single" w:sz="8" w:space="0" w:color="auto"/>
            </w:tcBorders>
            <w:shd w:val="clear" w:color="auto" w:fill="auto"/>
            <w:vAlign w:val="center"/>
            <w:hideMark/>
          </w:tcPr>
          <w:p>
            <w:pPr>
              <w:spacing w:line="276" w:lineRule="auto"/>
              <w:jc w:val="center"/>
              <w:rPr>
                <w:b/>
                <w:bCs/>
                <w:sz w:val="22"/>
                <w:szCs w:val="22"/>
                <w:lang w:val="en-PH" w:eastAsia="en-PH"/>
              </w:rPr>
            </w:pPr>
            <w:r>
              <w:rPr>
                <w:b/>
                <w:bCs/>
                <w:sz w:val="22"/>
                <w:szCs w:val="22"/>
                <w:lang w:val="en-PH" w:eastAsia="en-PH"/>
              </w:rPr>
              <w:t xml:space="preserve"> Actual Expenditure </w:t>
            </w:r>
          </w:p>
        </w:tc>
        <w:tc>
          <w:tcPr>
            <w:tcW w:w="966" w:type="pct"/>
            <w:tcBorders>
              <w:top w:val="single" w:sz="8" w:space="0" w:color="auto"/>
              <w:left w:val="nil"/>
              <w:bottom w:val="single" w:sz="8" w:space="0" w:color="auto"/>
              <w:right w:val="single" w:sz="8" w:space="0" w:color="auto"/>
            </w:tcBorders>
            <w:shd w:val="clear" w:color="auto" w:fill="auto"/>
            <w:vAlign w:val="center"/>
            <w:hideMark/>
          </w:tcPr>
          <w:p>
            <w:pPr>
              <w:spacing w:line="276" w:lineRule="auto"/>
              <w:jc w:val="center"/>
              <w:rPr>
                <w:b/>
                <w:bCs/>
                <w:sz w:val="22"/>
                <w:szCs w:val="22"/>
                <w:lang w:val="en-PH" w:eastAsia="en-PH"/>
              </w:rPr>
            </w:pPr>
            <w:r>
              <w:rPr>
                <w:b/>
                <w:bCs/>
                <w:sz w:val="22"/>
                <w:szCs w:val="22"/>
                <w:lang w:val="en-PH" w:eastAsia="en-PH"/>
              </w:rPr>
              <w:t>Percentage of Utilization</w:t>
            </w:r>
          </w:p>
        </w:tc>
      </w:tr>
      <w:tr>
        <w:trPr>
          <w:trHeight w:val="429"/>
        </w:trPr>
        <w:tc>
          <w:tcPr>
            <w:tcW w:w="2093" w:type="pct"/>
            <w:tcBorders>
              <w:top w:val="nil"/>
              <w:left w:val="single" w:sz="8" w:space="0" w:color="auto"/>
              <w:bottom w:val="single" w:sz="8" w:space="0" w:color="auto"/>
              <w:right w:val="single" w:sz="8" w:space="0" w:color="auto"/>
            </w:tcBorders>
            <w:shd w:val="clear" w:color="auto" w:fill="auto"/>
            <w:vAlign w:val="center"/>
            <w:hideMark/>
          </w:tcPr>
          <w:p>
            <w:pPr>
              <w:pStyle w:val="ListParagraph"/>
              <w:numPr>
                <w:ilvl w:val="0"/>
                <w:numId w:val="77"/>
              </w:numPr>
              <w:spacing w:after="0"/>
              <w:ind w:left="360"/>
              <w:jc w:val="both"/>
              <w:rPr>
                <w:rFonts w:ascii="Times New Roman" w:hAnsi="Times New Roman"/>
                <w:iCs/>
                <w:lang w:eastAsia="en-PH"/>
              </w:rPr>
            </w:pPr>
            <w:r>
              <w:rPr>
                <w:rFonts w:ascii="Times New Roman" w:hAnsi="Times New Roman"/>
                <w:lang w:eastAsia="en-PH"/>
              </w:rPr>
              <w:t>Client-Focused</w:t>
            </w:r>
          </w:p>
        </w:tc>
        <w:tc>
          <w:tcPr>
            <w:tcW w:w="950" w:type="pct"/>
            <w:tcBorders>
              <w:top w:val="nil"/>
              <w:left w:val="nil"/>
              <w:bottom w:val="single" w:sz="8" w:space="0" w:color="auto"/>
              <w:right w:val="single" w:sz="8" w:space="0" w:color="auto"/>
            </w:tcBorders>
            <w:shd w:val="clear" w:color="auto" w:fill="auto"/>
            <w:vAlign w:val="center"/>
          </w:tcPr>
          <w:p>
            <w:pPr>
              <w:spacing w:line="276" w:lineRule="auto"/>
              <w:jc w:val="right"/>
              <w:rPr>
                <w:i/>
                <w:iCs/>
                <w:sz w:val="22"/>
                <w:szCs w:val="22"/>
                <w:lang w:val="en-PH" w:eastAsia="en-PH"/>
              </w:rPr>
            </w:pPr>
            <w:r>
              <w:rPr>
                <w:sz w:val="22"/>
                <w:szCs w:val="22"/>
                <w:lang w:val="en-PH" w:eastAsia="en-PH"/>
              </w:rPr>
              <w:t>79,828,300.94</w:t>
            </w:r>
          </w:p>
        </w:tc>
        <w:tc>
          <w:tcPr>
            <w:tcW w:w="991" w:type="pct"/>
            <w:tcBorders>
              <w:top w:val="nil"/>
              <w:left w:val="nil"/>
              <w:bottom w:val="single" w:sz="8" w:space="0" w:color="auto"/>
              <w:right w:val="single" w:sz="8" w:space="0" w:color="auto"/>
            </w:tcBorders>
            <w:shd w:val="clear" w:color="auto" w:fill="auto"/>
            <w:vAlign w:val="center"/>
          </w:tcPr>
          <w:p>
            <w:pPr>
              <w:spacing w:line="276" w:lineRule="auto"/>
              <w:jc w:val="right"/>
              <w:rPr>
                <w:i/>
                <w:iCs/>
                <w:sz w:val="22"/>
                <w:szCs w:val="22"/>
                <w:lang w:val="en-PH" w:eastAsia="en-PH"/>
              </w:rPr>
            </w:pPr>
            <w:r>
              <w:rPr>
                <w:iCs/>
                <w:sz w:val="22"/>
                <w:szCs w:val="22"/>
                <w:lang w:val="en-PH" w:eastAsia="en-PH"/>
              </w:rPr>
              <w:t>74,508,655.59</w:t>
            </w:r>
          </w:p>
        </w:tc>
        <w:tc>
          <w:tcPr>
            <w:tcW w:w="966" w:type="pct"/>
            <w:tcBorders>
              <w:top w:val="nil"/>
              <w:left w:val="nil"/>
              <w:bottom w:val="single" w:sz="8" w:space="0" w:color="auto"/>
              <w:right w:val="single" w:sz="8" w:space="0" w:color="auto"/>
            </w:tcBorders>
            <w:shd w:val="clear" w:color="auto" w:fill="auto"/>
            <w:vAlign w:val="center"/>
            <w:hideMark/>
          </w:tcPr>
          <w:p>
            <w:pPr>
              <w:spacing w:line="276" w:lineRule="auto"/>
              <w:jc w:val="right"/>
              <w:rPr>
                <w:i/>
                <w:iCs/>
                <w:sz w:val="22"/>
                <w:szCs w:val="22"/>
                <w:lang w:val="en-PH" w:eastAsia="en-PH"/>
              </w:rPr>
            </w:pPr>
            <w:r>
              <w:rPr>
                <w:rFonts w:eastAsia="Calibri"/>
                <w:i/>
                <w:iCs/>
                <w:sz w:val="22"/>
                <w:szCs w:val="22"/>
                <w:lang w:val="en-PH" w:eastAsia="en-PH"/>
              </w:rPr>
              <w:t>93.34%</w:t>
            </w:r>
          </w:p>
        </w:tc>
      </w:tr>
      <w:tr>
        <w:trPr>
          <w:trHeight w:val="330"/>
        </w:trPr>
        <w:tc>
          <w:tcPr>
            <w:tcW w:w="2093" w:type="pct"/>
            <w:tcBorders>
              <w:top w:val="nil"/>
              <w:left w:val="single" w:sz="8" w:space="0" w:color="auto"/>
              <w:bottom w:val="single" w:sz="8" w:space="0" w:color="auto"/>
              <w:right w:val="single" w:sz="8" w:space="0" w:color="auto"/>
            </w:tcBorders>
            <w:shd w:val="clear" w:color="auto" w:fill="auto"/>
            <w:vAlign w:val="center"/>
            <w:hideMark/>
          </w:tcPr>
          <w:p>
            <w:pPr>
              <w:pStyle w:val="ListParagraph"/>
              <w:numPr>
                <w:ilvl w:val="0"/>
                <w:numId w:val="77"/>
              </w:numPr>
              <w:spacing w:after="0"/>
              <w:ind w:left="360"/>
              <w:jc w:val="both"/>
              <w:rPr>
                <w:rFonts w:ascii="Times New Roman" w:hAnsi="Times New Roman"/>
                <w:iCs/>
                <w:lang w:eastAsia="en-PH"/>
              </w:rPr>
            </w:pPr>
            <w:r>
              <w:rPr>
                <w:rFonts w:ascii="Times New Roman" w:hAnsi="Times New Roman"/>
                <w:lang w:eastAsia="en-PH"/>
              </w:rPr>
              <w:t>Organization-Focused</w:t>
            </w:r>
          </w:p>
        </w:tc>
        <w:tc>
          <w:tcPr>
            <w:tcW w:w="950" w:type="pct"/>
            <w:tcBorders>
              <w:top w:val="nil"/>
              <w:left w:val="nil"/>
              <w:bottom w:val="single" w:sz="8" w:space="0" w:color="auto"/>
              <w:right w:val="single" w:sz="8" w:space="0" w:color="auto"/>
            </w:tcBorders>
            <w:shd w:val="clear" w:color="auto" w:fill="auto"/>
            <w:vAlign w:val="center"/>
          </w:tcPr>
          <w:p>
            <w:pPr>
              <w:spacing w:line="276" w:lineRule="auto"/>
              <w:jc w:val="right"/>
              <w:rPr>
                <w:i/>
                <w:iCs/>
                <w:sz w:val="22"/>
                <w:szCs w:val="22"/>
                <w:lang w:val="en-PH" w:eastAsia="en-PH"/>
              </w:rPr>
            </w:pPr>
            <w:r>
              <w:rPr>
                <w:sz w:val="22"/>
                <w:szCs w:val="22"/>
                <w:lang w:val="en-PH" w:eastAsia="en-PH"/>
              </w:rPr>
              <w:t>2,567,188.00</w:t>
            </w:r>
          </w:p>
        </w:tc>
        <w:tc>
          <w:tcPr>
            <w:tcW w:w="991" w:type="pct"/>
            <w:tcBorders>
              <w:top w:val="nil"/>
              <w:left w:val="nil"/>
              <w:bottom w:val="single" w:sz="8" w:space="0" w:color="auto"/>
              <w:right w:val="single" w:sz="8" w:space="0" w:color="auto"/>
            </w:tcBorders>
            <w:shd w:val="clear" w:color="auto" w:fill="auto"/>
            <w:vAlign w:val="center"/>
          </w:tcPr>
          <w:p>
            <w:pPr>
              <w:spacing w:line="276" w:lineRule="auto"/>
              <w:jc w:val="right"/>
              <w:rPr>
                <w:i/>
                <w:iCs/>
                <w:sz w:val="22"/>
                <w:szCs w:val="22"/>
                <w:lang w:val="en-PH" w:eastAsia="en-PH"/>
              </w:rPr>
            </w:pPr>
            <w:r>
              <w:rPr>
                <w:iCs/>
                <w:sz w:val="22"/>
                <w:szCs w:val="22"/>
                <w:lang w:val="en-PH" w:eastAsia="en-PH"/>
              </w:rPr>
              <w:t>1,777,154.00</w:t>
            </w:r>
          </w:p>
        </w:tc>
        <w:tc>
          <w:tcPr>
            <w:tcW w:w="966" w:type="pct"/>
            <w:tcBorders>
              <w:top w:val="nil"/>
              <w:left w:val="nil"/>
              <w:bottom w:val="single" w:sz="8" w:space="0" w:color="auto"/>
              <w:right w:val="single" w:sz="8" w:space="0" w:color="auto"/>
            </w:tcBorders>
            <w:shd w:val="clear" w:color="auto" w:fill="auto"/>
            <w:hideMark/>
          </w:tcPr>
          <w:p>
            <w:pPr>
              <w:spacing w:line="276" w:lineRule="auto"/>
              <w:jc w:val="right"/>
              <w:rPr>
                <w:i/>
                <w:iCs/>
                <w:sz w:val="22"/>
                <w:szCs w:val="22"/>
                <w:lang w:val="en-PH" w:eastAsia="en-PH"/>
              </w:rPr>
            </w:pPr>
            <w:r>
              <w:rPr>
                <w:rFonts w:eastAsia="Calibri"/>
                <w:i/>
                <w:iCs/>
                <w:sz w:val="22"/>
                <w:szCs w:val="22"/>
                <w:lang w:val="en-PH" w:eastAsia="en-PH"/>
              </w:rPr>
              <w:t>69.23%</w:t>
            </w:r>
          </w:p>
        </w:tc>
      </w:tr>
      <w:tr>
        <w:trPr>
          <w:trHeight w:val="330"/>
        </w:trPr>
        <w:tc>
          <w:tcPr>
            <w:tcW w:w="2093" w:type="pct"/>
            <w:tcBorders>
              <w:top w:val="nil"/>
              <w:left w:val="single" w:sz="8" w:space="0" w:color="auto"/>
              <w:bottom w:val="single" w:sz="8" w:space="0" w:color="auto"/>
              <w:right w:val="single" w:sz="8" w:space="0" w:color="auto"/>
            </w:tcBorders>
            <w:shd w:val="clear" w:color="auto" w:fill="auto"/>
            <w:vAlign w:val="center"/>
            <w:hideMark/>
          </w:tcPr>
          <w:p>
            <w:pPr>
              <w:pStyle w:val="ListParagraph"/>
              <w:numPr>
                <w:ilvl w:val="0"/>
                <w:numId w:val="77"/>
              </w:numPr>
              <w:spacing w:after="0"/>
              <w:ind w:left="360"/>
              <w:jc w:val="both"/>
              <w:rPr>
                <w:rFonts w:ascii="Times New Roman" w:hAnsi="Times New Roman"/>
                <w:iCs/>
                <w:lang w:eastAsia="en-PH"/>
              </w:rPr>
            </w:pPr>
            <w:r>
              <w:rPr>
                <w:rFonts w:ascii="Times New Roman" w:hAnsi="Times New Roman"/>
                <w:lang w:eastAsia="en-PH"/>
              </w:rPr>
              <w:t>Attributed PAPs</w:t>
            </w:r>
          </w:p>
        </w:tc>
        <w:tc>
          <w:tcPr>
            <w:tcW w:w="950" w:type="pct"/>
            <w:tcBorders>
              <w:top w:val="nil"/>
              <w:left w:val="nil"/>
              <w:bottom w:val="single" w:sz="8" w:space="0" w:color="auto"/>
              <w:right w:val="single" w:sz="8" w:space="0" w:color="auto"/>
            </w:tcBorders>
            <w:shd w:val="clear" w:color="auto" w:fill="auto"/>
            <w:vAlign w:val="center"/>
          </w:tcPr>
          <w:p>
            <w:pPr>
              <w:spacing w:line="276" w:lineRule="auto"/>
              <w:jc w:val="right"/>
              <w:rPr>
                <w:i/>
                <w:iCs/>
                <w:sz w:val="22"/>
                <w:szCs w:val="22"/>
                <w:lang w:val="en-PH" w:eastAsia="en-PH"/>
              </w:rPr>
            </w:pPr>
            <w:r>
              <w:rPr>
                <w:sz w:val="22"/>
                <w:szCs w:val="22"/>
                <w:lang w:val="en-PH" w:eastAsia="en-PH"/>
              </w:rPr>
              <w:t>8,200,000.00</w:t>
            </w:r>
          </w:p>
        </w:tc>
        <w:tc>
          <w:tcPr>
            <w:tcW w:w="991" w:type="pct"/>
            <w:tcBorders>
              <w:top w:val="nil"/>
              <w:left w:val="nil"/>
              <w:bottom w:val="single" w:sz="8" w:space="0" w:color="auto"/>
              <w:right w:val="single" w:sz="8" w:space="0" w:color="auto"/>
            </w:tcBorders>
            <w:shd w:val="clear" w:color="auto" w:fill="auto"/>
            <w:vAlign w:val="center"/>
          </w:tcPr>
          <w:p>
            <w:pPr>
              <w:spacing w:line="276" w:lineRule="auto"/>
              <w:jc w:val="right"/>
              <w:rPr>
                <w:i/>
                <w:iCs/>
                <w:sz w:val="22"/>
                <w:szCs w:val="22"/>
                <w:lang w:val="en-PH" w:eastAsia="en-PH"/>
              </w:rPr>
            </w:pPr>
            <w:r>
              <w:rPr>
                <w:iCs/>
                <w:sz w:val="22"/>
                <w:szCs w:val="22"/>
                <w:lang w:val="en-PH" w:eastAsia="en-PH"/>
              </w:rPr>
              <w:t>3,496,481.50</w:t>
            </w:r>
          </w:p>
        </w:tc>
        <w:tc>
          <w:tcPr>
            <w:tcW w:w="966" w:type="pct"/>
            <w:tcBorders>
              <w:top w:val="nil"/>
              <w:left w:val="nil"/>
              <w:bottom w:val="single" w:sz="8" w:space="0" w:color="auto"/>
              <w:right w:val="single" w:sz="8" w:space="0" w:color="auto"/>
            </w:tcBorders>
            <w:shd w:val="clear" w:color="auto" w:fill="auto"/>
            <w:hideMark/>
          </w:tcPr>
          <w:p>
            <w:pPr>
              <w:spacing w:line="276" w:lineRule="auto"/>
              <w:jc w:val="right"/>
              <w:rPr>
                <w:i/>
                <w:iCs/>
                <w:sz w:val="22"/>
                <w:szCs w:val="22"/>
                <w:lang w:val="en-PH" w:eastAsia="en-PH"/>
              </w:rPr>
            </w:pPr>
            <w:r>
              <w:rPr>
                <w:rFonts w:eastAsia="Calibri"/>
                <w:i/>
                <w:iCs/>
                <w:sz w:val="22"/>
                <w:szCs w:val="22"/>
                <w:lang w:val="en-PH" w:eastAsia="en-PH"/>
              </w:rPr>
              <w:t>42.64%</w:t>
            </w:r>
          </w:p>
        </w:tc>
      </w:tr>
      <w:tr>
        <w:trPr>
          <w:trHeight w:val="330"/>
        </w:trPr>
        <w:tc>
          <w:tcPr>
            <w:tcW w:w="2093" w:type="pct"/>
            <w:tcBorders>
              <w:top w:val="nil"/>
              <w:left w:val="single" w:sz="8" w:space="0" w:color="auto"/>
              <w:bottom w:val="single" w:sz="8" w:space="0" w:color="auto"/>
              <w:right w:val="single" w:sz="8" w:space="0" w:color="auto"/>
            </w:tcBorders>
            <w:shd w:val="clear" w:color="auto" w:fill="auto"/>
            <w:vAlign w:val="center"/>
            <w:hideMark/>
          </w:tcPr>
          <w:p>
            <w:pPr>
              <w:spacing w:line="276" w:lineRule="auto"/>
              <w:jc w:val="both"/>
              <w:rPr>
                <w:b/>
                <w:bCs/>
                <w:sz w:val="22"/>
                <w:szCs w:val="22"/>
                <w:lang w:val="en-PH" w:eastAsia="en-PH"/>
              </w:rPr>
            </w:pPr>
            <w:r>
              <w:rPr>
                <w:b/>
                <w:bCs/>
                <w:sz w:val="22"/>
                <w:szCs w:val="22"/>
                <w:lang w:val="en-PH" w:eastAsia="en-PH"/>
              </w:rPr>
              <w:t>Total</w:t>
            </w:r>
          </w:p>
        </w:tc>
        <w:tc>
          <w:tcPr>
            <w:tcW w:w="950" w:type="pct"/>
            <w:tcBorders>
              <w:top w:val="nil"/>
              <w:left w:val="nil"/>
              <w:bottom w:val="single" w:sz="8" w:space="0" w:color="auto"/>
              <w:right w:val="single" w:sz="8" w:space="0" w:color="auto"/>
            </w:tcBorders>
            <w:shd w:val="clear" w:color="auto" w:fill="auto"/>
            <w:vAlign w:val="center"/>
          </w:tcPr>
          <w:p>
            <w:pPr>
              <w:spacing w:line="276" w:lineRule="auto"/>
              <w:jc w:val="right"/>
              <w:rPr>
                <w:b/>
                <w:bCs/>
                <w:sz w:val="22"/>
                <w:szCs w:val="22"/>
                <w:lang w:val="en-PH" w:eastAsia="en-PH"/>
              </w:rPr>
            </w:pPr>
            <w:r>
              <w:rPr>
                <w:b/>
                <w:bCs/>
                <w:sz w:val="22"/>
                <w:szCs w:val="22"/>
                <w:lang w:val="en-PH" w:eastAsia="en-PH"/>
              </w:rPr>
              <w:t>90,595,488.94</w:t>
            </w:r>
          </w:p>
        </w:tc>
        <w:tc>
          <w:tcPr>
            <w:tcW w:w="991" w:type="pct"/>
            <w:tcBorders>
              <w:top w:val="nil"/>
              <w:left w:val="nil"/>
              <w:bottom w:val="single" w:sz="8" w:space="0" w:color="auto"/>
              <w:right w:val="single" w:sz="8" w:space="0" w:color="auto"/>
            </w:tcBorders>
            <w:shd w:val="clear" w:color="auto" w:fill="auto"/>
            <w:vAlign w:val="center"/>
          </w:tcPr>
          <w:p>
            <w:pPr>
              <w:spacing w:line="276" w:lineRule="auto"/>
              <w:jc w:val="right"/>
              <w:rPr>
                <w:b/>
                <w:bCs/>
                <w:sz w:val="22"/>
                <w:szCs w:val="22"/>
                <w:lang w:val="en-PH" w:eastAsia="en-PH"/>
              </w:rPr>
            </w:pPr>
            <w:r>
              <w:rPr>
                <w:b/>
                <w:bCs/>
                <w:sz w:val="22"/>
                <w:szCs w:val="22"/>
                <w:lang w:val="en-PH" w:eastAsia="en-PH"/>
              </w:rPr>
              <w:t>79,782,291.09</w:t>
            </w:r>
          </w:p>
        </w:tc>
        <w:tc>
          <w:tcPr>
            <w:tcW w:w="966" w:type="pct"/>
            <w:tcBorders>
              <w:top w:val="nil"/>
              <w:left w:val="nil"/>
              <w:bottom w:val="single" w:sz="8" w:space="0" w:color="auto"/>
              <w:right w:val="single" w:sz="8" w:space="0" w:color="auto"/>
            </w:tcBorders>
            <w:shd w:val="clear" w:color="auto" w:fill="auto"/>
            <w:vAlign w:val="center"/>
            <w:hideMark/>
          </w:tcPr>
          <w:p>
            <w:pPr>
              <w:spacing w:line="276" w:lineRule="auto"/>
              <w:jc w:val="right"/>
              <w:rPr>
                <w:b/>
                <w:bCs/>
                <w:i/>
                <w:iCs/>
                <w:sz w:val="22"/>
                <w:szCs w:val="22"/>
                <w:lang w:val="en-PH" w:eastAsia="en-PH"/>
              </w:rPr>
            </w:pPr>
            <w:r>
              <w:rPr>
                <w:b/>
                <w:bCs/>
                <w:i/>
                <w:iCs/>
                <w:sz w:val="22"/>
                <w:szCs w:val="22"/>
                <w:lang w:val="en-PH" w:eastAsia="en-PH"/>
              </w:rPr>
              <w:t>88.06%</w:t>
            </w:r>
          </w:p>
        </w:tc>
      </w:tr>
    </w:tbl>
    <w:p>
      <w:pPr>
        <w:spacing w:line="276" w:lineRule="auto"/>
        <w:ind w:firstLine="720"/>
        <w:jc w:val="both"/>
      </w:pPr>
    </w:p>
    <w:p>
      <w:pPr>
        <w:spacing w:line="276" w:lineRule="auto"/>
        <w:jc w:val="both"/>
        <w:rPr>
          <w:b/>
          <w:i/>
          <w:color w:val="000000" w:themeColor="text1"/>
        </w:rPr>
      </w:pPr>
    </w:p>
    <w:p>
      <w:pPr>
        <w:spacing w:line="276" w:lineRule="auto"/>
        <w:jc w:val="both"/>
        <w:rPr>
          <w:b/>
          <w:i/>
          <w:color w:val="000000" w:themeColor="text1"/>
        </w:rPr>
      </w:pPr>
    </w:p>
    <w:p>
      <w:pPr>
        <w:spacing w:line="276" w:lineRule="auto"/>
        <w:jc w:val="both"/>
        <w:rPr>
          <w:b/>
          <w:i/>
          <w:color w:val="000000" w:themeColor="text1"/>
        </w:rPr>
      </w:pPr>
    </w:p>
    <w:p>
      <w:pPr>
        <w:jc w:val="both"/>
        <w:rPr>
          <w:b/>
        </w:rPr>
      </w:pPr>
      <w:bookmarkStart w:id="4" w:name="_Hlk61608676"/>
      <w:r>
        <w:rPr>
          <w:b/>
        </w:rPr>
        <w:lastRenderedPageBreak/>
        <w:t xml:space="preserve">Remittance of mandatory government contributions and loan amortizations  </w:t>
      </w:r>
    </w:p>
    <w:p>
      <w:pPr>
        <w:pStyle w:val="ListParagraph"/>
        <w:spacing w:after="0"/>
        <w:ind w:left="0"/>
        <w:jc w:val="both"/>
        <w:rPr>
          <w:rFonts w:ascii="Times New Roman" w:hAnsi="Times New Roman"/>
          <w:b/>
          <w:sz w:val="24"/>
          <w:szCs w:val="24"/>
        </w:rPr>
      </w:pPr>
    </w:p>
    <w:bookmarkEnd w:id="4"/>
    <w:p>
      <w:pPr>
        <w:spacing w:line="276" w:lineRule="auto"/>
        <w:jc w:val="both"/>
      </w:pPr>
      <w:r>
        <w:t>As at December 31, 2022, the management withheld mandatory government contributions totaling P</w:t>
      </w:r>
      <w:r>
        <w:rPr>
          <w:bCs/>
          <w:color w:val="010202"/>
        </w:rPr>
        <w:t>185,358,816.35</w:t>
      </w:r>
      <w:r>
        <w:t>, remitted a total of P</w:t>
      </w:r>
      <w:r>
        <w:rPr>
          <w:bCs/>
          <w:color w:val="010202"/>
        </w:rPr>
        <w:t xml:space="preserve">179,772,430.39 </w:t>
      </w:r>
      <w:r>
        <w:t>and recorded adjustments totaling P</w:t>
      </w:r>
      <w:r>
        <w:rPr>
          <w:bCs/>
          <w:color w:val="010202"/>
        </w:rPr>
        <w:t>748,136.54</w:t>
      </w:r>
      <w:r>
        <w:t>.  This resulted in the unremitted balance of 15.13% or P</w:t>
      </w:r>
      <w:r>
        <w:rPr>
          <w:bCs/>
          <w:color w:val="010202"/>
        </w:rPr>
        <w:t>32,180,076.54</w:t>
      </w:r>
      <w:r>
        <w:t>.</w:t>
      </w:r>
    </w:p>
    <w:p>
      <w:pPr>
        <w:spacing w:line="276" w:lineRule="auto"/>
        <w:jc w:val="both"/>
      </w:pPr>
    </w:p>
    <w:tbl>
      <w:tblPr>
        <w:tblW w:w="8842" w:type="dxa"/>
        <w:tblCellMar>
          <w:left w:w="0" w:type="dxa"/>
          <w:right w:w="0" w:type="dxa"/>
        </w:tblCellMar>
        <w:tblLook w:val="04A0" w:firstRow="1" w:lastRow="0" w:firstColumn="1" w:lastColumn="0" w:noHBand="0" w:noVBand="1"/>
      </w:tblPr>
      <w:tblGrid>
        <w:gridCol w:w="1246"/>
        <w:gridCol w:w="1466"/>
        <w:gridCol w:w="1552"/>
        <w:gridCol w:w="1705"/>
        <w:gridCol w:w="1491"/>
        <w:gridCol w:w="1382"/>
      </w:tblGrid>
      <w:tr>
        <w:trPr>
          <w:trHeight w:val="20"/>
          <w:tblHeader/>
        </w:trPr>
        <w:tc>
          <w:tcPr>
            <w:tcW w:w="124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pPr>
              <w:spacing w:line="276" w:lineRule="auto"/>
              <w:jc w:val="center"/>
              <w:rPr>
                <w:b/>
                <w:bCs/>
                <w:color w:val="010202"/>
                <w:sz w:val="22"/>
                <w:szCs w:val="22"/>
              </w:rPr>
            </w:pPr>
            <w:bookmarkStart w:id="5" w:name="RANGE!C9"/>
            <w:bookmarkStart w:id="6" w:name="OLE_LINK2" w:colFirst="1" w:colLast="5"/>
            <w:r>
              <w:rPr>
                <w:b/>
                <w:bCs/>
                <w:color w:val="010202"/>
                <w:sz w:val="22"/>
                <w:szCs w:val="22"/>
              </w:rPr>
              <w:t xml:space="preserve">Account </w:t>
            </w:r>
            <w:bookmarkEnd w:id="5"/>
          </w:p>
        </w:tc>
        <w:tc>
          <w:tcPr>
            <w:tcW w:w="1466" w:type="dxa"/>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pPr>
              <w:spacing w:line="276" w:lineRule="auto"/>
              <w:jc w:val="center"/>
              <w:rPr>
                <w:b/>
                <w:bCs/>
                <w:color w:val="010202"/>
                <w:sz w:val="22"/>
                <w:szCs w:val="22"/>
              </w:rPr>
            </w:pPr>
            <w:r>
              <w:rPr>
                <w:b/>
                <w:bCs/>
                <w:color w:val="010202"/>
                <w:sz w:val="22"/>
                <w:szCs w:val="22"/>
              </w:rPr>
              <w:t xml:space="preserve"> Beg. Bal. </w:t>
            </w:r>
          </w:p>
        </w:tc>
        <w:tc>
          <w:tcPr>
            <w:tcW w:w="1552" w:type="dxa"/>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pPr>
              <w:spacing w:line="276" w:lineRule="auto"/>
              <w:jc w:val="center"/>
              <w:rPr>
                <w:b/>
                <w:bCs/>
                <w:color w:val="010202"/>
                <w:sz w:val="22"/>
                <w:szCs w:val="22"/>
              </w:rPr>
            </w:pPr>
            <w:r>
              <w:rPr>
                <w:b/>
                <w:bCs/>
                <w:color w:val="010202"/>
                <w:sz w:val="22"/>
                <w:szCs w:val="22"/>
              </w:rPr>
              <w:t xml:space="preserve"> Deductions (credit) </w:t>
            </w:r>
          </w:p>
        </w:tc>
        <w:tc>
          <w:tcPr>
            <w:tcW w:w="1705" w:type="dxa"/>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pPr>
              <w:spacing w:line="276" w:lineRule="auto"/>
              <w:jc w:val="center"/>
              <w:rPr>
                <w:b/>
                <w:bCs/>
                <w:color w:val="010202"/>
                <w:sz w:val="22"/>
                <w:szCs w:val="22"/>
              </w:rPr>
            </w:pPr>
            <w:r>
              <w:rPr>
                <w:b/>
                <w:bCs/>
                <w:color w:val="010202"/>
                <w:sz w:val="22"/>
                <w:szCs w:val="22"/>
              </w:rPr>
              <w:t xml:space="preserve"> Remittance (debit) </w:t>
            </w:r>
          </w:p>
        </w:tc>
        <w:tc>
          <w:tcPr>
            <w:tcW w:w="1491" w:type="dxa"/>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pPr>
              <w:spacing w:line="276" w:lineRule="auto"/>
              <w:jc w:val="center"/>
              <w:rPr>
                <w:b/>
                <w:bCs/>
                <w:color w:val="010202"/>
                <w:sz w:val="22"/>
                <w:szCs w:val="22"/>
              </w:rPr>
            </w:pPr>
            <w:r>
              <w:rPr>
                <w:b/>
                <w:bCs/>
                <w:color w:val="010202"/>
                <w:sz w:val="22"/>
                <w:szCs w:val="22"/>
              </w:rPr>
              <w:t xml:space="preserve"> Refund/ Adjustments </w:t>
            </w:r>
          </w:p>
        </w:tc>
        <w:tc>
          <w:tcPr>
            <w:tcW w:w="1382" w:type="dxa"/>
            <w:tcBorders>
              <w:top w:val="single" w:sz="8" w:space="0" w:color="auto"/>
              <w:left w:val="nil"/>
              <w:bottom w:val="single" w:sz="8" w:space="0" w:color="auto"/>
              <w:right w:val="single" w:sz="8" w:space="0" w:color="auto"/>
            </w:tcBorders>
            <w:shd w:val="clear" w:color="auto" w:fill="D9D9D9" w:themeFill="background1" w:themeFillShade="D9"/>
            <w:tcMar>
              <w:top w:w="15" w:type="dxa"/>
              <w:left w:w="15" w:type="dxa"/>
              <w:bottom w:w="0" w:type="dxa"/>
              <w:right w:w="15" w:type="dxa"/>
            </w:tcMar>
            <w:vAlign w:val="center"/>
            <w:hideMark/>
          </w:tcPr>
          <w:p>
            <w:pPr>
              <w:spacing w:line="276" w:lineRule="auto"/>
              <w:jc w:val="center"/>
              <w:rPr>
                <w:b/>
                <w:bCs/>
                <w:color w:val="010202"/>
                <w:sz w:val="22"/>
                <w:szCs w:val="22"/>
              </w:rPr>
            </w:pPr>
            <w:r>
              <w:rPr>
                <w:b/>
                <w:bCs/>
                <w:color w:val="010202"/>
                <w:sz w:val="22"/>
                <w:szCs w:val="22"/>
              </w:rPr>
              <w:t xml:space="preserve"> Ending Bal. </w:t>
            </w:r>
          </w:p>
        </w:tc>
      </w:tr>
      <w:tr>
        <w:trPr>
          <w:trHeight w:val="20"/>
        </w:trPr>
        <w:tc>
          <w:tcPr>
            <w:tcW w:w="1246"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pPr>
              <w:spacing w:line="276" w:lineRule="auto"/>
              <w:rPr>
                <w:color w:val="010202"/>
                <w:sz w:val="22"/>
                <w:szCs w:val="22"/>
              </w:rPr>
            </w:pPr>
            <w:r>
              <w:rPr>
                <w:color w:val="010202"/>
                <w:sz w:val="22"/>
                <w:szCs w:val="22"/>
              </w:rPr>
              <w:t xml:space="preserve"> Due to BIR </w:t>
            </w:r>
          </w:p>
        </w:tc>
        <w:tc>
          <w:tcPr>
            <w:tcW w:w="1466"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color w:val="010202"/>
                <w:sz w:val="22"/>
                <w:szCs w:val="22"/>
              </w:rPr>
            </w:pPr>
            <w:r>
              <w:rPr>
                <w:color w:val="010202"/>
                <w:sz w:val="22"/>
                <w:szCs w:val="22"/>
              </w:rPr>
              <w:t xml:space="preserve">10,475,358.06 </w:t>
            </w:r>
          </w:p>
        </w:tc>
        <w:tc>
          <w:tcPr>
            <w:tcW w:w="155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47"/>
              <w:jc w:val="right"/>
              <w:rPr>
                <w:color w:val="010202"/>
                <w:sz w:val="22"/>
                <w:szCs w:val="22"/>
              </w:rPr>
            </w:pPr>
            <w:r>
              <w:rPr>
                <w:color w:val="010202"/>
                <w:sz w:val="22"/>
                <w:szCs w:val="22"/>
              </w:rPr>
              <w:t xml:space="preserve">84,221,322.51 </w:t>
            </w:r>
          </w:p>
        </w:tc>
        <w:tc>
          <w:tcPr>
            <w:tcW w:w="1705"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54"/>
              <w:jc w:val="right"/>
              <w:rPr>
                <w:color w:val="010202"/>
                <w:sz w:val="22"/>
                <w:szCs w:val="22"/>
              </w:rPr>
            </w:pPr>
            <w:r>
              <w:rPr>
                <w:color w:val="010202"/>
                <w:sz w:val="22"/>
                <w:szCs w:val="22"/>
              </w:rPr>
              <w:t xml:space="preserve">(82,608,462.18) </w:t>
            </w:r>
          </w:p>
        </w:tc>
        <w:tc>
          <w:tcPr>
            <w:tcW w:w="1491"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color w:val="010202"/>
                <w:sz w:val="22"/>
                <w:szCs w:val="22"/>
              </w:rPr>
            </w:pPr>
            <w:r>
              <w:rPr>
                <w:color w:val="010202"/>
                <w:sz w:val="22"/>
                <w:szCs w:val="22"/>
              </w:rPr>
              <w:t xml:space="preserve">        101,489.50 </w:t>
            </w:r>
          </w:p>
        </w:tc>
        <w:tc>
          <w:tcPr>
            <w:tcW w:w="138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87"/>
              <w:jc w:val="right"/>
              <w:rPr>
                <w:color w:val="010202"/>
                <w:sz w:val="22"/>
                <w:szCs w:val="22"/>
              </w:rPr>
            </w:pPr>
            <w:r>
              <w:rPr>
                <w:color w:val="010202"/>
                <w:sz w:val="22"/>
                <w:szCs w:val="22"/>
              </w:rPr>
              <w:t xml:space="preserve">12,189,707.89 </w:t>
            </w:r>
          </w:p>
        </w:tc>
      </w:tr>
      <w:tr>
        <w:trPr>
          <w:trHeight w:val="20"/>
        </w:trPr>
        <w:tc>
          <w:tcPr>
            <w:tcW w:w="1246"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pPr>
              <w:spacing w:line="276" w:lineRule="auto"/>
              <w:rPr>
                <w:color w:val="010202"/>
                <w:sz w:val="22"/>
                <w:szCs w:val="22"/>
              </w:rPr>
            </w:pPr>
            <w:r>
              <w:rPr>
                <w:color w:val="010202"/>
                <w:sz w:val="22"/>
                <w:szCs w:val="22"/>
              </w:rPr>
              <w:t xml:space="preserve"> Due to GSIS </w:t>
            </w:r>
          </w:p>
        </w:tc>
        <w:tc>
          <w:tcPr>
            <w:tcW w:w="1466"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color w:val="010202"/>
                <w:sz w:val="22"/>
                <w:szCs w:val="22"/>
              </w:rPr>
            </w:pPr>
            <w:r>
              <w:rPr>
                <w:color w:val="010202"/>
                <w:sz w:val="22"/>
                <w:szCs w:val="22"/>
              </w:rPr>
              <w:t xml:space="preserve">14,447,088.95 </w:t>
            </w:r>
          </w:p>
        </w:tc>
        <w:tc>
          <w:tcPr>
            <w:tcW w:w="155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47"/>
              <w:jc w:val="right"/>
              <w:rPr>
                <w:color w:val="010202"/>
                <w:sz w:val="22"/>
                <w:szCs w:val="22"/>
              </w:rPr>
            </w:pPr>
            <w:r>
              <w:rPr>
                <w:color w:val="010202"/>
                <w:sz w:val="22"/>
                <w:szCs w:val="22"/>
              </w:rPr>
              <w:t xml:space="preserve">80,204,715.07 </w:t>
            </w:r>
          </w:p>
        </w:tc>
        <w:tc>
          <w:tcPr>
            <w:tcW w:w="1705"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54"/>
              <w:jc w:val="right"/>
              <w:rPr>
                <w:color w:val="010202"/>
                <w:sz w:val="22"/>
                <w:szCs w:val="22"/>
              </w:rPr>
            </w:pPr>
            <w:r>
              <w:rPr>
                <w:color w:val="010202"/>
                <w:sz w:val="22"/>
                <w:szCs w:val="22"/>
              </w:rPr>
              <w:t xml:space="preserve">(78,749,602.03) </w:t>
            </w:r>
          </w:p>
        </w:tc>
        <w:tc>
          <w:tcPr>
            <w:tcW w:w="1491"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color w:val="010202"/>
                <w:sz w:val="22"/>
                <w:szCs w:val="22"/>
              </w:rPr>
            </w:pPr>
            <w:r>
              <w:rPr>
                <w:color w:val="010202"/>
                <w:sz w:val="22"/>
                <w:szCs w:val="22"/>
              </w:rPr>
              <w:t xml:space="preserve">(753,769.73) </w:t>
            </w:r>
          </w:p>
        </w:tc>
        <w:tc>
          <w:tcPr>
            <w:tcW w:w="138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87"/>
              <w:jc w:val="right"/>
              <w:rPr>
                <w:color w:val="010202"/>
                <w:sz w:val="22"/>
                <w:szCs w:val="22"/>
              </w:rPr>
            </w:pPr>
            <w:r>
              <w:rPr>
                <w:color w:val="010202"/>
                <w:sz w:val="22"/>
                <w:szCs w:val="22"/>
              </w:rPr>
              <w:t xml:space="preserve">15,148,432.26 </w:t>
            </w:r>
          </w:p>
        </w:tc>
      </w:tr>
      <w:tr>
        <w:trPr>
          <w:trHeight w:val="20"/>
        </w:trPr>
        <w:tc>
          <w:tcPr>
            <w:tcW w:w="1246"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pPr>
              <w:spacing w:line="276" w:lineRule="auto"/>
              <w:rPr>
                <w:color w:val="010202"/>
                <w:sz w:val="22"/>
                <w:szCs w:val="22"/>
              </w:rPr>
            </w:pPr>
            <w:r>
              <w:rPr>
                <w:color w:val="010202"/>
                <w:sz w:val="22"/>
                <w:szCs w:val="22"/>
              </w:rPr>
              <w:t xml:space="preserve"> Due to PAG-IBIG </w:t>
            </w:r>
          </w:p>
        </w:tc>
        <w:tc>
          <w:tcPr>
            <w:tcW w:w="1466"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color w:val="010202"/>
                <w:sz w:val="22"/>
                <w:szCs w:val="22"/>
              </w:rPr>
            </w:pPr>
            <w:r>
              <w:rPr>
                <w:color w:val="010202"/>
                <w:sz w:val="22"/>
                <w:szCs w:val="22"/>
              </w:rPr>
              <w:t xml:space="preserve">1,541,750.04 </w:t>
            </w:r>
          </w:p>
        </w:tc>
        <w:tc>
          <w:tcPr>
            <w:tcW w:w="155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47"/>
              <w:jc w:val="right"/>
              <w:rPr>
                <w:color w:val="010202"/>
                <w:sz w:val="22"/>
                <w:szCs w:val="22"/>
              </w:rPr>
            </w:pPr>
            <w:r>
              <w:rPr>
                <w:color w:val="010202"/>
                <w:sz w:val="22"/>
                <w:szCs w:val="22"/>
              </w:rPr>
              <w:t xml:space="preserve">10,661,623.21 </w:t>
            </w:r>
          </w:p>
        </w:tc>
        <w:tc>
          <w:tcPr>
            <w:tcW w:w="1705"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54"/>
              <w:jc w:val="right"/>
              <w:rPr>
                <w:color w:val="010202"/>
                <w:sz w:val="22"/>
                <w:szCs w:val="22"/>
              </w:rPr>
            </w:pPr>
            <w:r>
              <w:rPr>
                <w:color w:val="010202"/>
                <w:sz w:val="22"/>
                <w:szCs w:val="22"/>
              </w:rPr>
              <w:t xml:space="preserve">(10,445,663.62) </w:t>
            </w:r>
          </w:p>
        </w:tc>
        <w:tc>
          <w:tcPr>
            <w:tcW w:w="1491"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color w:val="010202"/>
                <w:sz w:val="22"/>
                <w:szCs w:val="22"/>
              </w:rPr>
            </w:pPr>
            <w:r>
              <w:rPr>
                <w:color w:val="010202"/>
                <w:sz w:val="22"/>
                <w:szCs w:val="22"/>
              </w:rPr>
              <w:t xml:space="preserve">(82,512.61) </w:t>
            </w:r>
          </w:p>
        </w:tc>
        <w:tc>
          <w:tcPr>
            <w:tcW w:w="138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87"/>
              <w:jc w:val="right"/>
              <w:rPr>
                <w:color w:val="010202"/>
                <w:sz w:val="22"/>
                <w:szCs w:val="22"/>
              </w:rPr>
            </w:pPr>
            <w:r>
              <w:rPr>
                <w:color w:val="010202"/>
                <w:sz w:val="22"/>
                <w:szCs w:val="22"/>
              </w:rPr>
              <w:t xml:space="preserve">1,675,197.02 </w:t>
            </w:r>
          </w:p>
        </w:tc>
      </w:tr>
      <w:tr>
        <w:trPr>
          <w:trHeight w:val="20"/>
        </w:trPr>
        <w:tc>
          <w:tcPr>
            <w:tcW w:w="1246" w:type="dxa"/>
            <w:tcBorders>
              <w:top w:val="nil"/>
              <w:left w:val="single" w:sz="8" w:space="0" w:color="auto"/>
              <w:bottom w:val="single" w:sz="8" w:space="0" w:color="auto"/>
              <w:right w:val="single" w:sz="8" w:space="0" w:color="auto"/>
            </w:tcBorders>
            <w:shd w:val="clear" w:color="auto" w:fill="auto"/>
            <w:tcMar>
              <w:top w:w="15" w:type="dxa"/>
              <w:left w:w="15" w:type="dxa"/>
              <w:bottom w:w="0" w:type="dxa"/>
              <w:right w:w="15" w:type="dxa"/>
            </w:tcMar>
            <w:vAlign w:val="center"/>
            <w:hideMark/>
          </w:tcPr>
          <w:p>
            <w:pPr>
              <w:spacing w:line="276" w:lineRule="auto"/>
              <w:rPr>
                <w:color w:val="010202"/>
                <w:sz w:val="22"/>
                <w:szCs w:val="22"/>
              </w:rPr>
            </w:pPr>
            <w:r>
              <w:rPr>
                <w:color w:val="010202"/>
                <w:sz w:val="22"/>
                <w:szCs w:val="22"/>
              </w:rPr>
              <w:t xml:space="preserve"> Due to </w:t>
            </w:r>
            <w:proofErr w:type="spellStart"/>
            <w:r>
              <w:rPr>
                <w:color w:val="010202"/>
                <w:sz w:val="22"/>
                <w:szCs w:val="22"/>
              </w:rPr>
              <w:t>Philhealth</w:t>
            </w:r>
            <w:proofErr w:type="spellEnd"/>
            <w:r>
              <w:rPr>
                <w:color w:val="010202"/>
                <w:sz w:val="22"/>
                <w:szCs w:val="22"/>
              </w:rPr>
              <w:t xml:space="preserve"> </w:t>
            </w:r>
          </w:p>
        </w:tc>
        <w:tc>
          <w:tcPr>
            <w:tcW w:w="1466"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color w:val="010202"/>
                <w:sz w:val="22"/>
                <w:szCs w:val="22"/>
              </w:rPr>
            </w:pPr>
            <w:r>
              <w:rPr>
                <w:color w:val="010202"/>
                <w:sz w:val="22"/>
                <w:szCs w:val="22"/>
              </w:rPr>
              <w:t xml:space="preserve">877,630.07 </w:t>
            </w:r>
          </w:p>
        </w:tc>
        <w:tc>
          <w:tcPr>
            <w:tcW w:w="155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47"/>
              <w:jc w:val="right"/>
              <w:rPr>
                <w:color w:val="010202"/>
                <w:sz w:val="22"/>
                <w:szCs w:val="22"/>
              </w:rPr>
            </w:pPr>
            <w:r>
              <w:rPr>
                <w:color w:val="010202"/>
                <w:sz w:val="22"/>
                <w:szCs w:val="22"/>
              </w:rPr>
              <w:t xml:space="preserve">10,271,155.56 </w:t>
            </w:r>
          </w:p>
        </w:tc>
        <w:tc>
          <w:tcPr>
            <w:tcW w:w="1705"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54"/>
              <w:jc w:val="right"/>
              <w:rPr>
                <w:color w:val="010202"/>
                <w:sz w:val="22"/>
                <w:szCs w:val="22"/>
              </w:rPr>
            </w:pPr>
            <w:r>
              <w:rPr>
                <w:color w:val="010202"/>
                <w:sz w:val="22"/>
                <w:szCs w:val="22"/>
              </w:rPr>
              <w:t xml:space="preserve">(7,968,702.56) </w:t>
            </w:r>
          </w:p>
        </w:tc>
        <w:tc>
          <w:tcPr>
            <w:tcW w:w="1491"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color w:val="000000"/>
                <w:sz w:val="22"/>
                <w:szCs w:val="22"/>
              </w:rPr>
            </w:pPr>
            <w:r>
              <w:rPr>
                <w:color w:val="000000"/>
                <w:sz w:val="22"/>
                <w:szCs w:val="22"/>
              </w:rPr>
              <w:t xml:space="preserve">(13,343.70) </w:t>
            </w:r>
          </w:p>
        </w:tc>
        <w:tc>
          <w:tcPr>
            <w:tcW w:w="1382" w:type="dxa"/>
            <w:tcBorders>
              <w:top w:val="nil"/>
              <w:left w:val="nil"/>
              <w:bottom w:val="single" w:sz="8"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87"/>
              <w:jc w:val="right"/>
              <w:rPr>
                <w:color w:val="010202"/>
                <w:sz w:val="22"/>
                <w:szCs w:val="22"/>
              </w:rPr>
            </w:pPr>
            <w:r>
              <w:rPr>
                <w:color w:val="010202"/>
                <w:sz w:val="22"/>
                <w:szCs w:val="22"/>
              </w:rPr>
              <w:t xml:space="preserve">3,166,739.37 </w:t>
            </w:r>
          </w:p>
        </w:tc>
      </w:tr>
      <w:tr>
        <w:trPr>
          <w:trHeight w:val="20"/>
        </w:trPr>
        <w:tc>
          <w:tcPr>
            <w:tcW w:w="1246" w:type="dxa"/>
            <w:tcBorders>
              <w:top w:val="nil"/>
              <w:left w:val="single" w:sz="8" w:space="0" w:color="auto"/>
              <w:bottom w:val="double" w:sz="6" w:space="0" w:color="auto"/>
              <w:right w:val="single" w:sz="8" w:space="0" w:color="auto"/>
            </w:tcBorders>
            <w:shd w:val="clear" w:color="auto" w:fill="auto"/>
            <w:tcMar>
              <w:top w:w="15" w:type="dxa"/>
              <w:left w:w="15" w:type="dxa"/>
              <w:bottom w:w="0" w:type="dxa"/>
              <w:right w:w="15" w:type="dxa"/>
            </w:tcMar>
            <w:vAlign w:val="center"/>
            <w:hideMark/>
          </w:tcPr>
          <w:p>
            <w:pPr>
              <w:spacing w:line="276" w:lineRule="auto"/>
              <w:jc w:val="center"/>
              <w:rPr>
                <w:b/>
                <w:bCs/>
                <w:color w:val="010202"/>
                <w:sz w:val="22"/>
                <w:szCs w:val="22"/>
              </w:rPr>
            </w:pPr>
            <w:r>
              <w:rPr>
                <w:b/>
                <w:bCs/>
                <w:color w:val="010202"/>
                <w:sz w:val="22"/>
                <w:szCs w:val="22"/>
              </w:rPr>
              <w:t xml:space="preserve"> Total </w:t>
            </w:r>
          </w:p>
        </w:tc>
        <w:tc>
          <w:tcPr>
            <w:tcW w:w="1466" w:type="dxa"/>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b/>
                <w:bCs/>
                <w:color w:val="010202"/>
                <w:sz w:val="22"/>
                <w:szCs w:val="22"/>
              </w:rPr>
            </w:pPr>
            <w:r>
              <w:rPr>
                <w:b/>
                <w:bCs/>
                <w:color w:val="010202"/>
                <w:sz w:val="22"/>
                <w:szCs w:val="22"/>
              </w:rPr>
              <w:t xml:space="preserve">27,341,827.12 </w:t>
            </w:r>
          </w:p>
        </w:tc>
        <w:tc>
          <w:tcPr>
            <w:tcW w:w="1552" w:type="dxa"/>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47"/>
              <w:jc w:val="right"/>
              <w:rPr>
                <w:b/>
                <w:bCs/>
                <w:color w:val="010202"/>
                <w:sz w:val="22"/>
                <w:szCs w:val="22"/>
              </w:rPr>
            </w:pPr>
            <w:r>
              <w:rPr>
                <w:b/>
                <w:bCs/>
                <w:color w:val="010202"/>
                <w:sz w:val="22"/>
                <w:szCs w:val="22"/>
              </w:rPr>
              <w:t xml:space="preserve">185,358,816.35 </w:t>
            </w:r>
          </w:p>
        </w:tc>
        <w:tc>
          <w:tcPr>
            <w:tcW w:w="1705" w:type="dxa"/>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54"/>
              <w:jc w:val="right"/>
              <w:rPr>
                <w:b/>
                <w:bCs/>
                <w:color w:val="010202"/>
                <w:sz w:val="22"/>
                <w:szCs w:val="22"/>
              </w:rPr>
            </w:pPr>
            <w:proofErr w:type="gramStart"/>
            <w:r>
              <w:rPr>
                <w:b/>
                <w:bCs/>
                <w:color w:val="010202"/>
                <w:sz w:val="22"/>
                <w:szCs w:val="22"/>
              </w:rPr>
              <w:t>( 179,772,430.39</w:t>
            </w:r>
            <w:proofErr w:type="gramEnd"/>
            <w:r>
              <w:rPr>
                <w:b/>
                <w:bCs/>
                <w:color w:val="010202"/>
                <w:sz w:val="22"/>
                <w:szCs w:val="22"/>
              </w:rPr>
              <w:t xml:space="preserve">) </w:t>
            </w:r>
          </w:p>
        </w:tc>
        <w:tc>
          <w:tcPr>
            <w:tcW w:w="1491" w:type="dxa"/>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124"/>
              <w:jc w:val="right"/>
              <w:rPr>
                <w:b/>
                <w:bCs/>
                <w:color w:val="010202"/>
                <w:sz w:val="22"/>
                <w:szCs w:val="22"/>
              </w:rPr>
            </w:pPr>
            <w:r>
              <w:rPr>
                <w:b/>
                <w:bCs/>
                <w:color w:val="010202"/>
                <w:sz w:val="22"/>
                <w:szCs w:val="22"/>
              </w:rPr>
              <w:t xml:space="preserve">(748,136.54) </w:t>
            </w:r>
          </w:p>
        </w:tc>
        <w:tc>
          <w:tcPr>
            <w:tcW w:w="1382" w:type="dxa"/>
            <w:tcBorders>
              <w:top w:val="nil"/>
              <w:left w:val="nil"/>
              <w:bottom w:val="double" w:sz="6" w:space="0" w:color="auto"/>
              <w:right w:val="single" w:sz="8" w:space="0" w:color="auto"/>
            </w:tcBorders>
            <w:shd w:val="clear" w:color="auto" w:fill="auto"/>
            <w:tcMar>
              <w:top w:w="15" w:type="dxa"/>
              <w:left w:w="15" w:type="dxa"/>
              <w:bottom w:w="0" w:type="dxa"/>
              <w:right w:w="15" w:type="dxa"/>
            </w:tcMar>
            <w:vAlign w:val="center"/>
          </w:tcPr>
          <w:p>
            <w:pPr>
              <w:spacing w:line="276" w:lineRule="auto"/>
              <w:ind w:right="87"/>
              <w:jc w:val="right"/>
              <w:rPr>
                <w:b/>
                <w:bCs/>
                <w:color w:val="010202"/>
                <w:sz w:val="22"/>
                <w:szCs w:val="22"/>
              </w:rPr>
            </w:pPr>
            <w:r>
              <w:rPr>
                <w:b/>
                <w:bCs/>
                <w:color w:val="010202"/>
                <w:sz w:val="22"/>
                <w:szCs w:val="22"/>
              </w:rPr>
              <w:t xml:space="preserve">32,180,076.54 </w:t>
            </w:r>
          </w:p>
        </w:tc>
      </w:tr>
      <w:bookmarkEnd w:id="6"/>
    </w:tbl>
    <w:p>
      <w:pPr>
        <w:spacing w:line="276" w:lineRule="auto"/>
        <w:jc w:val="both"/>
      </w:pPr>
    </w:p>
    <w:p>
      <w:pPr>
        <w:spacing w:line="276" w:lineRule="auto"/>
        <w:jc w:val="both"/>
      </w:pPr>
      <w:r>
        <w:t xml:space="preserve">Validation showed that the amounts withheld for the month of December 2022 totaling P18,933,790.83 </w:t>
      </w:r>
      <w:r>
        <w:rPr>
          <w:bCs/>
        </w:rPr>
        <w:t xml:space="preserve">million </w:t>
      </w:r>
      <w:r>
        <w:t>were remitted within the prescribed period. Furthermore, 41.16% or P13,246,285.71 of the unremitted balance as of year-end is still subject for reconciliation by Management, summarized as follows:</w:t>
      </w:r>
    </w:p>
    <w:p>
      <w:pPr>
        <w:spacing w:line="276" w:lineRule="auto"/>
      </w:pPr>
    </w:p>
    <w:tbl>
      <w:tblPr>
        <w:tblW w:w="8905" w:type="dxa"/>
        <w:jc w:val="center"/>
        <w:tblLayout w:type="fixed"/>
        <w:tblLook w:val="04A0" w:firstRow="1" w:lastRow="0" w:firstColumn="1" w:lastColumn="0" w:noHBand="0" w:noVBand="1"/>
      </w:tblPr>
      <w:tblGrid>
        <w:gridCol w:w="1705"/>
        <w:gridCol w:w="1440"/>
        <w:gridCol w:w="1440"/>
        <w:gridCol w:w="1440"/>
        <w:gridCol w:w="1260"/>
        <w:gridCol w:w="1620"/>
      </w:tblGrid>
      <w:tr>
        <w:trPr>
          <w:trHeight w:val="20"/>
          <w:jc w:val="center"/>
        </w:trPr>
        <w:tc>
          <w:tcPr>
            <w:tcW w:w="1705" w:type="dxa"/>
            <w:tcBorders>
              <w:top w:val="single" w:sz="4" w:space="0" w:color="auto"/>
              <w:left w:val="single" w:sz="4" w:space="0" w:color="auto"/>
              <w:bottom w:val="single" w:sz="4" w:space="0" w:color="auto"/>
              <w:right w:val="single" w:sz="4" w:space="0" w:color="auto"/>
            </w:tcBorders>
            <w:shd w:val="clear" w:color="000000" w:fill="D9D9D9"/>
            <w:vAlign w:val="center"/>
            <w:hideMark/>
          </w:tcPr>
          <w:p>
            <w:pPr>
              <w:spacing w:line="276" w:lineRule="auto"/>
              <w:jc w:val="center"/>
              <w:rPr>
                <w:b/>
                <w:bCs/>
                <w:sz w:val="21"/>
                <w:szCs w:val="21"/>
                <w:lang w:val="en-PH" w:eastAsia="en-PH"/>
              </w:rPr>
            </w:pPr>
            <w:r>
              <w:rPr>
                <w:b/>
                <w:bCs/>
                <w:sz w:val="21"/>
                <w:szCs w:val="21"/>
                <w:lang w:eastAsia="en-PH"/>
              </w:rPr>
              <w:t>Account</w:t>
            </w:r>
          </w:p>
        </w:tc>
        <w:tc>
          <w:tcPr>
            <w:tcW w:w="1440" w:type="dxa"/>
            <w:tcBorders>
              <w:top w:val="single" w:sz="4" w:space="0" w:color="auto"/>
              <w:left w:val="nil"/>
              <w:bottom w:val="single" w:sz="4" w:space="0" w:color="auto"/>
              <w:right w:val="single" w:sz="4" w:space="0" w:color="auto"/>
            </w:tcBorders>
            <w:shd w:val="clear" w:color="000000" w:fill="D9D9D9"/>
            <w:vAlign w:val="center"/>
            <w:hideMark/>
          </w:tcPr>
          <w:p>
            <w:pPr>
              <w:spacing w:line="276" w:lineRule="auto"/>
              <w:jc w:val="center"/>
              <w:rPr>
                <w:sz w:val="21"/>
                <w:szCs w:val="21"/>
                <w:lang w:val="en-PH" w:eastAsia="en-PH"/>
              </w:rPr>
            </w:pPr>
            <w:r>
              <w:rPr>
                <w:sz w:val="21"/>
                <w:szCs w:val="21"/>
                <w:lang w:eastAsia="en-PH"/>
              </w:rPr>
              <w:t xml:space="preserve"> </w:t>
            </w:r>
            <w:r>
              <w:rPr>
                <w:b/>
                <w:bCs/>
                <w:sz w:val="21"/>
                <w:szCs w:val="21"/>
                <w:lang w:eastAsia="en-PH"/>
              </w:rPr>
              <w:t>Unremitted balance 12/31/2022</w:t>
            </w:r>
          </w:p>
        </w:tc>
        <w:tc>
          <w:tcPr>
            <w:tcW w:w="1440" w:type="dxa"/>
            <w:tcBorders>
              <w:top w:val="single" w:sz="4" w:space="0" w:color="auto"/>
              <w:left w:val="nil"/>
              <w:bottom w:val="single" w:sz="4" w:space="0" w:color="auto"/>
              <w:right w:val="single" w:sz="4" w:space="0" w:color="auto"/>
            </w:tcBorders>
            <w:shd w:val="clear" w:color="000000" w:fill="D9D9D9"/>
            <w:vAlign w:val="center"/>
            <w:hideMark/>
          </w:tcPr>
          <w:p>
            <w:pPr>
              <w:spacing w:line="276" w:lineRule="auto"/>
              <w:jc w:val="center"/>
              <w:rPr>
                <w:b/>
                <w:bCs/>
                <w:sz w:val="21"/>
                <w:szCs w:val="21"/>
                <w:lang w:val="en-PH" w:eastAsia="en-PH"/>
              </w:rPr>
            </w:pPr>
            <w:r>
              <w:rPr>
                <w:b/>
                <w:bCs/>
                <w:sz w:val="21"/>
                <w:szCs w:val="21"/>
                <w:lang w:eastAsia="en-PH"/>
              </w:rPr>
              <w:t>Remitted for the Dec. 2022 W/held Amounts</w:t>
            </w:r>
          </w:p>
        </w:tc>
        <w:tc>
          <w:tcPr>
            <w:tcW w:w="1440" w:type="dxa"/>
            <w:tcBorders>
              <w:top w:val="single" w:sz="4" w:space="0" w:color="auto"/>
              <w:left w:val="nil"/>
              <w:bottom w:val="single" w:sz="4" w:space="0" w:color="auto"/>
              <w:right w:val="single" w:sz="4" w:space="0" w:color="auto"/>
            </w:tcBorders>
            <w:shd w:val="clear" w:color="000000" w:fill="D9D9D9"/>
            <w:vAlign w:val="center"/>
            <w:hideMark/>
          </w:tcPr>
          <w:p>
            <w:pPr>
              <w:spacing w:line="276" w:lineRule="auto"/>
              <w:jc w:val="center"/>
              <w:rPr>
                <w:b/>
                <w:bCs/>
                <w:sz w:val="21"/>
                <w:szCs w:val="21"/>
                <w:lang w:val="en-PH" w:eastAsia="en-PH"/>
              </w:rPr>
            </w:pPr>
            <w:r>
              <w:rPr>
                <w:b/>
                <w:bCs/>
                <w:sz w:val="21"/>
                <w:szCs w:val="21"/>
                <w:lang w:eastAsia="en-PH"/>
              </w:rPr>
              <w:t>Unremitted Balance of Prior Months/ Years</w:t>
            </w:r>
          </w:p>
        </w:tc>
        <w:tc>
          <w:tcPr>
            <w:tcW w:w="1260" w:type="dxa"/>
            <w:tcBorders>
              <w:top w:val="single" w:sz="4" w:space="0" w:color="auto"/>
              <w:left w:val="nil"/>
              <w:bottom w:val="single" w:sz="4" w:space="0" w:color="auto"/>
              <w:right w:val="single" w:sz="4" w:space="0" w:color="auto"/>
            </w:tcBorders>
            <w:shd w:val="clear" w:color="000000" w:fill="D9D9D9"/>
            <w:vAlign w:val="center"/>
            <w:hideMark/>
          </w:tcPr>
          <w:p>
            <w:pPr>
              <w:spacing w:line="276" w:lineRule="auto"/>
              <w:jc w:val="center"/>
              <w:rPr>
                <w:b/>
                <w:bCs/>
                <w:sz w:val="21"/>
                <w:szCs w:val="21"/>
                <w:lang w:val="en-PH" w:eastAsia="en-PH"/>
              </w:rPr>
            </w:pPr>
            <w:r>
              <w:rPr>
                <w:b/>
                <w:bCs/>
                <w:sz w:val="21"/>
                <w:szCs w:val="21"/>
                <w:lang w:eastAsia="en-PH"/>
              </w:rPr>
              <w:t>% of Prior M/Ys’ Unremitted Balance</w:t>
            </w:r>
          </w:p>
        </w:tc>
        <w:tc>
          <w:tcPr>
            <w:tcW w:w="1620" w:type="dxa"/>
            <w:tcBorders>
              <w:top w:val="single" w:sz="4" w:space="0" w:color="auto"/>
              <w:left w:val="nil"/>
              <w:bottom w:val="single" w:sz="4" w:space="0" w:color="auto"/>
              <w:right w:val="single" w:sz="4" w:space="0" w:color="auto"/>
            </w:tcBorders>
            <w:shd w:val="clear" w:color="000000" w:fill="D9D9D9"/>
            <w:vAlign w:val="center"/>
          </w:tcPr>
          <w:p>
            <w:pPr>
              <w:spacing w:line="276" w:lineRule="auto"/>
              <w:jc w:val="center"/>
              <w:rPr>
                <w:b/>
                <w:bCs/>
                <w:sz w:val="21"/>
                <w:szCs w:val="21"/>
                <w:lang w:eastAsia="en-PH"/>
              </w:rPr>
            </w:pPr>
            <w:r>
              <w:rPr>
                <w:b/>
                <w:bCs/>
                <w:sz w:val="21"/>
                <w:szCs w:val="21"/>
                <w:lang w:eastAsia="en-PH"/>
              </w:rPr>
              <w:t>Remarks</w:t>
            </w:r>
          </w:p>
        </w:tc>
      </w:tr>
      <w:tr>
        <w:trPr>
          <w:trHeight w:val="20"/>
          <w:jc w:val="center"/>
        </w:trPr>
        <w:tc>
          <w:tcPr>
            <w:tcW w:w="1705" w:type="dxa"/>
            <w:tcBorders>
              <w:top w:val="nil"/>
              <w:left w:val="single" w:sz="4" w:space="0" w:color="auto"/>
              <w:bottom w:val="single" w:sz="4" w:space="0" w:color="auto"/>
              <w:right w:val="single" w:sz="4" w:space="0" w:color="auto"/>
            </w:tcBorders>
            <w:shd w:val="clear" w:color="auto" w:fill="auto"/>
            <w:vAlign w:val="center"/>
            <w:hideMark/>
          </w:tcPr>
          <w:p>
            <w:pPr>
              <w:spacing w:line="276" w:lineRule="auto"/>
              <w:rPr>
                <w:sz w:val="21"/>
                <w:szCs w:val="21"/>
                <w:lang w:val="en-PH" w:eastAsia="en-PH"/>
              </w:rPr>
            </w:pPr>
            <w:r>
              <w:rPr>
                <w:sz w:val="21"/>
                <w:szCs w:val="21"/>
                <w:lang w:val="en-PH" w:eastAsia="en-PH"/>
              </w:rPr>
              <w:t>Due to BIR</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12,189,707.89 </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11,286,345.64 </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903,362.25 </w:t>
            </w:r>
          </w:p>
        </w:tc>
        <w:tc>
          <w:tcPr>
            <w:tcW w:w="1260" w:type="dxa"/>
            <w:tcBorders>
              <w:top w:val="nil"/>
              <w:left w:val="nil"/>
              <w:bottom w:val="single" w:sz="8" w:space="0" w:color="auto"/>
              <w:right w:val="single" w:sz="8" w:space="0" w:color="auto"/>
            </w:tcBorders>
            <w:shd w:val="clear" w:color="auto" w:fill="auto"/>
            <w:noWrap/>
            <w:vAlign w:val="center"/>
          </w:tcPr>
          <w:p>
            <w:pPr>
              <w:spacing w:line="276" w:lineRule="auto"/>
              <w:jc w:val="center"/>
              <w:rPr>
                <w:sz w:val="21"/>
                <w:szCs w:val="21"/>
                <w:lang w:val="en-PH" w:eastAsia="en-PH"/>
              </w:rPr>
            </w:pPr>
            <w:r>
              <w:rPr>
                <w:sz w:val="21"/>
                <w:szCs w:val="21"/>
              </w:rPr>
              <w:t>7.41%</w:t>
            </w:r>
          </w:p>
        </w:tc>
        <w:tc>
          <w:tcPr>
            <w:tcW w:w="1620" w:type="dxa"/>
            <w:tcBorders>
              <w:top w:val="nil"/>
              <w:left w:val="nil"/>
              <w:bottom w:val="single" w:sz="8" w:space="0" w:color="auto"/>
              <w:right w:val="single" w:sz="8" w:space="0" w:color="auto"/>
            </w:tcBorders>
          </w:tcPr>
          <w:p>
            <w:pPr>
              <w:spacing w:line="276" w:lineRule="auto"/>
              <w:jc w:val="center"/>
              <w:rPr>
                <w:sz w:val="21"/>
                <w:szCs w:val="21"/>
              </w:rPr>
            </w:pPr>
            <w:r>
              <w:rPr>
                <w:sz w:val="21"/>
                <w:szCs w:val="21"/>
              </w:rPr>
              <w:t>For reconciliation</w:t>
            </w:r>
          </w:p>
        </w:tc>
      </w:tr>
      <w:tr>
        <w:trPr>
          <w:trHeight w:val="20"/>
          <w:jc w:val="center"/>
        </w:trPr>
        <w:tc>
          <w:tcPr>
            <w:tcW w:w="1705" w:type="dxa"/>
            <w:tcBorders>
              <w:top w:val="nil"/>
              <w:left w:val="single" w:sz="4" w:space="0" w:color="auto"/>
              <w:bottom w:val="single" w:sz="4" w:space="0" w:color="auto"/>
              <w:right w:val="single" w:sz="4" w:space="0" w:color="auto"/>
            </w:tcBorders>
            <w:shd w:val="clear" w:color="auto" w:fill="auto"/>
            <w:vAlign w:val="center"/>
            <w:hideMark/>
          </w:tcPr>
          <w:p>
            <w:pPr>
              <w:spacing w:line="276" w:lineRule="auto"/>
              <w:rPr>
                <w:sz w:val="21"/>
                <w:szCs w:val="21"/>
                <w:lang w:val="en-PH" w:eastAsia="en-PH"/>
              </w:rPr>
            </w:pPr>
            <w:r>
              <w:rPr>
                <w:sz w:val="21"/>
                <w:szCs w:val="21"/>
                <w:lang w:val="en-PH" w:eastAsia="en-PH"/>
              </w:rPr>
              <w:t>Due to GSIS</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15,148,432.26 </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6,341,458.24 </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8,806,974.02 </w:t>
            </w:r>
          </w:p>
        </w:tc>
        <w:tc>
          <w:tcPr>
            <w:tcW w:w="1260" w:type="dxa"/>
            <w:tcBorders>
              <w:top w:val="nil"/>
              <w:left w:val="nil"/>
              <w:bottom w:val="single" w:sz="8" w:space="0" w:color="auto"/>
              <w:right w:val="single" w:sz="8" w:space="0" w:color="auto"/>
            </w:tcBorders>
            <w:shd w:val="clear" w:color="auto" w:fill="auto"/>
            <w:noWrap/>
            <w:vAlign w:val="center"/>
          </w:tcPr>
          <w:p>
            <w:pPr>
              <w:spacing w:line="276" w:lineRule="auto"/>
              <w:jc w:val="center"/>
              <w:rPr>
                <w:sz w:val="21"/>
                <w:szCs w:val="21"/>
                <w:lang w:val="en-PH" w:eastAsia="en-PH"/>
              </w:rPr>
            </w:pPr>
            <w:r>
              <w:rPr>
                <w:sz w:val="21"/>
                <w:szCs w:val="21"/>
              </w:rPr>
              <w:t>58.14%</w:t>
            </w:r>
          </w:p>
        </w:tc>
        <w:tc>
          <w:tcPr>
            <w:tcW w:w="1620" w:type="dxa"/>
            <w:tcBorders>
              <w:top w:val="nil"/>
              <w:left w:val="nil"/>
              <w:bottom w:val="single" w:sz="8" w:space="0" w:color="auto"/>
              <w:right w:val="single" w:sz="8" w:space="0" w:color="auto"/>
            </w:tcBorders>
          </w:tcPr>
          <w:p>
            <w:pPr>
              <w:spacing w:line="276" w:lineRule="auto"/>
              <w:jc w:val="center"/>
              <w:rPr>
                <w:sz w:val="21"/>
                <w:szCs w:val="21"/>
              </w:rPr>
            </w:pPr>
            <w:r>
              <w:rPr>
                <w:sz w:val="21"/>
                <w:szCs w:val="21"/>
              </w:rPr>
              <w:t>P4,401,507.00 confirmed by GSIS as due for remittance</w:t>
            </w:r>
          </w:p>
        </w:tc>
      </w:tr>
      <w:tr>
        <w:trPr>
          <w:trHeight w:val="20"/>
          <w:jc w:val="center"/>
        </w:trPr>
        <w:tc>
          <w:tcPr>
            <w:tcW w:w="1705" w:type="dxa"/>
            <w:tcBorders>
              <w:top w:val="nil"/>
              <w:left w:val="single" w:sz="4" w:space="0" w:color="auto"/>
              <w:bottom w:val="single" w:sz="4" w:space="0" w:color="auto"/>
              <w:right w:val="single" w:sz="4" w:space="0" w:color="auto"/>
            </w:tcBorders>
            <w:shd w:val="clear" w:color="auto" w:fill="auto"/>
            <w:vAlign w:val="center"/>
            <w:hideMark/>
          </w:tcPr>
          <w:p>
            <w:pPr>
              <w:spacing w:line="276" w:lineRule="auto"/>
              <w:rPr>
                <w:sz w:val="21"/>
                <w:szCs w:val="21"/>
                <w:lang w:val="en-PH" w:eastAsia="en-PH"/>
              </w:rPr>
            </w:pPr>
            <w:r>
              <w:rPr>
                <w:sz w:val="21"/>
                <w:szCs w:val="21"/>
                <w:lang w:val="en-PH" w:eastAsia="en-PH"/>
              </w:rPr>
              <w:t>Due to PAG-IBIG</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1,675,197.02 </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527,992.23 </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1,147,204.79 </w:t>
            </w:r>
          </w:p>
        </w:tc>
        <w:tc>
          <w:tcPr>
            <w:tcW w:w="1260" w:type="dxa"/>
            <w:tcBorders>
              <w:top w:val="nil"/>
              <w:left w:val="nil"/>
              <w:bottom w:val="single" w:sz="8" w:space="0" w:color="auto"/>
              <w:right w:val="single" w:sz="8" w:space="0" w:color="auto"/>
            </w:tcBorders>
            <w:shd w:val="clear" w:color="auto" w:fill="auto"/>
            <w:noWrap/>
            <w:vAlign w:val="center"/>
          </w:tcPr>
          <w:p>
            <w:pPr>
              <w:spacing w:line="276" w:lineRule="auto"/>
              <w:jc w:val="center"/>
              <w:rPr>
                <w:sz w:val="21"/>
                <w:szCs w:val="21"/>
                <w:lang w:val="en-PH" w:eastAsia="en-PH"/>
              </w:rPr>
            </w:pPr>
            <w:r>
              <w:rPr>
                <w:sz w:val="21"/>
                <w:szCs w:val="21"/>
              </w:rPr>
              <w:t>68.48%</w:t>
            </w:r>
          </w:p>
        </w:tc>
        <w:tc>
          <w:tcPr>
            <w:tcW w:w="1620" w:type="dxa"/>
            <w:tcBorders>
              <w:top w:val="nil"/>
              <w:left w:val="nil"/>
              <w:bottom w:val="single" w:sz="8" w:space="0" w:color="auto"/>
              <w:right w:val="single" w:sz="8" w:space="0" w:color="auto"/>
            </w:tcBorders>
          </w:tcPr>
          <w:p>
            <w:pPr>
              <w:spacing w:line="276" w:lineRule="auto"/>
              <w:jc w:val="center"/>
              <w:rPr>
                <w:sz w:val="21"/>
                <w:szCs w:val="21"/>
              </w:rPr>
            </w:pPr>
            <w:r>
              <w:rPr>
                <w:sz w:val="21"/>
                <w:szCs w:val="21"/>
              </w:rPr>
              <w:t>For reconciliation</w:t>
            </w:r>
          </w:p>
        </w:tc>
      </w:tr>
      <w:tr>
        <w:trPr>
          <w:trHeight w:val="20"/>
          <w:jc w:val="center"/>
        </w:trPr>
        <w:tc>
          <w:tcPr>
            <w:tcW w:w="1705" w:type="dxa"/>
            <w:tcBorders>
              <w:top w:val="nil"/>
              <w:left w:val="single" w:sz="4" w:space="0" w:color="auto"/>
              <w:bottom w:val="single" w:sz="4" w:space="0" w:color="auto"/>
              <w:right w:val="single" w:sz="4" w:space="0" w:color="auto"/>
            </w:tcBorders>
            <w:shd w:val="clear" w:color="auto" w:fill="auto"/>
            <w:vAlign w:val="center"/>
            <w:hideMark/>
          </w:tcPr>
          <w:p>
            <w:pPr>
              <w:spacing w:line="276" w:lineRule="auto"/>
              <w:rPr>
                <w:sz w:val="21"/>
                <w:szCs w:val="21"/>
                <w:lang w:val="en-PH" w:eastAsia="en-PH"/>
              </w:rPr>
            </w:pPr>
            <w:r>
              <w:rPr>
                <w:sz w:val="21"/>
                <w:szCs w:val="21"/>
                <w:lang w:val="en-PH" w:eastAsia="en-PH"/>
              </w:rPr>
              <w:t xml:space="preserve">Due to </w:t>
            </w:r>
            <w:proofErr w:type="spellStart"/>
            <w:r>
              <w:rPr>
                <w:sz w:val="21"/>
                <w:szCs w:val="21"/>
                <w:lang w:val="en-PH" w:eastAsia="en-PH"/>
              </w:rPr>
              <w:t>Philhealth</w:t>
            </w:r>
            <w:proofErr w:type="spellEnd"/>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3,166,739.37 </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777,994.72 </w:t>
            </w:r>
          </w:p>
        </w:tc>
        <w:tc>
          <w:tcPr>
            <w:tcW w:w="1440" w:type="dxa"/>
            <w:tcBorders>
              <w:top w:val="nil"/>
              <w:left w:val="nil"/>
              <w:bottom w:val="single" w:sz="8" w:space="0" w:color="auto"/>
              <w:right w:val="single" w:sz="8" w:space="0" w:color="auto"/>
            </w:tcBorders>
            <w:shd w:val="clear" w:color="auto" w:fill="auto"/>
            <w:noWrap/>
            <w:vAlign w:val="center"/>
          </w:tcPr>
          <w:p>
            <w:pPr>
              <w:spacing w:line="276" w:lineRule="auto"/>
              <w:jc w:val="right"/>
              <w:rPr>
                <w:sz w:val="21"/>
                <w:szCs w:val="21"/>
                <w:lang w:val="en-PH" w:eastAsia="en-PH"/>
              </w:rPr>
            </w:pPr>
            <w:r>
              <w:rPr>
                <w:sz w:val="21"/>
                <w:szCs w:val="21"/>
              </w:rPr>
              <w:t xml:space="preserve">2,388,744.65 </w:t>
            </w:r>
          </w:p>
        </w:tc>
        <w:tc>
          <w:tcPr>
            <w:tcW w:w="1260" w:type="dxa"/>
            <w:tcBorders>
              <w:top w:val="nil"/>
              <w:left w:val="nil"/>
              <w:bottom w:val="single" w:sz="8" w:space="0" w:color="auto"/>
              <w:right w:val="single" w:sz="8" w:space="0" w:color="auto"/>
            </w:tcBorders>
            <w:shd w:val="clear" w:color="auto" w:fill="auto"/>
            <w:noWrap/>
            <w:vAlign w:val="center"/>
          </w:tcPr>
          <w:p>
            <w:pPr>
              <w:spacing w:line="276" w:lineRule="auto"/>
              <w:jc w:val="center"/>
              <w:rPr>
                <w:sz w:val="21"/>
                <w:szCs w:val="21"/>
                <w:lang w:val="en-PH" w:eastAsia="en-PH"/>
              </w:rPr>
            </w:pPr>
            <w:r>
              <w:rPr>
                <w:sz w:val="21"/>
                <w:szCs w:val="21"/>
              </w:rPr>
              <w:t>75.43%</w:t>
            </w:r>
          </w:p>
        </w:tc>
        <w:tc>
          <w:tcPr>
            <w:tcW w:w="1620" w:type="dxa"/>
            <w:tcBorders>
              <w:top w:val="nil"/>
              <w:left w:val="nil"/>
              <w:bottom w:val="single" w:sz="8" w:space="0" w:color="auto"/>
              <w:right w:val="single" w:sz="8" w:space="0" w:color="auto"/>
            </w:tcBorders>
          </w:tcPr>
          <w:p>
            <w:pPr>
              <w:spacing w:line="276" w:lineRule="auto"/>
              <w:jc w:val="center"/>
              <w:rPr>
                <w:sz w:val="21"/>
                <w:szCs w:val="21"/>
              </w:rPr>
            </w:pPr>
            <w:r>
              <w:rPr>
                <w:sz w:val="21"/>
                <w:szCs w:val="21"/>
              </w:rPr>
              <w:t>For reconciliation</w:t>
            </w:r>
          </w:p>
        </w:tc>
      </w:tr>
      <w:tr>
        <w:trPr>
          <w:trHeight w:val="20"/>
          <w:jc w:val="center"/>
        </w:trPr>
        <w:tc>
          <w:tcPr>
            <w:tcW w:w="1705" w:type="dxa"/>
            <w:tcBorders>
              <w:top w:val="nil"/>
              <w:left w:val="single" w:sz="4" w:space="0" w:color="auto"/>
              <w:bottom w:val="double" w:sz="6" w:space="0" w:color="auto"/>
              <w:right w:val="single" w:sz="4" w:space="0" w:color="auto"/>
            </w:tcBorders>
            <w:shd w:val="clear" w:color="auto" w:fill="auto"/>
            <w:noWrap/>
            <w:vAlign w:val="bottom"/>
            <w:hideMark/>
          </w:tcPr>
          <w:p>
            <w:pPr>
              <w:spacing w:line="276" w:lineRule="auto"/>
              <w:jc w:val="center"/>
              <w:rPr>
                <w:b/>
                <w:sz w:val="21"/>
                <w:szCs w:val="21"/>
                <w:lang w:val="en-PH" w:eastAsia="en-PH"/>
              </w:rPr>
            </w:pPr>
            <w:r>
              <w:rPr>
                <w:b/>
                <w:sz w:val="21"/>
                <w:szCs w:val="21"/>
                <w:lang w:val="en-PH" w:eastAsia="en-PH"/>
              </w:rPr>
              <w:t>Total</w:t>
            </w:r>
          </w:p>
        </w:tc>
        <w:tc>
          <w:tcPr>
            <w:tcW w:w="1440" w:type="dxa"/>
            <w:tcBorders>
              <w:top w:val="nil"/>
              <w:left w:val="nil"/>
              <w:bottom w:val="double" w:sz="6" w:space="0" w:color="auto"/>
              <w:right w:val="single" w:sz="8" w:space="0" w:color="auto"/>
            </w:tcBorders>
            <w:shd w:val="clear" w:color="auto" w:fill="auto"/>
            <w:noWrap/>
            <w:vAlign w:val="center"/>
          </w:tcPr>
          <w:p>
            <w:pPr>
              <w:spacing w:line="276" w:lineRule="auto"/>
              <w:jc w:val="right"/>
              <w:rPr>
                <w:b/>
                <w:sz w:val="21"/>
                <w:szCs w:val="21"/>
                <w:lang w:val="en-PH" w:eastAsia="en-PH"/>
              </w:rPr>
            </w:pPr>
            <w:r>
              <w:rPr>
                <w:b/>
                <w:bCs/>
                <w:sz w:val="21"/>
                <w:szCs w:val="21"/>
              </w:rPr>
              <w:t xml:space="preserve">32,180,076.54 </w:t>
            </w:r>
          </w:p>
        </w:tc>
        <w:tc>
          <w:tcPr>
            <w:tcW w:w="1440" w:type="dxa"/>
            <w:tcBorders>
              <w:top w:val="nil"/>
              <w:left w:val="nil"/>
              <w:bottom w:val="double" w:sz="6" w:space="0" w:color="auto"/>
              <w:right w:val="single" w:sz="8" w:space="0" w:color="auto"/>
            </w:tcBorders>
            <w:shd w:val="clear" w:color="auto" w:fill="auto"/>
            <w:noWrap/>
            <w:vAlign w:val="center"/>
          </w:tcPr>
          <w:p>
            <w:pPr>
              <w:spacing w:line="276" w:lineRule="auto"/>
              <w:jc w:val="right"/>
              <w:rPr>
                <w:b/>
                <w:sz w:val="21"/>
                <w:szCs w:val="21"/>
                <w:lang w:val="en-PH" w:eastAsia="en-PH"/>
              </w:rPr>
            </w:pPr>
            <w:r>
              <w:rPr>
                <w:b/>
                <w:bCs/>
                <w:sz w:val="21"/>
                <w:szCs w:val="21"/>
              </w:rPr>
              <w:t xml:space="preserve">18,933,790.83 </w:t>
            </w:r>
          </w:p>
        </w:tc>
        <w:tc>
          <w:tcPr>
            <w:tcW w:w="1440" w:type="dxa"/>
            <w:tcBorders>
              <w:top w:val="nil"/>
              <w:left w:val="nil"/>
              <w:bottom w:val="double" w:sz="6" w:space="0" w:color="auto"/>
              <w:right w:val="single" w:sz="8" w:space="0" w:color="auto"/>
            </w:tcBorders>
            <w:shd w:val="clear" w:color="auto" w:fill="auto"/>
            <w:noWrap/>
            <w:vAlign w:val="center"/>
          </w:tcPr>
          <w:p>
            <w:pPr>
              <w:spacing w:line="276" w:lineRule="auto"/>
              <w:jc w:val="right"/>
              <w:rPr>
                <w:b/>
                <w:sz w:val="21"/>
                <w:szCs w:val="21"/>
                <w:lang w:val="en-PH" w:eastAsia="en-PH"/>
              </w:rPr>
            </w:pPr>
            <w:r>
              <w:rPr>
                <w:b/>
                <w:bCs/>
                <w:sz w:val="21"/>
                <w:szCs w:val="21"/>
              </w:rPr>
              <w:t xml:space="preserve">13,246,285.71 </w:t>
            </w:r>
          </w:p>
        </w:tc>
        <w:tc>
          <w:tcPr>
            <w:tcW w:w="1260" w:type="dxa"/>
            <w:tcBorders>
              <w:top w:val="nil"/>
              <w:left w:val="nil"/>
              <w:bottom w:val="double" w:sz="6" w:space="0" w:color="auto"/>
              <w:right w:val="single" w:sz="8" w:space="0" w:color="auto"/>
            </w:tcBorders>
            <w:shd w:val="clear" w:color="auto" w:fill="auto"/>
            <w:noWrap/>
            <w:vAlign w:val="center"/>
          </w:tcPr>
          <w:p>
            <w:pPr>
              <w:spacing w:line="276" w:lineRule="auto"/>
              <w:jc w:val="center"/>
              <w:rPr>
                <w:b/>
                <w:sz w:val="21"/>
                <w:szCs w:val="21"/>
                <w:lang w:val="en-PH" w:eastAsia="en-PH"/>
              </w:rPr>
            </w:pPr>
            <w:r>
              <w:rPr>
                <w:b/>
                <w:bCs/>
                <w:sz w:val="21"/>
                <w:szCs w:val="21"/>
              </w:rPr>
              <w:t>41.16%</w:t>
            </w:r>
          </w:p>
        </w:tc>
        <w:tc>
          <w:tcPr>
            <w:tcW w:w="1620" w:type="dxa"/>
            <w:tcBorders>
              <w:top w:val="nil"/>
              <w:left w:val="nil"/>
              <w:bottom w:val="double" w:sz="6" w:space="0" w:color="auto"/>
              <w:right w:val="single" w:sz="8" w:space="0" w:color="auto"/>
            </w:tcBorders>
          </w:tcPr>
          <w:p>
            <w:pPr>
              <w:spacing w:line="276" w:lineRule="auto"/>
              <w:jc w:val="center"/>
              <w:rPr>
                <w:b/>
                <w:bCs/>
                <w:sz w:val="21"/>
                <w:szCs w:val="21"/>
              </w:rPr>
            </w:pPr>
          </w:p>
        </w:tc>
      </w:tr>
    </w:tbl>
    <w:p>
      <w:pPr>
        <w:spacing w:line="276" w:lineRule="auto"/>
      </w:pPr>
    </w:p>
    <w:p>
      <w:pPr>
        <w:spacing w:line="276" w:lineRule="auto"/>
        <w:jc w:val="both"/>
        <w:rPr>
          <w:color w:val="FF0000"/>
        </w:rPr>
      </w:pPr>
      <w:r>
        <w:t xml:space="preserve">In CY 2018, an audit observation was already issued pertaining to the delayed remittance of mandatory government contributions, of which the Offices concerned guaranteed </w:t>
      </w:r>
      <w:r>
        <w:lastRenderedPageBreak/>
        <w:t>compliance with the audit recommendations. However, the recommendations were not yet fully implemented. The management explained that they needed adequate time to fully implement the said recommendations, as it requires retrieval of records and coordination with other offices.</w:t>
      </w:r>
    </w:p>
    <w:p>
      <w:pPr>
        <w:spacing w:line="276" w:lineRule="auto"/>
        <w:jc w:val="both"/>
        <w:rPr>
          <w:b/>
        </w:rPr>
      </w:pPr>
    </w:p>
    <w:p>
      <w:pPr>
        <w:spacing w:line="276" w:lineRule="auto"/>
        <w:jc w:val="both"/>
        <w:rPr>
          <w:color w:val="FF0000"/>
        </w:rPr>
      </w:pPr>
    </w:p>
    <w:p>
      <w:pPr>
        <w:spacing w:line="276" w:lineRule="auto"/>
      </w:pPr>
    </w:p>
    <w:sectPr>
      <w:footerReference w:type="default" r:id="rId12"/>
      <w:pgSz w:w="12240" w:h="15840" w:code="1"/>
      <w:pgMar w:top="1440" w:right="1440" w:bottom="1440" w:left="2160" w:header="720" w:footer="720" w:gutter="0"/>
      <w:pgNumType w:start="10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XQNLR W+ Minion Pro">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108748"/>
      <w:docPartObj>
        <w:docPartGallery w:val="Page Numbers (Bottom of Page)"/>
        <w:docPartUnique/>
      </w:docPartObj>
    </w:sdtPr>
    <w:sdtEndPr>
      <w:rPr>
        <w:rFonts w:ascii="Times New Roman" w:hAnsi="Times New Roman"/>
        <w:noProof/>
        <w:sz w:val="24"/>
      </w:rPr>
    </w:sdtEndPr>
    <w:sdtContent>
      <w:p>
        <w:pPr>
          <w:pStyle w:val="Footer"/>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 MERGEFORMAT </w:instrText>
        </w:r>
        <w:r>
          <w:rPr>
            <w:rFonts w:ascii="Times New Roman" w:hAnsi="Times New Roman"/>
            <w:sz w:val="24"/>
          </w:rPr>
          <w:fldChar w:fldCharType="separate"/>
        </w:r>
        <w:r>
          <w:rPr>
            <w:rFonts w:ascii="Times New Roman" w:hAnsi="Times New Roman"/>
            <w:noProof/>
            <w:sz w:val="24"/>
          </w:rPr>
          <w:t>101</w:t>
        </w:r>
        <w:r>
          <w:rPr>
            <w:rFonts w:ascii="Times New Roman" w:hAnsi="Times New Roman"/>
            <w:noProof/>
            <w:sz w:val="24"/>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92C12"/>
    <w:multiLevelType w:val="hybridMultilevel"/>
    <w:tmpl w:val="E2D218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0" w:hanging="360"/>
      </w:pPr>
      <w:rPr>
        <w:rFonts w:ascii="Courier New" w:hAnsi="Courier New" w:cs="Courier New" w:hint="default"/>
      </w:rPr>
    </w:lvl>
    <w:lvl w:ilvl="2" w:tplc="34090005" w:tentative="1">
      <w:start w:val="1"/>
      <w:numFmt w:val="bullet"/>
      <w:lvlText w:val=""/>
      <w:lvlJc w:val="left"/>
      <w:pPr>
        <w:ind w:left="720" w:hanging="360"/>
      </w:pPr>
      <w:rPr>
        <w:rFonts w:ascii="Wingdings" w:hAnsi="Wingdings" w:hint="default"/>
      </w:rPr>
    </w:lvl>
    <w:lvl w:ilvl="3" w:tplc="34090001" w:tentative="1">
      <w:start w:val="1"/>
      <w:numFmt w:val="bullet"/>
      <w:lvlText w:val=""/>
      <w:lvlJc w:val="left"/>
      <w:pPr>
        <w:ind w:left="1440" w:hanging="360"/>
      </w:pPr>
      <w:rPr>
        <w:rFonts w:ascii="Symbol" w:hAnsi="Symbol" w:hint="default"/>
      </w:rPr>
    </w:lvl>
    <w:lvl w:ilvl="4" w:tplc="34090003" w:tentative="1">
      <w:start w:val="1"/>
      <w:numFmt w:val="bullet"/>
      <w:lvlText w:val="o"/>
      <w:lvlJc w:val="left"/>
      <w:pPr>
        <w:ind w:left="2160" w:hanging="360"/>
      </w:pPr>
      <w:rPr>
        <w:rFonts w:ascii="Courier New" w:hAnsi="Courier New" w:cs="Courier New" w:hint="default"/>
      </w:rPr>
    </w:lvl>
    <w:lvl w:ilvl="5" w:tplc="34090005" w:tentative="1">
      <w:start w:val="1"/>
      <w:numFmt w:val="bullet"/>
      <w:lvlText w:val=""/>
      <w:lvlJc w:val="left"/>
      <w:pPr>
        <w:ind w:left="2880" w:hanging="360"/>
      </w:pPr>
      <w:rPr>
        <w:rFonts w:ascii="Wingdings" w:hAnsi="Wingdings" w:hint="default"/>
      </w:rPr>
    </w:lvl>
    <w:lvl w:ilvl="6" w:tplc="34090001" w:tentative="1">
      <w:start w:val="1"/>
      <w:numFmt w:val="bullet"/>
      <w:lvlText w:val=""/>
      <w:lvlJc w:val="left"/>
      <w:pPr>
        <w:ind w:left="3600" w:hanging="360"/>
      </w:pPr>
      <w:rPr>
        <w:rFonts w:ascii="Symbol" w:hAnsi="Symbol" w:hint="default"/>
      </w:rPr>
    </w:lvl>
    <w:lvl w:ilvl="7" w:tplc="34090003" w:tentative="1">
      <w:start w:val="1"/>
      <w:numFmt w:val="bullet"/>
      <w:lvlText w:val="o"/>
      <w:lvlJc w:val="left"/>
      <w:pPr>
        <w:ind w:left="4320" w:hanging="360"/>
      </w:pPr>
      <w:rPr>
        <w:rFonts w:ascii="Courier New" w:hAnsi="Courier New" w:cs="Courier New" w:hint="default"/>
      </w:rPr>
    </w:lvl>
    <w:lvl w:ilvl="8" w:tplc="34090005" w:tentative="1">
      <w:start w:val="1"/>
      <w:numFmt w:val="bullet"/>
      <w:lvlText w:val=""/>
      <w:lvlJc w:val="left"/>
      <w:pPr>
        <w:ind w:left="5040" w:hanging="360"/>
      </w:pPr>
      <w:rPr>
        <w:rFonts w:ascii="Wingdings" w:hAnsi="Wingdings" w:hint="default"/>
      </w:rPr>
    </w:lvl>
  </w:abstractNum>
  <w:abstractNum w:abstractNumId="1" w15:restartNumberingAfterBreak="0">
    <w:nsid w:val="02C209BE"/>
    <w:multiLevelType w:val="hybridMultilevel"/>
    <w:tmpl w:val="E56E5B1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4962681"/>
    <w:multiLevelType w:val="hybridMultilevel"/>
    <w:tmpl w:val="95C07330"/>
    <w:lvl w:ilvl="0" w:tplc="60B0C848">
      <w:start w:val="13"/>
      <w:numFmt w:val="decimal"/>
      <w:lvlText w:val="%1."/>
      <w:lvlJc w:val="left"/>
      <w:pPr>
        <w:ind w:left="36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4B66A18"/>
    <w:multiLevelType w:val="multilevel"/>
    <w:tmpl w:val="99F6F43A"/>
    <w:lvl w:ilvl="0">
      <w:start w:val="1"/>
      <w:numFmt w:val="lowerLetter"/>
      <w:lvlText w:val="%1."/>
      <w:lvlJc w:val="left"/>
      <w:pPr>
        <w:ind w:left="810" w:hanging="360"/>
      </w:pPr>
      <w:rPr>
        <w:b/>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06337682"/>
    <w:multiLevelType w:val="hybridMultilevel"/>
    <w:tmpl w:val="ADB46508"/>
    <w:lvl w:ilvl="0" w:tplc="58F64778">
      <w:start w:val="1"/>
      <w:numFmt w:val="lowerLetter"/>
      <w:lvlText w:val="%1."/>
      <w:lvlJc w:val="left"/>
      <w:pPr>
        <w:ind w:left="720" w:hanging="360"/>
      </w:pPr>
      <w:rPr>
        <w:sz w:val="20"/>
        <w:szCs w:val="2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63A08EE"/>
    <w:multiLevelType w:val="hybridMultilevel"/>
    <w:tmpl w:val="61D6B5B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72259C3"/>
    <w:multiLevelType w:val="hybridMultilevel"/>
    <w:tmpl w:val="AD08B064"/>
    <w:lvl w:ilvl="0" w:tplc="4440B00A">
      <w:start w:val="6"/>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7557E83"/>
    <w:multiLevelType w:val="hybridMultilevel"/>
    <w:tmpl w:val="288863D8"/>
    <w:lvl w:ilvl="0" w:tplc="34090019">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09831E4D"/>
    <w:multiLevelType w:val="hybridMultilevel"/>
    <w:tmpl w:val="CB30A0FC"/>
    <w:lvl w:ilvl="0" w:tplc="8F7039CA">
      <w:start w:val="1"/>
      <w:numFmt w:val="decimal"/>
      <w:lvlText w:val="%1."/>
      <w:lvlJc w:val="left"/>
      <w:pPr>
        <w:ind w:left="1080" w:hanging="360"/>
      </w:pPr>
      <w:rPr>
        <w:rFonts w:hint="default"/>
        <w:b w:val="0"/>
        <w:bCs/>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0A0354D2"/>
    <w:multiLevelType w:val="hybridMultilevel"/>
    <w:tmpl w:val="B3E0093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A6B4967"/>
    <w:multiLevelType w:val="hybridMultilevel"/>
    <w:tmpl w:val="747671EC"/>
    <w:lvl w:ilvl="0" w:tplc="3409000F">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0A7F58F6"/>
    <w:multiLevelType w:val="hybridMultilevel"/>
    <w:tmpl w:val="4358D610"/>
    <w:lvl w:ilvl="0" w:tplc="C18CA9D4">
      <w:start w:val="1"/>
      <w:numFmt w:val="upperLetter"/>
      <w:lvlText w:val="%1."/>
      <w:lvlJc w:val="left"/>
      <w:pPr>
        <w:ind w:left="72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C0C4F0B"/>
    <w:multiLevelType w:val="multilevel"/>
    <w:tmpl w:val="EBF01296"/>
    <w:lvl w:ilvl="0">
      <w:start w:val="1"/>
      <w:numFmt w:val="lowerLetter"/>
      <w:lvlText w:val="%1."/>
      <w:lvlJc w:val="left"/>
      <w:pPr>
        <w:ind w:left="1080" w:hanging="360"/>
      </w:pPr>
      <w:rPr>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i/>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0E5F139B"/>
    <w:multiLevelType w:val="hybridMultilevel"/>
    <w:tmpl w:val="D8C20D52"/>
    <w:lvl w:ilvl="0" w:tplc="8A125D0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108E573B"/>
    <w:multiLevelType w:val="hybridMultilevel"/>
    <w:tmpl w:val="DE2CF03C"/>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1214076"/>
    <w:multiLevelType w:val="hybridMultilevel"/>
    <w:tmpl w:val="7A6858E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3526202"/>
    <w:multiLevelType w:val="hybridMultilevel"/>
    <w:tmpl w:val="42726624"/>
    <w:lvl w:ilvl="0" w:tplc="D4880C8E">
      <w:start w:val="7"/>
      <w:numFmt w:val="decimal"/>
      <w:lvlText w:val="%1."/>
      <w:lvlJc w:val="left"/>
      <w:pPr>
        <w:ind w:left="360" w:hanging="360"/>
      </w:pPr>
      <w:rPr>
        <w:rFonts w:ascii="Times New Roman" w:hAnsi="Times New Roman" w:cs="Times New Roman" w:hint="default"/>
        <w:b/>
        <w:sz w:val="24"/>
        <w:szCs w:val="24"/>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14D14B1A"/>
    <w:multiLevelType w:val="hybridMultilevel"/>
    <w:tmpl w:val="5042674A"/>
    <w:lvl w:ilvl="0" w:tplc="34090015">
      <w:start w:val="1"/>
      <w:numFmt w:val="upperLetter"/>
      <w:lvlText w:val="%1."/>
      <w:lvlJc w:val="left"/>
      <w:pPr>
        <w:ind w:left="644" w:hanging="360"/>
      </w:pPr>
      <w:rPr>
        <w:rFonts w:hint="default"/>
        <w:b/>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18" w15:restartNumberingAfterBreak="0">
    <w:nsid w:val="17316BE8"/>
    <w:multiLevelType w:val="hybridMultilevel"/>
    <w:tmpl w:val="FAFC4F14"/>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9" w15:restartNumberingAfterBreak="0">
    <w:nsid w:val="173C052A"/>
    <w:multiLevelType w:val="singleLevel"/>
    <w:tmpl w:val="B3A8C3A0"/>
    <w:lvl w:ilvl="0">
      <w:start w:val="1"/>
      <w:numFmt w:val="decimal"/>
      <w:pStyle w:val="HangingInd2"/>
      <w:lvlText w:val="%1."/>
      <w:lvlJc w:val="left"/>
      <w:pPr>
        <w:tabs>
          <w:tab w:val="num" w:pos="720"/>
        </w:tabs>
        <w:ind w:left="720" w:hanging="360"/>
      </w:pPr>
      <w:rPr>
        <w:u w:val="none"/>
      </w:rPr>
    </w:lvl>
  </w:abstractNum>
  <w:abstractNum w:abstractNumId="20" w15:restartNumberingAfterBreak="0">
    <w:nsid w:val="18B462D8"/>
    <w:multiLevelType w:val="multilevel"/>
    <w:tmpl w:val="D8ACFC28"/>
    <w:lvl w:ilvl="0">
      <w:start w:val="1"/>
      <w:numFmt w:val="decimal"/>
      <w:lvlText w:val="%1."/>
      <w:lvlJc w:val="left"/>
      <w:pPr>
        <w:ind w:left="1080" w:hanging="360"/>
      </w:pPr>
      <w:rPr>
        <w:rFonts w:ascii="Times New Roman" w:eastAsia="Times New Roman" w:hAnsi="Times New Roman" w:cs="Times New Roman"/>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1AC832A7"/>
    <w:multiLevelType w:val="multilevel"/>
    <w:tmpl w:val="CC1251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1F327EB1"/>
    <w:multiLevelType w:val="hybridMultilevel"/>
    <w:tmpl w:val="6194C2A0"/>
    <w:lvl w:ilvl="0" w:tplc="B178DA2E">
      <w:start w:val="1"/>
      <w:numFmt w:val="decimal"/>
      <w:lvlText w:val="%1."/>
      <w:lvlJc w:val="left"/>
      <w:pPr>
        <w:ind w:left="1080" w:hanging="360"/>
      </w:pPr>
      <w:rPr>
        <w:rFonts w:hint="default"/>
      </w:rPr>
    </w:lvl>
    <w:lvl w:ilvl="1" w:tplc="23527918">
      <w:start w:val="1"/>
      <w:numFmt w:val="lowerLetter"/>
      <w:lvlText w:val="%2."/>
      <w:lvlJc w:val="left"/>
      <w:pPr>
        <w:ind w:left="1800" w:hanging="360"/>
      </w:pPr>
      <w:rPr>
        <w:b w:val="0"/>
        <w:bCs w:val="0"/>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1F454F35"/>
    <w:multiLevelType w:val="hybridMultilevel"/>
    <w:tmpl w:val="BBC6478E"/>
    <w:lvl w:ilvl="0" w:tplc="58F64778">
      <w:start w:val="1"/>
      <w:numFmt w:val="lowerLetter"/>
      <w:lvlText w:val="%1."/>
      <w:lvlJc w:val="left"/>
      <w:pPr>
        <w:ind w:left="720" w:hanging="360"/>
      </w:pPr>
      <w:rPr>
        <w:sz w:val="20"/>
        <w:szCs w:val="20"/>
      </w:rPr>
    </w:lvl>
    <w:lvl w:ilvl="1" w:tplc="A9F6B00E">
      <w:start w:val="1"/>
      <w:numFmt w:val="decimal"/>
      <w:lvlText w:val="%2."/>
      <w:lvlJc w:val="left"/>
      <w:pPr>
        <w:ind w:left="1440" w:hanging="360"/>
      </w:pPr>
      <w:rPr>
        <w:b/>
        <w:bCs w:val="0"/>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23200BF"/>
    <w:multiLevelType w:val="hybridMultilevel"/>
    <w:tmpl w:val="8CFC3D0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5" w15:restartNumberingAfterBreak="0">
    <w:nsid w:val="22BB2B28"/>
    <w:multiLevelType w:val="hybridMultilevel"/>
    <w:tmpl w:val="BE24038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22DB6F29"/>
    <w:multiLevelType w:val="hybridMultilevel"/>
    <w:tmpl w:val="F27286E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230F28EB"/>
    <w:multiLevelType w:val="hybridMultilevel"/>
    <w:tmpl w:val="2E80565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25724F91"/>
    <w:multiLevelType w:val="hybridMultilevel"/>
    <w:tmpl w:val="48683B38"/>
    <w:lvl w:ilvl="0" w:tplc="AF86299A">
      <w:start w:val="25"/>
      <w:numFmt w:val="decimal"/>
      <w:lvlText w:val="%1."/>
      <w:lvlJc w:val="left"/>
      <w:pPr>
        <w:ind w:left="72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57A7E46"/>
    <w:multiLevelType w:val="hybridMultilevel"/>
    <w:tmpl w:val="3A8EA59C"/>
    <w:lvl w:ilvl="0" w:tplc="C9206FE6">
      <w:start w:val="10"/>
      <w:numFmt w:val="decimal"/>
      <w:lvlText w:val="%1."/>
      <w:lvlJc w:val="left"/>
      <w:pPr>
        <w:ind w:left="36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271D370C"/>
    <w:multiLevelType w:val="hybridMultilevel"/>
    <w:tmpl w:val="73DA12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7546F00"/>
    <w:multiLevelType w:val="hybridMultilevel"/>
    <w:tmpl w:val="86DC4878"/>
    <w:lvl w:ilvl="0" w:tplc="4CEA35A0">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27A93635"/>
    <w:multiLevelType w:val="hybridMultilevel"/>
    <w:tmpl w:val="E0E2F97C"/>
    <w:lvl w:ilvl="0" w:tplc="7E3AF2B4">
      <w:start w:val="1"/>
      <w:numFmt w:val="lowerLetter"/>
      <w:lvlText w:val="%1."/>
      <w:lvlJc w:val="left"/>
      <w:pPr>
        <w:ind w:left="720" w:hanging="360"/>
      </w:pPr>
      <w:rPr>
        <w:rFonts w:hint="default"/>
        <w:b/>
        <w: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2BBD335E"/>
    <w:multiLevelType w:val="hybridMultilevel"/>
    <w:tmpl w:val="6A48E92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305E4434"/>
    <w:multiLevelType w:val="hybridMultilevel"/>
    <w:tmpl w:val="ADB46508"/>
    <w:lvl w:ilvl="0" w:tplc="58F64778">
      <w:start w:val="1"/>
      <w:numFmt w:val="lowerLetter"/>
      <w:lvlText w:val="%1."/>
      <w:lvlJc w:val="left"/>
      <w:pPr>
        <w:ind w:left="720" w:hanging="360"/>
      </w:pPr>
      <w:rPr>
        <w:sz w:val="20"/>
        <w:szCs w:val="2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321B6FBC"/>
    <w:multiLevelType w:val="hybridMultilevel"/>
    <w:tmpl w:val="165C2B4C"/>
    <w:lvl w:ilvl="0" w:tplc="60A61E0C">
      <w:start w:val="13"/>
      <w:numFmt w:val="decimal"/>
      <w:lvlText w:val="%1."/>
      <w:lvlJc w:val="left"/>
      <w:pPr>
        <w:ind w:left="1440" w:hanging="360"/>
      </w:pPr>
      <w:rPr>
        <w:rFonts w:ascii="Times New Roman" w:hAnsi="Times New Roman" w:cs="Times New Roman"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370919A7"/>
    <w:multiLevelType w:val="hybridMultilevel"/>
    <w:tmpl w:val="845649D4"/>
    <w:lvl w:ilvl="0" w:tplc="32B6F9DE">
      <w:start w:val="21"/>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390E09AB"/>
    <w:multiLevelType w:val="hybridMultilevel"/>
    <w:tmpl w:val="2B6C33B4"/>
    <w:lvl w:ilvl="0" w:tplc="9EB4F91C">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9B34EC"/>
    <w:multiLevelType w:val="hybridMultilevel"/>
    <w:tmpl w:val="6A5A79EE"/>
    <w:lvl w:ilvl="0" w:tplc="34090019">
      <w:start w:val="1"/>
      <w:numFmt w:val="lowerLetter"/>
      <w:lvlText w:val="%1."/>
      <w:lvlJc w:val="left"/>
      <w:pPr>
        <w:ind w:left="6570" w:hanging="360"/>
      </w:pPr>
      <w:rPr>
        <w:rFonts w:hint="default"/>
      </w:rPr>
    </w:lvl>
    <w:lvl w:ilvl="1" w:tplc="34090019" w:tentative="1">
      <w:start w:val="1"/>
      <w:numFmt w:val="lowerLetter"/>
      <w:lvlText w:val="%2."/>
      <w:lvlJc w:val="left"/>
      <w:pPr>
        <w:ind w:left="7290" w:hanging="360"/>
      </w:pPr>
    </w:lvl>
    <w:lvl w:ilvl="2" w:tplc="3409001B" w:tentative="1">
      <w:start w:val="1"/>
      <w:numFmt w:val="lowerRoman"/>
      <w:lvlText w:val="%3."/>
      <w:lvlJc w:val="right"/>
      <w:pPr>
        <w:ind w:left="8010" w:hanging="180"/>
      </w:pPr>
    </w:lvl>
    <w:lvl w:ilvl="3" w:tplc="3409000F" w:tentative="1">
      <w:start w:val="1"/>
      <w:numFmt w:val="decimal"/>
      <w:lvlText w:val="%4."/>
      <w:lvlJc w:val="left"/>
      <w:pPr>
        <w:ind w:left="8730" w:hanging="360"/>
      </w:pPr>
    </w:lvl>
    <w:lvl w:ilvl="4" w:tplc="34090019" w:tentative="1">
      <w:start w:val="1"/>
      <w:numFmt w:val="lowerLetter"/>
      <w:lvlText w:val="%5."/>
      <w:lvlJc w:val="left"/>
      <w:pPr>
        <w:ind w:left="9450" w:hanging="360"/>
      </w:pPr>
    </w:lvl>
    <w:lvl w:ilvl="5" w:tplc="3409001B" w:tentative="1">
      <w:start w:val="1"/>
      <w:numFmt w:val="lowerRoman"/>
      <w:lvlText w:val="%6."/>
      <w:lvlJc w:val="right"/>
      <w:pPr>
        <w:ind w:left="10170" w:hanging="180"/>
      </w:pPr>
    </w:lvl>
    <w:lvl w:ilvl="6" w:tplc="3409000F" w:tentative="1">
      <w:start w:val="1"/>
      <w:numFmt w:val="decimal"/>
      <w:lvlText w:val="%7."/>
      <w:lvlJc w:val="left"/>
      <w:pPr>
        <w:ind w:left="10890" w:hanging="360"/>
      </w:pPr>
    </w:lvl>
    <w:lvl w:ilvl="7" w:tplc="34090019" w:tentative="1">
      <w:start w:val="1"/>
      <w:numFmt w:val="lowerLetter"/>
      <w:lvlText w:val="%8."/>
      <w:lvlJc w:val="left"/>
      <w:pPr>
        <w:ind w:left="11610" w:hanging="360"/>
      </w:pPr>
    </w:lvl>
    <w:lvl w:ilvl="8" w:tplc="3409001B" w:tentative="1">
      <w:start w:val="1"/>
      <w:numFmt w:val="lowerRoman"/>
      <w:lvlText w:val="%9."/>
      <w:lvlJc w:val="right"/>
      <w:pPr>
        <w:ind w:left="12330" w:hanging="180"/>
      </w:pPr>
    </w:lvl>
  </w:abstractNum>
  <w:abstractNum w:abstractNumId="39" w15:restartNumberingAfterBreak="0">
    <w:nsid w:val="3CD200E3"/>
    <w:multiLevelType w:val="multilevel"/>
    <w:tmpl w:val="7F12414C"/>
    <w:lvl w:ilvl="0">
      <w:start w:val="1"/>
      <w:numFmt w:val="lowerLetter"/>
      <w:lvlText w:val="%1."/>
      <w:lvlJc w:val="left"/>
      <w:pPr>
        <w:ind w:left="1536" w:hanging="360"/>
      </w:pPr>
      <w:rPr>
        <w:i/>
      </w:rPr>
    </w:lvl>
    <w:lvl w:ilvl="1">
      <w:start w:val="1"/>
      <w:numFmt w:val="lowerLetter"/>
      <w:lvlText w:val="%2."/>
      <w:lvlJc w:val="left"/>
      <w:pPr>
        <w:ind w:left="2256" w:hanging="360"/>
      </w:pPr>
    </w:lvl>
    <w:lvl w:ilvl="2">
      <w:start w:val="1"/>
      <w:numFmt w:val="lowerRoman"/>
      <w:lvlText w:val="%3."/>
      <w:lvlJc w:val="right"/>
      <w:pPr>
        <w:ind w:left="2976" w:hanging="180"/>
      </w:pPr>
    </w:lvl>
    <w:lvl w:ilvl="3">
      <w:start w:val="1"/>
      <w:numFmt w:val="decimal"/>
      <w:lvlText w:val="%4."/>
      <w:lvlJc w:val="left"/>
      <w:pPr>
        <w:ind w:left="3696" w:hanging="360"/>
      </w:pPr>
    </w:lvl>
    <w:lvl w:ilvl="4">
      <w:start w:val="1"/>
      <w:numFmt w:val="lowerLetter"/>
      <w:lvlText w:val="%5."/>
      <w:lvlJc w:val="left"/>
      <w:pPr>
        <w:ind w:left="4416" w:hanging="360"/>
      </w:pPr>
    </w:lvl>
    <w:lvl w:ilvl="5">
      <w:start w:val="1"/>
      <w:numFmt w:val="lowerRoman"/>
      <w:lvlText w:val="%6."/>
      <w:lvlJc w:val="right"/>
      <w:pPr>
        <w:ind w:left="5136" w:hanging="180"/>
      </w:pPr>
    </w:lvl>
    <w:lvl w:ilvl="6">
      <w:start w:val="1"/>
      <w:numFmt w:val="decimal"/>
      <w:lvlText w:val="%7."/>
      <w:lvlJc w:val="left"/>
      <w:pPr>
        <w:ind w:left="5856" w:hanging="360"/>
      </w:pPr>
    </w:lvl>
    <w:lvl w:ilvl="7">
      <w:start w:val="1"/>
      <w:numFmt w:val="lowerLetter"/>
      <w:lvlText w:val="%8."/>
      <w:lvlJc w:val="left"/>
      <w:pPr>
        <w:ind w:left="6576" w:hanging="360"/>
      </w:pPr>
    </w:lvl>
    <w:lvl w:ilvl="8">
      <w:start w:val="1"/>
      <w:numFmt w:val="lowerRoman"/>
      <w:lvlText w:val="%9."/>
      <w:lvlJc w:val="right"/>
      <w:pPr>
        <w:ind w:left="7296" w:hanging="180"/>
      </w:pPr>
    </w:lvl>
  </w:abstractNum>
  <w:abstractNum w:abstractNumId="40" w15:restartNumberingAfterBreak="0">
    <w:nsid w:val="3EBA291A"/>
    <w:multiLevelType w:val="multilevel"/>
    <w:tmpl w:val="19EE236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1" w15:restartNumberingAfterBreak="0">
    <w:nsid w:val="411E64EC"/>
    <w:multiLevelType w:val="hybridMultilevel"/>
    <w:tmpl w:val="FF90DCF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429C2697"/>
    <w:multiLevelType w:val="hybridMultilevel"/>
    <w:tmpl w:val="ADB46508"/>
    <w:lvl w:ilvl="0" w:tplc="58F64778">
      <w:start w:val="1"/>
      <w:numFmt w:val="lowerLetter"/>
      <w:lvlText w:val="%1."/>
      <w:lvlJc w:val="left"/>
      <w:pPr>
        <w:ind w:left="720" w:hanging="360"/>
      </w:pPr>
      <w:rPr>
        <w:sz w:val="20"/>
        <w:szCs w:val="2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42A452D0"/>
    <w:multiLevelType w:val="hybridMultilevel"/>
    <w:tmpl w:val="F3B4E12C"/>
    <w:lvl w:ilvl="0" w:tplc="39CA85A0">
      <w:start w:val="3"/>
      <w:numFmt w:val="lowerLetter"/>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44" w15:restartNumberingAfterBreak="0">
    <w:nsid w:val="435D0D29"/>
    <w:multiLevelType w:val="hybridMultilevel"/>
    <w:tmpl w:val="FB4C146C"/>
    <w:lvl w:ilvl="0" w:tplc="BC466E6E">
      <w:start w:val="1"/>
      <w:numFmt w:val="upperRoman"/>
      <w:lvlText w:val="%1."/>
      <w:lvlJc w:val="left"/>
      <w:pPr>
        <w:ind w:left="108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637785D"/>
    <w:multiLevelType w:val="hybridMultilevel"/>
    <w:tmpl w:val="E462FFC8"/>
    <w:lvl w:ilvl="0" w:tplc="CBCA8AB6">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6" w15:restartNumberingAfterBreak="0">
    <w:nsid w:val="4B9B3955"/>
    <w:multiLevelType w:val="hybridMultilevel"/>
    <w:tmpl w:val="BE009532"/>
    <w:lvl w:ilvl="0" w:tplc="B178DA2E">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7" w15:restartNumberingAfterBreak="0">
    <w:nsid w:val="4E6B2031"/>
    <w:multiLevelType w:val="hybridMultilevel"/>
    <w:tmpl w:val="5846D3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4E6E0740"/>
    <w:multiLevelType w:val="hybridMultilevel"/>
    <w:tmpl w:val="CAA6F970"/>
    <w:lvl w:ilvl="0" w:tplc="16A412E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9" w15:restartNumberingAfterBreak="0">
    <w:nsid w:val="501151FB"/>
    <w:multiLevelType w:val="hybridMultilevel"/>
    <w:tmpl w:val="B1D490A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0" w15:restartNumberingAfterBreak="0">
    <w:nsid w:val="51E04EAF"/>
    <w:multiLevelType w:val="hybridMultilevel"/>
    <w:tmpl w:val="9696A614"/>
    <w:lvl w:ilvl="0" w:tplc="E0140718">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1" w15:restartNumberingAfterBreak="0">
    <w:nsid w:val="51F736C1"/>
    <w:multiLevelType w:val="hybridMultilevel"/>
    <w:tmpl w:val="B61857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55BF3E7D"/>
    <w:multiLevelType w:val="hybridMultilevel"/>
    <w:tmpl w:val="5C6C26E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566D4C07"/>
    <w:multiLevelType w:val="hybridMultilevel"/>
    <w:tmpl w:val="DB38A7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575D5324"/>
    <w:multiLevelType w:val="hybridMultilevel"/>
    <w:tmpl w:val="7DEAFA9C"/>
    <w:lvl w:ilvl="0" w:tplc="E6F25932">
      <w:start w:val="1"/>
      <w:numFmt w:val="decimal"/>
      <w:lvlText w:val="%1."/>
      <w:lvlJc w:val="left"/>
      <w:pPr>
        <w:ind w:left="720" w:hanging="360"/>
      </w:pPr>
      <w:rPr>
        <w:rFonts w:ascii="Times New Roman" w:hAnsi="Times New Roman" w:cs="Times New Roman" w:hint="default"/>
        <w:b/>
        <w:bCs/>
        <w:u w:val="none"/>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5C7A00A4"/>
    <w:multiLevelType w:val="hybridMultilevel"/>
    <w:tmpl w:val="A39E74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5DA72A55"/>
    <w:multiLevelType w:val="multilevel"/>
    <w:tmpl w:val="490E11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5FAE60CE"/>
    <w:multiLevelType w:val="hybridMultilevel"/>
    <w:tmpl w:val="1278D04C"/>
    <w:lvl w:ilvl="0" w:tplc="C3809E20">
      <w:start w:val="12"/>
      <w:numFmt w:val="decimal"/>
      <w:lvlText w:val="%1."/>
      <w:lvlJc w:val="left"/>
      <w:pPr>
        <w:ind w:left="360" w:hanging="360"/>
      </w:pPr>
      <w:rPr>
        <w:rFonts w:ascii="Times New Roman" w:hAnsi="Times New Roman" w:cs="Times New Roman" w:hint="default"/>
        <w:b/>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61DE413F"/>
    <w:multiLevelType w:val="hybridMultilevel"/>
    <w:tmpl w:val="E9340EF6"/>
    <w:lvl w:ilvl="0" w:tplc="707A6040">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9" w15:restartNumberingAfterBreak="0">
    <w:nsid w:val="626577BD"/>
    <w:multiLevelType w:val="hybridMultilevel"/>
    <w:tmpl w:val="609CDAF2"/>
    <w:lvl w:ilvl="0" w:tplc="0298D89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0" w15:restartNumberingAfterBreak="0">
    <w:nsid w:val="64084650"/>
    <w:multiLevelType w:val="hybridMultilevel"/>
    <w:tmpl w:val="53B4AF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66493F6F"/>
    <w:multiLevelType w:val="hybridMultilevel"/>
    <w:tmpl w:val="96EECB56"/>
    <w:lvl w:ilvl="0" w:tplc="BC466E6E">
      <w:start w:val="1"/>
      <w:numFmt w:val="upperRoman"/>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669828EF"/>
    <w:multiLevelType w:val="hybridMultilevel"/>
    <w:tmpl w:val="1DB28CDA"/>
    <w:lvl w:ilvl="0" w:tplc="3409000F">
      <w:start w:val="1"/>
      <w:numFmt w:val="decimal"/>
      <w:lvlText w:val="%1."/>
      <w:lvlJc w:val="left"/>
      <w:pPr>
        <w:ind w:left="720" w:hanging="360"/>
      </w:pPr>
      <w:rPr>
        <w:rFonts w:hint="default"/>
      </w:rPr>
    </w:lvl>
    <w:lvl w:ilvl="1" w:tplc="3409000F">
      <w:start w:val="1"/>
      <w:numFmt w:val="decimal"/>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66C1428F"/>
    <w:multiLevelType w:val="hybridMultilevel"/>
    <w:tmpl w:val="57C8048A"/>
    <w:lvl w:ilvl="0" w:tplc="8EA832A8">
      <w:start w:val="1"/>
      <w:numFmt w:val="decimal"/>
      <w:lvlText w:val="%1."/>
      <w:lvlJc w:val="left"/>
      <w:pPr>
        <w:ind w:left="1080" w:hanging="360"/>
      </w:pPr>
      <w:rPr>
        <w:rFonts w:hint="default"/>
        <w:b w:val="0"/>
        <w:bCs w:val="0"/>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4" w15:restartNumberingAfterBreak="0">
    <w:nsid w:val="6C29273C"/>
    <w:multiLevelType w:val="hybridMultilevel"/>
    <w:tmpl w:val="EFF2C5F2"/>
    <w:lvl w:ilvl="0" w:tplc="7B447816">
      <w:start w:val="1"/>
      <w:numFmt w:val="decimal"/>
      <w:lvlText w:val="%1."/>
      <w:lvlJc w:val="left"/>
      <w:pPr>
        <w:ind w:left="1725" w:hanging="1005"/>
      </w:pPr>
      <w:rPr>
        <w:rFonts w:hint="default"/>
        <w:b w:val="0"/>
        <w:bCs/>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5" w15:restartNumberingAfterBreak="0">
    <w:nsid w:val="6D5C3F13"/>
    <w:multiLevelType w:val="hybridMultilevel"/>
    <w:tmpl w:val="DE0295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6D6F079E"/>
    <w:multiLevelType w:val="hybridMultilevel"/>
    <w:tmpl w:val="A2E0F61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7" w15:restartNumberingAfterBreak="0">
    <w:nsid w:val="6E450FBD"/>
    <w:multiLevelType w:val="hybridMultilevel"/>
    <w:tmpl w:val="FC0E3C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6E544FCE"/>
    <w:multiLevelType w:val="hybridMultilevel"/>
    <w:tmpl w:val="32E26468"/>
    <w:lvl w:ilvl="0" w:tplc="D98EBD6E">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702345B0"/>
    <w:multiLevelType w:val="hybridMultilevel"/>
    <w:tmpl w:val="4418B8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0" w15:restartNumberingAfterBreak="0">
    <w:nsid w:val="708D32D2"/>
    <w:multiLevelType w:val="hybridMultilevel"/>
    <w:tmpl w:val="1DB28CDA"/>
    <w:lvl w:ilvl="0" w:tplc="3409000F">
      <w:start w:val="1"/>
      <w:numFmt w:val="decimal"/>
      <w:lvlText w:val="%1."/>
      <w:lvlJc w:val="left"/>
      <w:pPr>
        <w:ind w:left="720" w:hanging="360"/>
      </w:pPr>
      <w:rPr>
        <w:rFonts w:hint="default"/>
      </w:rPr>
    </w:lvl>
    <w:lvl w:ilvl="1" w:tplc="3409000F">
      <w:start w:val="1"/>
      <w:numFmt w:val="decimal"/>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721E2AA6"/>
    <w:multiLevelType w:val="hybridMultilevel"/>
    <w:tmpl w:val="30DCC6D8"/>
    <w:lvl w:ilvl="0" w:tplc="082E3EC8">
      <w:start w:val="1"/>
      <w:numFmt w:val="bullet"/>
      <w:lvlText w:val=""/>
      <w:lvlJc w:val="left"/>
      <w:pPr>
        <w:ind w:left="1440" w:hanging="360"/>
      </w:pPr>
      <w:rPr>
        <w:rFonts w:ascii="Symbol" w:hAnsi="Symbol" w:hint="default"/>
        <w:color w:val="auto"/>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2" w15:restartNumberingAfterBreak="0">
    <w:nsid w:val="73AA13A2"/>
    <w:multiLevelType w:val="hybridMultilevel"/>
    <w:tmpl w:val="6A4A2960"/>
    <w:lvl w:ilvl="0" w:tplc="CA84B660">
      <w:start w:val="1"/>
      <w:numFmt w:val="decimal"/>
      <w:lvlText w:val="%1."/>
      <w:lvlJc w:val="left"/>
      <w:pPr>
        <w:ind w:left="1080" w:hanging="360"/>
      </w:pPr>
      <w:rPr>
        <w:rFonts w:hint="default"/>
        <w:b w:val="0"/>
        <w:bCs/>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3" w15:restartNumberingAfterBreak="0">
    <w:nsid w:val="73C521A4"/>
    <w:multiLevelType w:val="hybridMultilevel"/>
    <w:tmpl w:val="C420B26A"/>
    <w:lvl w:ilvl="0" w:tplc="064CCDD6">
      <w:start w:val="1"/>
      <w:numFmt w:val="bullet"/>
      <w:lvlText w:val=""/>
      <w:lvlJc w:val="left"/>
      <w:pPr>
        <w:ind w:left="1429" w:hanging="360"/>
      </w:pPr>
      <w:rPr>
        <w:rFonts w:ascii="Symbol" w:hAnsi="Symbol" w:hint="default"/>
        <w:color w:val="auto"/>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74" w15:restartNumberingAfterBreak="0">
    <w:nsid w:val="76612CC4"/>
    <w:multiLevelType w:val="hybridMultilevel"/>
    <w:tmpl w:val="88F0E944"/>
    <w:lvl w:ilvl="0" w:tplc="872AE1D2">
      <w:start w:val="1"/>
      <w:numFmt w:val="decimal"/>
      <w:lvlText w:val="%1."/>
      <w:lvlJc w:val="left"/>
      <w:pPr>
        <w:ind w:left="1080" w:hanging="360"/>
      </w:pPr>
      <w:rPr>
        <w:rFonts w:hint="default"/>
        <w:b/>
        <w:bCs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5" w15:restartNumberingAfterBreak="0">
    <w:nsid w:val="77096CA1"/>
    <w:multiLevelType w:val="hybridMultilevel"/>
    <w:tmpl w:val="02A27D1C"/>
    <w:lvl w:ilvl="0" w:tplc="1E5AD764">
      <w:start w:val="2"/>
      <w:numFmt w:val="decimal"/>
      <w:lvlText w:val="%1."/>
      <w:lvlJc w:val="left"/>
      <w:pPr>
        <w:ind w:left="720" w:hanging="360"/>
      </w:pPr>
      <w:rPr>
        <w:rFonts w:ascii="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750150A"/>
    <w:multiLevelType w:val="hybridMultilevel"/>
    <w:tmpl w:val="F60E0E12"/>
    <w:lvl w:ilvl="0" w:tplc="14A424B8">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7CAA62C1"/>
    <w:multiLevelType w:val="hybridMultilevel"/>
    <w:tmpl w:val="5C4C3840"/>
    <w:lvl w:ilvl="0" w:tplc="5FF4802A">
      <w:start w:val="23"/>
      <w:numFmt w:val="bullet"/>
      <w:lvlText w:val="-"/>
      <w:lvlJc w:val="left"/>
      <w:pPr>
        <w:ind w:left="720" w:hanging="360"/>
      </w:pPr>
      <w:rPr>
        <w:rFonts w:ascii="Times New Roman" w:eastAsiaTheme="minorHAnsi"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7F0E1CA9"/>
    <w:multiLevelType w:val="hybridMultilevel"/>
    <w:tmpl w:val="E3B08CCA"/>
    <w:lvl w:ilvl="0" w:tplc="48E6F14E">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9" w15:restartNumberingAfterBreak="0">
    <w:nsid w:val="7F646C87"/>
    <w:multiLevelType w:val="hybridMultilevel"/>
    <w:tmpl w:val="96EECB56"/>
    <w:lvl w:ilvl="0" w:tplc="BC466E6E">
      <w:start w:val="1"/>
      <w:numFmt w:val="upperRoman"/>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1"/>
  </w:num>
  <w:num w:numId="2">
    <w:abstractNumId w:val="75"/>
  </w:num>
  <w:num w:numId="3">
    <w:abstractNumId w:val="16"/>
  </w:num>
  <w:num w:numId="4">
    <w:abstractNumId w:val="49"/>
  </w:num>
  <w:num w:numId="5">
    <w:abstractNumId w:val="43"/>
  </w:num>
  <w:num w:numId="6">
    <w:abstractNumId w:val="3"/>
  </w:num>
  <w:num w:numId="7">
    <w:abstractNumId w:val="20"/>
  </w:num>
  <w:num w:numId="8">
    <w:abstractNumId w:val="21"/>
  </w:num>
  <w:num w:numId="9">
    <w:abstractNumId w:val="39"/>
  </w:num>
  <w:num w:numId="10">
    <w:abstractNumId w:val="40"/>
  </w:num>
  <w:num w:numId="11">
    <w:abstractNumId w:val="56"/>
  </w:num>
  <w:num w:numId="12">
    <w:abstractNumId w:val="58"/>
  </w:num>
  <w:num w:numId="13">
    <w:abstractNumId w:val="13"/>
  </w:num>
  <w:num w:numId="14">
    <w:abstractNumId w:val="63"/>
  </w:num>
  <w:num w:numId="15">
    <w:abstractNumId w:val="8"/>
  </w:num>
  <w:num w:numId="16">
    <w:abstractNumId w:val="32"/>
  </w:num>
  <w:num w:numId="17">
    <w:abstractNumId w:val="48"/>
  </w:num>
  <w:num w:numId="18">
    <w:abstractNumId w:val="5"/>
  </w:num>
  <w:num w:numId="19">
    <w:abstractNumId w:val="74"/>
  </w:num>
  <w:num w:numId="20">
    <w:abstractNumId w:val="59"/>
  </w:num>
  <w:num w:numId="21">
    <w:abstractNumId w:val="53"/>
  </w:num>
  <w:num w:numId="22">
    <w:abstractNumId w:val="54"/>
  </w:num>
  <w:num w:numId="23">
    <w:abstractNumId w:val="64"/>
  </w:num>
  <w:num w:numId="24">
    <w:abstractNumId w:val="1"/>
  </w:num>
  <w:num w:numId="25">
    <w:abstractNumId w:val="9"/>
  </w:num>
  <w:num w:numId="26">
    <w:abstractNumId w:val="77"/>
  </w:num>
  <w:num w:numId="27">
    <w:abstractNumId w:val="36"/>
  </w:num>
  <w:num w:numId="28">
    <w:abstractNumId w:val="26"/>
  </w:num>
  <w:num w:numId="29">
    <w:abstractNumId w:val="52"/>
  </w:num>
  <w:num w:numId="30">
    <w:abstractNumId w:val="50"/>
  </w:num>
  <w:num w:numId="31">
    <w:abstractNumId w:val="38"/>
  </w:num>
  <w:num w:numId="32">
    <w:abstractNumId w:val="46"/>
  </w:num>
  <w:num w:numId="33">
    <w:abstractNumId w:val="44"/>
  </w:num>
  <w:num w:numId="34">
    <w:abstractNumId w:val="22"/>
  </w:num>
  <w:num w:numId="35">
    <w:abstractNumId w:val="14"/>
  </w:num>
  <w:num w:numId="36">
    <w:abstractNumId w:val="30"/>
  </w:num>
  <w:num w:numId="37">
    <w:abstractNumId w:val="23"/>
  </w:num>
  <w:num w:numId="38">
    <w:abstractNumId w:val="25"/>
  </w:num>
  <w:num w:numId="39">
    <w:abstractNumId w:val="18"/>
  </w:num>
  <w:num w:numId="40">
    <w:abstractNumId w:val="70"/>
  </w:num>
  <w:num w:numId="41">
    <w:abstractNumId w:val="4"/>
  </w:num>
  <w:num w:numId="42">
    <w:abstractNumId w:val="42"/>
  </w:num>
  <w:num w:numId="43">
    <w:abstractNumId w:val="34"/>
  </w:num>
  <w:num w:numId="44">
    <w:abstractNumId w:val="33"/>
  </w:num>
  <w:num w:numId="45">
    <w:abstractNumId w:val="62"/>
  </w:num>
  <w:num w:numId="46">
    <w:abstractNumId w:val="72"/>
  </w:num>
  <w:num w:numId="47">
    <w:abstractNumId w:val="12"/>
  </w:num>
  <w:num w:numId="48">
    <w:abstractNumId w:val="10"/>
  </w:num>
  <w:num w:numId="49">
    <w:abstractNumId w:val="19"/>
  </w:num>
  <w:num w:numId="50">
    <w:abstractNumId w:val="31"/>
  </w:num>
  <w:num w:numId="51">
    <w:abstractNumId w:val="7"/>
  </w:num>
  <w:num w:numId="52">
    <w:abstractNumId w:val="24"/>
  </w:num>
  <w:num w:numId="53">
    <w:abstractNumId w:val="66"/>
  </w:num>
  <w:num w:numId="54">
    <w:abstractNumId w:val="76"/>
  </w:num>
  <w:num w:numId="55">
    <w:abstractNumId w:val="68"/>
  </w:num>
  <w:num w:numId="56">
    <w:abstractNumId w:val="78"/>
  </w:num>
  <w:num w:numId="57">
    <w:abstractNumId w:val="45"/>
  </w:num>
  <w:num w:numId="58">
    <w:abstractNumId w:val="51"/>
  </w:num>
  <w:num w:numId="59">
    <w:abstractNumId w:val="60"/>
  </w:num>
  <w:num w:numId="60">
    <w:abstractNumId w:val="65"/>
  </w:num>
  <w:num w:numId="61">
    <w:abstractNumId w:val="71"/>
  </w:num>
  <w:num w:numId="62">
    <w:abstractNumId w:val="73"/>
  </w:num>
  <w:num w:numId="63">
    <w:abstractNumId w:val="69"/>
  </w:num>
  <w:num w:numId="64">
    <w:abstractNumId w:val="27"/>
  </w:num>
  <w:num w:numId="65">
    <w:abstractNumId w:val="55"/>
  </w:num>
  <w:num w:numId="66">
    <w:abstractNumId w:val="0"/>
  </w:num>
  <w:num w:numId="67">
    <w:abstractNumId w:val="6"/>
  </w:num>
  <w:num w:numId="68">
    <w:abstractNumId w:val="17"/>
  </w:num>
  <w:num w:numId="69">
    <w:abstractNumId w:val="47"/>
  </w:num>
  <w:num w:numId="70">
    <w:abstractNumId w:val="41"/>
  </w:num>
  <w:num w:numId="71">
    <w:abstractNumId w:val="15"/>
  </w:num>
  <w:num w:numId="72">
    <w:abstractNumId w:val="29"/>
  </w:num>
  <w:num w:numId="73">
    <w:abstractNumId w:val="57"/>
  </w:num>
  <w:num w:numId="74">
    <w:abstractNumId w:val="2"/>
  </w:num>
  <w:num w:numId="75">
    <w:abstractNumId w:val="35"/>
  </w:num>
  <w:num w:numId="76">
    <w:abstractNumId w:val="61"/>
  </w:num>
  <w:num w:numId="77">
    <w:abstractNumId w:val="79"/>
  </w:num>
  <w:num w:numId="78">
    <w:abstractNumId w:val="67"/>
  </w:num>
  <w:num w:numId="79">
    <w:abstractNumId w:val="28"/>
  </w:num>
  <w:num w:numId="80">
    <w:abstractNumId w:val="3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revisionView w:inkAnnotations="0"/>
  <w:documentProtection w:edit="forms" w:enforcement="1" w:cryptProviderType="rsaAES" w:cryptAlgorithmClass="hash" w:cryptAlgorithmType="typeAny" w:cryptAlgorithmSid="14" w:cryptSpinCount="100000" w:hash="W8vC4Niup9RxjVtsIjvDerLzLK6MXSxUECJxdbX+10Vhmtbv2d/Zqf1VS1JcfmZkQWlEEf806bNb0qkepUgPHw==" w:salt="NZaY1ucjFn2ze2I7mbqAWg=="/>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Q0MjY1NzY2MDAxNrdQ0lEKTi0uzszPAymwrAUAXCDAoCwAAAA="/>
  </w:docVar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A78B58AA-80CC-4A75-B7BE-3CE93CA98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sz w:val="24"/>
      <w:szCs w:val="24"/>
    </w:rPr>
  </w:style>
  <w:style w:type="paragraph" w:styleId="Heading1">
    <w:name w:val="heading 1"/>
    <w:basedOn w:val="Normal"/>
    <w:next w:val="Normal"/>
    <w:link w:val="Heading1Char"/>
    <w:uiPriority w:val="9"/>
    <w:qFormat/>
    <w:pPr>
      <w:keepNext/>
      <w:keepLines/>
      <w:spacing w:before="240" w:line="276" w:lineRule="auto"/>
      <w:outlineLvl w:val="0"/>
    </w:pPr>
    <w:rPr>
      <w:rFonts w:asciiTheme="majorHAnsi" w:eastAsiaTheme="majorEastAsia" w:hAnsiTheme="majorHAnsi" w:cstheme="majorBidi"/>
      <w:color w:val="2E74B5" w:themeColor="accent1" w:themeShade="BF"/>
      <w:sz w:val="32"/>
      <w:szCs w:val="32"/>
    </w:rPr>
  </w:style>
  <w:style w:type="paragraph" w:styleId="Heading5">
    <w:name w:val="heading 5"/>
    <w:basedOn w:val="Normal"/>
    <w:next w:val="Normal"/>
    <w:link w:val="Heading5Char"/>
    <w:unhideWhenUsed/>
    <w:qFormat/>
    <w:pPr>
      <w:keepNext/>
      <w:keepLines/>
      <w:spacing w:before="40" w:line="276" w:lineRule="auto"/>
      <w:outlineLvl w:val="4"/>
    </w:pPr>
    <w:rPr>
      <w:rFonts w:asciiTheme="majorHAnsi" w:eastAsiaTheme="majorEastAsia" w:hAnsiTheme="majorHAnsi" w:cstheme="majorBidi"/>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Resume Title"/>
    <w:basedOn w:val="Normal"/>
    <w:link w:val="ListParagraphChar"/>
    <w:uiPriority w:val="34"/>
    <w:qFormat/>
    <w:pPr>
      <w:spacing w:after="200" w:line="276" w:lineRule="auto"/>
      <w:ind w:left="720"/>
      <w:contextualSpacing/>
    </w:pPr>
    <w:rPr>
      <w:rFonts w:ascii="Calibri" w:eastAsia="Calibri" w:hAnsi="Calibri"/>
      <w:sz w:val="22"/>
      <w:szCs w:val="22"/>
      <w:lang w:val="en-PH"/>
    </w:rPr>
  </w:style>
  <w:style w:type="paragraph" w:styleId="EndnoteText">
    <w:name w:val="endnote text"/>
    <w:basedOn w:val="Normal"/>
    <w:link w:val="EndnoteTextChar"/>
    <w:uiPriority w:val="99"/>
    <w:unhideWhenUsed/>
    <w:rPr>
      <w:rFonts w:ascii="Calibri" w:hAnsi="Calibri"/>
      <w:sz w:val="20"/>
      <w:szCs w:val="20"/>
    </w:rPr>
  </w:style>
  <w:style w:type="character" w:customStyle="1" w:styleId="EndnoteTextChar">
    <w:name w:val="Endnote Text Char"/>
    <w:link w:val="EndnoteText"/>
    <w:uiPriority w:val="99"/>
    <w:rPr>
      <w:rFonts w:ascii="Calibri" w:eastAsia="Times New Roman" w:hAnsi="Calibri" w:cs="Times New Roman"/>
      <w:sz w:val="20"/>
      <w:szCs w:val="20"/>
    </w:rPr>
  </w:style>
  <w:style w:type="character" w:styleId="EndnoteReference">
    <w:name w:val="endnote reference"/>
    <w:uiPriority w:val="99"/>
    <w:unhideWhenUsed/>
    <w:rPr>
      <w:vertAlign w:val="superscript"/>
    </w:rPr>
  </w:style>
  <w:style w:type="paragraph" w:styleId="BodyText">
    <w:name w:val="Body Text"/>
    <w:basedOn w:val="Normal"/>
    <w:link w:val="BodyTextChar"/>
    <w:unhideWhenUsed/>
    <w:pPr>
      <w:spacing w:after="120"/>
    </w:pPr>
  </w:style>
  <w:style w:type="character" w:customStyle="1" w:styleId="BodyTextChar">
    <w:name w:val="Body Text Char"/>
    <w:link w:val="BodyText"/>
    <w:rPr>
      <w:rFonts w:ascii="Times New Roman" w:eastAsia="Times New Roman" w:hAnsi="Times New Roman" w:cs="Times New Roman"/>
      <w:sz w:val="24"/>
      <w:szCs w:val="24"/>
    </w:rPr>
  </w:style>
  <w:style w:type="paragraph" w:styleId="NoSpacing">
    <w:name w:val="No Spacing"/>
    <w:link w:val="NoSpacingChar"/>
    <w:uiPriority w:val="1"/>
    <w:qFormat/>
    <w:rPr>
      <w:sz w:val="22"/>
      <w:szCs w:val="22"/>
      <w:lang w:val="en-PH"/>
    </w:rPr>
  </w:style>
  <w:style w:type="paragraph" w:styleId="NormalWeb">
    <w:name w:val="Normal (Web)"/>
    <w:basedOn w:val="Normal"/>
    <w:pPr>
      <w:spacing w:before="100" w:beforeAutospacing="1" w:after="100" w:afterAutospacing="1"/>
    </w:pPr>
    <w:rPr>
      <w:rFonts w:ascii="Arial" w:hAnsi="Arial" w:cs="Arial"/>
      <w:color w:val="000080"/>
      <w:sz w:val="21"/>
      <w:szCs w:val="21"/>
    </w:rPr>
  </w:style>
  <w:style w:type="character" w:customStyle="1" w:styleId="BalloonTextChar">
    <w:name w:val="Balloon Text Char"/>
    <w:link w:val="BalloonText"/>
    <w:uiPriority w:val="99"/>
    <w:semiHidden/>
    <w:rPr>
      <w:rFonts w:ascii="Tahoma" w:eastAsia="Calibri" w:hAnsi="Tahoma" w:cs="Times New Roman"/>
      <w:sz w:val="16"/>
      <w:szCs w:val="16"/>
    </w:rPr>
  </w:style>
  <w:style w:type="paragraph" w:styleId="BalloonText">
    <w:name w:val="Balloon Text"/>
    <w:basedOn w:val="Normal"/>
    <w:link w:val="BalloonTextChar"/>
    <w:uiPriority w:val="99"/>
    <w:semiHidden/>
    <w:unhideWhenUsed/>
    <w:rPr>
      <w:rFonts w:ascii="Tahoma" w:eastAsia="Calibri" w:hAnsi="Tahoma"/>
      <w:sz w:val="16"/>
      <w:szCs w:val="16"/>
      <w:lang w:val="en-PH"/>
    </w:rPr>
  </w:style>
  <w:style w:type="paragraph" w:styleId="Header">
    <w:name w:val="header"/>
    <w:basedOn w:val="Normal"/>
    <w:link w:val="HeaderChar"/>
    <w:uiPriority w:val="99"/>
    <w:unhideWhenUsed/>
    <w:pPr>
      <w:tabs>
        <w:tab w:val="center" w:pos="4680"/>
        <w:tab w:val="right" w:pos="9360"/>
      </w:tabs>
    </w:pPr>
    <w:rPr>
      <w:rFonts w:ascii="Calibri" w:eastAsia="Calibri" w:hAnsi="Calibri"/>
      <w:sz w:val="22"/>
      <w:szCs w:val="22"/>
      <w:lang w:val="en-PH"/>
    </w:rPr>
  </w:style>
  <w:style w:type="character" w:customStyle="1" w:styleId="HeaderChar">
    <w:name w:val="Header Char"/>
    <w:link w:val="Header"/>
    <w:uiPriority w:val="99"/>
    <w:rPr>
      <w:rFonts w:ascii="Calibri" w:eastAsia="Calibri" w:hAnsi="Calibri" w:cs="Times New Roman"/>
      <w:lang w:val="en-PH"/>
    </w:rPr>
  </w:style>
  <w:style w:type="paragraph" w:styleId="Footer">
    <w:name w:val="footer"/>
    <w:basedOn w:val="Normal"/>
    <w:link w:val="FooterChar"/>
    <w:uiPriority w:val="99"/>
    <w:unhideWhenUsed/>
    <w:pPr>
      <w:tabs>
        <w:tab w:val="center" w:pos="4680"/>
        <w:tab w:val="right" w:pos="9360"/>
      </w:tabs>
    </w:pPr>
    <w:rPr>
      <w:rFonts w:ascii="Calibri" w:eastAsia="Calibri" w:hAnsi="Calibri"/>
      <w:sz w:val="22"/>
      <w:szCs w:val="22"/>
      <w:lang w:val="en-PH"/>
    </w:rPr>
  </w:style>
  <w:style w:type="character" w:customStyle="1" w:styleId="FooterChar">
    <w:name w:val="Footer Char"/>
    <w:link w:val="Footer"/>
    <w:uiPriority w:val="99"/>
    <w:rPr>
      <w:rFonts w:ascii="Calibri" w:eastAsia="Calibri" w:hAnsi="Calibri" w:cs="Times New Roman"/>
      <w:lang w:val="en-PH"/>
    </w:rPr>
  </w:style>
  <w:style w:type="table" w:styleId="TableGrid">
    <w:name w:val="Table Grid"/>
    <w:basedOn w:val="TableNormal"/>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unhideWhenUsed/>
  </w:style>
  <w:style w:type="numbering" w:customStyle="1" w:styleId="NoList111">
    <w:name w:val="No List111"/>
    <w:next w:val="NoList"/>
    <w:uiPriority w:val="99"/>
    <w:semiHidden/>
    <w:unhideWhenUsed/>
  </w:style>
  <w:style w:type="table" w:customStyle="1" w:styleId="TableGrid16">
    <w:name w:val="Table Grid16"/>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pPr>
      <w:spacing w:after="200" w:line="276" w:lineRule="auto"/>
    </w:pPr>
    <w:rPr>
      <w:rFonts w:ascii="Calibri" w:eastAsia="Calibri" w:hAnsi="Calibri"/>
      <w:sz w:val="20"/>
      <w:szCs w:val="20"/>
      <w:lang w:val="en-PH"/>
    </w:rPr>
  </w:style>
  <w:style w:type="character" w:customStyle="1" w:styleId="FootnoteTextChar">
    <w:name w:val="Footnote Text Char"/>
    <w:link w:val="FootnoteText"/>
    <w:uiPriority w:val="99"/>
    <w:rPr>
      <w:lang w:eastAsia="en-US"/>
    </w:rPr>
  </w:style>
  <w:style w:type="character" w:styleId="FootnoteReference">
    <w:name w:val="footnote reference"/>
    <w:uiPriority w:val="99"/>
    <w:semiHidden/>
    <w:unhideWhenUsed/>
    <w:rPr>
      <w:vertAlign w:val="superscript"/>
    </w:rPr>
  </w:style>
  <w:style w:type="paragraph" w:customStyle="1" w:styleId="Style2">
    <w:name w:val="Style2"/>
    <w:basedOn w:val="Normal"/>
    <w:uiPriority w:val="99"/>
    <w:pPr>
      <w:widowControl w:val="0"/>
      <w:autoSpaceDE w:val="0"/>
      <w:autoSpaceDN w:val="0"/>
      <w:adjustRightInd w:val="0"/>
      <w:spacing w:line="314" w:lineRule="exact"/>
    </w:pPr>
    <w:rPr>
      <w:rFonts w:ascii="Arial" w:hAnsi="Arial" w:cs="Arial"/>
    </w:rPr>
  </w:style>
  <w:style w:type="character" w:customStyle="1" w:styleId="fontstyle01">
    <w:name w:val="fontstyle01"/>
    <w:basedOn w:val="DefaultParagraphFont"/>
    <w:rPr>
      <w:rFonts w:ascii="TimesNewRomanPSMT" w:hAnsi="TimesNewRomanPSMT" w:hint="default"/>
      <w:b w:val="0"/>
      <w:bCs w:val="0"/>
      <w:i w:val="0"/>
      <w:iCs w:val="0"/>
      <w:color w:val="000000"/>
      <w:sz w:val="24"/>
      <w:szCs w:val="24"/>
    </w:rPr>
  </w:style>
  <w:style w:type="character" w:customStyle="1" w:styleId="apple-converted-space">
    <w:name w:val="apple-converted-space"/>
    <w:basedOn w:val="DefaultParagraphFont"/>
  </w:style>
  <w:style w:type="character" w:styleId="Emphasis">
    <w:name w:val="Emphasis"/>
    <w:basedOn w:val="DefaultParagraphFont"/>
    <w:uiPriority w:val="20"/>
    <w:qFormat/>
    <w:rPr>
      <w:b/>
      <w:bCs/>
      <w:i w:val="0"/>
      <w:iCs w:val="0"/>
    </w:rPr>
  </w:style>
  <w:style w:type="character" w:customStyle="1" w:styleId="st1">
    <w:name w:val="st1"/>
    <w:basedOn w:val="DefaultParagraphFont"/>
  </w:style>
  <w:style w:type="character" w:customStyle="1" w:styleId="tgc">
    <w:name w:val="_tgc"/>
    <w:basedOn w:val="DefaultParagraphFont"/>
  </w:style>
  <w:style w:type="paragraph" w:styleId="Revision">
    <w:name w:val="Revision"/>
    <w:hidden/>
    <w:uiPriority w:val="99"/>
    <w:semiHidden/>
    <w:rPr>
      <w:sz w:val="22"/>
      <w:szCs w:val="22"/>
      <w:lang w:val="en-PH"/>
    </w:rPr>
  </w:style>
  <w:style w:type="table" w:customStyle="1" w:styleId="TableGrid17">
    <w:name w:val="Table Grid17"/>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after="200"/>
    </w:pPr>
    <w:rPr>
      <w:rFonts w:ascii="Calibri" w:eastAsia="Calibri" w:hAnsi="Calibri"/>
      <w:sz w:val="20"/>
      <w:szCs w:val="20"/>
      <w:lang w:val="en-PH"/>
    </w:rPr>
  </w:style>
  <w:style w:type="character" w:customStyle="1" w:styleId="CommentTextChar">
    <w:name w:val="Comment Text Char"/>
    <w:basedOn w:val="DefaultParagraphFont"/>
    <w:link w:val="CommentText"/>
    <w:uiPriority w:val="99"/>
    <w:rPr>
      <w:lang w:val="en-PH"/>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PH"/>
    </w:rPr>
  </w:style>
  <w:style w:type="table" w:customStyle="1" w:styleId="PlainTable41">
    <w:name w:val="Plain Table 41"/>
    <w:basedOn w:val="TableNormal"/>
    <w:uiPriority w:val="44"/>
    <w:rPr>
      <w:rFonts w:asciiTheme="minorHAnsi" w:eastAsiaTheme="minorHAnsi" w:hAnsiTheme="minorHAnsi" w:cstheme="minorBidi"/>
      <w:sz w:val="22"/>
      <w:szCs w:val="22"/>
      <w:lang w:val="en-PH"/>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uiPriority w:val="46"/>
    <w:rPr>
      <w:rFonts w:asciiTheme="minorHAnsi" w:eastAsiaTheme="minorHAnsi" w:hAnsiTheme="minorHAnsi" w:cstheme="minorBidi"/>
      <w:sz w:val="22"/>
      <w:szCs w:val="22"/>
      <w:lang w:val="en-PH"/>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customStyle="1" w:styleId="Pa17">
    <w:name w:val="Pa17"/>
    <w:basedOn w:val="Normal"/>
    <w:next w:val="Normal"/>
    <w:uiPriority w:val="99"/>
    <w:pPr>
      <w:autoSpaceDE w:val="0"/>
      <w:autoSpaceDN w:val="0"/>
      <w:adjustRightInd w:val="0"/>
      <w:spacing w:line="241" w:lineRule="atLeast"/>
    </w:pPr>
    <w:rPr>
      <w:rFonts w:ascii="Minion Pro" w:eastAsiaTheme="minorHAnsi" w:hAnsi="Minion Pro" w:cstheme="minorBidi"/>
    </w:rPr>
  </w:style>
  <w:style w:type="paragraph" w:customStyle="1" w:styleId="Default">
    <w:name w:val="Default"/>
    <w:pPr>
      <w:autoSpaceDE w:val="0"/>
      <w:autoSpaceDN w:val="0"/>
      <w:adjustRightInd w:val="0"/>
    </w:pPr>
    <w:rPr>
      <w:rFonts w:ascii="XQNLR W+ Minion Pro" w:eastAsiaTheme="minorHAnsi" w:hAnsi="XQNLR W+ Minion Pro" w:cs="XQNLR W+ Minion Pro"/>
      <w:color w:val="000000"/>
      <w:sz w:val="24"/>
      <w:szCs w:val="24"/>
    </w:rPr>
  </w:style>
  <w:style w:type="character" w:styleId="Hyperlink">
    <w:name w:val="Hyperlink"/>
    <w:basedOn w:val="DefaultParagraphFont"/>
    <w:uiPriority w:val="99"/>
    <w:unhideWhenUsed/>
    <w:rPr>
      <w:color w:val="0563C1" w:themeColor="hyperlink"/>
      <w:u w:val="single"/>
    </w:rPr>
  </w:style>
  <w:style w:type="table" w:customStyle="1" w:styleId="PlainTable21">
    <w:name w:val="Plain Table 21"/>
    <w:basedOn w:val="TableNormal"/>
    <w:uiPriority w:val="42"/>
    <w:rPr>
      <w:rFonts w:asciiTheme="minorHAnsi" w:eastAsiaTheme="minorHAnsi" w:hAnsiTheme="minorHAnsi" w:cstheme="minorBidi"/>
      <w:sz w:val="22"/>
      <w:szCs w:val="22"/>
      <w:lang w:val="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11">
    <w:name w:val="Grid Table 1 Light - Accent 11"/>
    <w:basedOn w:val="TableNormal"/>
    <w:uiPriority w:val="46"/>
    <w:rPr>
      <w:rFonts w:asciiTheme="minorHAnsi" w:eastAsiaTheme="minorHAnsi" w:hAnsiTheme="minorHAnsi" w:cstheme="minorBidi"/>
      <w:sz w:val="22"/>
      <w:szCs w:val="22"/>
      <w:lang w:val="en-PH"/>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PlainTable22">
    <w:name w:val="Plain Table 2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NoSpacingChar">
    <w:name w:val="No Spacing Char"/>
    <w:link w:val="NoSpacing"/>
    <w:uiPriority w:val="1"/>
    <w:qFormat/>
    <w:locked/>
    <w:rPr>
      <w:sz w:val="22"/>
      <w:szCs w:val="22"/>
      <w:lang w:val="en-PH"/>
    </w:rPr>
  </w:style>
  <w:style w:type="character" w:customStyle="1" w:styleId="ListParagraphChar">
    <w:name w:val="List Paragraph Char"/>
    <w:aliases w:val="Resume Title Char"/>
    <w:link w:val="ListParagraph"/>
    <w:uiPriority w:val="34"/>
    <w:qFormat/>
    <w:rPr>
      <w:sz w:val="22"/>
      <w:szCs w:val="22"/>
      <w:lang w:val="en-PH"/>
    </w:rPr>
  </w:style>
  <w:style w:type="character" w:customStyle="1" w:styleId="Heading5Char">
    <w:name w:val="Heading 5 Char"/>
    <w:basedOn w:val="DefaultParagraphFont"/>
    <w:link w:val="Heading5"/>
    <w:rPr>
      <w:rFonts w:asciiTheme="majorHAnsi" w:eastAsiaTheme="majorEastAsia" w:hAnsiTheme="majorHAnsi" w:cstheme="majorBidi"/>
      <w:color w:val="2E74B5" w:themeColor="accent1" w:themeShade="BF"/>
      <w:sz w:val="22"/>
      <w:szCs w:val="22"/>
    </w:rPr>
  </w:style>
  <w:style w:type="paragraph" w:styleId="BodyText2">
    <w:name w:val="Body Text 2"/>
    <w:basedOn w:val="Normal"/>
    <w:link w:val="BodyText2Char"/>
    <w:pPr>
      <w:spacing w:after="120" w:line="480" w:lineRule="auto"/>
      <w:jc w:val="both"/>
    </w:pPr>
    <w:rPr>
      <w:rFonts w:ascii="Arial" w:hAnsi="Arial"/>
      <w:spacing w:val="-5"/>
      <w:sz w:val="20"/>
      <w:szCs w:val="20"/>
      <w:lang w:val="en-PH"/>
    </w:rPr>
  </w:style>
  <w:style w:type="character" w:customStyle="1" w:styleId="BodyText2Char">
    <w:name w:val="Body Text 2 Char"/>
    <w:basedOn w:val="DefaultParagraphFont"/>
    <w:link w:val="BodyText2"/>
    <w:rPr>
      <w:rFonts w:ascii="Arial" w:eastAsia="Times New Roman" w:hAnsi="Arial"/>
      <w:spacing w:val="-5"/>
    </w:rPr>
  </w:style>
  <w:style w:type="paragraph" w:customStyle="1" w:styleId="MediumGrid21">
    <w:name w:val="Medium Grid 21"/>
    <w:uiPriority w:val="1"/>
    <w:qFormat/>
    <w:rPr>
      <w:sz w:val="22"/>
      <w:szCs w:val="22"/>
    </w:rPr>
  </w:style>
  <w:style w:type="paragraph" w:styleId="Title">
    <w:name w:val="Title"/>
    <w:basedOn w:val="Normal"/>
    <w:link w:val="TitleChar"/>
    <w:qFormat/>
    <w:pPr>
      <w:jc w:val="center"/>
    </w:pPr>
    <w:rPr>
      <w:b/>
      <w:bCs/>
      <w:sz w:val="28"/>
    </w:rPr>
  </w:style>
  <w:style w:type="character" w:customStyle="1" w:styleId="TitleChar">
    <w:name w:val="Title Char"/>
    <w:basedOn w:val="DefaultParagraphFont"/>
    <w:link w:val="Title"/>
    <w:rPr>
      <w:rFonts w:ascii="Times New Roman" w:eastAsia="Times New Roman" w:hAnsi="Times New Roman"/>
      <w:b/>
      <w:bCs/>
      <w:sz w:val="28"/>
      <w:szCs w:val="24"/>
    </w:rPr>
  </w:style>
  <w:style w:type="table" w:customStyle="1" w:styleId="TableGridLight1">
    <w:name w:val="Table Grid Light1"/>
    <w:basedOn w:val="TableNormal"/>
    <w:uiPriority w:val="40"/>
    <w:rPr>
      <w:rFonts w:asciiTheme="minorHAnsi" w:eastAsiaTheme="minorHAnsi" w:hAnsiTheme="minorHAnsi" w:cstheme="minorBidi"/>
      <w:sz w:val="22"/>
      <w:szCs w:val="22"/>
      <w:lang w:val="en-PH"/>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5">
    <w:name w:val="Table Grid25"/>
    <w:basedOn w:val="TableNormal"/>
    <w:next w:val="TableGrid"/>
    <w:uiPriority w:val="39"/>
    <w:rPr>
      <w:rFonts w:asciiTheme="minorHAnsi" w:eastAsiaTheme="minorHAnsi" w:hAnsiTheme="minorHAnsi" w:cstheme="minorBid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Times New Roman" w:eastAsia="Times New Roman" w:hAnsi="Times New Roman"/>
      <w:sz w:val="24"/>
      <w:szCs w:val="24"/>
    </w:rPr>
  </w:style>
  <w:style w:type="table" w:customStyle="1" w:styleId="TableGrid26">
    <w:name w:val="Table Grid26"/>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table" w:customStyle="1" w:styleId="TableGrid28">
    <w:name w:val="Table Grid28"/>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Pr>
      <w:rFonts w:asciiTheme="minorHAnsi" w:eastAsiaTheme="minorHAnsi" w:hAnsiTheme="minorHAnsi" w:cstheme="minorBidi"/>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3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3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style>
  <w:style w:type="table" w:customStyle="1" w:styleId="TableGrid42">
    <w:name w:val="Table Grid42"/>
    <w:basedOn w:val="TableNormal"/>
    <w:next w:val="TableGrid"/>
    <w:uiPriority w:val="3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ngingInd2">
    <w:name w:val="Hanging Ind 2"/>
    <w:basedOn w:val="Normal"/>
    <w:pPr>
      <w:numPr>
        <w:numId w:val="49"/>
      </w:numPr>
      <w:tabs>
        <w:tab w:val="left" w:pos="0"/>
        <w:tab w:val="left" w:pos="360"/>
        <w:tab w:val="left" w:pos="1080"/>
        <w:tab w:val="left" w:pos="1440"/>
        <w:tab w:val="left" w:pos="1800"/>
      </w:tabs>
      <w:spacing w:before="40" w:after="80"/>
    </w:pPr>
    <w:rPr>
      <w:szCs w:val="20"/>
    </w:rPr>
  </w:style>
  <w:style w:type="table" w:customStyle="1" w:styleId="TableGrid111">
    <w:name w:val="Table Grid111"/>
    <w:basedOn w:val="TableNormal"/>
    <w:next w:val="TableGrid"/>
    <w:uiPriority w:val="59"/>
    <w:rPr>
      <w:sz w:val="22"/>
      <w:szCs w:val="22"/>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48770">
      <w:bodyDiv w:val="1"/>
      <w:marLeft w:val="0"/>
      <w:marRight w:val="0"/>
      <w:marTop w:val="0"/>
      <w:marBottom w:val="0"/>
      <w:divBdr>
        <w:top w:val="none" w:sz="0" w:space="0" w:color="auto"/>
        <w:left w:val="none" w:sz="0" w:space="0" w:color="auto"/>
        <w:bottom w:val="none" w:sz="0" w:space="0" w:color="auto"/>
        <w:right w:val="none" w:sz="0" w:space="0" w:color="auto"/>
      </w:divBdr>
    </w:div>
    <w:div w:id="28377209">
      <w:bodyDiv w:val="1"/>
      <w:marLeft w:val="0"/>
      <w:marRight w:val="0"/>
      <w:marTop w:val="0"/>
      <w:marBottom w:val="0"/>
      <w:divBdr>
        <w:top w:val="none" w:sz="0" w:space="0" w:color="auto"/>
        <w:left w:val="none" w:sz="0" w:space="0" w:color="auto"/>
        <w:bottom w:val="none" w:sz="0" w:space="0" w:color="auto"/>
        <w:right w:val="none" w:sz="0" w:space="0" w:color="auto"/>
      </w:divBdr>
    </w:div>
    <w:div w:id="63188428">
      <w:bodyDiv w:val="1"/>
      <w:marLeft w:val="0"/>
      <w:marRight w:val="0"/>
      <w:marTop w:val="0"/>
      <w:marBottom w:val="0"/>
      <w:divBdr>
        <w:top w:val="none" w:sz="0" w:space="0" w:color="auto"/>
        <w:left w:val="none" w:sz="0" w:space="0" w:color="auto"/>
        <w:bottom w:val="none" w:sz="0" w:space="0" w:color="auto"/>
        <w:right w:val="none" w:sz="0" w:space="0" w:color="auto"/>
      </w:divBdr>
    </w:div>
    <w:div w:id="75056132">
      <w:bodyDiv w:val="1"/>
      <w:marLeft w:val="0"/>
      <w:marRight w:val="0"/>
      <w:marTop w:val="0"/>
      <w:marBottom w:val="0"/>
      <w:divBdr>
        <w:top w:val="none" w:sz="0" w:space="0" w:color="auto"/>
        <w:left w:val="none" w:sz="0" w:space="0" w:color="auto"/>
        <w:bottom w:val="none" w:sz="0" w:space="0" w:color="auto"/>
        <w:right w:val="none" w:sz="0" w:space="0" w:color="auto"/>
      </w:divBdr>
    </w:div>
    <w:div w:id="77949821">
      <w:bodyDiv w:val="1"/>
      <w:marLeft w:val="0"/>
      <w:marRight w:val="0"/>
      <w:marTop w:val="0"/>
      <w:marBottom w:val="0"/>
      <w:divBdr>
        <w:top w:val="none" w:sz="0" w:space="0" w:color="auto"/>
        <w:left w:val="none" w:sz="0" w:space="0" w:color="auto"/>
        <w:bottom w:val="none" w:sz="0" w:space="0" w:color="auto"/>
        <w:right w:val="none" w:sz="0" w:space="0" w:color="auto"/>
      </w:divBdr>
    </w:div>
    <w:div w:id="102504111">
      <w:bodyDiv w:val="1"/>
      <w:marLeft w:val="0"/>
      <w:marRight w:val="0"/>
      <w:marTop w:val="0"/>
      <w:marBottom w:val="0"/>
      <w:divBdr>
        <w:top w:val="none" w:sz="0" w:space="0" w:color="auto"/>
        <w:left w:val="none" w:sz="0" w:space="0" w:color="auto"/>
        <w:bottom w:val="none" w:sz="0" w:space="0" w:color="auto"/>
        <w:right w:val="none" w:sz="0" w:space="0" w:color="auto"/>
      </w:divBdr>
    </w:div>
    <w:div w:id="133061665">
      <w:bodyDiv w:val="1"/>
      <w:marLeft w:val="0"/>
      <w:marRight w:val="0"/>
      <w:marTop w:val="0"/>
      <w:marBottom w:val="0"/>
      <w:divBdr>
        <w:top w:val="none" w:sz="0" w:space="0" w:color="auto"/>
        <w:left w:val="none" w:sz="0" w:space="0" w:color="auto"/>
        <w:bottom w:val="none" w:sz="0" w:space="0" w:color="auto"/>
        <w:right w:val="none" w:sz="0" w:space="0" w:color="auto"/>
      </w:divBdr>
    </w:div>
    <w:div w:id="136579792">
      <w:bodyDiv w:val="1"/>
      <w:marLeft w:val="0"/>
      <w:marRight w:val="0"/>
      <w:marTop w:val="0"/>
      <w:marBottom w:val="0"/>
      <w:divBdr>
        <w:top w:val="none" w:sz="0" w:space="0" w:color="auto"/>
        <w:left w:val="none" w:sz="0" w:space="0" w:color="auto"/>
        <w:bottom w:val="none" w:sz="0" w:space="0" w:color="auto"/>
        <w:right w:val="none" w:sz="0" w:space="0" w:color="auto"/>
      </w:divBdr>
    </w:div>
    <w:div w:id="150680990">
      <w:bodyDiv w:val="1"/>
      <w:marLeft w:val="0"/>
      <w:marRight w:val="0"/>
      <w:marTop w:val="0"/>
      <w:marBottom w:val="0"/>
      <w:divBdr>
        <w:top w:val="none" w:sz="0" w:space="0" w:color="auto"/>
        <w:left w:val="none" w:sz="0" w:space="0" w:color="auto"/>
        <w:bottom w:val="none" w:sz="0" w:space="0" w:color="auto"/>
        <w:right w:val="none" w:sz="0" w:space="0" w:color="auto"/>
      </w:divBdr>
    </w:div>
    <w:div w:id="196627738">
      <w:bodyDiv w:val="1"/>
      <w:marLeft w:val="0"/>
      <w:marRight w:val="0"/>
      <w:marTop w:val="0"/>
      <w:marBottom w:val="0"/>
      <w:divBdr>
        <w:top w:val="none" w:sz="0" w:space="0" w:color="auto"/>
        <w:left w:val="none" w:sz="0" w:space="0" w:color="auto"/>
        <w:bottom w:val="none" w:sz="0" w:space="0" w:color="auto"/>
        <w:right w:val="none" w:sz="0" w:space="0" w:color="auto"/>
      </w:divBdr>
    </w:div>
    <w:div w:id="242767565">
      <w:bodyDiv w:val="1"/>
      <w:marLeft w:val="0"/>
      <w:marRight w:val="0"/>
      <w:marTop w:val="0"/>
      <w:marBottom w:val="0"/>
      <w:divBdr>
        <w:top w:val="none" w:sz="0" w:space="0" w:color="auto"/>
        <w:left w:val="none" w:sz="0" w:space="0" w:color="auto"/>
        <w:bottom w:val="none" w:sz="0" w:space="0" w:color="auto"/>
        <w:right w:val="none" w:sz="0" w:space="0" w:color="auto"/>
      </w:divBdr>
    </w:div>
    <w:div w:id="288560250">
      <w:bodyDiv w:val="1"/>
      <w:marLeft w:val="0"/>
      <w:marRight w:val="0"/>
      <w:marTop w:val="0"/>
      <w:marBottom w:val="0"/>
      <w:divBdr>
        <w:top w:val="none" w:sz="0" w:space="0" w:color="auto"/>
        <w:left w:val="none" w:sz="0" w:space="0" w:color="auto"/>
        <w:bottom w:val="none" w:sz="0" w:space="0" w:color="auto"/>
        <w:right w:val="none" w:sz="0" w:space="0" w:color="auto"/>
      </w:divBdr>
    </w:div>
    <w:div w:id="301423959">
      <w:bodyDiv w:val="1"/>
      <w:marLeft w:val="0"/>
      <w:marRight w:val="0"/>
      <w:marTop w:val="0"/>
      <w:marBottom w:val="0"/>
      <w:divBdr>
        <w:top w:val="none" w:sz="0" w:space="0" w:color="auto"/>
        <w:left w:val="none" w:sz="0" w:space="0" w:color="auto"/>
        <w:bottom w:val="none" w:sz="0" w:space="0" w:color="auto"/>
        <w:right w:val="none" w:sz="0" w:space="0" w:color="auto"/>
      </w:divBdr>
    </w:div>
    <w:div w:id="313032201">
      <w:bodyDiv w:val="1"/>
      <w:marLeft w:val="0"/>
      <w:marRight w:val="0"/>
      <w:marTop w:val="0"/>
      <w:marBottom w:val="0"/>
      <w:divBdr>
        <w:top w:val="none" w:sz="0" w:space="0" w:color="auto"/>
        <w:left w:val="none" w:sz="0" w:space="0" w:color="auto"/>
        <w:bottom w:val="none" w:sz="0" w:space="0" w:color="auto"/>
        <w:right w:val="none" w:sz="0" w:space="0" w:color="auto"/>
      </w:divBdr>
    </w:div>
    <w:div w:id="320280604">
      <w:bodyDiv w:val="1"/>
      <w:marLeft w:val="0"/>
      <w:marRight w:val="0"/>
      <w:marTop w:val="0"/>
      <w:marBottom w:val="0"/>
      <w:divBdr>
        <w:top w:val="none" w:sz="0" w:space="0" w:color="auto"/>
        <w:left w:val="none" w:sz="0" w:space="0" w:color="auto"/>
        <w:bottom w:val="none" w:sz="0" w:space="0" w:color="auto"/>
        <w:right w:val="none" w:sz="0" w:space="0" w:color="auto"/>
      </w:divBdr>
    </w:div>
    <w:div w:id="337580951">
      <w:bodyDiv w:val="1"/>
      <w:marLeft w:val="0"/>
      <w:marRight w:val="0"/>
      <w:marTop w:val="0"/>
      <w:marBottom w:val="0"/>
      <w:divBdr>
        <w:top w:val="none" w:sz="0" w:space="0" w:color="auto"/>
        <w:left w:val="none" w:sz="0" w:space="0" w:color="auto"/>
        <w:bottom w:val="none" w:sz="0" w:space="0" w:color="auto"/>
        <w:right w:val="none" w:sz="0" w:space="0" w:color="auto"/>
      </w:divBdr>
    </w:div>
    <w:div w:id="342589304">
      <w:bodyDiv w:val="1"/>
      <w:marLeft w:val="0"/>
      <w:marRight w:val="0"/>
      <w:marTop w:val="0"/>
      <w:marBottom w:val="0"/>
      <w:divBdr>
        <w:top w:val="none" w:sz="0" w:space="0" w:color="auto"/>
        <w:left w:val="none" w:sz="0" w:space="0" w:color="auto"/>
        <w:bottom w:val="none" w:sz="0" w:space="0" w:color="auto"/>
        <w:right w:val="none" w:sz="0" w:space="0" w:color="auto"/>
      </w:divBdr>
    </w:div>
    <w:div w:id="353264582">
      <w:bodyDiv w:val="1"/>
      <w:marLeft w:val="0"/>
      <w:marRight w:val="0"/>
      <w:marTop w:val="0"/>
      <w:marBottom w:val="0"/>
      <w:divBdr>
        <w:top w:val="none" w:sz="0" w:space="0" w:color="auto"/>
        <w:left w:val="none" w:sz="0" w:space="0" w:color="auto"/>
        <w:bottom w:val="none" w:sz="0" w:space="0" w:color="auto"/>
        <w:right w:val="none" w:sz="0" w:space="0" w:color="auto"/>
      </w:divBdr>
    </w:div>
    <w:div w:id="367073309">
      <w:bodyDiv w:val="1"/>
      <w:marLeft w:val="0"/>
      <w:marRight w:val="0"/>
      <w:marTop w:val="0"/>
      <w:marBottom w:val="0"/>
      <w:divBdr>
        <w:top w:val="none" w:sz="0" w:space="0" w:color="auto"/>
        <w:left w:val="none" w:sz="0" w:space="0" w:color="auto"/>
        <w:bottom w:val="none" w:sz="0" w:space="0" w:color="auto"/>
        <w:right w:val="none" w:sz="0" w:space="0" w:color="auto"/>
      </w:divBdr>
    </w:div>
    <w:div w:id="383260180">
      <w:bodyDiv w:val="1"/>
      <w:marLeft w:val="0"/>
      <w:marRight w:val="0"/>
      <w:marTop w:val="0"/>
      <w:marBottom w:val="0"/>
      <w:divBdr>
        <w:top w:val="none" w:sz="0" w:space="0" w:color="auto"/>
        <w:left w:val="none" w:sz="0" w:space="0" w:color="auto"/>
        <w:bottom w:val="none" w:sz="0" w:space="0" w:color="auto"/>
        <w:right w:val="none" w:sz="0" w:space="0" w:color="auto"/>
      </w:divBdr>
    </w:div>
    <w:div w:id="386879593">
      <w:bodyDiv w:val="1"/>
      <w:marLeft w:val="0"/>
      <w:marRight w:val="0"/>
      <w:marTop w:val="0"/>
      <w:marBottom w:val="0"/>
      <w:divBdr>
        <w:top w:val="none" w:sz="0" w:space="0" w:color="auto"/>
        <w:left w:val="none" w:sz="0" w:space="0" w:color="auto"/>
        <w:bottom w:val="none" w:sz="0" w:space="0" w:color="auto"/>
        <w:right w:val="none" w:sz="0" w:space="0" w:color="auto"/>
      </w:divBdr>
    </w:div>
    <w:div w:id="449932976">
      <w:bodyDiv w:val="1"/>
      <w:marLeft w:val="0"/>
      <w:marRight w:val="0"/>
      <w:marTop w:val="0"/>
      <w:marBottom w:val="0"/>
      <w:divBdr>
        <w:top w:val="none" w:sz="0" w:space="0" w:color="auto"/>
        <w:left w:val="none" w:sz="0" w:space="0" w:color="auto"/>
        <w:bottom w:val="none" w:sz="0" w:space="0" w:color="auto"/>
        <w:right w:val="none" w:sz="0" w:space="0" w:color="auto"/>
      </w:divBdr>
    </w:div>
    <w:div w:id="465315775">
      <w:bodyDiv w:val="1"/>
      <w:marLeft w:val="0"/>
      <w:marRight w:val="0"/>
      <w:marTop w:val="0"/>
      <w:marBottom w:val="0"/>
      <w:divBdr>
        <w:top w:val="none" w:sz="0" w:space="0" w:color="auto"/>
        <w:left w:val="none" w:sz="0" w:space="0" w:color="auto"/>
        <w:bottom w:val="none" w:sz="0" w:space="0" w:color="auto"/>
        <w:right w:val="none" w:sz="0" w:space="0" w:color="auto"/>
      </w:divBdr>
    </w:div>
    <w:div w:id="468714429">
      <w:bodyDiv w:val="1"/>
      <w:marLeft w:val="0"/>
      <w:marRight w:val="0"/>
      <w:marTop w:val="0"/>
      <w:marBottom w:val="0"/>
      <w:divBdr>
        <w:top w:val="none" w:sz="0" w:space="0" w:color="auto"/>
        <w:left w:val="none" w:sz="0" w:space="0" w:color="auto"/>
        <w:bottom w:val="none" w:sz="0" w:space="0" w:color="auto"/>
        <w:right w:val="none" w:sz="0" w:space="0" w:color="auto"/>
      </w:divBdr>
    </w:div>
    <w:div w:id="470945042">
      <w:bodyDiv w:val="1"/>
      <w:marLeft w:val="0"/>
      <w:marRight w:val="0"/>
      <w:marTop w:val="0"/>
      <w:marBottom w:val="0"/>
      <w:divBdr>
        <w:top w:val="none" w:sz="0" w:space="0" w:color="auto"/>
        <w:left w:val="none" w:sz="0" w:space="0" w:color="auto"/>
        <w:bottom w:val="none" w:sz="0" w:space="0" w:color="auto"/>
        <w:right w:val="none" w:sz="0" w:space="0" w:color="auto"/>
      </w:divBdr>
    </w:div>
    <w:div w:id="477459322">
      <w:bodyDiv w:val="1"/>
      <w:marLeft w:val="0"/>
      <w:marRight w:val="0"/>
      <w:marTop w:val="0"/>
      <w:marBottom w:val="0"/>
      <w:divBdr>
        <w:top w:val="none" w:sz="0" w:space="0" w:color="auto"/>
        <w:left w:val="none" w:sz="0" w:space="0" w:color="auto"/>
        <w:bottom w:val="none" w:sz="0" w:space="0" w:color="auto"/>
        <w:right w:val="none" w:sz="0" w:space="0" w:color="auto"/>
      </w:divBdr>
    </w:div>
    <w:div w:id="477647381">
      <w:bodyDiv w:val="1"/>
      <w:marLeft w:val="0"/>
      <w:marRight w:val="0"/>
      <w:marTop w:val="0"/>
      <w:marBottom w:val="0"/>
      <w:divBdr>
        <w:top w:val="none" w:sz="0" w:space="0" w:color="auto"/>
        <w:left w:val="none" w:sz="0" w:space="0" w:color="auto"/>
        <w:bottom w:val="none" w:sz="0" w:space="0" w:color="auto"/>
        <w:right w:val="none" w:sz="0" w:space="0" w:color="auto"/>
      </w:divBdr>
    </w:div>
    <w:div w:id="481194081">
      <w:bodyDiv w:val="1"/>
      <w:marLeft w:val="0"/>
      <w:marRight w:val="0"/>
      <w:marTop w:val="0"/>
      <w:marBottom w:val="0"/>
      <w:divBdr>
        <w:top w:val="none" w:sz="0" w:space="0" w:color="auto"/>
        <w:left w:val="none" w:sz="0" w:space="0" w:color="auto"/>
        <w:bottom w:val="none" w:sz="0" w:space="0" w:color="auto"/>
        <w:right w:val="none" w:sz="0" w:space="0" w:color="auto"/>
      </w:divBdr>
    </w:div>
    <w:div w:id="485588717">
      <w:bodyDiv w:val="1"/>
      <w:marLeft w:val="0"/>
      <w:marRight w:val="0"/>
      <w:marTop w:val="0"/>
      <w:marBottom w:val="0"/>
      <w:divBdr>
        <w:top w:val="none" w:sz="0" w:space="0" w:color="auto"/>
        <w:left w:val="none" w:sz="0" w:space="0" w:color="auto"/>
        <w:bottom w:val="none" w:sz="0" w:space="0" w:color="auto"/>
        <w:right w:val="none" w:sz="0" w:space="0" w:color="auto"/>
      </w:divBdr>
    </w:div>
    <w:div w:id="509418556">
      <w:bodyDiv w:val="1"/>
      <w:marLeft w:val="0"/>
      <w:marRight w:val="0"/>
      <w:marTop w:val="0"/>
      <w:marBottom w:val="0"/>
      <w:divBdr>
        <w:top w:val="none" w:sz="0" w:space="0" w:color="auto"/>
        <w:left w:val="none" w:sz="0" w:space="0" w:color="auto"/>
        <w:bottom w:val="none" w:sz="0" w:space="0" w:color="auto"/>
        <w:right w:val="none" w:sz="0" w:space="0" w:color="auto"/>
      </w:divBdr>
    </w:div>
    <w:div w:id="529492974">
      <w:bodyDiv w:val="1"/>
      <w:marLeft w:val="0"/>
      <w:marRight w:val="0"/>
      <w:marTop w:val="0"/>
      <w:marBottom w:val="0"/>
      <w:divBdr>
        <w:top w:val="none" w:sz="0" w:space="0" w:color="auto"/>
        <w:left w:val="none" w:sz="0" w:space="0" w:color="auto"/>
        <w:bottom w:val="none" w:sz="0" w:space="0" w:color="auto"/>
        <w:right w:val="none" w:sz="0" w:space="0" w:color="auto"/>
      </w:divBdr>
    </w:div>
    <w:div w:id="543062986">
      <w:bodyDiv w:val="1"/>
      <w:marLeft w:val="0"/>
      <w:marRight w:val="0"/>
      <w:marTop w:val="0"/>
      <w:marBottom w:val="0"/>
      <w:divBdr>
        <w:top w:val="none" w:sz="0" w:space="0" w:color="auto"/>
        <w:left w:val="none" w:sz="0" w:space="0" w:color="auto"/>
        <w:bottom w:val="none" w:sz="0" w:space="0" w:color="auto"/>
        <w:right w:val="none" w:sz="0" w:space="0" w:color="auto"/>
      </w:divBdr>
    </w:div>
    <w:div w:id="555707548">
      <w:bodyDiv w:val="1"/>
      <w:marLeft w:val="0"/>
      <w:marRight w:val="0"/>
      <w:marTop w:val="0"/>
      <w:marBottom w:val="0"/>
      <w:divBdr>
        <w:top w:val="none" w:sz="0" w:space="0" w:color="auto"/>
        <w:left w:val="none" w:sz="0" w:space="0" w:color="auto"/>
        <w:bottom w:val="none" w:sz="0" w:space="0" w:color="auto"/>
        <w:right w:val="none" w:sz="0" w:space="0" w:color="auto"/>
      </w:divBdr>
    </w:div>
    <w:div w:id="564225439">
      <w:bodyDiv w:val="1"/>
      <w:marLeft w:val="0"/>
      <w:marRight w:val="0"/>
      <w:marTop w:val="0"/>
      <w:marBottom w:val="0"/>
      <w:divBdr>
        <w:top w:val="none" w:sz="0" w:space="0" w:color="auto"/>
        <w:left w:val="none" w:sz="0" w:space="0" w:color="auto"/>
        <w:bottom w:val="none" w:sz="0" w:space="0" w:color="auto"/>
        <w:right w:val="none" w:sz="0" w:space="0" w:color="auto"/>
      </w:divBdr>
    </w:div>
    <w:div w:id="564343280">
      <w:bodyDiv w:val="1"/>
      <w:marLeft w:val="0"/>
      <w:marRight w:val="0"/>
      <w:marTop w:val="0"/>
      <w:marBottom w:val="0"/>
      <w:divBdr>
        <w:top w:val="none" w:sz="0" w:space="0" w:color="auto"/>
        <w:left w:val="none" w:sz="0" w:space="0" w:color="auto"/>
        <w:bottom w:val="none" w:sz="0" w:space="0" w:color="auto"/>
        <w:right w:val="none" w:sz="0" w:space="0" w:color="auto"/>
      </w:divBdr>
    </w:div>
    <w:div w:id="580067895">
      <w:bodyDiv w:val="1"/>
      <w:marLeft w:val="0"/>
      <w:marRight w:val="0"/>
      <w:marTop w:val="0"/>
      <w:marBottom w:val="0"/>
      <w:divBdr>
        <w:top w:val="none" w:sz="0" w:space="0" w:color="auto"/>
        <w:left w:val="none" w:sz="0" w:space="0" w:color="auto"/>
        <w:bottom w:val="none" w:sz="0" w:space="0" w:color="auto"/>
        <w:right w:val="none" w:sz="0" w:space="0" w:color="auto"/>
      </w:divBdr>
    </w:div>
    <w:div w:id="586234468">
      <w:bodyDiv w:val="1"/>
      <w:marLeft w:val="0"/>
      <w:marRight w:val="0"/>
      <w:marTop w:val="0"/>
      <w:marBottom w:val="0"/>
      <w:divBdr>
        <w:top w:val="none" w:sz="0" w:space="0" w:color="auto"/>
        <w:left w:val="none" w:sz="0" w:space="0" w:color="auto"/>
        <w:bottom w:val="none" w:sz="0" w:space="0" w:color="auto"/>
        <w:right w:val="none" w:sz="0" w:space="0" w:color="auto"/>
      </w:divBdr>
    </w:div>
    <w:div w:id="612831696">
      <w:bodyDiv w:val="1"/>
      <w:marLeft w:val="0"/>
      <w:marRight w:val="0"/>
      <w:marTop w:val="0"/>
      <w:marBottom w:val="0"/>
      <w:divBdr>
        <w:top w:val="none" w:sz="0" w:space="0" w:color="auto"/>
        <w:left w:val="none" w:sz="0" w:space="0" w:color="auto"/>
        <w:bottom w:val="none" w:sz="0" w:space="0" w:color="auto"/>
        <w:right w:val="none" w:sz="0" w:space="0" w:color="auto"/>
      </w:divBdr>
    </w:div>
    <w:div w:id="645352894">
      <w:bodyDiv w:val="1"/>
      <w:marLeft w:val="0"/>
      <w:marRight w:val="0"/>
      <w:marTop w:val="0"/>
      <w:marBottom w:val="0"/>
      <w:divBdr>
        <w:top w:val="none" w:sz="0" w:space="0" w:color="auto"/>
        <w:left w:val="none" w:sz="0" w:space="0" w:color="auto"/>
        <w:bottom w:val="none" w:sz="0" w:space="0" w:color="auto"/>
        <w:right w:val="none" w:sz="0" w:space="0" w:color="auto"/>
      </w:divBdr>
    </w:div>
    <w:div w:id="716321449">
      <w:bodyDiv w:val="1"/>
      <w:marLeft w:val="0"/>
      <w:marRight w:val="0"/>
      <w:marTop w:val="0"/>
      <w:marBottom w:val="0"/>
      <w:divBdr>
        <w:top w:val="none" w:sz="0" w:space="0" w:color="auto"/>
        <w:left w:val="none" w:sz="0" w:space="0" w:color="auto"/>
        <w:bottom w:val="none" w:sz="0" w:space="0" w:color="auto"/>
        <w:right w:val="none" w:sz="0" w:space="0" w:color="auto"/>
      </w:divBdr>
    </w:div>
    <w:div w:id="722947931">
      <w:bodyDiv w:val="1"/>
      <w:marLeft w:val="0"/>
      <w:marRight w:val="0"/>
      <w:marTop w:val="0"/>
      <w:marBottom w:val="0"/>
      <w:divBdr>
        <w:top w:val="none" w:sz="0" w:space="0" w:color="auto"/>
        <w:left w:val="none" w:sz="0" w:space="0" w:color="auto"/>
        <w:bottom w:val="none" w:sz="0" w:space="0" w:color="auto"/>
        <w:right w:val="none" w:sz="0" w:space="0" w:color="auto"/>
      </w:divBdr>
    </w:div>
    <w:div w:id="743995091">
      <w:bodyDiv w:val="1"/>
      <w:marLeft w:val="0"/>
      <w:marRight w:val="0"/>
      <w:marTop w:val="0"/>
      <w:marBottom w:val="0"/>
      <w:divBdr>
        <w:top w:val="none" w:sz="0" w:space="0" w:color="auto"/>
        <w:left w:val="none" w:sz="0" w:space="0" w:color="auto"/>
        <w:bottom w:val="none" w:sz="0" w:space="0" w:color="auto"/>
        <w:right w:val="none" w:sz="0" w:space="0" w:color="auto"/>
      </w:divBdr>
    </w:div>
    <w:div w:id="753360389">
      <w:bodyDiv w:val="1"/>
      <w:marLeft w:val="0"/>
      <w:marRight w:val="0"/>
      <w:marTop w:val="0"/>
      <w:marBottom w:val="0"/>
      <w:divBdr>
        <w:top w:val="none" w:sz="0" w:space="0" w:color="auto"/>
        <w:left w:val="none" w:sz="0" w:space="0" w:color="auto"/>
        <w:bottom w:val="none" w:sz="0" w:space="0" w:color="auto"/>
        <w:right w:val="none" w:sz="0" w:space="0" w:color="auto"/>
      </w:divBdr>
    </w:div>
    <w:div w:id="822896550">
      <w:bodyDiv w:val="1"/>
      <w:marLeft w:val="0"/>
      <w:marRight w:val="0"/>
      <w:marTop w:val="0"/>
      <w:marBottom w:val="0"/>
      <w:divBdr>
        <w:top w:val="none" w:sz="0" w:space="0" w:color="auto"/>
        <w:left w:val="none" w:sz="0" w:space="0" w:color="auto"/>
        <w:bottom w:val="none" w:sz="0" w:space="0" w:color="auto"/>
        <w:right w:val="none" w:sz="0" w:space="0" w:color="auto"/>
      </w:divBdr>
    </w:div>
    <w:div w:id="825781982">
      <w:bodyDiv w:val="1"/>
      <w:marLeft w:val="0"/>
      <w:marRight w:val="0"/>
      <w:marTop w:val="0"/>
      <w:marBottom w:val="0"/>
      <w:divBdr>
        <w:top w:val="none" w:sz="0" w:space="0" w:color="auto"/>
        <w:left w:val="none" w:sz="0" w:space="0" w:color="auto"/>
        <w:bottom w:val="none" w:sz="0" w:space="0" w:color="auto"/>
        <w:right w:val="none" w:sz="0" w:space="0" w:color="auto"/>
      </w:divBdr>
    </w:div>
    <w:div w:id="831413062">
      <w:bodyDiv w:val="1"/>
      <w:marLeft w:val="0"/>
      <w:marRight w:val="0"/>
      <w:marTop w:val="0"/>
      <w:marBottom w:val="0"/>
      <w:divBdr>
        <w:top w:val="none" w:sz="0" w:space="0" w:color="auto"/>
        <w:left w:val="none" w:sz="0" w:space="0" w:color="auto"/>
        <w:bottom w:val="none" w:sz="0" w:space="0" w:color="auto"/>
        <w:right w:val="none" w:sz="0" w:space="0" w:color="auto"/>
      </w:divBdr>
    </w:div>
    <w:div w:id="924386665">
      <w:bodyDiv w:val="1"/>
      <w:marLeft w:val="0"/>
      <w:marRight w:val="0"/>
      <w:marTop w:val="0"/>
      <w:marBottom w:val="0"/>
      <w:divBdr>
        <w:top w:val="none" w:sz="0" w:space="0" w:color="auto"/>
        <w:left w:val="none" w:sz="0" w:space="0" w:color="auto"/>
        <w:bottom w:val="none" w:sz="0" w:space="0" w:color="auto"/>
        <w:right w:val="none" w:sz="0" w:space="0" w:color="auto"/>
      </w:divBdr>
    </w:div>
    <w:div w:id="930046303">
      <w:bodyDiv w:val="1"/>
      <w:marLeft w:val="0"/>
      <w:marRight w:val="0"/>
      <w:marTop w:val="0"/>
      <w:marBottom w:val="0"/>
      <w:divBdr>
        <w:top w:val="none" w:sz="0" w:space="0" w:color="auto"/>
        <w:left w:val="none" w:sz="0" w:space="0" w:color="auto"/>
        <w:bottom w:val="none" w:sz="0" w:space="0" w:color="auto"/>
        <w:right w:val="none" w:sz="0" w:space="0" w:color="auto"/>
      </w:divBdr>
    </w:div>
    <w:div w:id="949164840">
      <w:bodyDiv w:val="1"/>
      <w:marLeft w:val="0"/>
      <w:marRight w:val="0"/>
      <w:marTop w:val="0"/>
      <w:marBottom w:val="0"/>
      <w:divBdr>
        <w:top w:val="none" w:sz="0" w:space="0" w:color="auto"/>
        <w:left w:val="none" w:sz="0" w:space="0" w:color="auto"/>
        <w:bottom w:val="none" w:sz="0" w:space="0" w:color="auto"/>
        <w:right w:val="none" w:sz="0" w:space="0" w:color="auto"/>
      </w:divBdr>
    </w:div>
    <w:div w:id="993728540">
      <w:bodyDiv w:val="1"/>
      <w:marLeft w:val="0"/>
      <w:marRight w:val="0"/>
      <w:marTop w:val="0"/>
      <w:marBottom w:val="0"/>
      <w:divBdr>
        <w:top w:val="none" w:sz="0" w:space="0" w:color="auto"/>
        <w:left w:val="none" w:sz="0" w:space="0" w:color="auto"/>
        <w:bottom w:val="none" w:sz="0" w:space="0" w:color="auto"/>
        <w:right w:val="none" w:sz="0" w:space="0" w:color="auto"/>
      </w:divBdr>
    </w:div>
    <w:div w:id="997655700">
      <w:bodyDiv w:val="1"/>
      <w:marLeft w:val="0"/>
      <w:marRight w:val="0"/>
      <w:marTop w:val="0"/>
      <w:marBottom w:val="0"/>
      <w:divBdr>
        <w:top w:val="none" w:sz="0" w:space="0" w:color="auto"/>
        <w:left w:val="none" w:sz="0" w:space="0" w:color="auto"/>
        <w:bottom w:val="none" w:sz="0" w:space="0" w:color="auto"/>
        <w:right w:val="none" w:sz="0" w:space="0" w:color="auto"/>
      </w:divBdr>
    </w:div>
    <w:div w:id="1030108817">
      <w:bodyDiv w:val="1"/>
      <w:marLeft w:val="0"/>
      <w:marRight w:val="0"/>
      <w:marTop w:val="0"/>
      <w:marBottom w:val="0"/>
      <w:divBdr>
        <w:top w:val="none" w:sz="0" w:space="0" w:color="auto"/>
        <w:left w:val="none" w:sz="0" w:space="0" w:color="auto"/>
        <w:bottom w:val="none" w:sz="0" w:space="0" w:color="auto"/>
        <w:right w:val="none" w:sz="0" w:space="0" w:color="auto"/>
      </w:divBdr>
    </w:div>
    <w:div w:id="1057896371">
      <w:bodyDiv w:val="1"/>
      <w:marLeft w:val="0"/>
      <w:marRight w:val="0"/>
      <w:marTop w:val="0"/>
      <w:marBottom w:val="0"/>
      <w:divBdr>
        <w:top w:val="none" w:sz="0" w:space="0" w:color="auto"/>
        <w:left w:val="none" w:sz="0" w:space="0" w:color="auto"/>
        <w:bottom w:val="none" w:sz="0" w:space="0" w:color="auto"/>
        <w:right w:val="none" w:sz="0" w:space="0" w:color="auto"/>
      </w:divBdr>
    </w:div>
    <w:div w:id="1096437337">
      <w:bodyDiv w:val="1"/>
      <w:marLeft w:val="0"/>
      <w:marRight w:val="0"/>
      <w:marTop w:val="0"/>
      <w:marBottom w:val="0"/>
      <w:divBdr>
        <w:top w:val="none" w:sz="0" w:space="0" w:color="auto"/>
        <w:left w:val="none" w:sz="0" w:space="0" w:color="auto"/>
        <w:bottom w:val="none" w:sz="0" w:space="0" w:color="auto"/>
        <w:right w:val="none" w:sz="0" w:space="0" w:color="auto"/>
      </w:divBdr>
    </w:div>
    <w:div w:id="1108887172">
      <w:bodyDiv w:val="1"/>
      <w:marLeft w:val="0"/>
      <w:marRight w:val="0"/>
      <w:marTop w:val="0"/>
      <w:marBottom w:val="0"/>
      <w:divBdr>
        <w:top w:val="none" w:sz="0" w:space="0" w:color="auto"/>
        <w:left w:val="none" w:sz="0" w:space="0" w:color="auto"/>
        <w:bottom w:val="none" w:sz="0" w:space="0" w:color="auto"/>
        <w:right w:val="none" w:sz="0" w:space="0" w:color="auto"/>
      </w:divBdr>
    </w:div>
    <w:div w:id="1136872872">
      <w:bodyDiv w:val="1"/>
      <w:marLeft w:val="0"/>
      <w:marRight w:val="0"/>
      <w:marTop w:val="0"/>
      <w:marBottom w:val="0"/>
      <w:divBdr>
        <w:top w:val="none" w:sz="0" w:space="0" w:color="auto"/>
        <w:left w:val="none" w:sz="0" w:space="0" w:color="auto"/>
        <w:bottom w:val="none" w:sz="0" w:space="0" w:color="auto"/>
        <w:right w:val="none" w:sz="0" w:space="0" w:color="auto"/>
      </w:divBdr>
    </w:div>
    <w:div w:id="1147556138">
      <w:bodyDiv w:val="1"/>
      <w:marLeft w:val="0"/>
      <w:marRight w:val="0"/>
      <w:marTop w:val="0"/>
      <w:marBottom w:val="0"/>
      <w:divBdr>
        <w:top w:val="none" w:sz="0" w:space="0" w:color="auto"/>
        <w:left w:val="none" w:sz="0" w:space="0" w:color="auto"/>
        <w:bottom w:val="none" w:sz="0" w:space="0" w:color="auto"/>
        <w:right w:val="none" w:sz="0" w:space="0" w:color="auto"/>
      </w:divBdr>
    </w:div>
    <w:div w:id="1251279169">
      <w:bodyDiv w:val="1"/>
      <w:marLeft w:val="0"/>
      <w:marRight w:val="0"/>
      <w:marTop w:val="0"/>
      <w:marBottom w:val="0"/>
      <w:divBdr>
        <w:top w:val="none" w:sz="0" w:space="0" w:color="auto"/>
        <w:left w:val="none" w:sz="0" w:space="0" w:color="auto"/>
        <w:bottom w:val="none" w:sz="0" w:space="0" w:color="auto"/>
        <w:right w:val="none" w:sz="0" w:space="0" w:color="auto"/>
      </w:divBdr>
    </w:div>
    <w:div w:id="1266571493">
      <w:bodyDiv w:val="1"/>
      <w:marLeft w:val="0"/>
      <w:marRight w:val="0"/>
      <w:marTop w:val="0"/>
      <w:marBottom w:val="0"/>
      <w:divBdr>
        <w:top w:val="none" w:sz="0" w:space="0" w:color="auto"/>
        <w:left w:val="none" w:sz="0" w:space="0" w:color="auto"/>
        <w:bottom w:val="none" w:sz="0" w:space="0" w:color="auto"/>
        <w:right w:val="none" w:sz="0" w:space="0" w:color="auto"/>
      </w:divBdr>
    </w:div>
    <w:div w:id="1353339039">
      <w:bodyDiv w:val="1"/>
      <w:marLeft w:val="0"/>
      <w:marRight w:val="0"/>
      <w:marTop w:val="0"/>
      <w:marBottom w:val="0"/>
      <w:divBdr>
        <w:top w:val="none" w:sz="0" w:space="0" w:color="auto"/>
        <w:left w:val="none" w:sz="0" w:space="0" w:color="auto"/>
        <w:bottom w:val="none" w:sz="0" w:space="0" w:color="auto"/>
        <w:right w:val="none" w:sz="0" w:space="0" w:color="auto"/>
      </w:divBdr>
    </w:div>
    <w:div w:id="1406487653">
      <w:bodyDiv w:val="1"/>
      <w:marLeft w:val="0"/>
      <w:marRight w:val="0"/>
      <w:marTop w:val="0"/>
      <w:marBottom w:val="0"/>
      <w:divBdr>
        <w:top w:val="none" w:sz="0" w:space="0" w:color="auto"/>
        <w:left w:val="none" w:sz="0" w:space="0" w:color="auto"/>
        <w:bottom w:val="none" w:sz="0" w:space="0" w:color="auto"/>
        <w:right w:val="none" w:sz="0" w:space="0" w:color="auto"/>
      </w:divBdr>
    </w:div>
    <w:div w:id="1408379989">
      <w:bodyDiv w:val="1"/>
      <w:marLeft w:val="0"/>
      <w:marRight w:val="0"/>
      <w:marTop w:val="0"/>
      <w:marBottom w:val="0"/>
      <w:divBdr>
        <w:top w:val="none" w:sz="0" w:space="0" w:color="auto"/>
        <w:left w:val="none" w:sz="0" w:space="0" w:color="auto"/>
        <w:bottom w:val="none" w:sz="0" w:space="0" w:color="auto"/>
        <w:right w:val="none" w:sz="0" w:space="0" w:color="auto"/>
      </w:divBdr>
    </w:div>
    <w:div w:id="1419522052">
      <w:bodyDiv w:val="1"/>
      <w:marLeft w:val="0"/>
      <w:marRight w:val="0"/>
      <w:marTop w:val="0"/>
      <w:marBottom w:val="0"/>
      <w:divBdr>
        <w:top w:val="none" w:sz="0" w:space="0" w:color="auto"/>
        <w:left w:val="none" w:sz="0" w:space="0" w:color="auto"/>
        <w:bottom w:val="none" w:sz="0" w:space="0" w:color="auto"/>
        <w:right w:val="none" w:sz="0" w:space="0" w:color="auto"/>
      </w:divBdr>
    </w:div>
    <w:div w:id="1427729347">
      <w:bodyDiv w:val="1"/>
      <w:marLeft w:val="0"/>
      <w:marRight w:val="0"/>
      <w:marTop w:val="0"/>
      <w:marBottom w:val="0"/>
      <w:divBdr>
        <w:top w:val="none" w:sz="0" w:space="0" w:color="auto"/>
        <w:left w:val="none" w:sz="0" w:space="0" w:color="auto"/>
        <w:bottom w:val="none" w:sz="0" w:space="0" w:color="auto"/>
        <w:right w:val="none" w:sz="0" w:space="0" w:color="auto"/>
      </w:divBdr>
    </w:div>
    <w:div w:id="1477142526">
      <w:bodyDiv w:val="1"/>
      <w:marLeft w:val="0"/>
      <w:marRight w:val="0"/>
      <w:marTop w:val="0"/>
      <w:marBottom w:val="0"/>
      <w:divBdr>
        <w:top w:val="none" w:sz="0" w:space="0" w:color="auto"/>
        <w:left w:val="none" w:sz="0" w:space="0" w:color="auto"/>
        <w:bottom w:val="none" w:sz="0" w:space="0" w:color="auto"/>
        <w:right w:val="none" w:sz="0" w:space="0" w:color="auto"/>
      </w:divBdr>
    </w:div>
    <w:div w:id="1480537809">
      <w:bodyDiv w:val="1"/>
      <w:marLeft w:val="0"/>
      <w:marRight w:val="0"/>
      <w:marTop w:val="0"/>
      <w:marBottom w:val="0"/>
      <w:divBdr>
        <w:top w:val="none" w:sz="0" w:space="0" w:color="auto"/>
        <w:left w:val="none" w:sz="0" w:space="0" w:color="auto"/>
        <w:bottom w:val="none" w:sz="0" w:space="0" w:color="auto"/>
        <w:right w:val="none" w:sz="0" w:space="0" w:color="auto"/>
      </w:divBdr>
    </w:div>
    <w:div w:id="1539778303">
      <w:bodyDiv w:val="1"/>
      <w:marLeft w:val="0"/>
      <w:marRight w:val="0"/>
      <w:marTop w:val="0"/>
      <w:marBottom w:val="0"/>
      <w:divBdr>
        <w:top w:val="none" w:sz="0" w:space="0" w:color="auto"/>
        <w:left w:val="none" w:sz="0" w:space="0" w:color="auto"/>
        <w:bottom w:val="none" w:sz="0" w:space="0" w:color="auto"/>
        <w:right w:val="none" w:sz="0" w:space="0" w:color="auto"/>
      </w:divBdr>
    </w:div>
    <w:div w:id="1552888542">
      <w:bodyDiv w:val="1"/>
      <w:marLeft w:val="0"/>
      <w:marRight w:val="0"/>
      <w:marTop w:val="0"/>
      <w:marBottom w:val="0"/>
      <w:divBdr>
        <w:top w:val="none" w:sz="0" w:space="0" w:color="auto"/>
        <w:left w:val="none" w:sz="0" w:space="0" w:color="auto"/>
        <w:bottom w:val="none" w:sz="0" w:space="0" w:color="auto"/>
        <w:right w:val="none" w:sz="0" w:space="0" w:color="auto"/>
      </w:divBdr>
    </w:div>
    <w:div w:id="1575163056">
      <w:bodyDiv w:val="1"/>
      <w:marLeft w:val="0"/>
      <w:marRight w:val="0"/>
      <w:marTop w:val="0"/>
      <w:marBottom w:val="0"/>
      <w:divBdr>
        <w:top w:val="none" w:sz="0" w:space="0" w:color="auto"/>
        <w:left w:val="none" w:sz="0" w:space="0" w:color="auto"/>
        <w:bottom w:val="none" w:sz="0" w:space="0" w:color="auto"/>
        <w:right w:val="none" w:sz="0" w:space="0" w:color="auto"/>
      </w:divBdr>
    </w:div>
    <w:div w:id="1585185460">
      <w:bodyDiv w:val="1"/>
      <w:marLeft w:val="0"/>
      <w:marRight w:val="0"/>
      <w:marTop w:val="0"/>
      <w:marBottom w:val="0"/>
      <w:divBdr>
        <w:top w:val="none" w:sz="0" w:space="0" w:color="auto"/>
        <w:left w:val="none" w:sz="0" w:space="0" w:color="auto"/>
        <w:bottom w:val="none" w:sz="0" w:space="0" w:color="auto"/>
        <w:right w:val="none" w:sz="0" w:space="0" w:color="auto"/>
      </w:divBdr>
    </w:div>
    <w:div w:id="1594899567">
      <w:bodyDiv w:val="1"/>
      <w:marLeft w:val="0"/>
      <w:marRight w:val="0"/>
      <w:marTop w:val="0"/>
      <w:marBottom w:val="0"/>
      <w:divBdr>
        <w:top w:val="none" w:sz="0" w:space="0" w:color="auto"/>
        <w:left w:val="none" w:sz="0" w:space="0" w:color="auto"/>
        <w:bottom w:val="none" w:sz="0" w:space="0" w:color="auto"/>
        <w:right w:val="none" w:sz="0" w:space="0" w:color="auto"/>
      </w:divBdr>
    </w:div>
    <w:div w:id="1610503880">
      <w:bodyDiv w:val="1"/>
      <w:marLeft w:val="0"/>
      <w:marRight w:val="0"/>
      <w:marTop w:val="0"/>
      <w:marBottom w:val="0"/>
      <w:divBdr>
        <w:top w:val="none" w:sz="0" w:space="0" w:color="auto"/>
        <w:left w:val="none" w:sz="0" w:space="0" w:color="auto"/>
        <w:bottom w:val="none" w:sz="0" w:space="0" w:color="auto"/>
        <w:right w:val="none" w:sz="0" w:space="0" w:color="auto"/>
      </w:divBdr>
    </w:div>
    <w:div w:id="1626501012">
      <w:bodyDiv w:val="1"/>
      <w:marLeft w:val="0"/>
      <w:marRight w:val="0"/>
      <w:marTop w:val="0"/>
      <w:marBottom w:val="0"/>
      <w:divBdr>
        <w:top w:val="none" w:sz="0" w:space="0" w:color="auto"/>
        <w:left w:val="none" w:sz="0" w:space="0" w:color="auto"/>
        <w:bottom w:val="none" w:sz="0" w:space="0" w:color="auto"/>
        <w:right w:val="none" w:sz="0" w:space="0" w:color="auto"/>
      </w:divBdr>
    </w:div>
    <w:div w:id="1632638282">
      <w:bodyDiv w:val="1"/>
      <w:marLeft w:val="0"/>
      <w:marRight w:val="0"/>
      <w:marTop w:val="0"/>
      <w:marBottom w:val="0"/>
      <w:divBdr>
        <w:top w:val="none" w:sz="0" w:space="0" w:color="auto"/>
        <w:left w:val="none" w:sz="0" w:space="0" w:color="auto"/>
        <w:bottom w:val="none" w:sz="0" w:space="0" w:color="auto"/>
        <w:right w:val="none" w:sz="0" w:space="0" w:color="auto"/>
      </w:divBdr>
    </w:div>
    <w:div w:id="1664967810">
      <w:bodyDiv w:val="1"/>
      <w:marLeft w:val="0"/>
      <w:marRight w:val="0"/>
      <w:marTop w:val="0"/>
      <w:marBottom w:val="0"/>
      <w:divBdr>
        <w:top w:val="none" w:sz="0" w:space="0" w:color="auto"/>
        <w:left w:val="none" w:sz="0" w:space="0" w:color="auto"/>
        <w:bottom w:val="none" w:sz="0" w:space="0" w:color="auto"/>
        <w:right w:val="none" w:sz="0" w:space="0" w:color="auto"/>
      </w:divBdr>
    </w:div>
    <w:div w:id="1666131280">
      <w:bodyDiv w:val="1"/>
      <w:marLeft w:val="0"/>
      <w:marRight w:val="0"/>
      <w:marTop w:val="0"/>
      <w:marBottom w:val="0"/>
      <w:divBdr>
        <w:top w:val="none" w:sz="0" w:space="0" w:color="auto"/>
        <w:left w:val="none" w:sz="0" w:space="0" w:color="auto"/>
        <w:bottom w:val="none" w:sz="0" w:space="0" w:color="auto"/>
        <w:right w:val="none" w:sz="0" w:space="0" w:color="auto"/>
      </w:divBdr>
    </w:div>
    <w:div w:id="1675111530">
      <w:bodyDiv w:val="1"/>
      <w:marLeft w:val="0"/>
      <w:marRight w:val="0"/>
      <w:marTop w:val="0"/>
      <w:marBottom w:val="0"/>
      <w:divBdr>
        <w:top w:val="none" w:sz="0" w:space="0" w:color="auto"/>
        <w:left w:val="none" w:sz="0" w:space="0" w:color="auto"/>
        <w:bottom w:val="none" w:sz="0" w:space="0" w:color="auto"/>
        <w:right w:val="none" w:sz="0" w:space="0" w:color="auto"/>
      </w:divBdr>
    </w:div>
    <w:div w:id="1677152997">
      <w:bodyDiv w:val="1"/>
      <w:marLeft w:val="0"/>
      <w:marRight w:val="0"/>
      <w:marTop w:val="0"/>
      <w:marBottom w:val="0"/>
      <w:divBdr>
        <w:top w:val="none" w:sz="0" w:space="0" w:color="auto"/>
        <w:left w:val="none" w:sz="0" w:space="0" w:color="auto"/>
        <w:bottom w:val="none" w:sz="0" w:space="0" w:color="auto"/>
        <w:right w:val="none" w:sz="0" w:space="0" w:color="auto"/>
      </w:divBdr>
    </w:div>
    <w:div w:id="1696343216">
      <w:bodyDiv w:val="1"/>
      <w:marLeft w:val="0"/>
      <w:marRight w:val="0"/>
      <w:marTop w:val="0"/>
      <w:marBottom w:val="0"/>
      <w:divBdr>
        <w:top w:val="none" w:sz="0" w:space="0" w:color="auto"/>
        <w:left w:val="none" w:sz="0" w:space="0" w:color="auto"/>
        <w:bottom w:val="none" w:sz="0" w:space="0" w:color="auto"/>
        <w:right w:val="none" w:sz="0" w:space="0" w:color="auto"/>
      </w:divBdr>
    </w:div>
    <w:div w:id="1697343385">
      <w:bodyDiv w:val="1"/>
      <w:marLeft w:val="0"/>
      <w:marRight w:val="0"/>
      <w:marTop w:val="0"/>
      <w:marBottom w:val="0"/>
      <w:divBdr>
        <w:top w:val="none" w:sz="0" w:space="0" w:color="auto"/>
        <w:left w:val="none" w:sz="0" w:space="0" w:color="auto"/>
        <w:bottom w:val="none" w:sz="0" w:space="0" w:color="auto"/>
        <w:right w:val="none" w:sz="0" w:space="0" w:color="auto"/>
      </w:divBdr>
    </w:div>
    <w:div w:id="1711029715">
      <w:bodyDiv w:val="1"/>
      <w:marLeft w:val="0"/>
      <w:marRight w:val="0"/>
      <w:marTop w:val="0"/>
      <w:marBottom w:val="0"/>
      <w:divBdr>
        <w:top w:val="none" w:sz="0" w:space="0" w:color="auto"/>
        <w:left w:val="none" w:sz="0" w:space="0" w:color="auto"/>
        <w:bottom w:val="none" w:sz="0" w:space="0" w:color="auto"/>
        <w:right w:val="none" w:sz="0" w:space="0" w:color="auto"/>
      </w:divBdr>
    </w:div>
    <w:div w:id="1800488854">
      <w:bodyDiv w:val="1"/>
      <w:marLeft w:val="0"/>
      <w:marRight w:val="0"/>
      <w:marTop w:val="0"/>
      <w:marBottom w:val="0"/>
      <w:divBdr>
        <w:top w:val="none" w:sz="0" w:space="0" w:color="auto"/>
        <w:left w:val="none" w:sz="0" w:space="0" w:color="auto"/>
        <w:bottom w:val="none" w:sz="0" w:space="0" w:color="auto"/>
        <w:right w:val="none" w:sz="0" w:space="0" w:color="auto"/>
      </w:divBdr>
    </w:div>
    <w:div w:id="1836459666">
      <w:bodyDiv w:val="1"/>
      <w:marLeft w:val="0"/>
      <w:marRight w:val="0"/>
      <w:marTop w:val="0"/>
      <w:marBottom w:val="0"/>
      <w:divBdr>
        <w:top w:val="none" w:sz="0" w:space="0" w:color="auto"/>
        <w:left w:val="none" w:sz="0" w:space="0" w:color="auto"/>
        <w:bottom w:val="none" w:sz="0" w:space="0" w:color="auto"/>
        <w:right w:val="none" w:sz="0" w:space="0" w:color="auto"/>
      </w:divBdr>
    </w:div>
    <w:div w:id="1837185686">
      <w:bodyDiv w:val="1"/>
      <w:marLeft w:val="0"/>
      <w:marRight w:val="0"/>
      <w:marTop w:val="0"/>
      <w:marBottom w:val="0"/>
      <w:divBdr>
        <w:top w:val="none" w:sz="0" w:space="0" w:color="auto"/>
        <w:left w:val="none" w:sz="0" w:space="0" w:color="auto"/>
        <w:bottom w:val="none" w:sz="0" w:space="0" w:color="auto"/>
        <w:right w:val="none" w:sz="0" w:space="0" w:color="auto"/>
      </w:divBdr>
    </w:div>
    <w:div w:id="1850173696">
      <w:bodyDiv w:val="1"/>
      <w:marLeft w:val="0"/>
      <w:marRight w:val="0"/>
      <w:marTop w:val="0"/>
      <w:marBottom w:val="0"/>
      <w:divBdr>
        <w:top w:val="none" w:sz="0" w:space="0" w:color="auto"/>
        <w:left w:val="none" w:sz="0" w:space="0" w:color="auto"/>
        <w:bottom w:val="none" w:sz="0" w:space="0" w:color="auto"/>
        <w:right w:val="none" w:sz="0" w:space="0" w:color="auto"/>
      </w:divBdr>
    </w:div>
    <w:div w:id="1858886887">
      <w:bodyDiv w:val="1"/>
      <w:marLeft w:val="0"/>
      <w:marRight w:val="0"/>
      <w:marTop w:val="0"/>
      <w:marBottom w:val="0"/>
      <w:divBdr>
        <w:top w:val="none" w:sz="0" w:space="0" w:color="auto"/>
        <w:left w:val="none" w:sz="0" w:space="0" w:color="auto"/>
        <w:bottom w:val="none" w:sz="0" w:space="0" w:color="auto"/>
        <w:right w:val="none" w:sz="0" w:space="0" w:color="auto"/>
      </w:divBdr>
    </w:div>
    <w:div w:id="1874729800">
      <w:bodyDiv w:val="1"/>
      <w:marLeft w:val="0"/>
      <w:marRight w:val="0"/>
      <w:marTop w:val="0"/>
      <w:marBottom w:val="0"/>
      <w:divBdr>
        <w:top w:val="none" w:sz="0" w:space="0" w:color="auto"/>
        <w:left w:val="none" w:sz="0" w:space="0" w:color="auto"/>
        <w:bottom w:val="none" w:sz="0" w:space="0" w:color="auto"/>
        <w:right w:val="none" w:sz="0" w:space="0" w:color="auto"/>
      </w:divBdr>
    </w:div>
    <w:div w:id="1922055837">
      <w:bodyDiv w:val="1"/>
      <w:marLeft w:val="0"/>
      <w:marRight w:val="0"/>
      <w:marTop w:val="0"/>
      <w:marBottom w:val="0"/>
      <w:divBdr>
        <w:top w:val="none" w:sz="0" w:space="0" w:color="auto"/>
        <w:left w:val="none" w:sz="0" w:space="0" w:color="auto"/>
        <w:bottom w:val="none" w:sz="0" w:space="0" w:color="auto"/>
        <w:right w:val="none" w:sz="0" w:space="0" w:color="auto"/>
      </w:divBdr>
    </w:div>
    <w:div w:id="1944337568">
      <w:bodyDiv w:val="1"/>
      <w:marLeft w:val="0"/>
      <w:marRight w:val="0"/>
      <w:marTop w:val="0"/>
      <w:marBottom w:val="0"/>
      <w:divBdr>
        <w:top w:val="none" w:sz="0" w:space="0" w:color="auto"/>
        <w:left w:val="none" w:sz="0" w:space="0" w:color="auto"/>
        <w:bottom w:val="none" w:sz="0" w:space="0" w:color="auto"/>
        <w:right w:val="none" w:sz="0" w:space="0" w:color="auto"/>
      </w:divBdr>
    </w:div>
    <w:div w:id="1956400367">
      <w:bodyDiv w:val="1"/>
      <w:marLeft w:val="0"/>
      <w:marRight w:val="0"/>
      <w:marTop w:val="0"/>
      <w:marBottom w:val="0"/>
      <w:divBdr>
        <w:top w:val="none" w:sz="0" w:space="0" w:color="auto"/>
        <w:left w:val="none" w:sz="0" w:space="0" w:color="auto"/>
        <w:bottom w:val="none" w:sz="0" w:space="0" w:color="auto"/>
        <w:right w:val="none" w:sz="0" w:space="0" w:color="auto"/>
      </w:divBdr>
    </w:div>
    <w:div w:id="1965651386">
      <w:bodyDiv w:val="1"/>
      <w:marLeft w:val="0"/>
      <w:marRight w:val="0"/>
      <w:marTop w:val="0"/>
      <w:marBottom w:val="0"/>
      <w:divBdr>
        <w:top w:val="none" w:sz="0" w:space="0" w:color="auto"/>
        <w:left w:val="none" w:sz="0" w:space="0" w:color="auto"/>
        <w:bottom w:val="none" w:sz="0" w:space="0" w:color="auto"/>
        <w:right w:val="none" w:sz="0" w:space="0" w:color="auto"/>
      </w:divBdr>
    </w:div>
    <w:div w:id="1970477422">
      <w:bodyDiv w:val="1"/>
      <w:marLeft w:val="0"/>
      <w:marRight w:val="0"/>
      <w:marTop w:val="0"/>
      <w:marBottom w:val="0"/>
      <w:divBdr>
        <w:top w:val="none" w:sz="0" w:space="0" w:color="auto"/>
        <w:left w:val="none" w:sz="0" w:space="0" w:color="auto"/>
        <w:bottom w:val="none" w:sz="0" w:space="0" w:color="auto"/>
        <w:right w:val="none" w:sz="0" w:space="0" w:color="auto"/>
      </w:divBdr>
    </w:div>
    <w:div w:id="1973440824">
      <w:bodyDiv w:val="1"/>
      <w:marLeft w:val="0"/>
      <w:marRight w:val="0"/>
      <w:marTop w:val="0"/>
      <w:marBottom w:val="0"/>
      <w:divBdr>
        <w:top w:val="none" w:sz="0" w:space="0" w:color="auto"/>
        <w:left w:val="none" w:sz="0" w:space="0" w:color="auto"/>
        <w:bottom w:val="none" w:sz="0" w:space="0" w:color="auto"/>
        <w:right w:val="none" w:sz="0" w:space="0" w:color="auto"/>
      </w:divBdr>
    </w:div>
    <w:div w:id="1999187450">
      <w:bodyDiv w:val="1"/>
      <w:marLeft w:val="0"/>
      <w:marRight w:val="0"/>
      <w:marTop w:val="0"/>
      <w:marBottom w:val="0"/>
      <w:divBdr>
        <w:top w:val="none" w:sz="0" w:space="0" w:color="auto"/>
        <w:left w:val="none" w:sz="0" w:space="0" w:color="auto"/>
        <w:bottom w:val="none" w:sz="0" w:space="0" w:color="auto"/>
        <w:right w:val="none" w:sz="0" w:space="0" w:color="auto"/>
      </w:divBdr>
    </w:div>
    <w:div w:id="2062632054">
      <w:bodyDiv w:val="1"/>
      <w:marLeft w:val="0"/>
      <w:marRight w:val="0"/>
      <w:marTop w:val="0"/>
      <w:marBottom w:val="0"/>
      <w:divBdr>
        <w:top w:val="none" w:sz="0" w:space="0" w:color="auto"/>
        <w:left w:val="none" w:sz="0" w:space="0" w:color="auto"/>
        <w:bottom w:val="none" w:sz="0" w:space="0" w:color="auto"/>
        <w:right w:val="none" w:sz="0" w:space="0" w:color="auto"/>
      </w:divBdr>
    </w:div>
    <w:div w:id="2078740434">
      <w:bodyDiv w:val="1"/>
      <w:marLeft w:val="0"/>
      <w:marRight w:val="0"/>
      <w:marTop w:val="0"/>
      <w:marBottom w:val="0"/>
      <w:divBdr>
        <w:top w:val="none" w:sz="0" w:space="0" w:color="auto"/>
        <w:left w:val="none" w:sz="0" w:space="0" w:color="auto"/>
        <w:bottom w:val="none" w:sz="0" w:space="0" w:color="auto"/>
        <w:right w:val="none" w:sz="0" w:space="0" w:color="auto"/>
      </w:divBdr>
    </w:div>
    <w:div w:id="2084984750">
      <w:bodyDiv w:val="1"/>
      <w:marLeft w:val="0"/>
      <w:marRight w:val="0"/>
      <w:marTop w:val="0"/>
      <w:marBottom w:val="0"/>
      <w:divBdr>
        <w:top w:val="none" w:sz="0" w:space="0" w:color="auto"/>
        <w:left w:val="none" w:sz="0" w:space="0" w:color="auto"/>
        <w:bottom w:val="none" w:sz="0" w:space="0" w:color="auto"/>
        <w:right w:val="none" w:sz="0" w:space="0" w:color="auto"/>
      </w:divBdr>
    </w:div>
    <w:div w:id="2098205184">
      <w:bodyDiv w:val="1"/>
      <w:marLeft w:val="0"/>
      <w:marRight w:val="0"/>
      <w:marTop w:val="0"/>
      <w:marBottom w:val="0"/>
      <w:divBdr>
        <w:top w:val="none" w:sz="0" w:space="0" w:color="auto"/>
        <w:left w:val="none" w:sz="0" w:space="0" w:color="auto"/>
        <w:bottom w:val="none" w:sz="0" w:space="0" w:color="auto"/>
        <w:right w:val="none" w:sz="0" w:space="0" w:color="auto"/>
      </w:divBdr>
    </w:div>
    <w:div w:id="212731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7210827522036237"/>
          <c:y val="9.1789678010150436E-2"/>
          <c:w val="0.75835025863190231"/>
          <c:h val="0.71134961016850784"/>
        </c:manualLayout>
      </c:layout>
      <c:bar3DChart>
        <c:barDir val="bar"/>
        <c:grouping val="clustered"/>
        <c:varyColors val="0"/>
        <c:ser>
          <c:idx val="0"/>
          <c:order val="0"/>
          <c:tx>
            <c:strRef>
              <c:f>Sheet1!$B$1</c:f>
              <c:strCache>
                <c:ptCount val="1"/>
                <c:pt idx="0">
                  <c:v>Individuals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manualLayout>
                  <c:x val="0"/>
                  <c:y val="7.4617552753135405E-2"/>
                </c:manualLayout>
              </c:layout>
              <c:tx>
                <c:rich>
                  <a:bodyPr/>
                  <a:lstStyle/>
                  <a:p>
                    <a:r>
                      <a:rPr lang="en-US"/>
                      <a:t>137,144 (100.95%)</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A68-4A84-9405-2D7BAAFF6833}"/>
                </c:ext>
              </c:extLst>
            </c:dLbl>
            <c:dLbl>
              <c:idx val="1"/>
              <c:layout>
                <c:manualLayout>
                  <c:x val="1.5790386430412844E-2"/>
                  <c:y val="0"/>
                </c:manualLayout>
              </c:layout>
              <c:tx>
                <c:rich>
                  <a:bodyPr/>
                  <a:lstStyle/>
                  <a:p>
                    <a:r>
                      <a:rPr lang="en-US"/>
                      <a:t>123,012</a:t>
                    </a:r>
                    <a:r>
                      <a:rPr lang="en-US" baseline="0"/>
                      <a:t> (90.55%)</a:t>
                    </a:r>
                    <a:endParaRPr lang="en-US"/>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A68-4A84-9405-2D7BAAFF6833}"/>
                </c:ext>
              </c:extLst>
            </c:dLbl>
            <c:dLbl>
              <c:idx val="2"/>
              <c:layout>
                <c:manualLayout>
                  <c:x val="1.2706480304955567E-2"/>
                  <c:y val="-4.095004095004095E-3"/>
                </c:manualLayout>
              </c:layout>
              <c:tx>
                <c:rich>
                  <a:bodyPr/>
                  <a:lstStyle/>
                  <a:p>
                    <a:r>
                      <a:rPr lang="en-US"/>
                      <a:t>19,633 (14.45%)</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A68-4A84-9405-2D7BAAFF6833}"/>
                </c:ext>
              </c:extLst>
            </c:dLbl>
            <c:dLbl>
              <c:idx val="3"/>
              <c:layout>
                <c:manualLayout>
                  <c:x val="1.9059720457433291E-2"/>
                  <c:y val="-4.0950040950041323E-3"/>
                </c:manualLayout>
              </c:layout>
              <c:tx>
                <c:rich>
                  <a:bodyPr/>
                  <a:lstStyle/>
                  <a:p>
                    <a:r>
                      <a:rPr lang="en-US"/>
                      <a:t>2,766 (2.04%)</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A68-4A84-9405-2D7BAAFF683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FIRST DOSE</c:v>
                </c:pt>
                <c:pt idx="1">
                  <c:v>FULLY VACCINATED</c:v>
                </c:pt>
                <c:pt idx="2">
                  <c:v>FIRST BOOSTER</c:v>
                </c:pt>
                <c:pt idx="3">
                  <c:v>SECOND BOOSTER</c:v>
                </c:pt>
              </c:strCache>
            </c:strRef>
          </c:cat>
          <c:val>
            <c:numRef>
              <c:f>Sheet1!$B$2:$B$5</c:f>
              <c:numCache>
                <c:formatCode>_-* #,##0_-;\-* #,##0_-;_-* "-"??_-;_-@_-</c:formatCode>
                <c:ptCount val="4"/>
                <c:pt idx="0">
                  <c:v>137144</c:v>
                </c:pt>
                <c:pt idx="1">
                  <c:v>123012</c:v>
                </c:pt>
                <c:pt idx="2">
                  <c:v>19633</c:v>
                </c:pt>
                <c:pt idx="3">
                  <c:v>2766</c:v>
                </c:pt>
              </c:numCache>
            </c:numRef>
          </c:val>
          <c:extLst>
            <c:ext xmlns:c16="http://schemas.microsoft.com/office/drawing/2014/chart" uri="{C3380CC4-5D6E-409C-BE32-E72D297353CC}">
              <c16:uniqueId val="{00000004-8A68-4A84-9405-2D7BAAFF6833}"/>
            </c:ext>
          </c:extLst>
        </c:ser>
        <c:ser>
          <c:idx val="1"/>
          <c:order val="1"/>
          <c:tx>
            <c:strRef>
              <c:f>Sheet1!$C$1</c:f>
              <c:strCache>
                <c:ptCount val="1"/>
                <c:pt idx="0">
                  <c:v>Series 2</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FIRST DOSE</c:v>
                </c:pt>
                <c:pt idx="1">
                  <c:v>FULLY VACCINATED</c:v>
                </c:pt>
                <c:pt idx="2">
                  <c:v>FIRST BOOSTER</c:v>
                </c:pt>
                <c:pt idx="3">
                  <c:v>SECOND BOOSTER</c:v>
                </c:pt>
              </c:strCache>
            </c:strRef>
          </c:cat>
          <c:val>
            <c:numRef>
              <c:f>Sheet1!$C$2:$C$5</c:f>
            </c:numRef>
          </c:val>
          <c:extLst>
            <c:ext xmlns:c16="http://schemas.microsoft.com/office/drawing/2014/chart" uri="{C3380CC4-5D6E-409C-BE32-E72D297353CC}">
              <c16:uniqueId val="{00000005-8A68-4A84-9405-2D7BAAFF6833}"/>
            </c:ext>
          </c:extLst>
        </c:ser>
        <c:ser>
          <c:idx val="2"/>
          <c:order val="2"/>
          <c:tx>
            <c:strRef>
              <c:f>Sheet1!$D$1</c:f>
              <c:strCache>
                <c:ptCount val="1"/>
                <c:pt idx="0">
                  <c:v>Series 3</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FIRST DOSE</c:v>
                </c:pt>
                <c:pt idx="1">
                  <c:v>FULLY VACCINATED</c:v>
                </c:pt>
                <c:pt idx="2">
                  <c:v>FIRST BOOSTER</c:v>
                </c:pt>
                <c:pt idx="3">
                  <c:v>SECOND BOOSTER</c:v>
                </c:pt>
              </c:strCache>
            </c:strRef>
          </c:cat>
          <c:val>
            <c:numRef>
              <c:f>Sheet1!$D$2:$D$5</c:f>
            </c:numRef>
          </c:val>
          <c:extLst>
            <c:ext xmlns:c16="http://schemas.microsoft.com/office/drawing/2014/chart" uri="{C3380CC4-5D6E-409C-BE32-E72D297353CC}">
              <c16:uniqueId val="{00000006-8A68-4A84-9405-2D7BAAFF6833}"/>
            </c:ext>
          </c:extLst>
        </c:ser>
        <c:dLbls>
          <c:showLegendKey val="0"/>
          <c:showVal val="1"/>
          <c:showCatName val="0"/>
          <c:showSerName val="0"/>
          <c:showPercent val="0"/>
          <c:showBubbleSize val="0"/>
        </c:dLbls>
        <c:gapWidth val="150"/>
        <c:shape val="box"/>
        <c:axId val="248530816"/>
        <c:axId val="248532352"/>
        <c:axId val="0"/>
      </c:bar3DChart>
      <c:catAx>
        <c:axId val="248530816"/>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8532352"/>
        <c:crosses val="autoZero"/>
        <c:auto val="1"/>
        <c:lblAlgn val="ctr"/>
        <c:lblOffset val="100"/>
        <c:noMultiLvlLbl val="0"/>
      </c:catAx>
      <c:valAx>
        <c:axId val="248532352"/>
        <c:scaling>
          <c:orientation val="minMax"/>
        </c:scaling>
        <c:delete val="1"/>
        <c:axPos val="b"/>
        <c:majorGridlines>
          <c:spPr>
            <a:ln w="9525" cap="flat" cmpd="sng" algn="ctr">
              <a:solidFill>
                <a:schemeClr val="tx1">
                  <a:lumMod val="15000"/>
                  <a:lumOff val="85000"/>
                </a:schemeClr>
              </a:solidFill>
              <a:round/>
            </a:ln>
            <a:effectLst/>
          </c:spPr>
        </c:majorGridlines>
        <c:numFmt formatCode="_-* #,##0_-;\-* #,##0_-;_-* &quot;-&quot;??_-;_-@_-" sourceLinked="1"/>
        <c:majorTickMark val="none"/>
        <c:minorTickMark val="none"/>
        <c:tickLblPos val="nextTo"/>
        <c:crossAx val="24853081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45017208751989701"/>
          <c:y val="5.1789077212806026E-2"/>
          <c:w val="0.43871680136899188"/>
          <c:h val="0.76836973768109496"/>
        </c:manualLayout>
      </c:layout>
      <c:bar3DChart>
        <c:barDir val="bar"/>
        <c:grouping val="clustered"/>
        <c:varyColors val="0"/>
        <c:ser>
          <c:idx val="0"/>
          <c:order val="0"/>
          <c:tx>
            <c:strRef>
              <c:f>Sheet1!$B$1</c:f>
              <c:strCache>
                <c:ptCount val="1"/>
                <c:pt idx="0">
                  <c:v>Quantities of Vaccines Received</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4"/>
              <c:layout>
                <c:manualLayout>
                  <c:x val="1.2236906510034173E-2"/>
                  <c:y val="-4.7080979284369112E-3"/>
                </c:manualLayout>
              </c:layout>
              <c:tx>
                <c:rich>
                  <a:bodyPr/>
                  <a:lstStyle/>
                  <a:p>
                    <a:r>
                      <a:rPr lang="en-US"/>
                      <a:t>23,062 (83.92%)</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7E0-4220-BE0B-599311533305}"/>
                </c:ext>
              </c:extLst>
            </c:dLbl>
            <c:dLbl>
              <c:idx val="5"/>
              <c:tx>
                <c:rich>
                  <a:bodyPr/>
                  <a:lstStyle/>
                  <a:p>
                    <a:r>
                      <a:rPr lang="en-US"/>
                      <a:t>4,137 (15.06%)</a:t>
                    </a:r>
                  </a:p>
                </c:rich>
              </c:tx>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7E0-4220-BE0B-59931153330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Sheet1!$A$2:$A$7</c:f>
              <c:strCache>
                <c:ptCount val="6"/>
                <c:pt idx="0">
                  <c:v>City Health Office (CHO) of Tagum</c:v>
                </c:pt>
                <c:pt idx="1">
                  <c:v>Aboitiz</c:v>
                </c:pt>
                <c:pt idx="2">
                  <c:v>Municipality Health Office (MHO) of Dujali</c:v>
                </c:pt>
                <c:pt idx="3">
                  <c:v>Municipality Health Office (MHO) of Sto. Tomas</c:v>
                </c:pt>
                <c:pt idx="4">
                  <c:v>Provincial Health Office (PHO)</c:v>
                </c:pt>
                <c:pt idx="5">
                  <c:v>Department of Health (DOH) Region XI</c:v>
                </c:pt>
              </c:strCache>
            </c:strRef>
          </c:cat>
          <c:val>
            <c:numRef>
              <c:f>Sheet1!$B$2:$B$7</c:f>
              <c:numCache>
                <c:formatCode>General</c:formatCode>
                <c:ptCount val="6"/>
                <c:pt idx="0">
                  <c:v>34</c:v>
                </c:pt>
                <c:pt idx="1">
                  <c:v>30</c:v>
                </c:pt>
                <c:pt idx="2">
                  <c:v>65</c:v>
                </c:pt>
                <c:pt idx="3">
                  <c:v>150</c:v>
                </c:pt>
                <c:pt idx="4" formatCode="#,##0">
                  <c:v>23062</c:v>
                </c:pt>
                <c:pt idx="5" formatCode="_-* #,##0_-;\-* #,##0_-;_-* &quot;-&quot;??_-;_-@_-">
                  <c:v>4137</c:v>
                </c:pt>
              </c:numCache>
            </c:numRef>
          </c:val>
          <c:extLst>
            <c:ext xmlns:c16="http://schemas.microsoft.com/office/drawing/2014/chart" uri="{C3380CC4-5D6E-409C-BE32-E72D297353CC}">
              <c16:uniqueId val="{00000002-E7E0-4220-BE0B-599311533305}"/>
            </c:ext>
          </c:extLst>
        </c:ser>
        <c:dLbls>
          <c:showLegendKey val="0"/>
          <c:showVal val="0"/>
          <c:showCatName val="0"/>
          <c:showSerName val="0"/>
          <c:showPercent val="0"/>
          <c:showBubbleSize val="0"/>
        </c:dLbls>
        <c:gapWidth val="150"/>
        <c:shape val="box"/>
        <c:axId val="249707904"/>
        <c:axId val="249706368"/>
        <c:axId val="0"/>
      </c:bar3DChart>
      <c:valAx>
        <c:axId val="249706368"/>
        <c:scaling>
          <c:orientation val="minMax"/>
        </c:scaling>
        <c:delete val="0"/>
        <c:axPos val="b"/>
        <c:majorGridlines>
          <c:spPr>
            <a:ln w="9525" cap="flat" cmpd="sng" algn="ctr">
              <a:solidFill>
                <a:schemeClr val="tx1">
                  <a:lumMod val="15000"/>
                  <a:lumOff val="85000"/>
                </a:schemeClr>
              </a:solidFill>
              <a:round/>
            </a:ln>
            <a:effectLst/>
          </c:spPr>
        </c:majorGridlines>
        <c:numFmt formatCode="_(* #,##0_);_(* \(#,##0\);_(*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9707904"/>
        <c:crosses val="autoZero"/>
        <c:crossBetween val="between"/>
      </c:valAx>
      <c:catAx>
        <c:axId val="249707904"/>
        <c:scaling>
          <c:orientation val="minMax"/>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9706368"/>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COVID-19 vaccines</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B65F-4787-B213-E8E2D9E92D65}"/>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B65F-4787-B213-E8E2D9E92D65}"/>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B65F-4787-B213-E8E2D9E92D65}"/>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B65F-4787-B213-E8E2D9E92D65}"/>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B65F-4787-B213-E8E2D9E92D65}"/>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B65F-4787-B213-E8E2D9E92D65}"/>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B65F-4787-B213-E8E2D9E92D65}"/>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3-B65F-4787-B213-E8E2D9E92D65}"/>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5-B65F-4787-B213-E8E2D9E92D65}"/>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B65F-4787-B213-E8E2D9E92D65}"/>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B65F-4787-B213-E8E2D9E92D65}"/>
                </c:ext>
              </c:extLst>
            </c:dLbl>
            <c:dLbl>
              <c:idx val="5"/>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6"/>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B-B65F-4787-B213-E8E2D9E92D65}"/>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ASTRAZENECA</c:v>
                </c:pt>
                <c:pt idx="1">
                  <c:v>JANSSEN</c:v>
                </c:pt>
                <c:pt idx="2">
                  <c:v>MODERNA</c:v>
                </c:pt>
                <c:pt idx="3">
                  <c:v>PFIZER</c:v>
                </c:pt>
                <c:pt idx="4">
                  <c:v>SINOPHARM</c:v>
                </c:pt>
                <c:pt idx="5">
                  <c:v>SINOVAC</c:v>
                </c:pt>
              </c:strCache>
            </c:strRef>
          </c:cat>
          <c:val>
            <c:numRef>
              <c:f>Sheet1!$B$2:$B$7</c:f>
              <c:numCache>
                <c:formatCode>_-* #,##0_-;\-* #,##0_-;_-* "-"??_-;_-@_-</c:formatCode>
                <c:ptCount val="6"/>
                <c:pt idx="0">
                  <c:v>1763</c:v>
                </c:pt>
                <c:pt idx="1">
                  <c:v>3400</c:v>
                </c:pt>
                <c:pt idx="2">
                  <c:v>1204</c:v>
                </c:pt>
                <c:pt idx="3">
                  <c:v>9889</c:v>
                </c:pt>
                <c:pt idx="4">
                  <c:v>160</c:v>
                </c:pt>
                <c:pt idx="5">
                  <c:v>11062</c:v>
                </c:pt>
              </c:numCache>
            </c:numRef>
          </c:val>
          <c:extLst>
            <c:ext xmlns:c16="http://schemas.microsoft.com/office/drawing/2014/chart" uri="{C3380CC4-5D6E-409C-BE32-E72D297353CC}">
              <c16:uniqueId val="{0000000C-B65F-4787-B213-E8E2D9E92D65}"/>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Sheet1!$B$1</c:f>
              <c:strCache>
                <c:ptCount val="1"/>
                <c:pt idx="0">
                  <c:v>Column1</c:v>
                </c:pt>
              </c:strCache>
            </c:strRef>
          </c:tx>
          <c:spPr>
            <a:solidFill>
              <a:schemeClr val="accent1"/>
            </a:solidFill>
            <a:ln>
              <a:noFill/>
            </a:ln>
            <a:effectLst/>
            <a:sp3d/>
          </c:spPr>
          <c:invertIfNegative val="0"/>
          <c:dLbls>
            <c:dLbl>
              <c:idx val="0"/>
              <c:layout>
                <c:manualLayout>
                  <c:x val="7.0921985815602835E-3"/>
                  <c:y val="-3.378378378378389E-2"/>
                </c:manualLayout>
              </c:layout>
              <c:tx>
                <c:rich>
                  <a:bodyPr/>
                  <a:lstStyle/>
                  <a:p>
                    <a:r>
                      <a:rPr lang="en-US"/>
                      <a:t>
79.97%</a:t>
                    </a:r>
                  </a:p>
                </c:rich>
              </c:tx>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F7A-4012-A716-ECDB3C3EA270}"/>
                </c:ext>
              </c:extLst>
            </c:dLbl>
            <c:dLbl>
              <c:idx val="1"/>
              <c:layout>
                <c:manualLayout>
                  <c:x val="2.3640661938533845E-3"/>
                  <c:y val="-1.1261261261261261E-2"/>
                </c:manualLayout>
              </c:layout>
              <c:tx>
                <c:rich>
                  <a:bodyPr/>
                  <a:lstStyle/>
                  <a:p>
                    <a:r>
                      <a:rPr lang="en-US" baseline="0"/>
                      <a:t>20.03%</a:t>
                    </a:r>
                    <a:endParaRPr lang="en-US"/>
                  </a:p>
                </c:rich>
              </c:tx>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F7A-4012-A716-ECDB3C3EA27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2"/>
                <c:pt idx="0">
                  <c:v>Issued</c:v>
                </c:pt>
                <c:pt idx="1">
                  <c:v>Wastage</c:v>
                </c:pt>
              </c:strCache>
            </c:strRef>
          </c:cat>
          <c:val>
            <c:numRef>
              <c:f>Sheet1!$B$2:$B$5</c:f>
              <c:numCache>
                <c:formatCode>_-* #,##0_-;\-* #,##0_-;_-* "-"??_-;_-@_-</c:formatCode>
                <c:ptCount val="4"/>
                <c:pt idx="0">
                  <c:v>21799</c:v>
                </c:pt>
                <c:pt idx="1">
                  <c:v>5503</c:v>
                </c:pt>
              </c:numCache>
            </c:numRef>
          </c:val>
          <c:extLst>
            <c:ext xmlns:c16="http://schemas.microsoft.com/office/drawing/2014/chart" uri="{C3380CC4-5D6E-409C-BE32-E72D297353CC}">
              <c16:uniqueId val="{00000002-AF7A-4012-A716-ECDB3C3EA270}"/>
            </c:ext>
          </c:extLst>
        </c:ser>
        <c:dLbls>
          <c:showLegendKey val="0"/>
          <c:showVal val="0"/>
          <c:showCatName val="0"/>
          <c:showSerName val="0"/>
          <c:showPercent val="0"/>
          <c:showBubbleSize val="0"/>
        </c:dLbls>
        <c:gapWidth val="150"/>
        <c:shape val="box"/>
        <c:axId val="248733696"/>
        <c:axId val="248555776"/>
        <c:axId val="0"/>
      </c:bar3DChart>
      <c:valAx>
        <c:axId val="248555776"/>
        <c:scaling>
          <c:orientation val="minMax"/>
        </c:scaling>
        <c:delete val="0"/>
        <c:axPos val="b"/>
        <c:majorGridlines>
          <c:spPr>
            <a:ln w="9525" cap="flat" cmpd="sng" algn="ctr">
              <a:solidFill>
                <a:schemeClr val="tx1">
                  <a:lumMod val="15000"/>
                  <a:lumOff val="85000"/>
                </a:schemeClr>
              </a:solid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8733696"/>
        <c:crosses val="autoZero"/>
        <c:crossBetween val="between"/>
      </c:valAx>
      <c:catAx>
        <c:axId val="24873369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8555776"/>
        <c:crosses val="autoZero"/>
        <c:auto val="1"/>
        <c:lblAlgn val="ctr"/>
        <c:lblOffset val="100"/>
        <c:noMultiLvlLbl val="0"/>
      </c:cat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71EACF4-5E71-4DB5-B450-D839CD42D504}">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1B6AD-B932-4F18-A4F3-EB5D64310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154</Pages>
  <Words>47417</Words>
  <Characters>270279</Characters>
  <Application>Microsoft Office Word</Application>
  <DocSecurity>0</DocSecurity>
  <Lines>2252</Lines>
  <Paragraphs>634</Paragraphs>
  <ScaleCrop>false</ScaleCrop>
  <HeadingPairs>
    <vt:vector size="2" baseType="variant">
      <vt:variant>
        <vt:lpstr>Title</vt:lpstr>
      </vt:variant>
      <vt:variant>
        <vt:i4>1</vt:i4>
      </vt:variant>
    </vt:vector>
  </HeadingPairs>
  <TitlesOfParts>
    <vt:vector size="1" baseType="lpstr">
      <vt:lpstr>Observations and Recommendations</vt:lpstr>
    </vt:vector>
  </TitlesOfParts>
  <Company/>
  <LinksUpToDate>false</LinksUpToDate>
  <CharactersWithSpaces>317062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and Recommendations</dc:title>
  <dc:creator>COA - City of Panabo, Davao del Norte</dc:creator>
  <cp:lastModifiedBy>Ben A. Lazo, Jr.</cp:lastModifiedBy>
  <cp:revision>116</cp:revision>
  <cp:lastPrinted>2022-05-24T02:29:00Z</cp:lastPrinted>
  <dcterms:created xsi:type="dcterms:W3CDTF">2023-03-27T08:21:00Z</dcterms:created>
  <dcterms:modified xsi:type="dcterms:W3CDTF">2023-06-27T00:32:00Z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b17cc1bd521234bda2dc0abb1691d231196cdd0c564d74c3fed4097b00e861c3</vt:lpwstr>
  </property>
</Properties>
</file>