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rPr>
          <w:rFonts w:ascii="Times New Roman" w:hAnsi="Times New Roman" w:cs="Times New Roman"/>
          <w:b/>
          <w:sz w:val="28"/>
        </w:rPr>
      </w:pPr>
      <w:bookmarkStart w:id="0" w:name="_GoBack"/>
      <w:bookmarkEnd w:id="0"/>
      <w:r>
        <w:rPr>
          <w:rFonts w:ascii="Times New Roman" w:hAnsi="Times New Roman" w:cs="Times New Roman"/>
          <w:b/>
          <w:sz w:val="28"/>
        </w:rPr>
        <w:t>PART III – STATUS OF IMPLEMENTATION OF PRIOR YEARS’ AUDIT RECOMMENDATIONS</w:t>
      </w:r>
    </w:p>
    <w:p>
      <w:pPr>
        <w:spacing w:after="0" w:line="240" w:lineRule="auto"/>
        <w:jc w:val="both"/>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 xml:space="preserve"> </w:t>
      </w:r>
    </w:p>
    <w:p>
      <w:pPr>
        <w:spacing w:after="0"/>
        <w:jc w:val="both"/>
        <w:rPr>
          <w:rFonts w:ascii="Times New Roman" w:eastAsia="Calibri" w:hAnsi="Times New Roman" w:cs="Times New Roman"/>
          <w:sz w:val="24"/>
          <w:szCs w:val="24"/>
          <w:lang w:val="en-PH"/>
        </w:rPr>
      </w:pPr>
      <w:r>
        <w:rPr>
          <w:rFonts w:ascii="Times New Roman" w:eastAsia="Calibri" w:hAnsi="Times New Roman" w:cs="Times New Roman"/>
          <w:sz w:val="24"/>
          <w:szCs w:val="24"/>
          <w:lang w:val="en-PH"/>
        </w:rPr>
        <w:t xml:space="preserve">Of the ninety (90) audit recommendations embodied in CYs 2014 to 2021 Annual Audit Reports, forty-five (45) or 50% were fully implemented, while forty-five (45) or 50% remained not implemented. Of the forty-five (45) implemented recommendations, thirty-two (32) were reiterated in current year’s audit findings. </w:t>
      </w:r>
    </w:p>
    <w:p>
      <w:pPr>
        <w:spacing w:after="0"/>
        <w:ind w:firstLine="720"/>
        <w:jc w:val="both"/>
        <w:rPr>
          <w:rFonts w:ascii="Times New Roman" w:eastAsia="Calibri" w:hAnsi="Times New Roman" w:cs="Times New Roman"/>
          <w:sz w:val="24"/>
          <w:szCs w:val="24"/>
          <w:lang w:val="en-PH"/>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696"/>
        <w:gridCol w:w="696"/>
        <w:gridCol w:w="696"/>
        <w:gridCol w:w="696"/>
        <w:gridCol w:w="696"/>
        <w:gridCol w:w="696"/>
        <w:gridCol w:w="696"/>
        <w:gridCol w:w="696"/>
        <w:gridCol w:w="763"/>
        <w:gridCol w:w="1076"/>
      </w:tblGrid>
      <w:tr>
        <w:trPr>
          <w:trHeight w:val="324"/>
          <w:jc w:val="center"/>
        </w:trPr>
        <w:tc>
          <w:tcPr>
            <w:tcW w:w="2645" w:type="dxa"/>
            <w:shd w:val="clear" w:color="auto" w:fill="auto"/>
            <w:noWrap/>
            <w:vAlign w:val="center"/>
            <w:hideMark/>
          </w:tcPr>
          <w:p>
            <w:pPr>
              <w:spacing w:after="0" w:line="240" w:lineRule="auto"/>
              <w:jc w:val="center"/>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eastAsia="en-PH"/>
              </w:rPr>
              <w:t>Status</w:t>
            </w:r>
          </w:p>
        </w:tc>
        <w:tc>
          <w:tcPr>
            <w:tcW w:w="0" w:type="auto"/>
            <w:shd w:val="clear" w:color="auto" w:fill="auto"/>
            <w:vAlign w:val="center"/>
            <w:hideMark/>
          </w:tcPr>
          <w:p>
            <w:pPr>
              <w:spacing w:after="0" w:line="240" w:lineRule="auto"/>
              <w:jc w:val="center"/>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eastAsia="en-PH"/>
              </w:rPr>
              <w:t>2021</w:t>
            </w:r>
          </w:p>
        </w:tc>
        <w:tc>
          <w:tcPr>
            <w:tcW w:w="236" w:type="dxa"/>
            <w:vAlign w:val="center"/>
          </w:tcPr>
          <w:p>
            <w:pPr>
              <w:spacing w:after="0" w:line="240" w:lineRule="auto"/>
              <w:jc w:val="center"/>
              <w:rPr>
                <w:rFonts w:ascii="Times New Roman" w:eastAsia="Times New Roman" w:hAnsi="Times New Roman" w:cs="Times New Roman"/>
                <w:b/>
                <w:bCs/>
                <w:color w:val="000000"/>
                <w:sz w:val="24"/>
                <w:szCs w:val="24"/>
                <w:lang w:eastAsia="en-PH"/>
              </w:rPr>
            </w:pPr>
            <w:r>
              <w:rPr>
                <w:rFonts w:ascii="Times New Roman" w:eastAsia="Times New Roman" w:hAnsi="Times New Roman" w:cs="Times New Roman"/>
                <w:b/>
                <w:bCs/>
                <w:color w:val="000000"/>
                <w:sz w:val="24"/>
                <w:szCs w:val="24"/>
                <w:lang w:eastAsia="en-PH"/>
              </w:rPr>
              <w:t>2020</w:t>
            </w:r>
          </w:p>
        </w:tc>
        <w:tc>
          <w:tcPr>
            <w:tcW w:w="696" w:type="dxa"/>
            <w:shd w:val="clear" w:color="auto" w:fill="auto"/>
            <w:vAlign w:val="center"/>
            <w:hideMark/>
          </w:tcPr>
          <w:p>
            <w:pPr>
              <w:spacing w:after="0" w:line="240" w:lineRule="auto"/>
              <w:jc w:val="center"/>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eastAsia="en-PH"/>
              </w:rPr>
              <w:t>2019</w:t>
            </w:r>
          </w:p>
        </w:tc>
        <w:tc>
          <w:tcPr>
            <w:tcW w:w="0" w:type="auto"/>
            <w:shd w:val="clear" w:color="auto" w:fill="auto"/>
            <w:noWrap/>
            <w:vAlign w:val="center"/>
            <w:hideMark/>
          </w:tcPr>
          <w:p>
            <w:pPr>
              <w:spacing w:after="0" w:line="240" w:lineRule="auto"/>
              <w:jc w:val="center"/>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eastAsia="en-PH"/>
              </w:rPr>
              <w:t>2018</w:t>
            </w:r>
          </w:p>
        </w:tc>
        <w:tc>
          <w:tcPr>
            <w:tcW w:w="0" w:type="auto"/>
            <w:shd w:val="clear" w:color="auto" w:fill="auto"/>
            <w:noWrap/>
            <w:vAlign w:val="center"/>
            <w:hideMark/>
          </w:tcPr>
          <w:p>
            <w:pPr>
              <w:spacing w:after="0" w:line="240" w:lineRule="auto"/>
              <w:jc w:val="center"/>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eastAsia="en-PH"/>
              </w:rPr>
              <w:t>2017</w:t>
            </w:r>
          </w:p>
        </w:tc>
        <w:tc>
          <w:tcPr>
            <w:tcW w:w="0" w:type="auto"/>
            <w:shd w:val="clear" w:color="auto" w:fill="auto"/>
            <w:noWrap/>
            <w:vAlign w:val="center"/>
            <w:hideMark/>
          </w:tcPr>
          <w:p>
            <w:pPr>
              <w:spacing w:after="0" w:line="240" w:lineRule="auto"/>
              <w:jc w:val="center"/>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eastAsia="en-PH"/>
              </w:rPr>
              <w:t>2016</w:t>
            </w:r>
          </w:p>
        </w:tc>
        <w:tc>
          <w:tcPr>
            <w:tcW w:w="0" w:type="auto"/>
            <w:shd w:val="clear" w:color="auto" w:fill="auto"/>
            <w:noWrap/>
            <w:vAlign w:val="center"/>
            <w:hideMark/>
          </w:tcPr>
          <w:p>
            <w:pPr>
              <w:spacing w:after="0" w:line="240" w:lineRule="auto"/>
              <w:jc w:val="center"/>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eastAsia="en-PH"/>
              </w:rPr>
              <w:t>2015</w:t>
            </w:r>
          </w:p>
        </w:tc>
        <w:tc>
          <w:tcPr>
            <w:tcW w:w="0" w:type="auto"/>
            <w:shd w:val="clear" w:color="auto" w:fill="auto"/>
            <w:noWrap/>
            <w:vAlign w:val="center"/>
            <w:hideMark/>
          </w:tcPr>
          <w:p>
            <w:pPr>
              <w:spacing w:after="0" w:line="240" w:lineRule="auto"/>
              <w:jc w:val="center"/>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eastAsia="en-PH"/>
              </w:rPr>
              <w:t>2014</w:t>
            </w:r>
          </w:p>
        </w:tc>
        <w:tc>
          <w:tcPr>
            <w:tcW w:w="0" w:type="auto"/>
            <w:shd w:val="clear" w:color="auto" w:fill="auto"/>
            <w:noWrap/>
            <w:vAlign w:val="center"/>
            <w:hideMark/>
          </w:tcPr>
          <w:p>
            <w:pPr>
              <w:spacing w:after="0" w:line="240" w:lineRule="auto"/>
              <w:jc w:val="center"/>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eastAsia="en-PH"/>
              </w:rPr>
              <w:t>Total</w:t>
            </w:r>
          </w:p>
        </w:tc>
        <w:tc>
          <w:tcPr>
            <w:tcW w:w="0" w:type="auto"/>
            <w:shd w:val="clear" w:color="auto" w:fill="auto"/>
            <w:noWrap/>
            <w:vAlign w:val="center"/>
            <w:hideMark/>
          </w:tcPr>
          <w:p>
            <w:pPr>
              <w:spacing w:after="0" w:line="240" w:lineRule="auto"/>
              <w:jc w:val="center"/>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eastAsia="en-PH"/>
              </w:rPr>
              <w:t>%</w:t>
            </w:r>
          </w:p>
        </w:tc>
      </w:tr>
      <w:tr>
        <w:trPr>
          <w:trHeight w:val="324"/>
          <w:jc w:val="center"/>
        </w:trPr>
        <w:tc>
          <w:tcPr>
            <w:tcW w:w="2645" w:type="dxa"/>
            <w:shd w:val="clear" w:color="auto" w:fill="auto"/>
            <w:noWrap/>
            <w:vAlign w:val="center"/>
            <w:hideMark/>
          </w:tcPr>
          <w:p>
            <w:pPr>
              <w:spacing w:after="0" w:line="240" w:lineRule="auto"/>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eastAsia="en-PH"/>
              </w:rPr>
              <w:t>Implemented</w:t>
            </w:r>
          </w:p>
        </w:tc>
        <w:tc>
          <w:tcPr>
            <w:tcW w:w="0" w:type="auto"/>
            <w:shd w:val="clear" w:color="auto" w:fill="auto"/>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22</w:t>
            </w:r>
          </w:p>
        </w:tc>
        <w:tc>
          <w:tcPr>
            <w:tcW w:w="0" w:type="auto"/>
            <w:vAlign w:val="center"/>
          </w:tcPr>
          <w:p>
            <w:pPr>
              <w:spacing w:after="0" w:line="24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6</w:t>
            </w:r>
          </w:p>
        </w:tc>
        <w:tc>
          <w:tcPr>
            <w:tcW w:w="0" w:type="auto"/>
            <w:shd w:val="clear" w:color="auto" w:fill="auto"/>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9</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highlight w:val="yellow"/>
                <w:lang w:val="en-PH" w:eastAsia="en-PH"/>
              </w:rPr>
            </w:pPr>
            <w:r>
              <w:rPr>
                <w:rFonts w:ascii="Times New Roman" w:eastAsia="Times New Roman" w:hAnsi="Times New Roman" w:cs="Times New Roman"/>
                <w:color w:val="000000"/>
                <w:sz w:val="24"/>
                <w:szCs w:val="24"/>
                <w:lang w:val="en-PH" w:eastAsia="en-PH"/>
              </w:rPr>
              <w:t>1</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highlight w:val="yellow"/>
                <w:lang w:val="en-PH" w:eastAsia="en-PH"/>
              </w:rPr>
            </w:pPr>
            <w:r>
              <w:rPr>
                <w:rFonts w:ascii="Times New Roman" w:eastAsia="Times New Roman" w:hAnsi="Times New Roman" w:cs="Times New Roman"/>
                <w:color w:val="000000"/>
                <w:sz w:val="24"/>
                <w:szCs w:val="24"/>
                <w:lang w:val="en-PH" w:eastAsia="en-PH"/>
              </w:rPr>
              <w:t>4</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0</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1</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2</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45</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50%</w:t>
            </w:r>
          </w:p>
        </w:tc>
      </w:tr>
      <w:tr>
        <w:trPr>
          <w:trHeight w:val="324"/>
          <w:jc w:val="center"/>
        </w:trPr>
        <w:tc>
          <w:tcPr>
            <w:tcW w:w="2645" w:type="dxa"/>
            <w:shd w:val="clear" w:color="auto" w:fill="auto"/>
            <w:noWrap/>
            <w:vAlign w:val="center"/>
            <w:hideMark/>
          </w:tcPr>
          <w:p>
            <w:pPr>
              <w:spacing w:after="0" w:line="240" w:lineRule="auto"/>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eastAsia="en-PH"/>
              </w:rPr>
              <w:t xml:space="preserve">Not Implemented </w:t>
            </w:r>
          </w:p>
        </w:tc>
        <w:tc>
          <w:tcPr>
            <w:tcW w:w="0" w:type="auto"/>
            <w:shd w:val="clear" w:color="auto" w:fill="auto"/>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11</w:t>
            </w:r>
          </w:p>
        </w:tc>
        <w:tc>
          <w:tcPr>
            <w:tcW w:w="0" w:type="auto"/>
            <w:vAlign w:val="center"/>
          </w:tcPr>
          <w:p>
            <w:pPr>
              <w:spacing w:after="0" w:line="240" w:lineRule="auto"/>
              <w:jc w:val="center"/>
              <w:rPr>
                <w:rFonts w:ascii="Times New Roman" w:eastAsia="Times New Roman" w:hAnsi="Times New Roman" w:cs="Times New Roman"/>
                <w:color w:val="000000"/>
                <w:sz w:val="24"/>
                <w:szCs w:val="24"/>
                <w:lang w:eastAsia="en-PH"/>
              </w:rPr>
            </w:pPr>
            <w:r>
              <w:rPr>
                <w:rFonts w:ascii="Times New Roman" w:eastAsia="Times New Roman" w:hAnsi="Times New Roman" w:cs="Times New Roman"/>
                <w:color w:val="000000"/>
                <w:sz w:val="24"/>
                <w:szCs w:val="24"/>
                <w:lang w:eastAsia="en-PH"/>
              </w:rPr>
              <w:t>7</w:t>
            </w:r>
          </w:p>
        </w:tc>
        <w:tc>
          <w:tcPr>
            <w:tcW w:w="0" w:type="auto"/>
            <w:shd w:val="clear" w:color="auto" w:fill="auto"/>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6</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14</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4</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1</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2</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0</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45</w:t>
            </w:r>
          </w:p>
        </w:tc>
        <w:tc>
          <w:tcPr>
            <w:tcW w:w="0" w:type="auto"/>
            <w:shd w:val="clear" w:color="auto" w:fill="auto"/>
            <w:noWrap/>
            <w:vAlign w:val="center"/>
          </w:tcPr>
          <w:p>
            <w:pPr>
              <w:spacing w:after="0" w:line="240" w:lineRule="auto"/>
              <w:jc w:val="center"/>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t>50%</w:t>
            </w:r>
          </w:p>
        </w:tc>
      </w:tr>
      <w:tr>
        <w:trPr>
          <w:trHeight w:val="336"/>
          <w:jc w:val="center"/>
        </w:trPr>
        <w:tc>
          <w:tcPr>
            <w:tcW w:w="2645" w:type="dxa"/>
            <w:shd w:val="clear" w:color="auto" w:fill="auto"/>
            <w:noWrap/>
            <w:vAlign w:val="center"/>
            <w:hideMark/>
          </w:tcPr>
          <w:p>
            <w:pPr>
              <w:spacing w:after="0" w:line="240" w:lineRule="auto"/>
              <w:jc w:val="center"/>
              <w:rPr>
                <w:rFonts w:ascii="Times New Roman" w:eastAsia="Times New Roman" w:hAnsi="Times New Roman" w:cs="Times New Roman"/>
                <w:b/>
                <w:bCs/>
                <w:i/>
                <w:iCs/>
                <w:color w:val="000000"/>
                <w:sz w:val="24"/>
                <w:szCs w:val="24"/>
                <w:lang w:val="en-PH" w:eastAsia="en-PH"/>
              </w:rPr>
            </w:pPr>
            <w:r>
              <w:rPr>
                <w:rFonts w:ascii="Times New Roman" w:eastAsia="Times New Roman" w:hAnsi="Times New Roman" w:cs="Times New Roman"/>
                <w:b/>
                <w:bCs/>
                <w:i/>
                <w:iCs/>
                <w:color w:val="000000"/>
                <w:sz w:val="24"/>
                <w:szCs w:val="24"/>
                <w:lang w:eastAsia="en-PH"/>
              </w:rPr>
              <w:t>Total</w:t>
            </w:r>
          </w:p>
        </w:tc>
        <w:tc>
          <w:tcPr>
            <w:tcW w:w="0" w:type="auto"/>
            <w:shd w:val="clear" w:color="auto" w:fill="auto"/>
            <w:vAlign w:val="center"/>
          </w:tcPr>
          <w:p>
            <w:pPr>
              <w:spacing w:after="0" w:line="240" w:lineRule="auto"/>
              <w:jc w:val="center"/>
              <w:rPr>
                <w:rFonts w:ascii="Times New Roman" w:eastAsia="Times New Roman" w:hAnsi="Times New Roman" w:cs="Times New Roman"/>
                <w:b/>
                <w:bCs/>
                <w:i/>
                <w:iCs/>
                <w:color w:val="000000"/>
                <w:sz w:val="24"/>
                <w:szCs w:val="24"/>
                <w:lang w:val="en-PH" w:eastAsia="en-PH"/>
              </w:rPr>
            </w:pPr>
            <w:r>
              <w:rPr>
                <w:rFonts w:ascii="Times New Roman" w:eastAsia="Times New Roman" w:hAnsi="Times New Roman" w:cs="Times New Roman"/>
                <w:b/>
                <w:bCs/>
                <w:i/>
                <w:iCs/>
                <w:color w:val="000000"/>
                <w:sz w:val="24"/>
                <w:szCs w:val="24"/>
                <w:lang w:val="en-PH" w:eastAsia="en-PH"/>
              </w:rPr>
              <w:t>33</w:t>
            </w:r>
          </w:p>
        </w:tc>
        <w:tc>
          <w:tcPr>
            <w:tcW w:w="0" w:type="auto"/>
            <w:vAlign w:val="center"/>
          </w:tcPr>
          <w:p>
            <w:pPr>
              <w:spacing w:after="0" w:line="240" w:lineRule="auto"/>
              <w:jc w:val="center"/>
              <w:rPr>
                <w:rFonts w:ascii="Times New Roman" w:eastAsia="Times New Roman" w:hAnsi="Times New Roman" w:cs="Times New Roman"/>
                <w:b/>
                <w:bCs/>
                <w:i/>
                <w:iCs/>
                <w:color w:val="000000"/>
                <w:sz w:val="24"/>
                <w:szCs w:val="24"/>
                <w:lang w:eastAsia="en-PH"/>
              </w:rPr>
            </w:pPr>
            <w:r>
              <w:rPr>
                <w:rFonts w:ascii="Times New Roman" w:eastAsia="Times New Roman" w:hAnsi="Times New Roman" w:cs="Times New Roman"/>
                <w:b/>
                <w:bCs/>
                <w:i/>
                <w:iCs/>
                <w:color w:val="000000"/>
                <w:sz w:val="24"/>
                <w:szCs w:val="24"/>
                <w:lang w:eastAsia="en-PH"/>
              </w:rPr>
              <w:t>13</w:t>
            </w:r>
          </w:p>
        </w:tc>
        <w:tc>
          <w:tcPr>
            <w:tcW w:w="0" w:type="auto"/>
            <w:shd w:val="clear" w:color="auto" w:fill="auto"/>
            <w:vAlign w:val="center"/>
          </w:tcPr>
          <w:p>
            <w:pPr>
              <w:spacing w:after="0" w:line="240" w:lineRule="auto"/>
              <w:jc w:val="center"/>
              <w:rPr>
                <w:rFonts w:ascii="Times New Roman" w:eastAsia="Times New Roman" w:hAnsi="Times New Roman" w:cs="Times New Roman"/>
                <w:b/>
                <w:bCs/>
                <w:i/>
                <w:iCs/>
                <w:color w:val="000000"/>
                <w:sz w:val="24"/>
                <w:szCs w:val="24"/>
                <w:lang w:val="en-PH" w:eastAsia="en-PH"/>
              </w:rPr>
            </w:pPr>
            <w:r>
              <w:rPr>
                <w:rFonts w:ascii="Times New Roman" w:eastAsia="Times New Roman" w:hAnsi="Times New Roman" w:cs="Times New Roman"/>
                <w:b/>
                <w:bCs/>
                <w:i/>
                <w:iCs/>
                <w:color w:val="000000"/>
                <w:sz w:val="24"/>
                <w:szCs w:val="24"/>
                <w:lang w:val="en-PH" w:eastAsia="en-PH"/>
              </w:rPr>
              <w:t>15</w:t>
            </w:r>
          </w:p>
        </w:tc>
        <w:tc>
          <w:tcPr>
            <w:tcW w:w="0" w:type="auto"/>
            <w:shd w:val="clear" w:color="auto" w:fill="auto"/>
            <w:vAlign w:val="center"/>
          </w:tcPr>
          <w:p>
            <w:pPr>
              <w:spacing w:after="0" w:line="240" w:lineRule="auto"/>
              <w:jc w:val="center"/>
              <w:rPr>
                <w:rFonts w:ascii="Times New Roman" w:eastAsia="Times New Roman" w:hAnsi="Times New Roman" w:cs="Times New Roman"/>
                <w:b/>
                <w:bCs/>
                <w:i/>
                <w:iCs/>
                <w:color w:val="000000"/>
                <w:sz w:val="24"/>
                <w:szCs w:val="24"/>
                <w:lang w:val="en-PH" w:eastAsia="en-PH"/>
              </w:rPr>
            </w:pPr>
            <w:r>
              <w:rPr>
                <w:rFonts w:ascii="Times New Roman" w:eastAsia="Times New Roman" w:hAnsi="Times New Roman" w:cs="Times New Roman"/>
                <w:b/>
                <w:bCs/>
                <w:i/>
                <w:iCs/>
                <w:color w:val="000000"/>
                <w:sz w:val="24"/>
                <w:szCs w:val="24"/>
                <w:lang w:val="en-PH" w:eastAsia="en-PH"/>
              </w:rPr>
              <w:t>15</w:t>
            </w:r>
          </w:p>
        </w:tc>
        <w:tc>
          <w:tcPr>
            <w:tcW w:w="0" w:type="auto"/>
            <w:shd w:val="clear" w:color="auto" w:fill="auto"/>
            <w:vAlign w:val="center"/>
          </w:tcPr>
          <w:p>
            <w:pPr>
              <w:spacing w:after="0" w:line="240" w:lineRule="auto"/>
              <w:jc w:val="center"/>
              <w:rPr>
                <w:rFonts w:ascii="Times New Roman" w:eastAsia="Times New Roman" w:hAnsi="Times New Roman" w:cs="Times New Roman"/>
                <w:b/>
                <w:bCs/>
                <w:i/>
                <w:iCs/>
                <w:color w:val="000000"/>
                <w:sz w:val="24"/>
                <w:szCs w:val="24"/>
                <w:lang w:val="en-PH" w:eastAsia="en-PH"/>
              </w:rPr>
            </w:pPr>
            <w:r>
              <w:rPr>
                <w:rFonts w:ascii="Times New Roman" w:eastAsia="Times New Roman" w:hAnsi="Times New Roman" w:cs="Times New Roman"/>
                <w:b/>
                <w:bCs/>
                <w:i/>
                <w:iCs/>
                <w:color w:val="000000"/>
                <w:sz w:val="24"/>
                <w:szCs w:val="24"/>
                <w:lang w:val="en-PH" w:eastAsia="en-PH"/>
              </w:rPr>
              <w:t>8</w:t>
            </w:r>
          </w:p>
        </w:tc>
        <w:tc>
          <w:tcPr>
            <w:tcW w:w="0" w:type="auto"/>
            <w:shd w:val="clear" w:color="auto" w:fill="auto"/>
            <w:vAlign w:val="center"/>
          </w:tcPr>
          <w:p>
            <w:pPr>
              <w:spacing w:after="0" w:line="240" w:lineRule="auto"/>
              <w:jc w:val="center"/>
              <w:rPr>
                <w:rFonts w:ascii="Times New Roman" w:eastAsia="Times New Roman" w:hAnsi="Times New Roman" w:cs="Times New Roman"/>
                <w:b/>
                <w:bCs/>
                <w:i/>
                <w:iCs/>
                <w:color w:val="000000"/>
                <w:sz w:val="24"/>
                <w:szCs w:val="24"/>
                <w:lang w:val="en-PH" w:eastAsia="en-PH"/>
              </w:rPr>
            </w:pPr>
            <w:r>
              <w:rPr>
                <w:rFonts w:ascii="Times New Roman" w:eastAsia="Times New Roman" w:hAnsi="Times New Roman" w:cs="Times New Roman"/>
                <w:b/>
                <w:bCs/>
                <w:i/>
                <w:iCs/>
                <w:color w:val="000000"/>
                <w:sz w:val="24"/>
                <w:szCs w:val="24"/>
                <w:lang w:val="en-PH" w:eastAsia="en-PH"/>
              </w:rPr>
              <w:t>1</w:t>
            </w:r>
          </w:p>
        </w:tc>
        <w:tc>
          <w:tcPr>
            <w:tcW w:w="0" w:type="auto"/>
            <w:shd w:val="clear" w:color="auto" w:fill="auto"/>
            <w:vAlign w:val="center"/>
          </w:tcPr>
          <w:p>
            <w:pPr>
              <w:spacing w:after="0" w:line="240" w:lineRule="auto"/>
              <w:jc w:val="center"/>
              <w:rPr>
                <w:rFonts w:ascii="Times New Roman" w:eastAsia="Times New Roman" w:hAnsi="Times New Roman" w:cs="Times New Roman"/>
                <w:b/>
                <w:bCs/>
                <w:i/>
                <w:iCs/>
                <w:color w:val="000000"/>
                <w:sz w:val="24"/>
                <w:szCs w:val="24"/>
                <w:lang w:val="en-PH" w:eastAsia="en-PH"/>
              </w:rPr>
            </w:pPr>
            <w:r>
              <w:rPr>
                <w:rFonts w:ascii="Times New Roman" w:eastAsia="Times New Roman" w:hAnsi="Times New Roman" w:cs="Times New Roman"/>
                <w:b/>
                <w:bCs/>
                <w:i/>
                <w:iCs/>
                <w:color w:val="000000"/>
                <w:sz w:val="24"/>
                <w:szCs w:val="24"/>
                <w:lang w:val="en-PH" w:eastAsia="en-PH"/>
              </w:rPr>
              <w:t>3</w:t>
            </w:r>
          </w:p>
        </w:tc>
        <w:tc>
          <w:tcPr>
            <w:tcW w:w="0" w:type="auto"/>
            <w:shd w:val="clear" w:color="auto" w:fill="auto"/>
            <w:vAlign w:val="center"/>
          </w:tcPr>
          <w:p>
            <w:pPr>
              <w:spacing w:after="0" w:line="240" w:lineRule="auto"/>
              <w:jc w:val="center"/>
              <w:rPr>
                <w:rFonts w:ascii="Times New Roman" w:eastAsia="Times New Roman" w:hAnsi="Times New Roman" w:cs="Times New Roman"/>
                <w:b/>
                <w:bCs/>
                <w:i/>
                <w:iCs/>
                <w:color w:val="000000"/>
                <w:sz w:val="24"/>
                <w:szCs w:val="24"/>
                <w:lang w:val="en-PH" w:eastAsia="en-PH"/>
              </w:rPr>
            </w:pPr>
            <w:r>
              <w:rPr>
                <w:rFonts w:ascii="Times New Roman" w:eastAsia="Times New Roman" w:hAnsi="Times New Roman" w:cs="Times New Roman"/>
                <w:b/>
                <w:bCs/>
                <w:i/>
                <w:iCs/>
                <w:color w:val="000000"/>
                <w:sz w:val="24"/>
                <w:szCs w:val="24"/>
                <w:lang w:val="en-PH" w:eastAsia="en-PH"/>
              </w:rPr>
              <w:t>2</w:t>
            </w:r>
          </w:p>
        </w:tc>
        <w:tc>
          <w:tcPr>
            <w:tcW w:w="0" w:type="auto"/>
            <w:shd w:val="clear" w:color="auto" w:fill="auto"/>
            <w:noWrap/>
            <w:vAlign w:val="center"/>
          </w:tcPr>
          <w:p>
            <w:pPr>
              <w:spacing w:after="0" w:line="240" w:lineRule="auto"/>
              <w:jc w:val="center"/>
              <w:rPr>
                <w:rFonts w:ascii="Times New Roman" w:eastAsia="Times New Roman" w:hAnsi="Times New Roman" w:cs="Times New Roman"/>
                <w:b/>
                <w:bCs/>
                <w:i/>
                <w:iCs/>
                <w:color w:val="000000"/>
                <w:sz w:val="24"/>
                <w:szCs w:val="24"/>
                <w:lang w:val="en-PH" w:eastAsia="en-PH"/>
              </w:rPr>
            </w:pPr>
            <w:r>
              <w:rPr>
                <w:rFonts w:ascii="Times New Roman" w:eastAsia="Times New Roman" w:hAnsi="Times New Roman" w:cs="Times New Roman"/>
                <w:b/>
                <w:bCs/>
                <w:i/>
                <w:iCs/>
                <w:color w:val="000000"/>
                <w:sz w:val="24"/>
                <w:szCs w:val="24"/>
                <w:lang w:val="en-PH" w:eastAsia="en-PH"/>
              </w:rPr>
              <w:t>90</w:t>
            </w:r>
          </w:p>
        </w:tc>
        <w:tc>
          <w:tcPr>
            <w:tcW w:w="0" w:type="auto"/>
            <w:shd w:val="clear" w:color="auto" w:fill="auto"/>
            <w:noWrap/>
            <w:vAlign w:val="center"/>
          </w:tcPr>
          <w:p>
            <w:pPr>
              <w:spacing w:after="0" w:line="240" w:lineRule="auto"/>
              <w:jc w:val="center"/>
              <w:rPr>
                <w:rFonts w:ascii="Times New Roman" w:eastAsia="Times New Roman" w:hAnsi="Times New Roman" w:cs="Times New Roman"/>
                <w:b/>
                <w:bCs/>
                <w:i/>
                <w:iCs/>
                <w:color w:val="000000"/>
                <w:sz w:val="24"/>
                <w:szCs w:val="24"/>
                <w:lang w:val="en-PH" w:eastAsia="en-PH"/>
              </w:rPr>
            </w:pPr>
            <w:r>
              <w:rPr>
                <w:rFonts w:ascii="Times New Roman" w:eastAsia="Times New Roman" w:hAnsi="Times New Roman" w:cs="Times New Roman"/>
                <w:b/>
                <w:bCs/>
                <w:i/>
                <w:iCs/>
                <w:color w:val="000000"/>
                <w:sz w:val="24"/>
                <w:szCs w:val="24"/>
                <w:lang w:val="en-PH" w:eastAsia="en-PH"/>
              </w:rPr>
              <w:t>100.00%</w:t>
            </w:r>
          </w:p>
        </w:tc>
      </w:tr>
    </w:tbl>
    <w:p>
      <w:pPr>
        <w:spacing w:after="0" w:line="240" w:lineRule="auto"/>
        <w:jc w:val="both"/>
        <w:rPr>
          <w:rFonts w:ascii="Times New Roman" w:hAnsi="Times New Roman" w:cs="Times New Roman"/>
          <w:sz w:val="24"/>
          <w:szCs w:val="24"/>
        </w:rPr>
      </w:pPr>
    </w:p>
    <w:tbl>
      <w:tblPr>
        <w:tblW w:w="4987"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6"/>
        <w:gridCol w:w="3012"/>
        <w:gridCol w:w="962"/>
        <w:gridCol w:w="2197"/>
        <w:gridCol w:w="1832"/>
        <w:gridCol w:w="2153"/>
      </w:tblGrid>
      <w:tr>
        <w:trPr>
          <w:trHeight w:val="413"/>
          <w:tblHeader/>
          <w:jc w:val="right"/>
        </w:trPr>
        <w:tc>
          <w:tcPr>
            <w:tcW w:w="1136" w:type="pct"/>
            <w:vAlign w:val="center"/>
          </w:tcPr>
          <w:p>
            <w:pPr>
              <w:spacing w:after="0"/>
              <w:jc w:val="center"/>
              <w:rPr>
                <w:rFonts w:ascii="Times New Roman" w:hAnsi="Times New Roman" w:cs="Times New Roman"/>
                <w:b/>
              </w:rPr>
            </w:pPr>
            <w:r>
              <w:rPr>
                <w:rFonts w:ascii="Times New Roman" w:hAnsi="Times New Roman" w:cs="Times New Roman"/>
                <w:b/>
                <w:bCs/>
              </w:rPr>
              <w:t>Audit Observations</w:t>
            </w:r>
          </w:p>
        </w:tc>
        <w:tc>
          <w:tcPr>
            <w:tcW w:w="1146" w:type="pct"/>
            <w:vAlign w:val="center"/>
          </w:tcPr>
          <w:p>
            <w:pPr>
              <w:spacing w:after="0"/>
              <w:jc w:val="center"/>
              <w:rPr>
                <w:rFonts w:ascii="Times New Roman" w:hAnsi="Times New Roman" w:cs="Times New Roman"/>
                <w:b/>
              </w:rPr>
            </w:pPr>
            <w:r>
              <w:rPr>
                <w:rFonts w:ascii="Times New Roman" w:hAnsi="Times New Roman" w:cs="Times New Roman"/>
                <w:b/>
                <w:bCs/>
              </w:rPr>
              <w:t>Recommendations</w:t>
            </w:r>
          </w:p>
        </w:tc>
        <w:tc>
          <w:tcPr>
            <w:tcW w:w="366" w:type="pct"/>
            <w:vAlign w:val="center"/>
          </w:tcPr>
          <w:p>
            <w:pPr>
              <w:spacing w:after="0"/>
              <w:jc w:val="center"/>
              <w:rPr>
                <w:rFonts w:ascii="Times New Roman" w:hAnsi="Times New Roman" w:cs="Times New Roman"/>
                <w:b/>
              </w:rPr>
            </w:pPr>
            <w:r>
              <w:rPr>
                <w:rFonts w:ascii="Times New Roman" w:hAnsi="Times New Roman" w:cs="Times New Roman"/>
                <w:b/>
                <w:bCs/>
              </w:rPr>
              <w:t>Ref.</w:t>
            </w:r>
          </w:p>
        </w:tc>
        <w:tc>
          <w:tcPr>
            <w:tcW w:w="836" w:type="pct"/>
            <w:shd w:val="clear" w:color="auto" w:fill="auto"/>
            <w:vAlign w:val="center"/>
          </w:tcPr>
          <w:p>
            <w:pPr>
              <w:spacing w:after="0"/>
              <w:jc w:val="center"/>
              <w:rPr>
                <w:rFonts w:ascii="Times New Roman" w:hAnsi="Times New Roman" w:cs="Times New Roman"/>
                <w:b/>
              </w:rPr>
            </w:pPr>
            <w:r>
              <w:rPr>
                <w:rFonts w:ascii="Times New Roman" w:hAnsi="Times New Roman" w:cs="Times New Roman"/>
                <w:b/>
              </w:rPr>
              <w:t>Management Action</w:t>
            </w:r>
          </w:p>
        </w:tc>
        <w:tc>
          <w:tcPr>
            <w:tcW w:w="697" w:type="pct"/>
            <w:vAlign w:val="center"/>
          </w:tcPr>
          <w:p>
            <w:pPr>
              <w:spacing w:after="0"/>
              <w:jc w:val="center"/>
              <w:rPr>
                <w:rFonts w:ascii="Times New Roman" w:hAnsi="Times New Roman" w:cs="Times New Roman"/>
                <w:b/>
              </w:rPr>
            </w:pPr>
            <w:r>
              <w:rPr>
                <w:rFonts w:ascii="Times New Roman" w:hAnsi="Times New Roman" w:cs="Times New Roman"/>
                <w:b/>
              </w:rPr>
              <w:t>Status of Implementation</w:t>
            </w:r>
          </w:p>
        </w:tc>
        <w:tc>
          <w:tcPr>
            <w:tcW w:w="819" w:type="pct"/>
            <w:shd w:val="clear" w:color="auto" w:fill="auto"/>
          </w:tcPr>
          <w:p>
            <w:pPr>
              <w:spacing w:after="0"/>
              <w:jc w:val="center"/>
              <w:rPr>
                <w:rFonts w:ascii="Times New Roman" w:hAnsi="Times New Roman" w:cs="Times New Roman"/>
                <w:b/>
              </w:rPr>
            </w:pPr>
            <w:r>
              <w:rPr>
                <w:rFonts w:ascii="Times New Roman" w:hAnsi="Times New Roman" w:cs="Times New Roman"/>
                <w:b/>
              </w:rPr>
              <w:t>Reason for Non-Implementation</w:t>
            </w:r>
          </w:p>
        </w:tc>
      </w:tr>
      <w:tr>
        <w:trPr>
          <w:jc w:val="right"/>
        </w:trPr>
        <w:tc>
          <w:tcPr>
            <w:tcW w:w="1136" w:type="pct"/>
          </w:tcPr>
          <w:p>
            <w:pPr>
              <w:pStyle w:val="ListParagraph"/>
              <w:numPr>
                <w:ilvl w:val="0"/>
                <w:numId w:val="1"/>
              </w:numPr>
              <w:spacing w:after="0"/>
              <w:ind w:left="240" w:hanging="270"/>
              <w:jc w:val="both"/>
              <w:rPr>
                <w:rFonts w:ascii="Times New Roman" w:hAnsi="Times New Roman" w:cs="Times New Roman"/>
                <w:bCs/>
              </w:rPr>
            </w:pPr>
            <w:r>
              <w:rPr>
                <w:rFonts w:ascii="Times New Roman" w:eastAsia="Times New Roman" w:hAnsi="Times New Roman" w:cs="Times New Roman"/>
                <w:lang w:val="en-PH" w:eastAsia="en-PH"/>
              </w:rPr>
              <w:t xml:space="preserve">Weakness in cash management controls resulted in unrecorded reconciling items </w:t>
            </w:r>
            <w:proofErr w:type="spellStart"/>
            <w:r>
              <w:rPr>
                <w:rFonts w:ascii="Times New Roman" w:eastAsia="Times New Roman" w:hAnsi="Times New Roman" w:cs="Times New Roman"/>
                <w:lang w:val="en-PH" w:eastAsia="en-PH"/>
              </w:rPr>
              <w:t>totalling</w:t>
            </w:r>
            <w:proofErr w:type="spellEnd"/>
            <w:r>
              <w:rPr>
                <w:rFonts w:ascii="Times New Roman" w:eastAsia="Times New Roman" w:hAnsi="Times New Roman" w:cs="Times New Roman"/>
                <w:lang w:val="en-PH" w:eastAsia="en-PH"/>
              </w:rPr>
              <w:t xml:space="preserve"> P4,809,816.39, </w:t>
            </w:r>
            <w:proofErr w:type="gramStart"/>
            <w:r>
              <w:rPr>
                <w:rFonts w:ascii="Times New Roman" w:eastAsia="Times New Roman" w:hAnsi="Times New Roman" w:cs="Times New Roman"/>
                <w:lang w:val="en-PH" w:eastAsia="en-PH"/>
              </w:rPr>
              <w:t>and  delays</w:t>
            </w:r>
            <w:proofErr w:type="gramEnd"/>
            <w:r>
              <w:rPr>
                <w:rFonts w:ascii="Times New Roman" w:eastAsia="Times New Roman" w:hAnsi="Times New Roman" w:cs="Times New Roman"/>
                <w:lang w:val="en-PH" w:eastAsia="en-PH"/>
              </w:rPr>
              <w:t xml:space="preserve"> ranging from 66 to 95 days in the preparation and/or submission of bank reconciliation statements.</w:t>
            </w:r>
          </w:p>
        </w:tc>
        <w:tc>
          <w:tcPr>
            <w:tcW w:w="1146" w:type="pct"/>
          </w:tcPr>
          <w:p>
            <w:pPr>
              <w:spacing w:after="0"/>
              <w:jc w:val="both"/>
              <w:rPr>
                <w:rFonts w:ascii="Times New Roman" w:hAnsi="Times New Roman" w:cs="Times New Roman"/>
                <w:bCs/>
              </w:rPr>
            </w:pPr>
            <w:r>
              <w:rPr>
                <w:rFonts w:ascii="Times New Roman" w:hAnsi="Times New Roman" w:cs="Times New Roman"/>
                <w:bCs/>
              </w:rPr>
              <w:t>We recommended for the City Mayor to direct:</w:t>
            </w:r>
          </w:p>
          <w:p>
            <w:pPr>
              <w:pStyle w:val="ListParagraph"/>
              <w:numPr>
                <w:ilvl w:val="0"/>
                <w:numId w:val="10"/>
              </w:numPr>
              <w:spacing w:after="0"/>
              <w:ind w:left="286" w:hanging="270"/>
              <w:jc w:val="both"/>
              <w:rPr>
                <w:rFonts w:ascii="Times New Roman" w:hAnsi="Times New Roman" w:cs="Times New Roman"/>
                <w:bCs/>
              </w:rPr>
            </w:pPr>
            <w:r>
              <w:rPr>
                <w:rFonts w:ascii="Times New Roman" w:hAnsi="Times New Roman" w:cs="Times New Roman"/>
                <w:bCs/>
              </w:rPr>
              <w:t>The City Accountant to reconcile all bank accounts of the CGP and immediately records the reconciling in the book of the City.</w:t>
            </w:r>
          </w:p>
          <w:p>
            <w:pPr>
              <w:pStyle w:val="ListParagraph"/>
              <w:spacing w:after="0"/>
              <w:ind w:left="286" w:hanging="270"/>
              <w:jc w:val="both"/>
              <w:rPr>
                <w:rFonts w:ascii="Times New Roman" w:hAnsi="Times New Roman" w:cs="Times New Roman"/>
                <w:bCs/>
              </w:rPr>
            </w:pPr>
          </w:p>
          <w:p>
            <w:pPr>
              <w:pStyle w:val="ListParagraph"/>
              <w:numPr>
                <w:ilvl w:val="0"/>
                <w:numId w:val="10"/>
              </w:numPr>
              <w:spacing w:after="0"/>
              <w:ind w:left="286" w:hanging="270"/>
              <w:jc w:val="both"/>
              <w:rPr>
                <w:rFonts w:ascii="Times New Roman" w:hAnsi="Times New Roman" w:cs="Times New Roman"/>
                <w:bCs/>
              </w:rPr>
            </w:pPr>
            <w:r>
              <w:rPr>
                <w:rFonts w:ascii="Times New Roman" w:hAnsi="Times New Roman" w:cs="Times New Roman"/>
                <w:bCs/>
              </w:rPr>
              <w:t>Likewise, the City Accountant should make a representation to the Manager of LBP-</w:t>
            </w:r>
            <w:proofErr w:type="spellStart"/>
            <w:r>
              <w:rPr>
                <w:rFonts w:ascii="Times New Roman" w:hAnsi="Times New Roman" w:cs="Times New Roman"/>
                <w:bCs/>
              </w:rPr>
              <w:t>Panabo</w:t>
            </w:r>
            <w:proofErr w:type="spellEnd"/>
            <w:r>
              <w:rPr>
                <w:rFonts w:ascii="Times New Roman" w:hAnsi="Times New Roman" w:cs="Times New Roman"/>
                <w:bCs/>
              </w:rPr>
              <w:t xml:space="preserve"> branch to discuss the above </w:t>
            </w:r>
            <w:r>
              <w:rPr>
                <w:rFonts w:ascii="Times New Roman" w:hAnsi="Times New Roman" w:cs="Times New Roman"/>
                <w:bCs/>
              </w:rPr>
              <w:lastRenderedPageBreak/>
              <w:t>documents on the transactions pertaining to Credit/Debit Memo.</w:t>
            </w:r>
          </w:p>
          <w:p>
            <w:pPr>
              <w:pStyle w:val="ListParagraph"/>
              <w:spacing w:after="0"/>
              <w:ind w:left="129"/>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tc>
        <w:tc>
          <w:tcPr>
            <w:tcW w:w="819" w:type="pct"/>
            <w:shd w:val="clear" w:color="auto" w:fill="auto"/>
          </w:tcPr>
          <w:p>
            <w:pPr>
              <w:spacing w:after="0"/>
              <w:jc w:val="both"/>
              <w:rPr>
                <w:rFonts w:ascii="Times New Roman" w:hAnsi="Times New Roman" w:cs="Times New Roman"/>
                <w:bCs/>
              </w:rPr>
            </w:pPr>
            <w:r>
              <w:rPr>
                <w:rFonts w:ascii="Times New Roman" w:eastAsia="Calibri" w:hAnsi="Times New Roman" w:cs="Times New Roman"/>
              </w:rPr>
              <w:t>Reiterated/</w:t>
            </w:r>
            <w:proofErr w:type="gramStart"/>
            <w:r>
              <w:rPr>
                <w:rFonts w:ascii="Times New Roman" w:eastAsia="Calibri" w:hAnsi="Times New Roman" w:cs="Times New Roman"/>
              </w:rPr>
              <w:t>revised  in</w:t>
            </w:r>
            <w:proofErr w:type="gramEnd"/>
            <w:r>
              <w:rPr>
                <w:rFonts w:ascii="Times New Roman" w:eastAsia="Calibri" w:hAnsi="Times New Roman" w:cs="Times New Roman"/>
              </w:rPr>
              <w:t xml:space="preserve"> CY 2022 thru AOM No. 23-006</w:t>
            </w:r>
          </w:p>
        </w:tc>
      </w:tr>
      <w:tr>
        <w:trPr>
          <w:jc w:val="right"/>
        </w:trPr>
        <w:tc>
          <w:tcPr>
            <w:tcW w:w="1136" w:type="pct"/>
          </w:tcPr>
          <w:p>
            <w:pPr>
              <w:pStyle w:val="ListParagraph"/>
              <w:numPr>
                <w:ilvl w:val="0"/>
                <w:numId w:val="1"/>
              </w:numPr>
              <w:spacing w:after="0"/>
              <w:ind w:left="240"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The year-end balance of Drugs and Medicines Inventory account of P4,495,274.82 cannot be relied upon due to the delayed preparation and submission of reports on the receipts and issuances of COVID-19 Vaccines resulting in the non-recording of said vaccines still on hand at year-end as part of inventory totaling P4,267,247.18, thus, understating the assets of the City by the said amount. </w:t>
            </w:r>
          </w:p>
          <w:p>
            <w:pPr>
              <w:pStyle w:val="ListParagraph"/>
              <w:spacing w:after="0"/>
              <w:ind w:left="360"/>
              <w:jc w:val="both"/>
              <w:rPr>
                <w:rFonts w:ascii="Times New Roman" w:hAnsi="Times New Roman" w:cs="Times New Roman"/>
              </w:rPr>
            </w:pPr>
          </w:p>
        </w:tc>
        <w:tc>
          <w:tcPr>
            <w:tcW w:w="1146" w:type="pct"/>
          </w:tcPr>
          <w:p>
            <w:pPr>
              <w:pStyle w:val="NoSpacing"/>
              <w:spacing w:line="276" w:lineRule="auto"/>
              <w:rPr>
                <w:rFonts w:ascii="Times New Roman" w:hAnsi="Times New Roman"/>
              </w:rPr>
            </w:pPr>
            <w:r>
              <w:rPr>
                <w:rFonts w:ascii="Times New Roman" w:hAnsi="Times New Roman"/>
              </w:rPr>
              <w:t>We recommended for the City Mayor to:</w:t>
            </w:r>
          </w:p>
          <w:p>
            <w:pPr>
              <w:pStyle w:val="NoSpacing"/>
              <w:spacing w:line="276" w:lineRule="auto"/>
              <w:rPr>
                <w:rFonts w:ascii="Times New Roman" w:hAnsi="Times New Roman"/>
              </w:rPr>
            </w:pPr>
          </w:p>
          <w:p>
            <w:pPr>
              <w:pStyle w:val="NoSpacing"/>
              <w:numPr>
                <w:ilvl w:val="0"/>
                <w:numId w:val="11"/>
              </w:numPr>
              <w:spacing w:line="276" w:lineRule="auto"/>
              <w:ind w:left="286" w:hanging="270"/>
              <w:jc w:val="both"/>
              <w:rPr>
                <w:rFonts w:ascii="Times New Roman" w:hAnsi="Times New Roman"/>
              </w:rPr>
            </w:pPr>
            <w:r>
              <w:rPr>
                <w:rFonts w:ascii="Times New Roman" w:hAnsi="Times New Roman"/>
              </w:rPr>
              <w:t>Direct the CAO to prepare the adjusting entries to recognize and reflect the understatement of the Drugs and Medicine Inventory account as at December 31, 2021, as follows:</w:t>
            </w:r>
          </w:p>
          <w:p>
            <w:pPr>
              <w:pStyle w:val="NoSpacing"/>
              <w:spacing w:line="276" w:lineRule="auto"/>
              <w:rPr>
                <w:rFonts w:ascii="Times New Roman" w:hAnsi="Times New Roman"/>
              </w:rPr>
            </w:pPr>
          </w:p>
          <w:p>
            <w:pPr>
              <w:pStyle w:val="NoSpacing"/>
              <w:spacing w:line="276" w:lineRule="auto"/>
              <w:rPr>
                <w:rFonts w:ascii="Times New Roman" w:hAnsi="Times New Roman"/>
                <w:i/>
              </w:rPr>
            </w:pPr>
            <w:r>
              <w:rPr>
                <w:rFonts w:ascii="Times New Roman" w:hAnsi="Times New Roman"/>
                <w:i/>
              </w:rPr>
              <w:t xml:space="preserve">Dr. Drugs and Medicines Inventory </w:t>
            </w:r>
            <w:r>
              <w:rPr>
                <w:rFonts w:ascii="Times New Roman" w:hAnsi="Times New Roman"/>
                <w:i/>
              </w:rPr>
              <w:tab/>
            </w:r>
            <w:r>
              <w:rPr>
                <w:rFonts w:ascii="Times New Roman" w:hAnsi="Times New Roman"/>
                <w:i/>
              </w:rPr>
              <w:tab/>
            </w:r>
          </w:p>
          <w:p>
            <w:pPr>
              <w:pStyle w:val="NoSpacing"/>
              <w:spacing w:line="276" w:lineRule="auto"/>
              <w:rPr>
                <w:rFonts w:ascii="Times New Roman" w:hAnsi="Times New Roman"/>
                <w:i/>
              </w:rPr>
            </w:pPr>
            <w:r>
              <w:rPr>
                <w:rFonts w:ascii="Times New Roman" w:hAnsi="Times New Roman"/>
                <w:i/>
              </w:rPr>
              <w:t xml:space="preserve">P </w:t>
            </w:r>
            <w:r>
              <w:rPr>
                <w:rFonts w:ascii="Times New Roman" w:hAnsi="Times New Roman"/>
                <w:bCs/>
                <w:i/>
                <w:lang w:eastAsia="en-PH"/>
              </w:rPr>
              <w:t>4,267,247.18</w:t>
            </w:r>
          </w:p>
          <w:p>
            <w:pPr>
              <w:pStyle w:val="NoSpacing"/>
              <w:spacing w:line="276" w:lineRule="auto"/>
              <w:rPr>
                <w:rFonts w:ascii="Times New Roman" w:hAnsi="Times New Roman"/>
                <w:i/>
              </w:rPr>
            </w:pPr>
          </w:p>
          <w:p>
            <w:pPr>
              <w:pStyle w:val="NoSpacing"/>
              <w:spacing w:line="276" w:lineRule="auto"/>
              <w:rPr>
                <w:rFonts w:ascii="Times New Roman" w:hAnsi="Times New Roman"/>
                <w:i/>
              </w:rPr>
            </w:pPr>
            <w:r>
              <w:rPr>
                <w:rFonts w:ascii="Times New Roman" w:hAnsi="Times New Roman"/>
                <w:i/>
              </w:rPr>
              <w:t>Cr. PYA – Grants and Donation in Kind</w:t>
            </w:r>
            <w:r>
              <w:rPr>
                <w:rFonts w:ascii="Times New Roman" w:hAnsi="Times New Roman"/>
                <w:i/>
              </w:rPr>
              <w:tab/>
            </w:r>
          </w:p>
          <w:p>
            <w:pPr>
              <w:pStyle w:val="NoSpacing"/>
              <w:spacing w:line="276" w:lineRule="auto"/>
              <w:rPr>
                <w:rFonts w:ascii="Times New Roman" w:hAnsi="Times New Roman"/>
                <w:bCs/>
                <w:i/>
                <w:lang w:eastAsia="en-PH"/>
              </w:rPr>
            </w:pPr>
            <w:r>
              <w:rPr>
                <w:rFonts w:ascii="Times New Roman" w:hAnsi="Times New Roman"/>
                <w:i/>
              </w:rPr>
              <w:t xml:space="preserve">P </w:t>
            </w:r>
            <w:r>
              <w:rPr>
                <w:rFonts w:ascii="Times New Roman" w:hAnsi="Times New Roman"/>
                <w:bCs/>
                <w:i/>
                <w:lang w:eastAsia="en-PH"/>
              </w:rPr>
              <w:t>4,267,247.18</w:t>
            </w:r>
          </w:p>
          <w:p>
            <w:pPr>
              <w:pStyle w:val="NoSpacing"/>
              <w:spacing w:line="276" w:lineRule="auto"/>
              <w:rPr>
                <w:rFonts w:ascii="Times New Roman" w:hAnsi="Times New Roman"/>
                <w:bCs/>
                <w:i/>
                <w:lang w:eastAsia="en-PH"/>
              </w:rPr>
            </w:pPr>
          </w:p>
          <w:p>
            <w:pPr>
              <w:pStyle w:val="NoSpacing"/>
              <w:spacing w:line="276" w:lineRule="auto"/>
              <w:rPr>
                <w:rFonts w:ascii="Times New Roman" w:hAnsi="Times New Roman"/>
                <w:bCs/>
                <w:i/>
                <w:lang w:eastAsia="en-PH"/>
              </w:rPr>
            </w:pPr>
            <w:r>
              <w:rPr>
                <w:rFonts w:ascii="Times New Roman" w:hAnsi="Times New Roman"/>
                <w:bCs/>
                <w:i/>
                <w:lang w:eastAsia="en-PH"/>
              </w:rPr>
              <w:t xml:space="preserve">To record ending inventory of COVID-19 vaccines.  </w:t>
            </w:r>
          </w:p>
          <w:p>
            <w:pPr>
              <w:pStyle w:val="NoSpacing"/>
              <w:spacing w:line="276" w:lineRule="auto"/>
              <w:rPr>
                <w:rFonts w:ascii="Times New Roman" w:hAnsi="Times New Roman"/>
              </w:rPr>
            </w:pPr>
          </w:p>
          <w:p>
            <w:pPr>
              <w:pStyle w:val="NoSpacing"/>
              <w:numPr>
                <w:ilvl w:val="0"/>
                <w:numId w:val="11"/>
              </w:numPr>
              <w:spacing w:line="276" w:lineRule="auto"/>
              <w:ind w:left="286" w:hanging="270"/>
              <w:jc w:val="both"/>
              <w:rPr>
                <w:rFonts w:ascii="Times New Roman" w:hAnsi="Times New Roman"/>
              </w:rPr>
            </w:pPr>
            <w:r>
              <w:rPr>
                <w:rFonts w:ascii="Times New Roman" w:hAnsi="Times New Roman"/>
              </w:rPr>
              <w:t xml:space="preserve">Direct the CHO upon </w:t>
            </w:r>
            <w:r>
              <w:rPr>
                <w:rFonts w:ascii="Times New Roman" w:hAnsi="Times New Roman"/>
              </w:rPr>
              <w:lastRenderedPageBreak/>
              <w:t xml:space="preserve">receipt of the vaccines, to submit immediately the Acknowledgment Receipt for In-Kind Donations along with </w:t>
            </w:r>
            <w:proofErr w:type="gramStart"/>
            <w:r>
              <w:rPr>
                <w:rFonts w:ascii="Times New Roman" w:hAnsi="Times New Roman"/>
              </w:rPr>
              <w:t>the  PTR</w:t>
            </w:r>
            <w:proofErr w:type="gramEnd"/>
            <w:r>
              <w:rPr>
                <w:rFonts w:ascii="Times New Roman" w:hAnsi="Times New Roman"/>
              </w:rPr>
              <w:t xml:space="preserve"> to CAO, and for the latter to record the items on time.  For the utilization, prepare also Issuance Form for In-Kind Donations and submit it to the CAO within a reasonable time; and</w:t>
            </w:r>
          </w:p>
          <w:p>
            <w:pPr>
              <w:pStyle w:val="NoSpacing"/>
              <w:spacing w:line="276" w:lineRule="auto"/>
              <w:ind w:left="286"/>
              <w:jc w:val="both"/>
              <w:rPr>
                <w:rFonts w:ascii="Times New Roman" w:hAnsi="Times New Roman"/>
              </w:rPr>
            </w:pPr>
          </w:p>
          <w:p>
            <w:pPr>
              <w:pStyle w:val="NoSpacing"/>
              <w:numPr>
                <w:ilvl w:val="0"/>
                <w:numId w:val="11"/>
              </w:numPr>
              <w:spacing w:line="276" w:lineRule="auto"/>
              <w:ind w:left="286" w:hanging="270"/>
              <w:jc w:val="both"/>
              <w:rPr>
                <w:rFonts w:ascii="Times New Roman" w:hAnsi="Times New Roman"/>
              </w:rPr>
            </w:pPr>
            <w:r>
              <w:rPr>
                <w:rFonts w:ascii="Times New Roman" w:hAnsi="Times New Roman"/>
              </w:rPr>
              <w:t>Instruct the CHO to create a system in coming up with timely report preparation and submission.</w:t>
            </w:r>
          </w:p>
          <w:p>
            <w:pPr>
              <w:pStyle w:val="ListParagraph"/>
              <w:spacing w:after="0"/>
              <w:ind w:left="129"/>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lastRenderedPageBreak/>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tc>
        <w:tc>
          <w:tcPr>
            <w:tcW w:w="819" w:type="pct"/>
            <w:shd w:val="clear" w:color="auto" w:fill="auto"/>
          </w:tcPr>
          <w:p>
            <w:pPr>
              <w:spacing w:after="0"/>
              <w:jc w:val="both"/>
              <w:rPr>
                <w:rFonts w:ascii="Times New Roman" w:hAnsi="Times New Roman" w:cs="Times New Roman"/>
                <w:bCs/>
              </w:rPr>
            </w:pPr>
            <w:r>
              <w:rPr>
                <w:rFonts w:ascii="Times New Roman" w:eastAsia="Calibri" w:hAnsi="Times New Roman" w:cs="Times New Roman"/>
              </w:rPr>
              <w:lastRenderedPageBreak/>
              <w:t>Reiterated/</w:t>
            </w:r>
            <w:proofErr w:type="gramStart"/>
            <w:r>
              <w:rPr>
                <w:rFonts w:ascii="Times New Roman" w:eastAsia="Calibri" w:hAnsi="Times New Roman" w:cs="Times New Roman"/>
              </w:rPr>
              <w:t>revised  in</w:t>
            </w:r>
            <w:proofErr w:type="gramEnd"/>
            <w:r>
              <w:rPr>
                <w:rFonts w:ascii="Times New Roman" w:eastAsia="Calibri" w:hAnsi="Times New Roman" w:cs="Times New Roman"/>
              </w:rPr>
              <w:t xml:space="preserve"> CY 2022 thru AOM No. 23-020</w:t>
            </w:r>
          </w:p>
        </w:tc>
      </w:tr>
      <w:tr>
        <w:trPr>
          <w:jc w:val="right"/>
        </w:trPr>
        <w:tc>
          <w:tcPr>
            <w:tcW w:w="1136" w:type="pct"/>
          </w:tcPr>
          <w:p>
            <w:pPr>
              <w:pStyle w:val="ListParagraph"/>
              <w:numPr>
                <w:ilvl w:val="0"/>
                <w:numId w:val="1"/>
              </w:numPr>
              <w:spacing w:after="0"/>
              <w:ind w:left="240"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Accuracy of the account Due from Local Government Units amounting to P9,542,870.37 as of December 31, 2021 is uncertain owing to the non-adjustment of the utilized fund totaling P1,100,000.00, thus overstating the City’s </w:t>
            </w:r>
            <w:r>
              <w:rPr>
                <w:rFonts w:ascii="Times New Roman" w:eastAsia="Times New Roman" w:hAnsi="Times New Roman" w:cs="Times New Roman"/>
                <w:lang w:val="en-PH" w:eastAsia="en-PH"/>
              </w:rPr>
              <w:lastRenderedPageBreak/>
              <w:t>Inter-Agency Receivables by the same amount, and affecting the management’s assertion on the fair presentation of the financial statements.</w:t>
            </w:r>
          </w:p>
        </w:tc>
        <w:tc>
          <w:tcPr>
            <w:tcW w:w="1146" w:type="pct"/>
          </w:tcPr>
          <w:p>
            <w:pPr>
              <w:spacing w:after="0"/>
              <w:jc w:val="both"/>
              <w:rPr>
                <w:rFonts w:ascii="Times New Roman" w:hAnsi="Times New Roman" w:cs="Times New Roman"/>
              </w:rPr>
            </w:pPr>
            <w:r>
              <w:rPr>
                <w:rFonts w:ascii="Times New Roman" w:hAnsi="Times New Roman" w:cs="Times New Roman"/>
              </w:rPr>
              <w:lastRenderedPageBreak/>
              <w:t xml:space="preserve">We recommended that the City Accountant send demand letters to defaulting barangays requesting them to submit the necessary supporting documents for the liquidation of the fund transfers.  Upon liquidation, draw a Journal Entry Voucher to record in the </w:t>
            </w:r>
            <w:r>
              <w:rPr>
                <w:rFonts w:ascii="Times New Roman" w:hAnsi="Times New Roman" w:cs="Times New Roman"/>
              </w:rPr>
              <w:lastRenderedPageBreak/>
              <w:t xml:space="preserve">books of accounts the following correcting entry: </w:t>
            </w:r>
          </w:p>
          <w:p>
            <w:pPr>
              <w:spacing w:after="0"/>
              <w:jc w:val="both"/>
              <w:rPr>
                <w:rFonts w:ascii="Times New Roman" w:hAnsi="Times New Roman" w:cs="Times New Roman"/>
                <w:i/>
              </w:rPr>
            </w:pPr>
          </w:p>
          <w:p>
            <w:pPr>
              <w:spacing w:after="0"/>
              <w:jc w:val="both"/>
              <w:rPr>
                <w:rFonts w:ascii="Times New Roman" w:hAnsi="Times New Roman" w:cs="Times New Roman"/>
                <w:i/>
              </w:rPr>
            </w:pPr>
            <w:r>
              <w:rPr>
                <w:rFonts w:ascii="Times New Roman" w:hAnsi="Times New Roman" w:cs="Times New Roman"/>
                <w:i/>
              </w:rPr>
              <w:t>Dr. Subsidy to Other Local Government Units</w:t>
            </w:r>
          </w:p>
          <w:p>
            <w:pPr>
              <w:spacing w:after="0"/>
              <w:jc w:val="both"/>
              <w:rPr>
                <w:rFonts w:ascii="Times New Roman" w:hAnsi="Times New Roman" w:cs="Times New Roman"/>
                <w:i/>
              </w:rPr>
            </w:pPr>
            <w:r>
              <w:rPr>
                <w:rFonts w:ascii="Times New Roman" w:hAnsi="Times New Roman" w:cs="Times New Roman"/>
                <w:i/>
              </w:rPr>
              <w:t>P1,100,00.00</w:t>
            </w:r>
          </w:p>
          <w:p>
            <w:pPr>
              <w:spacing w:after="0"/>
              <w:jc w:val="both"/>
              <w:rPr>
                <w:rFonts w:ascii="Times New Roman" w:hAnsi="Times New Roman" w:cs="Times New Roman"/>
                <w:i/>
              </w:rPr>
            </w:pPr>
          </w:p>
          <w:p>
            <w:pPr>
              <w:spacing w:after="0"/>
              <w:jc w:val="both"/>
              <w:rPr>
                <w:rFonts w:ascii="Times New Roman" w:hAnsi="Times New Roman" w:cs="Times New Roman"/>
                <w:i/>
              </w:rPr>
            </w:pPr>
            <w:r>
              <w:rPr>
                <w:rFonts w:ascii="Times New Roman" w:hAnsi="Times New Roman" w:cs="Times New Roman"/>
                <w:i/>
              </w:rPr>
              <w:t xml:space="preserve">Cr. Due </w:t>
            </w:r>
            <w:r>
              <w:rPr>
                <w:rFonts w:ascii="Times New Roman" w:hAnsi="Times New Roman" w:cs="Times New Roman"/>
                <w:i/>
                <w:lang w:val="en-PH" w:eastAsia="en-PH"/>
              </w:rPr>
              <w:t>from Local Government Units</w:t>
            </w:r>
            <w:r>
              <w:rPr>
                <w:rFonts w:ascii="Times New Roman" w:hAnsi="Times New Roman" w:cs="Times New Roman"/>
                <w:i/>
              </w:rPr>
              <w:t xml:space="preserve"> </w:t>
            </w:r>
          </w:p>
          <w:p>
            <w:pPr>
              <w:spacing w:after="0"/>
              <w:jc w:val="both"/>
              <w:rPr>
                <w:rFonts w:ascii="Times New Roman" w:hAnsi="Times New Roman" w:cs="Times New Roman"/>
                <w:i/>
              </w:rPr>
            </w:pPr>
            <w:r>
              <w:rPr>
                <w:rFonts w:ascii="Times New Roman" w:hAnsi="Times New Roman" w:cs="Times New Roman"/>
                <w:i/>
              </w:rPr>
              <w:t>P1,100,00.00</w:t>
            </w:r>
          </w:p>
          <w:p>
            <w:pPr>
              <w:spacing w:after="0"/>
              <w:jc w:val="both"/>
              <w:rPr>
                <w:rFonts w:ascii="Times New Roman" w:hAnsi="Times New Roman" w:cs="Times New Roman"/>
                <w:i/>
              </w:rPr>
            </w:pPr>
          </w:p>
          <w:p>
            <w:pPr>
              <w:spacing w:after="0"/>
              <w:jc w:val="both"/>
              <w:rPr>
                <w:rFonts w:ascii="Times New Roman" w:hAnsi="Times New Roman" w:cs="Times New Roman"/>
                <w:i/>
              </w:rPr>
            </w:pPr>
            <w:r>
              <w:rPr>
                <w:rFonts w:ascii="Times New Roman" w:hAnsi="Times New Roman" w:cs="Times New Roman"/>
                <w:i/>
              </w:rPr>
              <w:t xml:space="preserve">To record the liquidation of fund transfers. </w:t>
            </w:r>
          </w:p>
          <w:p>
            <w:pPr>
              <w:spacing w:after="0"/>
              <w:ind w:left="2160" w:firstLine="720"/>
              <w:jc w:val="both"/>
              <w:rPr>
                <w:rFonts w:ascii="Times New Roman" w:hAnsi="Times New Roman" w:cs="Times New Roman"/>
                <w:i/>
              </w:rPr>
            </w:pPr>
          </w:p>
          <w:p>
            <w:pPr>
              <w:spacing w:after="0"/>
              <w:jc w:val="both"/>
              <w:rPr>
                <w:rFonts w:ascii="Times New Roman" w:hAnsi="Times New Roman" w:cs="Times New Roman"/>
              </w:rPr>
            </w:pPr>
            <w:r>
              <w:rPr>
                <w:rFonts w:ascii="Times New Roman" w:hAnsi="Times New Roman" w:cs="Times New Roman"/>
              </w:rPr>
              <w:t>Moreover, the City Accounting Office should regularly monitor the implementation of all fund transfers to ensure the compliance with the terms of the existing Agreement.</w:t>
            </w:r>
          </w:p>
          <w:p>
            <w:pPr>
              <w:spacing w:after="0"/>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hAnsi="Times New Roman" w:cs="Times New Roman"/>
                <w:bCs/>
              </w:rPr>
            </w:pPr>
            <w:r>
              <w:rPr>
                <w:rFonts w:ascii="Times New Roman" w:eastAsia="Calibri" w:hAnsi="Times New Roman" w:cs="Times New Roman"/>
              </w:rPr>
              <w:lastRenderedPageBreak/>
              <w:t xml:space="preserve">Fund transfers to </w:t>
            </w:r>
            <w:proofErr w:type="spellStart"/>
            <w:r>
              <w:rPr>
                <w:rFonts w:ascii="Times New Roman" w:eastAsia="Calibri" w:hAnsi="Times New Roman" w:cs="Times New Roman"/>
              </w:rPr>
              <w:t>Brgys</w:t>
            </w:r>
            <w:proofErr w:type="spellEnd"/>
            <w:r>
              <w:rPr>
                <w:rFonts w:ascii="Times New Roman" w:eastAsia="Calibri" w:hAnsi="Times New Roman" w:cs="Times New Roman"/>
              </w:rPr>
              <w:t xml:space="preserve">. San Pedro, </w:t>
            </w:r>
            <w:proofErr w:type="spellStart"/>
            <w:r>
              <w:rPr>
                <w:rFonts w:ascii="Times New Roman" w:eastAsia="Calibri" w:hAnsi="Times New Roman" w:cs="Times New Roman"/>
              </w:rPr>
              <w:t>Manay</w:t>
            </w:r>
            <w:proofErr w:type="spellEnd"/>
            <w:r>
              <w:rPr>
                <w:rFonts w:ascii="Times New Roman" w:eastAsia="Calibri" w:hAnsi="Times New Roman" w:cs="Times New Roman"/>
              </w:rPr>
              <w:t xml:space="preserve">, and J.P. </w:t>
            </w:r>
            <w:proofErr w:type="spellStart"/>
            <w:r>
              <w:rPr>
                <w:rFonts w:ascii="Times New Roman" w:eastAsia="Calibri" w:hAnsi="Times New Roman" w:cs="Times New Roman"/>
              </w:rPr>
              <w:t>Luarel</w:t>
            </w:r>
            <w:proofErr w:type="spellEnd"/>
            <w:r>
              <w:rPr>
                <w:rFonts w:ascii="Times New Roman" w:eastAsia="Calibri" w:hAnsi="Times New Roman" w:cs="Times New Roman"/>
              </w:rPr>
              <w:t xml:space="preserve"> remained unliquidated as of December 31, 2022.</w:t>
            </w: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contextualSpacing/>
              <w:jc w:val="both"/>
              <w:rPr>
                <w:rFonts w:ascii="Times New Roman" w:eastAsia="Calibri" w:hAnsi="Times New Roman" w:cs="Times New Roman"/>
                <w:color w:val="FF0000"/>
              </w:rPr>
            </w:pPr>
          </w:p>
          <w:p>
            <w:pPr>
              <w:spacing w:after="0"/>
              <w:jc w:val="both"/>
              <w:rPr>
                <w:rFonts w:ascii="Times New Roman" w:hAnsi="Times New Roman" w:cs="Times New Roman"/>
                <w:bCs/>
              </w:rPr>
            </w:pPr>
          </w:p>
        </w:tc>
      </w:tr>
      <w:tr>
        <w:trPr>
          <w:jc w:val="right"/>
        </w:trPr>
        <w:tc>
          <w:tcPr>
            <w:tcW w:w="1136" w:type="pct"/>
          </w:tcPr>
          <w:p>
            <w:pPr>
              <w:pStyle w:val="ListParagraph"/>
              <w:numPr>
                <w:ilvl w:val="0"/>
                <w:numId w:val="1"/>
              </w:numPr>
              <w:spacing w:after="0"/>
              <w:ind w:left="240"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Forty-three (43) completed projects totaling P55.242 million were not provided with depreciation amounting to P15.599 million </w:t>
            </w:r>
            <w:proofErr w:type="gramStart"/>
            <w:r>
              <w:rPr>
                <w:rFonts w:ascii="Times New Roman" w:eastAsia="Times New Roman" w:hAnsi="Times New Roman" w:cs="Times New Roman"/>
                <w:lang w:val="en-PH" w:eastAsia="en-PH"/>
              </w:rPr>
              <w:t>due</w:t>
            </w:r>
            <w:proofErr w:type="gramEnd"/>
            <w:r>
              <w:rPr>
                <w:rFonts w:ascii="Times New Roman" w:eastAsia="Times New Roman" w:hAnsi="Times New Roman" w:cs="Times New Roman"/>
                <w:lang w:val="en-PH" w:eastAsia="en-PH"/>
              </w:rPr>
              <w:t xml:space="preserve"> to the non-reclassification to </w:t>
            </w:r>
            <w:r>
              <w:rPr>
                <w:rFonts w:ascii="Times New Roman" w:eastAsia="Times New Roman" w:hAnsi="Times New Roman" w:cs="Times New Roman"/>
                <w:lang w:val="en-PH" w:eastAsia="en-PH"/>
              </w:rPr>
              <w:lastRenderedPageBreak/>
              <w:t>their appropriate assets accounts, thus, overstating the Property, Plant and Equipment and Equity accounts and affecting the fair presentation of the related accounts at year-end.</w:t>
            </w:r>
          </w:p>
        </w:tc>
        <w:tc>
          <w:tcPr>
            <w:tcW w:w="1146" w:type="pct"/>
          </w:tcPr>
          <w:p>
            <w:pPr>
              <w:spacing w:after="0"/>
              <w:jc w:val="both"/>
              <w:rPr>
                <w:rFonts w:ascii="Times New Roman" w:hAnsi="Times New Roman" w:cs="Times New Roman"/>
              </w:rPr>
            </w:pPr>
            <w:r>
              <w:rPr>
                <w:rFonts w:ascii="Times New Roman" w:hAnsi="Times New Roman" w:cs="Times New Roman"/>
              </w:rPr>
              <w:lastRenderedPageBreak/>
              <w:t>We recommended that the City Mayor direct:</w:t>
            </w:r>
          </w:p>
          <w:p>
            <w:pPr>
              <w:pStyle w:val="ListParagraph"/>
              <w:numPr>
                <w:ilvl w:val="0"/>
                <w:numId w:val="12"/>
              </w:numPr>
              <w:spacing w:after="0"/>
              <w:ind w:left="286" w:hanging="335"/>
              <w:jc w:val="both"/>
              <w:rPr>
                <w:rFonts w:ascii="Times New Roman" w:hAnsi="Times New Roman" w:cs="Times New Roman"/>
              </w:rPr>
            </w:pPr>
            <w:r>
              <w:rPr>
                <w:rFonts w:ascii="Times New Roman" w:eastAsia="Times New Roman" w:hAnsi="Times New Roman" w:cs="Times New Roman"/>
              </w:rPr>
              <w:t>T</w:t>
            </w:r>
            <w:r>
              <w:rPr>
                <w:rFonts w:ascii="Times New Roman" w:hAnsi="Times New Roman" w:cs="Times New Roman"/>
              </w:rPr>
              <w:t xml:space="preserve">he CEO and CACCO to trace the documents such as Certificate of Completion, Certificate of Projects </w:t>
            </w:r>
            <w:r>
              <w:rPr>
                <w:rFonts w:ascii="Times New Roman" w:hAnsi="Times New Roman" w:cs="Times New Roman"/>
              </w:rPr>
              <w:lastRenderedPageBreak/>
              <w:t xml:space="preserve">Acceptance and Statements of Work Accomplishment. </w:t>
            </w:r>
          </w:p>
          <w:p>
            <w:pPr>
              <w:pStyle w:val="ListParagraph"/>
              <w:spacing w:after="0"/>
              <w:ind w:left="286" w:hanging="335"/>
              <w:jc w:val="both"/>
              <w:rPr>
                <w:rFonts w:ascii="Times New Roman" w:hAnsi="Times New Roman" w:cs="Times New Roman"/>
              </w:rPr>
            </w:pPr>
          </w:p>
          <w:p>
            <w:pPr>
              <w:pStyle w:val="ListParagraph"/>
              <w:numPr>
                <w:ilvl w:val="0"/>
                <w:numId w:val="12"/>
              </w:numPr>
              <w:spacing w:after="0"/>
              <w:ind w:left="286" w:hanging="335"/>
              <w:jc w:val="both"/>
              <w:rPr>
                <w:rFonts w:ascii="Times New Roman" w:hAnsi="Times New Roman" w:cs="Times New Roman"/>
              </w:rPr>
            </w:pPr>
            <w:r>
              <w:rPr>
                <w:rFonts w:ascii="Times New Roman" w:hAnsi="Times New Roman" w:cs="Times New Roman"/>
              </w:rPr>
              <w:t>The City Accountant to draw Journal Entry Voucher to reclassify the CIP accounts to the specific asset accounts and to record the depreciation expenses.</w:t>
            </w:r>
          </w:p>
          <w:p>
            <w:pPr>
              <w:pStyle w:val="ListParagraph"/>
              <w:spacing w:after="0"/>
              <w:ind w:left="129"/>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tc>
        <w:tc>
          <w:tcPr>
            <w:tcW w:w="819" w:type="pct"/>
            <w:shd w:val="clear" w:color="auto" w:fill="auto"/>
          </w:tcPr>
          <w:p>
            <w:pPr>
              <w:spacing w:after="0"/>
              <w:jc w:val="both"/>
              <w:rPr>
                <w:rFonts w:ascii="Times New Roman" w:hAnsi="Times New Roman" w:cs="Times New Roman"/>
                <w:bCs/>
              </w:rPr>
            </w:pPr>
            <w:r>
              <w:rPr>
                <w:rFonts w:ascii="Times New Roman" w:eastAsia="Calibri" w:hAnsi="Times New Roman" w:cs="Times New Roman"/>
              </w:rPr>
              <w:lastRenderedPageBreak/>
              <w:t>Reiterated/revised in CY 2022 thru AOM No. 23-018</w:t>
            </w:r>
          </w:p>
        </w:tc>
      </w:tr>
      <w:tr>
        <w:trPr>
          <w:jc w:val="right"/>
        </w:trPr>
        <w:tc>
          <w:tcPr>
            <w:tcW w:w="1136" w:type="pct"/>
          </w:tcPr>
          <w:p>
            <w:pPr>
              <w:pStyle w:val="ListParagraph"/>
              <w:numPr>
                <w:ilvl w:val="0"/>
                <w:numId w:val="1"/>
              </w:numPr>
              <w:spacing w:after="0"/>
              <w:ind w:left="240"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Due to other NGAs account includes unreturned funds for completed projects of P</w:t>
            </w:r>
            <w:proofErr w:type="gramStart"/>
            <w:r>
              <w:rPr>
                <w:rFonts w:ascii="Times New Roman" w:eastAsia="Times New Roman" w:hAnsi="Times New Roman" w:cs="Times New Roman"/>
                <w:lang w:val="en-PH" w:eastAsia="en-PH"/>
              </w:rPr>
              <w:t>116,554.80  and</w:t>
            </w:r>
            <w:proofErr w:type="gramEnd"/>
            <w:r>
              <w:rPr>
                <w:rFonts w:ascii="Times New Roman" w:eastAsia="Times New Roman" w:hAnsi="Times New Roman" w:cs="Times New Roman"/>
                <w:lang w:val="en-PH" w:eastAsia="en-PH"/>
              </w:rPr>
              <w:t xml:space="preserve"> abnormal/negative balance of P 199,470.29 which may affect the  fair presentation of accounts in the financial statements. </w:t>
            </w:r>
          </w:p>
          <w:p>
            <w:pPr>
              <w:pStyle w:val="ListParagraph"/>
              <w:spacing w:after="0"/>
              <w:ind w:left="240"/>
              <w:jc w:val="both"/>
              <w:rPr>
                <w:rFonts w:ascii="Times New Roman" w:eastAsia="Times New Roman" w:hAnsi="Times New Roman" w:cs="Times New Roman"/>
                <w:lang w:val="en-PH" w:eastAsia="en-PH"/>
              </w:rPr>
            </w:pPr>
          </w:p>
        </w:tc>
        <w:tc>
          <w:tcPr>
            <w:tcW w:w="1146" w:type="pct"/>
          </w:tcPr>
          <w:p>
            <w:pPr>
              <w:pStyle w:val="ListParagraph"/>
              <w:spacing w:after="0"/>
              <w:ind w:left="0"/>
              <w:jc w:val="both"/>
              <w:rPr>
                <w:rFonts w:ascii="Times New Roman" w:hAnsi="Times New Roman" w:cs="Times New Roman"/>
                <w:bCs/>
              </w:rPr>
            </w:pPr>
            <w:r>
              <w:rPr>
                <w:rFonts w:ascii="Times New Roman" w:hAnsi="Times New Roman" w:cs="Times New Roman"/>
                <w:bCs/>
              </w:rPr>
              <w:t>We recommended that management expedite the return of the unspent balance of fund transfers totaling P116,554.80 to the concerned source national agencies, or if warranted, ask from the source agency if said unutilized funds can be used to augment other priority projects of the City.</w:t>
            </w:r>
          </w:p>
          <w:p>
            <w:pPr>
              <w:pStyle w:val="ListParagraph"/>
              <w:spacing w:after="0"/>
              <w:ind w:left="0"/>
              <w:jc w:val="both"/>
              <w:rPr>
                <w:rFonts w:ascii="Times New Roman" w:hAnsi="Times New Roman" w:cs="Times New Roman"/>
                <w:bCs/>
              </w:rPr>
            </w:pPr>
          </w:p>
          <w:p>
            <w:pPr>
              <w:spacing w:after="0"/>
              <w:jc w:val="both"/>
              <w:rPr>
                <w:rFonts w:ascii="Times New Roman" w:hAnsi="Times New Roman" w:cs="Times New Roman"/>
                <w:b/>
              </w:rPr>
            </w:pPr>
            <w:r>
              <w:rPr>
                <w:rFonts w:ascii="Times New Roman" w:hAnsi="Times New Roman" w:cs="Times New Roman"/>
              </w:rPr>
              <w:t xml:space="preserve">Likewise, require the City Accountant to reconcile the abnormal/negative amounting to P199,470.29 of the above SL under Due to Other Funds to reflect the correct balance of </w:t>
            </w:r>
            <w:r>
              <w:rPr>
                <w:rFonts w:ascii="Times New Roman" w:hAnsi="Times New Roman" w:cs="Times New Roman"/>
              </w:rPr>
              <w:lastRenderedPageBreak/>
              <w:t>the account</w:t>
            </w:r>
            <w:r>
              <w:rPr>
                <w:rFonts w:ascii="Times New Roman" w:hAnsi="Times New Roman" w:cs="Times New Roman"/>
                <w:b/>
              </w:rPr>
              <w:t>.</w:t>
            </w:r>
          </w:p>
          <w:p>
            <w:pPr>
              <w:spacing w:after="0"/>
              <w:jc w:val="both"/>
              <w:rPr>
                <w:rFonts w:ascii="Times New Roman" w:hAnsi="Times New Roman" w:cs="Times New Roman"/>
                <w:b/>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tc>
        <w:tc>
          <w:tcPr>
            <w:tcW w:w="819" w:type="pct"/>
            <w:shd w:val="clear" w:color="auto" w:fill="auto"/>
          </w:tcPr>
          <w:p>
            <w:pPr>
              <w:spacing w:after="0"/>
              <w:jc w:val="both"/>
              <w:rPr>
                <w:rFonts w:ascii="Times New Roman" w:hAnsi="Times New Roman" w:cs="Times New Roman"/>
                <w:bCs/>
              </w:rPr>
            </w:pPr>
            <w:r>
              <w:rPr>
                <w:rFonts w:ascii="Times New Roman" w:eastAsia="Calibri" w:hAnsi="Times New Roman" w:cs="Times New Roman"/>
              </w:rPr>
              <w:t>Reiterated/revised in CY 2022 thru AOM No. 23-007 and AOM No. 23-012</w:t>
            </w:r>
          </w:p>
        </w:tc>
      </w:tr>
      <w:tr>
        <w:trPr>
          <w:jc w:val="right"/>
        </w:trPr>
        <w:tc>
          <w:tcPr>
            <w:tcW w:w="1136" w:type="pct"/>
          </w:tcPr>
          <w:p>
            <w:pPr>
              <w:pStyle w:val="ListParagraph"/>
              <w:numPr>
                <w:ilvl w:val="0"/>
                <w:numId w:val="1"/>
              </w:numPr>
              <w:spacing w:after="0"/>
              <w:ind w:left="240"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The City budget for the procurement of COVID-19 vaccines without an authorization from the DOH and the NTF, in violation to Section 4 of Republic Act No. </w:t>
            </w:r>
            <w:proofErr w:type="gramStart"/>
            <w:r>
              <w:rPr>
                <w:rFonts w:ascii="Times New Roman" w:eastAsia="Times New Roman" w:hAnsi="Times New Roman" w:cs="Times New Roman"/>
                <w:lang w:val="en-PH" w:eastAsia="en-PH"/>
              </w:rPr>
              <w:t>11525,  resulted</w:t>
            </w:r>
            <w:proofErr w:type="gramEnd"/>
            <w:r>
              <w:rPr>
                <w:rFonts w:ascii="Times New Roman" w:eastAsia="Times New Roman" w:hAnsi="Times New Roman" w:cs="Times New Roman"/>
                <w:lang w:val="en-PH" w:eastAsia="en-PH"/>
              </w:rPr>
              <w:t xml:space="preserve"> in an idle fund of P30.289 million which could have been used to fund different PPAs to prevent and mitigate the effects of the pandemic.</w:t>
            </w:r>
          </w:p>
          <w:p>
            <w:pPr>
              <w:pStyle w:val="ListParagraph"/>
              <w:spacing w:after="0"/>
              <w:ind w:left="240"/>
              <w:jc w:val="both"/>
              <w:rPr>
                <w:rFonts w:ascii="Times New Roman" w:eastAsia="Times New Roman" w:hAnsi="Times New Roman" w:cs="Times New Roman"/>
                <w:lang w:val="en-PH" w:eastAsia="en-PH"/>
              </w:rPr>
            </w:pPr>
          </w:p>
        </w:tc>
        <w:tc>
          <w:tcPr>
            <w:tcW w:w="1146" w:type="pct"/>
          </w:tcPr>
          <w:p>
            <w:pPr>
              <w:pStyle w:val="ListParagraph"/>
              <w:spacing w:after="0"/>
              <w:ind w:left="0"/>
              <w:jc w:val="both"/>
              <w:rPr>
                <w:rFonts w:ascii="Times New Roman" w:hAnsi="Times New Roman" w:cs="Times New Roman"/>
              </w:rPr>
            </w:pPr>
            <w:r>
              <w:rPr>
                <w:rFonts w:ascii="Times New Roman" w:hAnsi="Times New Roman" w:cs="Times New Roman"/>
              </w:rPr>
              <w:t xml:space="preserve">We recommended that the City coordinate </w:t>
            </w:r>
            <w:r>
              <w:rPr>
                <w:rFonts w:ascii="Times New Roman" w:hAnsi="Times New Roman" w:cs="Times New Roman"/>
                <w:shd w:val="clear" w:color="auto" w:fill="FFFFFF"/>
              </w:rPr>
              <w:t xml:space="preserve">with the national government, through the NTF and the DOH in a tripartite agreement involving pharmaceutical companies, prior to </w:t>
            </w:r>
            <w:proofErr w:type="gramStart"/>
            <w:r>
              <w:rPr>
                <w:rFonts w:ascii="Times New Roman" w:hAnsi="Times New Roman" w:cs="Times New Roman"/>
                <w:shd w:val="clear" w:color="auto" w:fill="FFFFFF"/>
              </w:rPr>
              <w:t>the their</w:t>
            </w:r>
            <w:proofErr w:type="gramEnd"/>
            <w:r>
              <w:rPr>
                <w:rFonts w:ascii="Times New Roman" w:hAnsi="Times New Roman" w:cs="Times New Roman"/>
                <w:shd w:val="clear" w:color="auto" w:fill="FFFFFF"/>
              </w:rPr>
              <w:t xml:space="preserve"> procurement and roll-out of COVID-19 vaccines, if any. </w:t>
            </w:r>
          </w:p>
          <w:p>
            <w:pPr>
              <w:pStyle w:val="ListParagraph"/>
              <w:spacing w:after="0"/>
              <w:ind w:left="0" w:firstLine="720"/>
              <w:jc w:val="both"/>
              <w:rPr>
                <w:rFonts w:ascii="Times New Roman" w:hAnsi="Times New Roman" w:cs="Times New Roman"/>
              </w:rPr>
            </w:pPr>
          </w:p>
          <w:p>
            <w:pPr>
              <w:spacing w:after="0"/>
              <w:jc w:val="both"/>
              <w:rPr>
                <w:rFonts w:ascii="Times New Roman" w:hAnsi="Times New Roman" w:cs="Times New Roman"/>
              </w:rPr>
            </w:pPr>
            <w:r>
              <w:rPr>
                <w:rFonts w:ascii="Times New Roman" w:hAnsi="Times New Roman" w:cs="Times New Roman"/>
              </w:rPr>
              <w:t>Moreover, we recommended that the P30.289 million declared savings initially for the procurement of COVID-19 vaccines be reverted to the LDRRMF Special Trust Fund, and be used to address the disaster response requirements of the COVID-19 emergency.</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 xml:space="preserve">Implemented </w:t>
            </w:r>
          </w:p>
        </w:tc>
        <w:tc>
          <w:tcPr>
            <w:tcW w:w="819" w:type="pct"/>
            <w:shd w:val="clear" w:color="auto" w:fill="auto"/>
          </w:tcPr>
          <w:p>
            <w:pPr>
              <w:spacing w:after="0"/>
              <w:jc w:val="both"/>
              <w:rPr>
                <w:rFonts w:ascii="Times New Roman" w:hAnsi="Times New Roman" w:cs="Times New Roman"/>
                <w:bCs/>
              </w:rPr>
            </w:pPr>
            <w:r>
              <w:rPr>
                <w:rFonts w:ascii="Times New Roman" w:eastAsia="Calibri" w:hAnsi="Times New Roman" w:cs="Times New Roman"/>
              </w:rPr>
              <w:t>The City has not purchased any COVID-19 vaccines for CY 2022</w:t>
            </w:r>
          </w:p>
        </w:tc>
      </w:tr>
      <w:tr>
        <w:trPr>
          <w:jc w:val="right"/>
        </w:trPr>
        <w:tc>
          <w:tcPr>
            <w:tcW w:w="1136" w:type="pct"/>
          </w:tcPr>
          <w:p>
            <w:pPr>
              <w:pStyle w:val="ListParagraph"/>
              <w:numPr>
                <w:ilvl w:val="0"/>
                <w:numId w:val="1"/>
              </w:numPr>
              <w:spacing w:after="0"/>
              <w:ind w:left="240"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Lapses of the Bids and Awards Committee in the procurement process resulted in some deficiencies noted in two (2) </w:t>
            </w:r>
            <w:r>
              <w:rPr>
                <w:rFonts w:ascii="Times New Roman" w:eastAsia="Times New Roman" w:hAnsi="Times New Roman" w:cs="Times New Roman"/>
                <w:lang w:val="en-PH" w:eastAsia="en-PH"/>
              </w:rPr>
              <w:lastRenderedPageBreak/>
              <w:t>Infrastructure Projects totaling P35,690,238.57, casting doubt on the authenticity and validity on the result of the bids.</w:t>
            </w:r>
          </w:p>
        </w:tc>
        <w:tc>
          <w:tcPr>
            <w:tcW w:w="1146" w:type="pct"/>
          </w:tcPr>
          <w:p>
            <w:pPr>
              <w:spacing w:after="0"/>
              <w:jc w:val="both"/>
              <w:rPr>
                <w:rFonts w:ascii="Times New Roman" w:hAnsi="Times New Roman" w:cs="Times New Roman"/>
              </w:rPr>
            </w:pPr>
            <w:r>
              <w:rPr>
                <w:rFonts w:ascii="Times New Roman" w:hAnsi="Times New Roman" w:cs="Times New Roman"/>
              </w:rPr>
              <w:lastRenderedPageBreak/>
              <w:t xml:space="preserve">We recommended that the City Mayor direct the Bids and Awards Committee (BAC) to submit a written explanation including the rectified </w:t>
            </w:r>
            <w:r>
              <w:rPr>
                <w:rFonts w:ascii="Times New Roman" w:hAnsi="Times New Roman" w:cs="Times New Roman"/>
              </w:rPr>
              <w:lastRenderedPageBreak/>
              <w:t>documents pertaining to the above t</w:t>
            </w:r>
            <w:r>
              <w:rPr>
                <w:rFonts w:ascii="Times New Roman" w:hAnsi="Times New Roman" w:cs="Times New Roman"/>
                <w:bCs/>
                <w:lang w:val="en-PH"/>
              </w:rPr>
              <w:t xml:space="preserve">wo (2) procurement of Infrastructure </w:t>
            </w:r>
            <w:proofErr w:type="gramStart"/>
            <w:r>
              <w:rPr>
                <w:rFonts w:ascii="Times New Roman" w:hAnsi="Times New Roman" w:cs="Times New Roman"/>
                <w:bCs/>
                <w:lang w:val="en-PH"/>
              </w:rPr>
              <w:t>Project</w:t>
            </w:r>
            <w:r>
              <w:rPr>
                <w:rFonts w:ascii="Times New Roman" w:hAnsi="Times New Roman" w:cs="Times New Roman"/>
                <w:b/>
                <w:bCs/>
                <w:lang w:val="en-PH"/>
              </w:rPr>
              <w:t xml:space="preserve">s </w:t>
            </w:r>
            <w:r>
              <w:rPr>
                <w:rFonts w:ascii="Times New Roman" w:hAnsi="Times New Roman" w:cs="Times New Roman"/>
              </w:rPr>
              <w:t xml:space="preserve"> for</w:t>
            </w:r>
            <w:proofErr w:type="gramEnd"/>
            <w:r>
              <w:rPr>
                <w:rFonts w:ascii="Times New Roman" w:hAnsi="Times New Roman" w:cs="Times New Roman"/>
              </w:rPr>
              <w:t xml:space="preserve"> our re-evaluation.  Henceforth, the BAC should see to it that proper documentation to support the procurement process must be properly verified and validated to prevent the issuance of Notice of Suspension/Disallowance.</w:t>
            </w:r>
          </w:p>
          <w:p>
            <w:pPr>
              <w:pStyle w:val="ListParagraph"/>
              <w:spacing w:after="0"/>
              <w:ind w:left="129"/>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eastAsia="Calibri" w:hAnsi="Times New Roman" w:cs="Times New Roman"/>
              </w:rPr>
            </w:pPr>
            <w:r>
              <w:rPr>
                <w:rFonts w:ascii="Times New Roman" w:eastAsia="Calibri" w:hAnsi="Times New Roman" w:cs="Times New Roman"/>
              </w:rPr>
              <w:t xml:space="preserve">No records were found for the submission of rectified documents pertaining to the </w:t>
            </w:r>
            <w:r>
              <w:rPr>
                <w:rFonts w:ascii="Times New Roman" w:eastAsia="Calibri" w:hAnsi="Times New Roman" w:cs="Times New Roman"/>
              </w:rPr>
              <w:lastRenderedPageBreak/>
              <w:t>above two (2) procurement of Infrastructure Projects.</w:t>
            </w:r>
          </w:p>
          <w:p>
            <w:pPr>
              <w:spacing w:after="0"/>
              <w:jc w:val="both"/>
              <w:rPr>
                <w:rFonts w:ascii="Times New Roman" w:hAnsi="Times New Roman" w:cs="Times New Roman"/>
                <w:bCs/>
              </w:rPr>
            </w:pPr>
          </w:p>
        </w:tc>
      </w:tr>
      <w:tr>
        <w:trPr>
          <w:jc w:val="right"/>
        </w:trPr>
        <w:tc>
          <w:tcPr>
            <w:tcW w:w="1136" w:type="pct"/>
          </w:tcPr>
          <w:p>
            <w:pPr>
              <w:pStyle w:val="ListParagraph"/>
              <w:numPr>
                <w:ilvl w:val="0"/>
                <w:numId w:val="1"/>
              </w:numPr>
              <w:spacing w:after="0"/>
              <w:ind w:left="240"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Contractor Own Risk were allowed by the procuring entity in lieu of the Contracts and Notice to Proceed (</w:t>
            </w:r>
            <w:proofErr w:type="gramStart"/>
            <w:r>
              <w:rPr>
                <w:rFonts w:ascii="Times New Roman" w:eastAsia="Times New Roman" w:hAnsi="Times New Roman" w:cs="Times New Roman"/>
                <w:lang w:val="en-PH" w:eastAsia="en-PH"/>
              </w:rPr>
              <w:t>NTP)  to</w:t>
            </w:r>
            <w:proofErr w:type="gramEnd"/>
            <w:r>
              <w:rPr>
                <w:rFonts w:ascii="Times New Roman" w:eastAsia="Times New Roman" w:hAnsi="Times New Roman" w:cs="Times New Roman"/>
                <w:lang w:val="en-PH" w:eastAsia="en-PH"/>
              </w:rPr>
              <w:t xml:space="preserve"> start the implementation of projects, thus circumventing the law pertaining to the Execution of Contracts and Notice to Proceed.</w:t>
            </w:r>
          </w:p>
          <w:p>
            <w:pPr>
              <w:pStyle w:val="ListParagraph"/>
              <w:spacing w:after="0"/>
              <w:ind w:left="240"/>
              <w:jc w:val="both"/>
              <w:rPr>
                <w:rFonts w:ascii="Times New Roman" w:eastAsia="Times New Roman" w:hAnsi="Times New Roman" w:cs="Times New Roman"/>
                <w:lang w:val="en-PH" w:eastAsia="en-PH"/>
              </w:rPr>
            </w:pPr>
          </w:p>
        </w:tc>
        <w:tc>
          <w:tcPr>
            <w:tcW w:w="1146" w:type="pct"/>
          </w:tcPr>
          <w:p>
            <w:pPr>
              <w:spacing w:after="0"/>
              <w:jc w:val="both"/>
              <w:rPr>
                <w:rFonts w:ascii="Times New Roman" w:hAnsi="Times New Roman" w:cs="Times New Roman"/>
              </w:rPr>
            </w:pPr>
            <w:r>
              <w:rPr>
                <w:rFonts w:ascii="Times New Roman" w:hAnsi="Times New Roman" w:cs="Times New Roman"/>
              </w:rPr>
              <w:t xml:space="preserve">We recommended to stop the practice on allowing the contractor to start the implementation of the projects without the approved Contract and NTP. </w:t>
            </w:r>
          </w:p>
          <w:p>
            <w:pPr>
              <w:pStyle w:val="ListParagraph"/>
              <w:spacing w:after="0"/>
              <w:ind w:left="129"/>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tc>
        <w:tc>
          <w:tcPr>
            <w:tcW w:w="819" w:type="pct"/>
            <w:shd w:val="clear" w:color="auto" w:fill="auto"/>
          </w:tcPr>
          <w:p>
            <w:pPr>
              <w:spacing w:after="0"/>
              <w:contextualSpacing/>
              <w:jc w:val="both"/>
              <w:rPr>
                <w:rFonts w:ascii="Times New Roman" w:hAnsi="Times New Roman" w:cs="Times New Roman"/>
                <w:bCs/>
              </w:rPr>
            </w:pPr>
          </w:p>
        </w:tc>
      </w:tr>
      <w:tr>
        <w:trPr>
          <w:jc w:val="right"/>
        </w:trPr>
        <w:tc>
          <w:tcPr>
            <w:tcW w:w="1136" w:type="pct"/>
          </w:tcPr>
          <w:p>
            <w:pPr>
              <w:pStyle w:val="ListParagraph"/>
              <w:numPr>
                <w:ilvl w:val="0"/>
                <w:numId w:val="1"/>
              </w:numPr>
              <w:spacing w:after="0"/>
              <w:ind w:left="240"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Policy on the determination of beneficiaries intended for Socialized Housing Program of City was not properly </w:t>
            </w:r>
            <w:r>
              <w:rPr>
                <w:rFonts w:ascii="Times New Roman" w:eastAsia="Times New Roman" w:hAnsi="Times New Roman" w:cs="Times New Roman"/>
                <w:lang w:val="en-PH" w:eastAsia="en-PH"/>
              </w:rPr>
              <w:lastRenderedPageBreak/>
              <w:t>implemented resulted in an inclusion of unqualified beneficiaries, thus the purpose of the projects was not attained.</w:t>
            </w:r>
          </w:p>
        </w:tc>
        <w:tc>
          <w:tcPr>
            <w:tcW w:w="1146" w:type="pct"/>
          </w:tcPr>
          <w:p>
            <w:pPr>
              <w:spacing w:after="0"/>
              <w:jc w:val="both"/>
              <w:rPr>
                <w:rFonts w:ascii="Times New Roman" w:hAnsi="Times New Roman" w:cs="Times New Roman"/>
              </w:rPr>
            </w:pPr>
            <w:r>
              <w:rPr>
                <w:rFonts w:ascii="Times New Roman" w:hAnsi="Times New Roman" w:cs="Times New Roman"/>
              </w:rPr>
              <w:lastRenderedPageBreak/>
              <w:t xml:space="preserve">We recommended to re-evaluate the intended beneficiaries of the Socialized Housing Program to determine </w:t>
            </w:r>
            <w:r>
              <w:rPr>
                <w:rFonts w:ascii="Times New Roman" w:hAnsi="Times New Roman" w:cs="Times New Roman"/>
              </w:rPr>
              <w:lastRenderedPageBreak/>
              <w:t xml:space="preserve">the legitimate qualified beneficiaries. </w:t>
            </w:r>
          </w:p>
          <w:p>
            <w:pPr>
              <w:spacing w:after="0"/>
              <w:jc w:val="both"/>
              <w:rPr>
                <w:rFonts w:ascii="Times New Roman" w:hAnsi="Times New Roman" w:cs="Times New Roman"/>
              </w:rPr>
            </w:pPr>
          </w:p>
          <w:p>
            <w:pPr>
              <w:spacing w:after="0"/>
              <w:jc w:val="both"/>
              <w:rPr>
                <w:rFonts w:ascii="Times New Roman" w:hAnsi="Times New Roman" w:cs="Times New Roman"/>
              </w:rPr>
            </w:pPr>
            <w:r>
              <w:rPr>
                <w:rFonts w:ascii="Times New Roman" w:hAnsi="Times New Roman" w:cs="Times New Roman"/>
              </w:rPr>
              <w:t>Likewise, submit written justification together with the documents to support that the above One Hundred Nineteen (119) beneficiaries were properly evaluated in accordance with the above cited guidelines.</w:t>
            </w:r>
          </w:p>
          <w:p>
            <w:pPr>
              <w:pStyle w:val="ListParagraph"/>
              <w:spacing w:after="0"/>
              <w:ind w:left="129"/>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2021</w:t>
            </w:r>
          </w:p>
        </w:tc>
        <w:tc>
          <w:tcPr>
            <w:tcW w:w="836" w:type="pct"/>
            <w:shd w:val="clear" w:color="auto" w:fill="auto"/>
          </w:tcPr>
          <w:p>
            <w:pPr>
              <w:spacing w:after="0"/>
              <w:contextualSpacing/>
              <w:jc w:val="both"/>
              <w:rPr>
                <w:rFonts w:ascii="Times New Roman" w:hAnsi="Times New Roman" w:cs="Times New Roman"/>
              </w:rPr>
            </w:pPr>
          </w:p>
        </w:tc>
        <w:tc>
          <w:tcPr>
            <w:tcW w:w="697" w:type="pct"/>
            <w:shd w:val="clear" w:color="auto" w:fill="auto"/>
          </w:tcPr>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hAnsi="Times New Roman" w:cs="Times New Roman"/>
                <w:bCs/>
              </w:rPr>
            </w:pPr>
            <w:r>
              <w:rPr>
                <w:rFonts w:ascii="Times New Roman" w:eastAsia="Calibri" w:hAnsi="Times New Roman" w:cs="Times New Roman"/>
              </w:rPr>
              <w:lastRenderedPageBreak/>
              <w:t xml:space="preserve">No documents were submitted to the Audit Team to support justification </w:t>
            </w:r>
            <w:r>
              <w:rPr>
                <w:rFonts w:ascii="Times New Roman" w:eastAsia="Calibri" w:hAnsi="Times New Roman" w:cs="Times New Roman"/>
              </w:rPr>
              <w:lastRenderedPageBreak/>
              <w:t>and the implementation of the audit recommendations.</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Prioritizing and timing of project implementation was not considered in </w:t>
            </w:r>
            <w:proofErr w:type="gramStart"/>
            <w:r>
              <w:rPr>
                <w:rFonts w:ascii="Times New Roman" w:eastAsia="Times New Roman" w:hAnsi="Times New Roman" w:cs="Times New Roman"/>
                <w:lang w:val="en-PH" w:eastAsia="en-PH"/>
              </w:rPr>
              <w:t>the  LDRRM</w:t>
            </w:r>
            <w:proofErr w:type="gramEnd"/>
            <w:r>
              <w:rPr>
                <w:rFonts w:ascii="Times New Roman" w:eastAsia="Times New Roman" w:hAnsi="Times New Roman" w:cs="Times New Roman"/>
                <w:lang w:val="en-PH" w:eastAsia="en-PH"/>
              </w:rPr>
              <w:t xml:space="preserve"> plans, programs, projects and activities of the City resulted in a  low (20%) implementation rate  affecting the capacity to mitigate, prepare for, respond to and recover from the effects of disasters.</w:t>
            </w:r>
          </w:p>
          <w:p>
            <w:pPr>
              <w:pStyle w:val="ListParagraph"/>
              <w:spacing w:after="0"/>
              <w:ind w:left="240"/>
              <w:jc w:val="both"/>
              <w:rPr>
                <w:rFonts w:ascii="Times New Roman" w:eastAsia="Times New Roman" w:hAnsi="Times New Roman" w:cs="Times New Roman"/>
                <w:lang w:val="en-PH" w:eastAsia="en-PH"/>
              </w:rPr>
            </w:pPr>
          </w:p>
        </w:tc>
        <w:tc>
          <w:tcPr>
            <w:tcW w:w="1146" w:type="pct"/>
          </w:tcPr>
          <w:p>
            <w:pPr>
              <w:pStyle w:val="ListParagraph"/>
              <w:spacing w:after="0"/>
              <w:ind w:left="0"/>
              <w:jc w:val="both"/>
              <w:rPr>
                <w:rFonts w:ascii="Times New Roman" w:hAnsi="Times New Roman" w:cs="Times New Roman"/>
              </w:rPr>
            </w:pPr>
            <w:r>
              <w:rPr>
                <w:rFonts w:ascii="Times New Roman" w:hAnsi="Times New Roman" w:cs="Times New Roman"/>
              </w:rPr>
              <w:t xml:space="preserve">We recommended that all proposed projects under the LDRRMF should be attainable and realizable within the budget year to maximize the utilization of the fund and to prevent idle funds. </w:t>
            </w:r>
          </w:p>
          <w:p>
            <w:pPr>
              <w:pStyle w:val="ListParagraph"/>
              <w:spacing w:after="0"/>
              <w:ind w:left="0" w:firstLine="720"/>
              <w:jc w:val="both"/>
              <w:rPr>
                <w:rFonts w:ascii="Times New Roman" w:hAnsi="Times New Roman" w:cs="Times New Roman"/>
              </w:rPr>
            </w:pPr>
          </w:p>
          <w:p>
            <w:pPr>
              <w:pStyle w:val="ListParagraph"/>
              <w:spacing w:after="0"/>
              <w:ind w:left="0"/>
              <w:jc w:val="both"/>
              <w:rPr>
                <w:rFonts w:ascii="Times New Roman" w:hAnsi="Times New Roman" w:cs="Times New Roman"/>
              </w:rPr>
            </w:pPr>
            <w:r>
              <w:rPr>
                <w:rFonts w:ascii="Times New Roman" w:hAnsi="Times New Roman" w:cs="Times New Roman"/>
              </w:rPr>
              <w:t xml:space="preserve">We also recommended that project appropriations/ allocations must be carefully planned and budgeted to prevent underestimations that will likely cause project delays, while allocating on projects, </w:t>
            </w:r>
            <w:r>
              <w:rPr>
                <w:rFonts w:ascii="Times New Roman" w:hAnsi="Times New Roman" w:cs="Times New Roman"/>
              </w:rPr>
              <w:lastRenderedPageBreak/>
              <w:t xml:space="preserve">programs, and activities (PPAs) that will only be discontinued or abandoned which could have been allocated to other relevant undertakings, and to prevent inclusion of PPAs that are not in accordance with the LDRRMF guidelines set by law. </w:t>
            </w:r>
          </w:p>
          <w:p>
            <w:pPr>
              <w:spacing w:after="0"/>
              <w:jc w:val="both"/>
              <w:rPr>
                <w:rFonts w:ascii="Times New Roman" w:hAnsi="Times New Roman" w:cs="Times New Roman"/>
              </w:rPr>
            </w:pPr>
          </w:p>
          <w:p>
            <w:pPr>
              <w:pStyle w:val="ListParagraph"/>
              <w:spacing w:after="0"/>
              <w:ind w:left="0"/>
              <w:jc w:val="both"/>
              <w:rPr>
                <w:rFonts w:ascii="Times New Roman" w:hAnsi="Times New Roman" w:cs="Times New Roman"/>
              </w:rPr>
            </w:pPr>
            <w:r>
              <w:rPr>
                <w:rFonts w:ascii="Times New Roman" w:hAnsi="Times New Roman" w:cs="Times New Roman"/>
              </w:rPr>
              <w:t xml:space="preserve">Moreover, we recommended to expedite the implementation and maximized the utilization of all PPAs programmed under LDRRMF for the purpose of preventing possible loss of life, damage to government and private property, and loss of livelihood. </w:t>
            </w:r>
          </w:p>
          <w:p>
            <w:pPr>
              <w:pStyle w:val="ListParagraph"/>
              <w:spacing w:after="0"/>
              <w:ind w:left="0"/>
              <w:jc w:val="both"/>
              <w:rPr>
                <w:rFonts w:ascii="Times New Roman" w:hAnsi="Times New Roman" w:cs="Times New Roman"/>
              </w:rPr>
            </w:pPr>
          </w:p>
          <w:p>
            <w:pPr>
              <w:spacing w:after="0"/>
              <w:jc w:val="both"/>
              <w:rPr>
                <w:rFonts w:ascii="Times New Roman" w:hAnsi="Times New Roman" w:cs="Times New Roman"/>
              </w:rPr>
            </w:pPr>
            <w:r>
              <w:rPr>
                <w:rFonts w:ascii="Times New Roman" w:hAnsi="Times New Roman" w:cs="Times New Roman"/>
              </w:rPr>
              <w:t>Finally, we recommended that each implementing office shall explain in writing their justification and status update of their unimplemented project/s for our review and re-</w:t>
            </w:r>
            <w:r>
              <w:rPr>
                <w:rFonts w:ascii="Times New Roman" w:hAnsi="Times New Roman" w:cs="Times New Roman"/>
              </w:rPr>
              <w:lastRenderedPageBreak/>
              <w:t>evaluation.</w:t>
            </w:r>
          </w:p>
          <w:p>
            <w:pPr>
              <w:pStyle w:val="ListParagraph"/>
              <w:spacing w:after="0"/>
              <w:ind w:left="129"/>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tc>
        <w:tc>
          <w:tcPr>
            <w:tcW w:w="819" w:type="pct"/>
            <w:shd w:val="clear" w:color="auto" w:fill="auto"/>
          </w:tcPr>
          <w:p>
            <w:pPr>
              <w:spacing w:after="0"/>
              <w:jc w:val="both"/>
              <w:rPr>
                <w:rFonts w:ascii="Times New Roman" w:hAnsi="Times New Roman" w:cs="Times New Roman"/>
                <w:bCs/>
              </w:rPr>
            </w:pPr>
            <w:r>
              <w:rPr>
                <w:rFonts w:ascii="Times New Roman" w:eastAsia="Calibri" w:hAnsi="Times New Roman" w:cs="Times New Roman"/>
              </w:rPr>
              <w:lastRenderedPageBreak/>
              <w:t>Reiterated/revised in CY 2022 thru AOM No. 23-022</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The timing in the preparation and posting of (1) the monthly reports on fund utilization and status of implementation of the PPAs under the BGCM and (2) other required financial documents in the FDPP, were not consistently observed as required by DBM LBC No. 125 and DILG MC No. 2020-142, respectively, thus hindering the City’s full transparency and accountability in the proper utilization of its funds.</w:t>
            </w:r>
          </w:p>
          <w:p>
            <w:pPr>
              <w:pStyle w:val="ListParagraph"/>
              <w:spacing w:after="0"/>
              <w:ind w:left="240"/>
              <w:jc w:val="both"/>
              <w:rPr>
                <w:rFonts w:ascii="Times New Roman" w:eastAsia="Times New Roman" w:hAnsi="Times New Roman" w:cs="Times New Roman"/>
                <w:lang w:val="en-PH" w:eastAsia="en-PH"/>
              </w:rPr>
            </w:pPr>
          </w:p>
        </w:tc>
        <w:tc>
          <w:tcPr>
            <w:tcW w:w="1146" w:type="pct"/>
          </w:tcPr>
          <w:p>
            <w:pPr>
              <w:spacing w:after="0"/>
              <w:jc w:val="both"/>
              <w:rPr>
                <w:rFonts w:ascii="Times New Roman" w:hAnsi="Times New Roman" w:cs="Times New Roman"/>
              </w:rPr>
            </w:pPr>
            <w:r>
              <w:rPr>
                <w:rFonts w:ascii="Times New Roman" w:hAnsi="Times New Roman" w:cs="Times New Roman"/>
              </w:rPr>
              <w:t xml:space="preserve">We recommended that Management provide a written explanation as to the non-preparation of the Monthly Report on Fund Utilization and Status of Implementation of PPAs under BGCM for the months January to November 2021. </w:t>
            </w:r>
          </w:p>
          <w:p>
            <w:pPr>
              <w:spacing w:after="0"/>
              <w:jc w:val="both"/>
              <w:rPr>
                <w:rFonts w:ascii="Times New Roman" w:hAnsi="Times New Roman" w:cs="Times New Roman"/>
              </w:rPr>
            </w:pPr>
          </w:p>
          <w:p>
            <w:pPr>
              <w:spacing w:after="0"/>
              <w:jc w:val="both"/>
              <w:rPr>
                <w:rFonts w:ascii="Times New Roman" w:hAnsi="Times New Roman" w:cs="Times New Roman"/>
              </w:rPr>
            </w:pPr>
            <w:r>
              <w:rPr>
                <w:rFonts w:ascii="Times New Roman" w:hAnsi="Times New Roman" w:cs="Times New Roman"/>
              </w:rPr>
              <w:t xml:space="preserve">We recommended that mandated financial documents be timely posted in the Full Disclosure Policy Portal, as prescribed by </w:t>
            </w:r>
            <w:r>
              <w:rPr>
                <w:rFonts w:ascii="Times New Roman" w:hAnsi="Times New Roman" w:cs="Times New Roman"/>
                <w:lang w:val="en-PH"/>
              </w:rPr>
              <w:t>DILG Memorandum Circular No. 2020-142</w:t>
            </w:r>
            <w:r>
              <w:rPr>
                <w:rFonts w:ascii="Times New Roman" w:hAnsi="Times New Roman" w:cs="Times New Roman"/>
              </w:rPr>
              <w:t xml:space="preserve">, and to do so, the City Mayor should direct the responsible Offices of the judicious preparation and submission of said documents to the CPDO for posting. </w:t>
            </w:r>
          </w:p>
          <w:p>
            <w:pPr>
              <w:spacing w:after="0"/>
              <w:jc w:val="both"/>
              <w:rPr>
                <w:rFonts w:ascii="Times New Roman" w:hAnsi="Times New Roman" w:cs="Times New Roman"/>
              </w:rPr>
            </w:pPr>
          </w:p>
          <w:p>
            <w:pPr>
              <w:spacing w:after="0"/>
              <w:jc w:val="both"/>
              <w:rPr>
                <w:rFonts w:ascii="Times New Roman" w:hAnsi="Times New Roman" w:cs="Times New Roman"/>
              </w:rPr>
            </w:pPr>
            <w:r>
              <w:rPr>
                <w:rFonts w:ascii="Times New Roman" w:hAnsi="Times New Roman" w:cs="Times New Roman"/>
              </w:rPr>
              <w:t xml:space="preserve">Also, we recommended to </w:t>
            </w:r>
            <w:r>
              <w:rPr>
                <w:rFonts w:ascii="Times New Roman" w:hAnsi="Times New Roman" w:cs="Times New Roman"/>
              </w:rPr>
              <w:lastRenderedPageBreak/>
              <w:t xml:space="preserve">furnish our Office an explanation of the cause of the delay and the measurable actions that management will undertake to improve the timely posting of these financial documents. </w:t>
            </w:r>
          </w:p>
          <w:p>
            <w:pPr>
              <w:spacing w:after="0"/>
              <w:jc w:val="both"/>
              <w:rPr>
                <w:rFonts w:ascii="Times New Roman" w:hAnsi="Times New Roman" w:cs="Times New Roman"/>
              </w:rPr>
            </w:pPr>
          </w:p>
          <w:p>
            <w:pPr>
              <w:spacing w:after="0"/>
              <w:jc w:val="both"/>
              <w:rPr>
                <w:rFonts w:ascii="Times New Roman" w:hAnsi="Times New Roman" w:cs="Times New Roman"/>
              </w:rPr>
            </w:pPr>
            <w:r>
              <w:rPr>
                <w:rFonts w:ascii="Times New Roman" w:hAnsi="Times New Roman" w:cs="Times New Roman"/>
              </w:rPr>
              <w:t>Further, we also recommended that management consider posting the same mandated financial documents to its local website to raise more awareness to its constituents and potential investors.</w:t>
            </w:r>
          </w:p>
          <w:p>
            <w:pPr>
              <w:spacing w:after="0"/>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lastRenderedPageBreak/>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r>
              <w:rPr>
                <w:rFonts w:ascii="Times New Roman" w:hAnsi="Times New Roman" w:cs="Times New Roman"/>
              </w:rPr>
              <w:t xml:space="preserve"> </w:t>
            </w:r>
          </w:p>
        </w:tc>
        <w:tc>
          <w:tcPr>
            <w:tcW w:w="819" w:type="pct"/>
            <w:shd w:val="clear" w:color="auto" w:fill="auto"/>
          </w:tcPr>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jc w:val="both"/>
              <w:rPr>
                <w:rFonts w:ascii="Times New Roman" w:hAnsi="Times New Roman" w:cs="Times New Roman"/>
                <w:bCs/>
              </w:rPr>
            </w:pPr>
          </w:p>
          <w:p>
            <w:pPr>
              <w:spacing w:after="0"/>
              <w:contextualSpacing/>
              <w:jc w:val="both"/>
              <w:rPr>
                <w:rFonts w:ascii="Times New Roman" w:eastAsia="Calibri" w:hAnsi="Times New Roman" w:cs="Times New Roman"/>
              </w:rPr>
            </w:pPr>
            <w:r>
              <w:rPr>
                <w:rFonts w:ascii="Times New Roman" w:eastAsia="Calibri" w:hAnsi="Times New Roman" w:cs="Times New Roman"/>
              </w:rPr>
              <w:t>Not all mandated financial documents were posted to its local website</w:t>
            </w:r>
          </w:p>
          <w:p>
            <w:pPr>
              <w:spacing w:after="0"/>
              <w:jc w:val="both"/>
              <w:rPr>
                <w:rFonts w:ascii="Times New Roman" w:hAnsi="Times New Roman" w:cs="Times New Roman"/>
                <w:bCs/>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Twelve (12) development and infrastructure projects totaling P83.5 Million under the 20% Development Fund (DF) are not implementation-ready, thus affecting the timely delivery of socio-economic development outcomes essential to the promotion of the general welfare of the </w:t>
            </w:r>
            <w:r>
              <w:rPr>
                <w:rFonts w:ascii="Times New Roman" w:eastAsia="Times New Roman" w:hAnsi="Times New Roman" w:cs="Times New Roman"/>
                <w:lang w:val="en-PH" w:eastAsia="en-PH"/>
              </w:rPr>
              <w:lastRenderedPageBreak/>
              <w:t>people.</w:t>
            </w:r>
          </w:p>
        </w:tc>
        <w:tc>
          <w:tcPr>
            <w:tcW w:w="1146" w:type="pct"/>
          </w:tcPr>
          <w:p>
            <w:pPr>
              <w:spacing w:after="0"/>
              <w:jc w:val="both"/>
              <w:rPr>
                <w:rFonts w:ascii="Times New Roman" w:hAnsi="Times New Roman" w:cs="Times New Roman"/>
              </w:rPr>
            </w:pPr>
            <w:r>
              <w:rPr>
                <w:rFonts w:ascii="Times New Roman" w:hAnsi="Times New Roman" w:cs="Times New Roman"/>
              </w:rPr>
              <w:lastRenderedPageBreak/>
              <w:t xml:space="preserve">We recommended that management shall re-evaluate its capacity to undertake detailed engineering activities and consider the hiring of additional manpower complement, if necessary, to facilitate the field survey and investigation to hasten the preparation of POWs for infrastructure projects and </w:t>
            </w:r>
            <w:r>
              <w:rPr>
                <w:rFonts w:ascii="Times New Roman" w:hAnsi="Times New Roman" w:cs="Times New Roman"/>
              </w:rPr>
              <w:lastRenderedPageBreak/>
              <w:t>submit a written re-evaluation of its capacity to undertake the detailed engineering activities for our review and reassessment.</w:t>
            </w:r>
          </w:p>
          <w:p>
            <w:pPr>
              <w:pStyle w:val="ListParagraph"/>
              <w:spacing w:after="0"/>
              <w:ind w:left="129"/>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tc>
        <w:tc>
          <w:tcPr>
            <w:tcW w:w="819" w:type="pct"/>
            <w:shd w:val="clear" w:color="auto" w:fill="auto"/>
          </w:tcPr>
          <w:p>
            <w:pPr>
              <w:spacing w:after="0"/>
              <w:jc w:val="both"/>
              <w:rPr>
                <w:rFonts w:ascii="Times New Roman" w:hAnsi="Times New Roman" w:cs="Times New Roman"/>
                <w:bCs/>
              </w:rPr>
            </w:pPr>
            <w:r>
              <w:rPr>
                <w:rFonts w:ascii="Times New Roman" w:eastAsia="Calibri" w:hAnsi="Times New Roman" w:cs="Times New Roman"/>
              </w:rPr>
              <w:t>Reiterated/revised in CY 2022 thru AOM No. 23-005</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Fund transfers from various National Government Agencies </w:t>
            </w:r>
            <w:proofErr w:type="spellStart"/>
            <w:r>
              <w:rPr>
                <w:rFonts w:ascii="Times New Roman" w:eastAsia="Times New Roman" w:hAnsi="Times New Roman" w:cs="Times New Roman"/>
                <w:lang w:val="en-PH" w:eastAsia="en-PH"/>
              </w:rPr>
              <w:t>totalling</w:t>
            </w:r>
            <w:proofErr w:type="spellEnd"/>
            <w:r>
              <w:rPr>
                <w:rFonts w:ascii="Times New Roman" w:eastAsia="Times New Roman" w:hAnsi="Times New Roman" w:cs="Times New Roman"/>
                <w:lang w:val="en-PH" w:eastAsia="en-PH"/>
              </w:rPr>
              <w:t xml:space="preserve"> P424.1 million were not implementation–ready as at year </w:t>
            </w:r>
            <w:proofErr w:type="gramStart"/>
            <w:r>
              <w:rPr>
                <w:rFonts w:ascii="Times New Roman" w:eastAsia="Times New Roman" w:hAnsi="Times New Roman" w:cs="Times New Roman"/>
                <w:lang w:val="en-PH" w:eastAsia="en-PH"/>
              </w:rPr>
              <w:t xml:space="preserve">end,   </w:t>
            </w:r>
            <w:proofErr w:type="gramEnd"/>
            <w:r>
              <w:rPr>
                <w:rFonts w:ascii="Times New Roman" w:eastAsia="Times New Roman" w:hAnsi="Times New Roman" w:cs="Times New Roman"/>
                <w:lang w:val="en-PH" w:eastAsia="en-PH"/>
              </w:rPr>
              <w:t xml:space="preserve">hence denying the constituent for a possible benefit that they may derived on the programs/projects the soonest possible time. </w:t>
            </w:r>
          </w:p>
          <w:p>
            <w:pPr>
              <w:pStyle w:val="ListParagraph"/>
              <w:spacing w:after="0"/>
              <w:ind w:left="240"/>
              <w:jc w:val="both"/>
              <w:rPr>
                <w:rFonts w:ascii="Times New Roman" w:eastAsia="Times New Roman" w:hAnsi="Times New Roman" w:cs="Times New Roman"/>
                <w:lang w:val="en-PH" w:eastAsia="en-PH"/>
              </w:rPr>
            </w:pPr>
          </w:p>
        </w:tc>
        <w:tc>
          <w:tcPr>
            <w:tcW w:w="1146" w:type="pct"/>
          </w:tcPr>
          <w:p>
            <w:pPr>
              <w:spacing w:after="0"/>
              <w:jc w:val="both"/>
              <w:rPr>
                <w:rFonts w:ascii="Times New Roman" w:hAnsi="Times New Roman" w:cs="Times New Roman"/>
              </w:rPr>
            </w:pPr>
            <w:r>
              <w:rPr>
                <w:rFonts w:ascii="Times New Roman" w:hAnsi="Times New Roman" w:cs="Times New Roman"/>
              </w:rPr>
              <w:t xml:space="preserve">We recommended to direct the concerned offices to evaluate the causes of delay and to come up a solution in order to fast-track the implementation of the above PPAs. </w:t>
            </w:r>
          </w:p>
          <w:p>
            <w:pPr>
              <w:spacing w:after="0"/>
              <w:jc w:val="both"/>
              <w:rPr>
                <w:rFonts w:ascii="Times New Roman" w:hAnsi="Times New Roman" w:cs="Times New Roman"/>
              </w:rPr>
            </w:pPr>
          </w:p>
          <w:p>
            <w:pPr>
              <w:spacing w:after="0"/>
              <w:jc w:val="both"/>
              <w:rPr>
                <w:rFonts w:ascii="Times New Roman" w:hAnsi="Times New Roman" w:cs="Times New Roman"/>
              </w:rPr>
            </w:pPr>
            <w:r>
              <w:rPr>
                <w:rFonts w:ascii="Times New Roman" w:hAnsi="Times New Roman" w:cs="Times New Roman"/>
              </w:rPr>
              <w:t>Likewise, required them to submit a written explanation/evaluate of the causes of delay and their commitment to implement the projects in order to avoid the possible return of funds to the source agency.</w:t>
            </w:r>
          </w:p>
          <w:p>
            <w:pPr>
              <w:pStyle w:val="ListParagraph"/>
              <w:spacing w:after="0"/>
              <w:ind w:left="129"/>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 xml:space="preserve">Implemented </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tc>
        <w:tc>
          <w:tcPr>
            <w:tcW w:w="819" w:type="pct"/>
            <w:shd w:val="clear" w:color="auto" w:fill="auto"/>
          </w:tcPr>
          <w:p>
            <w:pPr>
              <w:spacing w:after="0"/>
              <w:jc w:val="both"/>
              <w:rPr>
                <w:rFonts w:ascii="Times New Roman" w:hAnsi="Times New Roman" w:cs="Times New Roman"/>
                <w:bCs/>
              </w:rPr>
            </w:pPr>
            <w:r>
              <w:rPr>
                <w:rFonts w:ascii="Times New Roman" w:eastAsia="Calibri" w:hAnsi="Times New Roman" w:cs="Times New Roman"/>
              </w:rPr>
              <w:t>Reiterated in CY 2022 thru AOM No. 23-023</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Non-preparation of inspection report by the inspectorate team on the defects and workmanship flaws in the implementation </w:t>
            </w:r>
            <w:proofErr w:type="gramStart"/>
            <w:r>
              <w:rPr>
                <w:rFonts w:ascii="Times New Roman" w:eastAsia="Times New Roman" w:hAnsi="Times New Roman" w:cs="Times New Roman"/>
                <w:lang w:val="en-PH" w:eastAsia="en-PH"/>
              </w:rPr>
              <w:lastRenderedPageBreak/>
              <w:t>of  five</w:t>
            </w:r>
            <w:proofErr w:type="gramEnd"/>
            <w:r>
              <w:rPr>
                <w:rFonts w:ascii="Times New Roman" w:eastAsia="Times New Roman" w:hAnsi="Times New Roman" w:cs="Times New Roman"/>
                <w:lang w:val="en-PH" w:eastAsia="en-PH"/>
              </w:rPr>
              <w:t xml:space="preserve"> (5) projects under 20% Development Fund  resulted in a possible loss or wastage of public funds and placing the local government unit in a bad light for the unsatisfactory work, if not rectified in due time.</w:t>
            </w:r>
          </w:p>
          <w:p>
            <w:pPr>
              <w:pStyle w:val="ListParagraph"/>
              <w:spacing w:after="0"/>
              <w:ind w:left="240"/>
              <w:jc w:val="both"/>
              <w:rPr>
                <w:rFonts w:ascii="Times New Roman" w:eastAsia="Times New Roman" w:hAnsi="Times New Roman" w:cs="Times New Roman"/>
                <w:lang w:val="en-PH" w:eastAsia="en-PH"/>
              </w:rPr>
            </w:pPr>
          </w:p>
        </w:tc>
        <w:tc>
          <w:tcPr>
            <w:tcW w:w="1146" w:type="pct"/>
          </w:tcPr>
          <w:p>
            <w:pPr>
              <w:spacing w:after="0"/>
              <w:jc w:val="both"/>
              <w:rPr>
                <w:rFonts w:ascii="Times New Roman" w:hAnsi="Times New Roman" w:cs="Times New Roman"/>
              </w:rPr>
            </w:pPr>
            <w:r>
              <w:rPr>
                <w:rFonts w:ascii="Times New Roman" w:hAnsi="Times New Roman" w:cs="Times New Roman"/>
              </w:rPr>
              <w:lastRenderedPageBreak/>
              <w:t>We recommended that the City Mayor directs:</w:t>
            </w:r>
          </w:p>
          <w:p>
            <w:pPr>
              <w:spacing w:after="0"/>
              <w:jc w:val="both"/>
              <w:rPr>
                <w:rFonts w:ascii="Times New Roman" w:hAnsi="Times New Roman" w:cs="Times New Roman"/>
              </w:rPr>
            </w:pPr>
          </w:p>
          <w:p>
            <w:pPr>
              <w:pStyle w:val="ListParagraph"/>
              <w:numPr>
                <w:ilvl w:val="0"/>
                <w:numId w:val="13"/>
              </w:numPr>
              <w:spacing w:after="0"/>
              <w:ind w:left="286" w:hanging="270"/>
              <w:jc w:val="both"/>
              <w:rPr>
                <w:rFonts w:ascii="Times New Roman" w:hAnsi="Times New Roman" w:cs="Times New Roman"/>
              </w:rPr>
            </w:pPr>
            <w:r>
              <w:rPr>
                <w:rFonts w:ascii="Times New Roman" w:hAnsi="Times New Roman" w:cs="Times New Roman"/>
              </w:rPr>
              <w:t xml:space="preserve">The City Engineer Office (CEO) to re-evaluate the </w:t>
            </w:r>
            <w:r>
              <w:rPr>
                <w:rFonts w:ascii="Times New Roman" w:hAnsi="Times New Roman" w:cs="Times New Roman"/>
              </w:rPr>
              <w:lastRenderedPageBreak/>
              <w:t>projects to determine the above defects that need to be repaired since these projects are within the warranty period.</w:t>
            </w:r>
          </w:p>
          <w:p>
            <w:pPr>
              <w:spacing w:after="0"/>
              <w:ind w:left="286" w:hanging="270"/>
              <w:jc w:val="both"/>
              <w:rPr>
                <w:rFonts w:ascii="Times New Roman" w:hAnsi="Times New Roman" w:cs="Times New Roman"/>
              </w:rPr>
            </w:pPr>
          </w:p>
          <w:p>
            <w:pPr>
              <w:pStyle w:val="ListParagraph"/>
              <w:numPr>
                <w:ilvl w:val="0"/>
                <w:numId w:val="13"/>
              </w:numPr>
              <w:spacing w:after="0"/>
              <w:ind w:left="286" w:hanging="270"/>
              <w:jc w:val="both"/>
              <w:rPr>
                <w:rFonts w:ascii="Times New Roman" w:hAnsi="Times New Roman" w:cs="Times New Roman"/>
              </w:rPr>
            </w:pPr>
            <w:r>
              <w:rPr>
                <w:rFonts w:ascii="Times New Roman" w:hAnsi="Times New Roman" w:cs="Times New Roman"/>
              </w:rPr>
              <w:t xml:space="preserve">Likewise, re-evaluate its system of   monitoring and supervision of the projects to ensure that the noted deficiencies or discrepancies will be avoided. </w:t>
            </w:r>
          </w:p>
          <w:p>
            <w:pPr>
              <w:spacing w:after="0"/>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eastAsia="Calibri" w:hAnsi="Times New Roman" w:cs="Times New Roman"/>
              </w:rPr>
            </w:pPr>
          </w:p>
          <w:p>
            <w:pPr>
              <w:spacing w:after="0"/>
              <w:jc w:val="both"/>
              <w:rPr>
                <w:rFonts w:ascii="Times New Roman" w:eastAsia="Calibri" w:hAnsi="Times New Roman" w:cs="Times New Roman"/>
              </w:rPr>
            </w:pPr>
          </w:p>
          <w:p>
            <w:pPr>
              <w:spacing w:after="0"/>
              <w:jc w:val="both"/>
              <w:rPr>
                <w:rFonts w:ascii="Times New Roman" w:eastAsia="Calibri" w:hAnsi="Times New Roman" w:cs="Times New Roman"/>
              </w:rPr>
            </w:pPr>
          </w:p>
          <w:p>
            <w:pPr>
              <w:spacing w:after="0"/>
              <w:jc w:val="both"/>
              <w:rPr>
                <w:rFonts w:ascii="Times New Roman" w:eastAsia="Calibri" w:hAnsi="Times New Roman" w:cs="Times New Roman"/>
              </w:rPr>
            </w:pPr>
            <w:r>
              <w:rPr>
                <w:rFonts w:ascii="Times New Roman" w:eastAsia="Calibri" w:hAnsi="Times New Roman" w:cs="Times New Roman"/>
              </w:rPr>
              <w:t xml:space="preserve">No documents were submitted to the </w:t>
            </w:r>
            <w:r>
              <w:rPr>
                <w:rFonts w:ascii="Times New Roman" w:eastAsia="Calibri" w:hAnsi="Times New Roman" w:cs="Times New Roman"/>
              </w:rPr>
              <w:lastRenderedPageBreak/>
              <w:t>Audit Team to support the implementation of the audit recommendation.</w:t>
            </w:r>
          </w:p>
          <w:p>
            <w:pPr>
              <w:spacing w:after="0"/>
              <w:jc w:val="both"/>
              <w:rPr>
                <w:rFonts w:ascii="Times New Roman" w:eastAsia="Calibri" w:hAnsi="Times New Roman" w:cs="Times New Roman"/>
                <w:bCs/>
              </w:rPr>
            </w:pPr>
          </w:p>
          <w:p>
            <w:pPr>
              <w:spacing w:after="0"/>
              <w:jc w:val="both"/>
              <w:rPr>
                <w:rFonts w:ascii="Times New Roman" w:hAnsi="Times New Roman" w:cs="Times New Roman"/>
                <w:bCs/>
              </w:rPr>
            </w:pPr>
            <w:r>
              <w:rPr>
                <w:rFonts w:ascii="Times New Roman" w:hAnsi="Times New Roman" w:cs="Times New Roman"/>
                <w:bCs/>
              </w:rPr>
              <w:t>There are still noted defects/ workmanship flaws in some of the projects inspected by the Audit Team</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Support Facilities &amp; Equipment for </w:t>
            </w:r>
            <w:proofErr w:type="spellStart"/>
            <w:r>
              <w:rPr>
                <w:rFonts w:ascii="Times New Roman" w:eastAsia="Times New Roman" w:hAnsi="Times New Roman" w:cs="Times New Roman"/>
                <w:lang w:val="en-PH" w:eastAsia="en-PH"/>
              </w:rPr>
              <w:t>Panabo</w:t>
            </w:r>
            <w:proofErr w:type="spellEnd"/>
            <w:r>
              <w:rPr>
                <w:rFonts w:ascii="Times New Roman" w:eastAsia="Times New Roman" w:hAnsi="Times New Roman" w:cs="Times New Roman"/>
                <w:lang w:val="en-PH" w:eastAsia="en-PH"/>
              </w:rPr>
              <w:t xml:space="preserve"> Public Safety Command Center under Local Disaster Risk Reduction Fund (LDRRMF) was found to have defects due to poor execution of projects thus resulting in possible wastage of government funds   and placing the local government unit in a bad light for the unsatisfactory </w:t>
            </w:r>
            <w:r>
              <w:rPr>
                <w:rFonts w:ascii="Times New Roman" w:eastAsia="Times New Roman" w:hAnsi="Times New Roman" w:cs="Times New Roman"/>
                <w:lang w:val="en-PH" w:eastAsia="en-PH"/>
              </w:rPr>
              <w:lastRenderedPageBreak/>
              <w:t>work, if not rectified in due time.</w:t>
            </w:r>
          </w:p>
          <w:p>
            <w:pPr>
              <w:pStyle w:val="ListParagraph"/>
              <w:spacing w:after="0"/>
              <w:ind w:left="240"/>
              <w:jc w:val="both"/>
              <w:rPr>
                <w:rFonts w:ascii="Times New Roman" w:eastAsia="Times New Roman" w:hAnsi="Times New Roman" w:cs="Times New Roman"/>
                <w:lang w:val="en-PH" w:eastAsia="en-PH"/>
              </w:rPr>
            </w:pPr>
          </w:p>
        </w:tc>
        <w:tc>
          <w:tcPr>
            <w:tcW w:w="1146" w:type="pct"/>
          </w:tcPr>
          <w:p>
            <w:pPr>
              <w:spacing w:after="0"/>
              <w:jc w:val="both"/>
              <w:rPr>
                <w:rFonts w:ascii="Times New Roman" w:hAnsi="Times New Roman" w:cs="Times New Roman"/>
              </w:rPr>
            </w:pPr>
            <w:r>
              <w:rPr>
                <w:rFonts w:ascii="Times New Roman" w:hAnsi="Times New Roman" w:cs="Times New Roman"/>
              </w:rPr>
              <w:lastRenderedPageBreak/>
              <w:t xml:space="preserve">We recommended that the City Mayor to direct the contractors to immediately rectify the defects found during inspection to prevent issuance of Notice of Disallowance. </w:t>
            </w:r>
          </w:p>
          <w:p>
            <w:pPr>
              <w:pStyle w:val="ListParagraph"/>
              <w:spacing w:after="0"/>
              <w:ind w:left="129"/>
              <w:jc w:val="both"/>
              <w:rPr>
                <w:rFonts w:ascii="Times New Roman" w:hAnsi="Times New Roman" w:cs="Times New Roman"/>
                <w:bCs/>
              </w:rPr>
            </w:pPr>
          </w:p>
        </w:tc>
        <w:tc>
          <w:tcPr>
            <w:tcW w:w="366" w:type="pct"/>
          </w:tcPr>
          <w:p>
            <w:pPr>
              <w:pStyle w:val="NoSpacing"/>
              <w:spacing w:line="276" w:lineRule="auto"/>
              <w:jc w:val="center"/>
              <w:rPr>
                <w:rFonts w:ascii="Times New Roman" w:hAnsi="Times New Roman"/>
              </w:rPr>
            </w:pPr>
            <w:r>
              <w:rPr>
                <w:rFonts w:ascii="Times New Roman" w:hAnsi="Times New Roman"/>
              </w:rPr>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hAnsi="Times New Roman" w:cs="Times New Roman"/>
                <w:bCs/>
              </w:rPr>
            </w:pPr>
            <w:r>
              <w:rPr>
                <w:rFonts w:ascii="Times New Roman" w:eastAsia="Calibri" w:hAnsi="Times New Roman" w:cs="Times New Roman"/>
              </w:rPr>
              <w:t>No documents were submitted to the Audit Team to support the implementation of the audit recommendation.</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Two (2) completed projects with an aggregate amount of P100.540 million were found to have defects due to poor execution of the projects, thus depriving the intended beneficiaries of the maximum use and full benefits that could have been derived therefrom.</w:t>
            </w:r>
          </w:p>
        </w:tc>
        <w:tc>
          <w:tcPr>
            <w:tcW w:w="1146" w:type="pct"/>
          </w:tcPr>
          <w:p>
            <w:pPr>
              <w:spacing w:after="0"/>
              <w:jc w:val="both"/>
              <w:rPr>
                <w:rFonts w:ascii="Times New Roman" w:hAnsi="Times New Roman" w:cs="Times New Roman"/>
              </w:rPr>
            </w:pPr>
            <w:r>
              <w:rPr>
                <w:rFonts w:ascii="Times New Roman" w:hAnsi="Times New Roman" w:cs="Times New Roman"/>
              </w:rPr>
              <w:t>We recommended the following:</w:t>
            </w:r>
          </w:p>
          <w:p>
            <w:pPr>
              <w:spacing w:after="0"/>
              <w:jc w:val="both"/>
              <w:rPr>
                <w:rFonts w:ascii="Times New Roman" w:hAnsi="Times New Roman" w:cs="Times New Roman"/>
              </w:rPr>
            </w:pPr>
          </w:p>
          <w:p>
            <w:pPr>
              <w:pStyle w:val="ListParagraph"/>
              <w:numPr>
                <w:ilvl w:val="0"/>
                <w:numId w:val="14"/>
              </w:numPr>
              <w:spacing w:after="0"/>
              <w:ind w:left="286" w:hanging="270"/>
              <w:jc w:val="both"/>
              <w:rPr>
                <w:rFonts w:ascii="Times New Roman" w:hAnsi="Times New Roman" w:cs="Times New Roman"/>
              </w:rPr>
            </w:pPr>
            <w:r>
              <w:rPr>
                <w:rFonts w:ascii="Times New Roman" w:hAnsi="Times New Roman" w:cs="Times New Roman"/>
              </w:rPr>
              <w:t>To direct the concerned contractors to immediately rectify or re-block the defects noted and implement all the portion that were not found and or install the lacking component of the projects revealed during the inspection to prevent issuance of Notice of Disallowance.</w:t>
            </w:r>
          </w:p>
          <w:p>
            <w:pPr>
              <w:pStyle w:val="ListParagraph"/>
              <w:spacing w:after="0"/>
              <w:ind w:left="286" w:hanging="270"/>
              <w:jc w:val="both"/>
              <w:rPr>
                <w:rFonts w:ascii="Times New Roman" w:hAnsi="Times New Roman" w:cs="Times New Roman"/>
              </w:rPr>
            </w:pPr>
          </w:p>
          <w:p>
            <w:pPr>
              <w:pStyle w:val="ListParagraph"/>
              <w:numPr>
                <w:ilvl w:val="0"/>
                <w:numId w:val="14"/>
              </w:numPr>
              <w:spacing w:after="0"/>
              <w:ind w:left="286" w:hanging="270"/>
              <w:jc w:val="both"/>
              <w:rPr>
                <w:rFonts w:ascii="Times New Roman" w:hAnsi="Times New Roman" w:cs="Times New Roman"/>
              </w:rPr>
            </w:pPr>
            <w:r>
              <w:rPr>
                <w:rFonts w:ascii="Times New Roman" w:hAnsi="Times New Roman" w:cs="Times New Roman"/>
              </w:rPr>
              <w:t xml:space="preserve">Likewise, direct the Office of the City Engineer (CEO) to intensify their monitoring, supervision and planning of all the projects implemented by the City of </w:t>
            </w:r>
            <w:proofErr w:type="spellStart"/>
            <w:r>
              <w:rPr>
                <w:rFonts w:ascii="Times New Roman" w:hAnsi="Times New Roman" w:cs="Times New Roman"/>
              </w:rPr>
              <w:t>Panabo</w:t>
            </w:r>
            <w:proofErr w:type="spellEnd"/>
            <w:r>
              <w:rPr>
                <w:rFonts w:ascii="Times New Roman" w:hAnsi="Times New Roman" w:cs="Times New Roman"/>
              </w:rPr>
              <w:t xml:space="preserve"> to avoid poor quality of projects outcome. </w:t>
            </w:r>
          </w:p>
        </w:tc>
        <w:tc>
          <w:tcPr>
            <w:tcW w:w="366" w:type="pct"/>
          </w:tcPr>
          <w:p>
            <w:pPr>
              <w:pStyle w:val="NoSpacing"/>
              <w:spacing w:line="276" w:lineRule="auto"/>
              <w:jc w:val="center"/>
              <w:rPr>
                <w:rFonts w:ascii="Times New Roman" w:hAnsi="Times New Roman"/>
              </w:rPr>
            </w:pPr>
            <w:r>
              <w:rPr>
                <w:rFonts w:ascii="Times New Roman" w:hAnsi="Times New Roman"/>
              </w:rPr>
              <w:t>AAR 2021</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eastAsia="Calibri" w:hAnsi="Times New Roman" w:cs="Times New Roman"/>
              </w:rPr>
            </w:pPr>
          </w:p>
          <w:p>
            <w:pPr>
              <w:spacing w:after="0"/>
              <w:jc w:val="both"/>
              <w:rPr>
                <w:rFonts w:ascii="Times New Roman" w:eastAsia="Calibri" w:hAnsi="Times New Roman" w:cs="Times New Roman"/>
              </w:rPr>
            </w:pPr>
          </w:p>
          <w:p>
            <w:pPr>
              <w:spacing w:after="0"/>
              <w:jc w:val="both"/>
              <w:rPr>
                <w:rFonts w:ascii="Times New Roman" w:eastAsia="Calibri" w:hAnsi="Times New Roman" w:cs="Times New Roman"/>
              </w:rPr>
            </w:pPr>
          </w:p>
          <w:p>
            <w:pPr>
              <w:spacing w:after="0"/>
              <w:jc w:val="both"/>
              <w:rPr>
                <w:rFonts w:ascii="Times New Roman" w:eastAsia="Calibri" w:hAnsi="Times New Roman" w:cs="Times New Roman"/>
              </w:rPr>
            </w:pPr>
            <w:r>
              <w:rPr>
                <w:rFonts w:ascii="Times New Roman" w:eastAsia="Calibri" w:hAnsi="Times New Roman" w:cs="Times New Roman"/>
              </w:rPr>
              <w:t xml:space="preserve">Only the documents on the repair of road rehabilitation from </w:t>
            </w:r>
            <w:proofErr w:type="spellStart"/>
            <w:r>
              <w:rPr>
                <w:rFonts w:ascii="Times New Roman" w:eastAsia="Calibri" w:hAnsi="Times New Roman" w:cs="Times New Roman"/>
              </w:rPr>
              <w:t>Manay</w:t>
            </w:r>
            <w:proofErr w:type="spellEnd"/>
            <w:r>
              <w:rPr>
                <w:rFonts w:ascii="Times New Roman" w:eastAsia="Calibri" w:hAnsi="Times New Roman" w:cs="Times New Roman"/>
              </w:rPr>
              <w:t xml:space="preserve"> to </w:t>
            </w:r>
            <w:proofErr w:type="spellStart"/>
            <w:r>
              <w:rPr>
                <w:rFonts w:ascii="Times New Roman" w:eastAsia="Calibri" w:hAnsi="Times New Roman" w:cs="Times New Roman"/>
              </w:rPr>
              <w:t>Dalisay</w:t>
            </w:r>
            <w:proofErr w:type="spellEnd"/>
            <w:r>
              <w:rPr>
                <w:rFonts w:ascii="Times New Roman" w:eastAsia="Calibri" w:hAnsi="Times New Roman" w:cs="Times New Roman"/>
              </w:rPr>
              <w:t xml:space="preserve"> was submitted</w:t>
            </w:r>
          </w:p>
          <w:p>
            <w:pPr>
              <w:spacing w:after="0"/>
              <w:jc w:val="both"/>
              <w:rPr>
                <w:rFonts w:ascii="Times New Roman" w:eastAsia="Calibri" w:hAnsi="Times New Roman" w:cs="Times New Roman"/>
                <w:bCs/>
              </w:rPr>
            </w:pPr>
          </w:p>
          <w:p>
            <w:pPr>
              <w:spacing w:after="0"/>
              <w:jc w:val="both"/>
              <w:rPr>
                <w:rFonts w:ascii="Times New Roman" w:eastAsia="Calibri" w:hAnsi="Times New Roman" w:cs="Times New Roman"/>
                <w:bCs/>
              </w:rPr>
            </w:pPr>
          </w:p>
          <w:p>
            <w:pPr>
              <w:spacing w:after="0"/>
              <w:jc w:val="both"/>
              <w:rPr>
                <w:rFonts w:ascii="Times New Roman" w:eastAsia="Calibri" w:hAnsi="Times New Roman" w:cs="Times New Roman"/>
                <w:bCs/>
              </w:rPr>
            </w:pPr>
          </w:p>
          <w:p>
            <w:pPr>
              <w:spacing w:after="0"/>
              <w:jc w:val="both"/>
              <w:rPr>
                <w:rFonts w:ascii="Times New Roman" w:eastAsia="Calibri" w:hAnsi="Times New Roman" w:cs="Times New Roman"/>
                <w:bCs/>
              </w:rPr>
            </w:pPr>
          </w:p>
          <w:p>
            <w:pPr>
              <w:spacing w:after="0"/>
              <w:jc w:val="both"/>
              <w:rPr>
                <w:rFonts w:ascii="Times New Roman" w:eastAsia="Calibri" w:hAnsi="Times New Roman" w:cs="Times New Roman"/>
                <w:bCs/>
              </w:rPr>
            </w:pPr>
          </w:p>
          <w:p>
            <w:pPr>
              <w:spacing w:after="0"/>
              <w:jc w:val="both"/>
              <w:rPr>
                <w:rFonts w:ascii="Times New Roman" w:eastAsia="Calibri" w:hAnsi="Times New Roman" w:cs="Times New Roman"/>
                <w:bCs/>
              </w:rPr>
            </w:pPr>
          </w:p>
          <w:p>
            <w:pPr>
              <w:spacing w:after="0"/>
              <w:jc w:val="both"/>
              <w:rPr>
                <w:rFonts w:ascii="Times New Roman" w:eastAsia="Calibri" w:hAnsi="Times New Roman" w:cs="Times New Roman"/>
                <w:bCs/>
              </w:rPr>
            </w:pPr>
          </w:p>
          <w:p>
            <w:pPr>
              <w:spacing w:after="0"/>
              <w:jc w:val="both"/>
              <w:rPr>
                <w:rFonts w:ascii="Times New Roman" w:eastAsia="Calibri" w:hAnsi="Times New Roman" w:cs="Times New Roman"/>
                <w:bCs/>
              </w:rPr>
            </w:pPr>
          </w:p>
          <w:p>
            <w:pPr>
              <w:spacing w:after="0"/>
              <w:jc w:val="both"/>
              <w:rPr>
                <w:rFonts w:ascii="Times New Roman" w:hAnsi="Times New Roman" w:cs="Times New Roman"/>
                <w:bCs/>
              </w:rPr>
            </w:pPr>
            <w:r>
              <w:rPr>
                <w:rFonts w:ascii="Times New Roman" w:eastAsia="Calibri" w:hAnsi="Times New Roman" w:cs="Times New Roman"/>
              </w:rPr>
              <w:t>No updates were provided nor were documents submitted to the Audit Team to support implementation of the audit recommendation.</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Internal controls on the release of cash assistance thru the Limited Financial Assistance Program is flawed due to unreliable documentation and validation procedure, thus the risk of possible loss or misuse of government funds.</w:t>
            </w:r>
          </w:p>
          <w:p>
            <w:pPr>
              <w:spacing w:after="0"/>
              <w:ind w:left="450"/>
              <w:jc w:val="both"/>
              <w:rPr>
                <w:rFonts w:ascii="Times New Roman" w:hAnsi="Times New Roman" w:cs="Times New Roman"/>
                <w:bCs/>
              </w:rPr>
            </w:pPr>
          </w:p>
        </w:tc>
        <w:tc>
          <w:tcPr>
            <w:tcW w:w="1146" w:type="pct"/>
          </w:tcPr>
          <w:p>
            <w:pPr>
              <w:pStyle w:val="ListParagraph"/>
              <w:spacing w:after="0"/>
              <w:ind w:left="129"/>
              <w:jc w:val="both"/>
              <w:rPr>
                <w:rFonts w:ascii="Times New Roman" w:hAnsi="Times New Roman" w:cs="Times New Roman"/>
                <w:bCs/>
              </w:rPr>
            </w:pPr>
            <w:r>
              <w:rPr>
                <w:rFonts w:ascii="Times New Roman" w:hAnsi="Times New Roman" w:cs="Times New Roman"/>
                <w:bCs/>
              </w:rPr>
              <w:t xml:space="preserve">We recommended the management to: </w:t>
            </w:r>
          </w:p>
          <w:p>
            <w:pPr>
              <w:spacing w:after="0"/>
              <w:jc w:val="both"/>
              <w:rPr>
                <w:rFonts w:ascii="Times New Roman" w:hAnsi="Times New Roman" w:cs="Times New Roman"/>
              </w:rPr>
            </w:pPr>
          </w:p>
          <w:p>
            <w:pPr>
              <w:pStyle w:val="ListParagraph"/>
              <w:numPr>
                <w:ilvl w:val="0"/>
                <w:numId w:val="4"/>
              </w:numPr>
              <w:spacing w:after="0"/>
              <w:ind w:left="270" w:hanging="283"/>
              <w:jc w:val="both"/>
              <w:rPr>
                <w:rFonts w:ascii="Times New Roman" w:hAnsi="Times New Roman" w:cs="Times New Roman"/>
                <w:bCs/>
              </w:rPr>
            </w:pPr>
            <w:r>
              <w:rPr>
                <w:rFonts w:ascii="Times New Roman" w:hAnsi="Times New Roman" w:cs="Times New Roman"/>
                <w:bCs/>
              </w:rPr>
              <w:t xml:space="preserve">craft guidelines that would aid in the assessment and evaluation prior to granting financial assistance; </w:t>
            </w:r>
          </w:p>
          <w:p>
            <w:pPr>
              <w:pStyle w:val="ListParagraph"/>
              <w:spacing w:after="0"/>
              <w:ind w:left="270"/>
              <w:jc w:val="both"/>
              <w:rPr>
                <w:rFonts w:ascii="Times New Roman" w:hAnsi="Times New Roman" w:cs="Times New Roman"/>
                <w:bCs/>
              </w:rPr>
            </w:pPr>
          </w:p>
          <w:p>
            <w:pPr>
              <w:pStyle w:val="ListParagraph"/>
              <w:numPr>
                <w:ilvl w:val="0"/>
                <w:numId w:val="4"/>
              </w:numPr>
              <w:spacing w:after="0"/>
              <w:ind w:left="270" w:hanging="283"/>
              <w:jc w:val="both"/>
              <w:rPr>
                <w:rFonts w:ascii="Times New Roman" w:hAnsi="Times New Roman" w:cs="Times New Roman"/>
              </w:rPr>
            </w:pPr>
            <w:r>
              <w:rPr>
                <w:rFonts w:ascii="Times New Roman" w:hAnsi="Times New Roman" w:cs="Times New Roman"/>
                <w:bCs/>
              </w:rPr>
              <w:t>provide clear and concrete basis on the computation of cash assistance to each qualified beneficiary.</w:t>
            </w:r>
          </w:p>
        </w:tc>
        <w:tc>
          <w:tcPr>
            <w:tcW w:w="366" w:type="pct"/>
          </w:tcPr>
          <w:p>
            <w:pPr>
              <w:pStyle w:val="NoSpacing"/>
              <w:spacing w:line="276" w:lineRule="auto"/>
              <w:jc w:val="center"/>
              <w:rPr>
                <w:rFonts w:ascii="Times New Roman" w:hAnsi="Times New Roman"/>
              </w:rPr>
            </w:pPr>
            <w:r>
              <w:rPr>
                <w:rFonts w:ascii="Times New Roman" w:hAnsi="Times New Roman"/>
              </w:rPr>
              <w:t>AAR 2020</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tc>
        <w:tc>
          <w:tcPr>
            <w:tcW w:w="819" w:type="pct"/>
            <w:shd w:val="clear" w:color="auto" w:fill="auto"/>
          </w:tcPr>
          <w:p>
            <w:pPr>
              <w:spacing w:after="0"/>
              <w:jc w:val="both"/>
              <w:rPr>
                <w:rFonts w:ascii="Times New Roman" w:hAnsi="Times New Roman" w:cs="Times New Roman"/>
              </w:rPr>
            </w:pPr>
            <w:r>
              <w:rPr>
                <w:rFonts w:ascii="Times New Roman" w:hAnsi="Times New Roman" w:cs="Times New Roman"/>
                <w:bCs/>
              </w:rPr>
              <w:t>No clear guidelines were created to provide guidance on proper assessment and evaluation as well as computation of each qualified beneficiary for the financial assistance.</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Fund transfers from National Government Agencies for projects already completed totaling P115,168.46 were not returned to its source agency, inconsistent with the prevailing policies on the accounting for Trust Funds. </w:t>
            </w:r>
          </w:p>
          <w:p>
            <w:pPr>
              <w:spacing w:after="0"/>
              <w:ind w:left="240" w:hanging="360"/>
              <w:jc w:val="both"/>
              <w:rPr>
                <w:rFonts w:ascii="Times New Roman" w:eastAsia="Times New Roman" w:hAnsi="Times New Roman" w:cs="Times New Roman"/>
                <w:lang w:val="en-PH" w:eastAsia="en-PH"/>
              </w:rPr>
            </w:pPr>
          </w:p>
        </w:tc>
        <w:tc>
          <w:tcPr>
            <w:tcW w:w="1146" w:type="pct"/>
          </w:tcPr>
          <w:p>
            <w:pPr>
              <w:pStyle w:val="ListParagraph"/>
              <w:spacing w:after="0"/>
              <w:ind w:left="0"/>
              <w:jc w:val="both"/>
              <w:rPr>
                <w:rFonts w:ascii="Times New Roman" w:hAnsi="Times New Roman" w:cs="Times New Roman"/>
                <w:bCs/>
              </w:rPr>
            </w:pPr>
            <w:r>
              <w:rPr>
                <w:rFonts w:ascii="Times New Roman" w:hAnsi="Times New Roman" w:cs="Times New Roman"/>
                <w:bCs/>
              </w:rPr>
              <w:t xml:space="preserve">We recommended that management formally inform the source agency of the unutilized fund totaling P115,168.46, and request if the said amount can be used to augment other priority projects of the City. If request is not granted, expedite the return of the unspent balance of FTs to the concerned source national agencies. </w:t>
            </w:r>
          </w:p>
          <w:p>
            <w:pPr>
              <w:spacing w:after="0"/>
              <w:jc w:val="both"/>
              <w:rPr>
                <w:rFonts w:ascii="Times New Roman" w:hAnsi="Times New Roman" w:cs="Times New Roman"/>
              </w:rPr>
            </w:pP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eastAsia="Times New Roman" w:hAnsi="Times New Roman"/>
                <w:color w:val="000000"/>
                <w:lang w:eastAsia="en-PH"/>
              </w:rPr>
              <w:t>AAR 2020</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eastAsia="Calibri" w:hAnsi="Times New Roman" w:cs="Times New Roman"/>
                <w:bCs/>
              </w:rPr>
              <w:t>Fully Implemented</w:t>
            </w:r>
          </w:p>
        </w:tc>
        <w:tc>
          <w:tcPr>
            <w:tcW w:w="819" w:type="pct"/>
            <w:shd w:val="clear" w:color="auto" w:fill="auto"/>
          </w:tcPr>
          <w:p>
            <w:pPr>
              <w:spacing w:after="0"/>
              <w:jc w:val="both"/>
              <w:rPr>
                <w:rFonts w:ascii="Times New Roman" w:hAnsi="Times New Roman" w:cs="Times New Roman"/>
              </w:rPr>
            </w:pPr>
            <w:r>
              <w:rPr>
                <w:rFonts w:ascii="Times New Roman" w:eastAsia="Calibri" w:hAnsi="Times New Roman" w:cs="Times New Roman"/>
              </w:rPr>
              <w:t>Reiterated/</w:t>
            </w:r>
            <w:proofErr w:type="gramStart"/>
            <w:r>
              <w:rPr>
                <w:rFonts w:ascii="Times New Roman" w:eastAsia="Calibri" w:hAnsi="Times New Roman" w:cs="Times New Roman"/>
              </w:rPr>
              <w:t>revised  in</w:t>
            </w:r>
            <w:proofErr w:type="gramEnd"/>
            <w:r>
              <w:rPr>
                <w:rFonts w:ascii="Times New Roman" w:eastAsia="Calibri" w:hAnsi="Times New Roman" w:cs="Times New Roman"/>
              </w:rPr>
              <w:t xml:space="preserve"> CY 2022 thru AOM No. 23-007</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Transparency and accountability measures for the accounting and reporting of in-kind donations received totaling P44.63 Million are flawed due to inadequate documentation and noted reportorial deficiencies, inconsistent to guidelines stipulated per COA Circular No. 2020-009.  </w:t>
            </w:r>
          </w:p>
          <w:p>
            <w:pPr>
              <w:pStyle w:val="ListParagraph"/>
              <w:spacing w:after="0"/>
              <w:ind w:left="240"/>
              <w:jc w:val="both"/>
              <w:rPr>
                <w:rFonts w:ascii="Times New Roman" w:hAnsi="Times New Roman" w:cs="Times New Roman"/>
                <w:bCs/>
              </w:rPr>
            </w:pPr>
          </w:p>
        </w:tc>
        <w:tc>
          <w:tcPr>
            <w:tcW w:w="1146" w:type="pct"/>
          </w:tcPr>
          <w:p>
            <w:pPr>
              <w:spacing w:after="0"/>
              <w:ind w:right="-7"/>
              <w:jc w:val="both"/>
              <w:rPr>
                <w:rFonts w:ascii="Times New Roman" w:hAnsi="Times New Roman" w:cs="Times New Roman"/>
                <w:bCs/>
              </w:rPr>
            </w:pPr>
            <w:r>
              <w:rPr>
                <w:rFonts w:ascii="Times New Roman" w:hAnsi="Times New Roman" w:cs="Times New Roman"/>
                <w:bCs/>
              </w:rPr>
              <w:t xml:space="preserve">We recommended that henceforth, the City Mayor require the City GSO to adequately document all receipts and distributions of donations in-kind during the quarantine period in accordance with COA Circular No. 2020-009. </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eastAsia="Times New Roman" w:hAnsi="Times New Roman"/>
                <w:color w:val="000000"/>
                <w:lang w:eastAsia="en-PH"/>
              </w:rPr>
              <w:t>AAR 2020</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eastAsia="Calibri" w:hAnsi="Times New Roman" w:cs="Times New Roman"/>
                <w:bCs/>
              </w:rPr>
            </w:pPr>
            <w:r>
              <w:rPr>
                <w:rFonts w:ascii="Times New Roman" w:eastAsia="Calibri" w:hAnsi="Times New Roman" w:cs="Times New Roman"/>
                <w:bCs/>
              </w:rPr>
              <w:t>Fully</w:t>
            </w:r>
          </w:p>
          <w:p>
            <w:pPr>
              <w:spacing w:after="0"/>
              <w:jc w:val="center"/>
              <w:rPr>
                <w:rFonts w:ascii="Times New Roman" w:hAnsi="Times New Roman" w:cs="Times New Roman"/>
              </w:rPr>
            </w:pPr>
            <w:r>
              <w:rPr>
                <w:rFonts w:ascii="Times New Roman" w:eastAsia="Calibri" w:hAnsi="Times New Roman" w:cs="Times New Roman"/>
                <w:bCs/>
              </w:rPr>
              <w:t>Implemented</w:t>
            </w:r>
          </w:p>
        </w:tc>
        <w:tc>
          <w:tcPr>
            <w:tcW w:w="819" w:type="pct"/>
            <w:shd w:val="clear" w:color="auto" w:fill="auto"/>
          </w:tcPr>
          <w:p>
            <w:pPr>
              <w:spacing w:after="0"/>
              <w:contextualSpacing/>
              <w:jc w:val="both"/>
              <w:rPr>
                <w:rFonts w:ascii="Times New Roman" w:eastAsia="Calibri" w:hAnsi="Times New Roman" w:cs="Times New Roman"/>
              </w:rPr>
            </w:pPr>
            <w:r>
              <w:rPr>
                <w:rFonts w:ascii="Times New Roman" w:eastAsia="Calibri" w:hAnsi="Times New Roman" w:cs="Times New Roman"/>
              </w:rPr>
              <w:t>Reiterated/revised in CY 2022 thru AOM No. 23-020</w:t>
            </w:r>
          </w:p>
          <w:p>
            <w:pPr>
              <w:spacing w:after="0"/>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The grant of COVID 19 Hazard Pay was tainted with irregularities because of: a) various personnel granted with benefit despite the lack of authority to physically report for duty; b) non-adherence to precautionary measures established by LGU in protecting the veracity of manual DTR entries; and c) falsification of documents to unjustly claim additional hazard pay, </w:t>
            </w:r>
            <w:r>
              <w:rPr>
                <w:rFonts w:ascii="Times New Roman" w:eastAsia="Times New Roman" w:hAnsi="Times New Roman" w:cs="Times New Roman"/>
                <w:lang w:val="en-PH" w:eastAsia="en-PH"/>
              </w:rPr>
              <w:lastRenderedPageBreak/>
              <w:t>in contravention to the guidelines enumerated per DBM Budget Circular No. 2020-1.</w:t>
            </w:r>
          </w:p>
          <w:p>
            <w:pPr>
              <w:spacing w:after="0"/>
              <w:ind w:left="450" w:firstLine="720"/>
              <w:jc w:val="both"/>
              <w:rPr>
                <w:rFonts w:ascii="Times New Roman" w:hAnsi="Times New Roman" w:cs="Times New Roman"/>
                <w:bCs/>
              </w:rPr>
            </w:pPr>
          </w:p>
        </w:tc>
        <w:tc>
          <w:tcPr>
            <w:tcW w:w="1146" w:type="pct"/>
          </w:tcPr>
          <w:p>
            <w:pPr>
              <w:tabs>
                <w:tab w:val="left" w:pos="-297"/>
              </w:tabs>
              <w:spacing w:after="0"/>
              <w:jc w:val="both"/>
              <w:rPr>
                <w:rFonts w:ascii="Times New Roman" w:eastAsia="Calibri" w:hAnsi="Times New Roman" w:cs="Times New Roman"/>
                <w:bCs/>
              </w:rPr>
            </w:pPr>
            <w:r>
              <w:rPr>
                <w:rFonts w:ascii="Times New Roman" w:eastAsia="Calibri" w:hAnsi="Times New Roman" w:cs="Times New Roman"/>
                <w:bCs/>
              </w:rPr>
              <w:lastRenderedPageBreak/>
              <w:t xml:space="preserve">We recommended and management agreed to: </w:t>
            </w:r>
          </w:p>
          <w:p>
            <w:pPr>
              <w:pStyle w:val="ListParagraph"/>
              <w:numPr>
                <w:ilvl w:val="0"/>
                <w:numId w:val="5"/>
              </w:numPr>
              <w:tabs>
                <w:tab w:val="left" w:pos="-297"/>
              </w:tabs>
              <w:spacing w:after="0"/>
              <w:ind w:left="270" w:hanging="297"/>
              <w:jc w:val="both"/>
              <w:rPr>
                <w:rFonts w:ascii="Times New Roman" w:hAnsi="Times New Roman" w:cs="Times New Roman"/>
                <w:bCs/>
              </w:rPr>
            </w:pPr>
            <w:r>
              <w:rPr>
                <w:rFonts w:ascii="Times New Roman" w:hAnsi="Times New Roman" w:cs="Times New Roman"/>
                <w:bCs/>
              </w:rPr>
              <w:t>ensure that supporting documents are complete prior to granting benefits to personnel; and find balance between efficiency of government operations and embedding health protocols for the safety of personnel</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eastAsia="Times New Roman" w:hAnsi="Times New Roman"/>
                <w:color w:val="000000"/>
                <w:lang w:eastAsia="en-PH"/>
              </w:rPr>
              <w:t>AAR 2020</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 Implemented</w:t>
            </w:r>
          </w:p>
        </w:tc>
        <w:tc>
          <w:tcPr>
            <w:tcW w:w="819" w:type="pct"/>
            <w:shd w:val="clear" w:color="auto" w:fill="auto"/>
          </w:tcPr>
          <w:p>
            <w:pPr>
              <w:spacing w:after="0"/>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hAnsi="Times New Roman" w:cs="Times New Roman"/>
                <w:bCs/>
              </w:rPr>
            </w:pPr>
            <w:r>
              <w:rPr>
                <w:rFonts w:ascii="Times New Roman" w:eastAsia="Times New Roman" w:hAnsi="Times New Roman" w:cs="Times New Roman"/>
                <w:lang w:val="en-PH" w:eastAsia="en-PH"/>
              </w:rPr>
              <w:t>Documentary requirements prescribed by procurement guidelines during the state of public health emergency were not properly validated, casting doubt on the regularity and propriety of the process conducted for the procurement of goods totaling P21.478 Million.</w:t>
            </w:r>
          </w:p>
          <w:p>
            <w:pPr>
              <w:pStyle w:val="ListParagraph"/>
              <w:spacing w:after="0"/>
              <w:ind w:left="240"/>
              <w:jc w:val="both"/>
              <w:rPr>
                <w:rFonts w:ascii="Times New Roman" w:hAnsi="Times New Roman" w:cs="Times New Roman"/>
                <w:bCs/>
              </w:rPr>
            </w:pPr>
          </w:p>
        </w:tc>
        <w:tc>
          <w:tcPr>
            <w:tcW w:w="1146" w:type="pct"/>
          </w:tcPr>
          <w:p>
            <w:pPr>
              <w:spacing w:after="0"/>
              <w:ind w:right="-7"/>
              <w:jc w:val="both"/>
              <w:rPr>
                <w:rFonts w:ascii="Times New Roman" w:hAnsi="Times New Roman" w:cs="Times New Roman"/>
                <w:bCs/>
              </w:rPr>
            </w:pPr>
            <w:r>
              <w:rPr>
                <w:rFonts w:ascii="Times New Roman" w:hAnsi="Times New Roman" w:cs="Times New Roman"/>
                <w:bCs/>
              </w:rPr>
              <w:t xml:space="preserve">We recommended that the Bids and Awards Committee (BAC) enhance their verification and validation process to ensure strict compliance with GPPB guidelines for emergency procurement. </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t>AAR 2020</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hAnsi="Times New Roman" w:cs="Times New Roman"/>
              </w:rPr>
            </w:pPr>
            <w:r>
              <w:rPr>
                <w:rFonts w:ascii="Times New Roman" w:eastAsia="Calibri" w:hAnsi="Times New Roman" w:cs="Times New Roman"/>
              </w:rPr>
              <w:t>No updates were provided nor were documents submitted to the Audit Team to support implementation of the audit recommendation.</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The Approved Budget for the Contract (ABC) of P9.987 Million and the P9.982 Million Contract Cost of the project - Concreting of Road – Barangay Katipunan to Barangay Cacao Phase 2 (Re-bid) are deemed irregular due to – a) non-provision of gravel </w:t>
            </w:r>
            <w:r>
              <w:rPr>
                <w:rFonts w:ascii="Times New Roman" w:eastAsia="Times New Roman" w:hAnsi="Times New Roman" w:cs="Times New Roman"/>
                <w:lang w:val="en-PH" w:eastAsia="en-PH"/>
              </w:rPr>
              <w:lastRenderedPageBreak/>
              <w:t xml:space="preserve">shoulders affecting the road service </w:t>
            </w:r>
            <w:proofErr w:type="gramStart"/>
            <w:r>
              <w:rPr>
                <w:rFonts w:ascii="Times New Roman" w:eastAsia="Times New Roman" w:hAnsi="Times New Roman" w:cs="Times New Roman"/>
                <w:lang w:val="en-PH" w:eastAsia="en-PH"/>
              </w:rPr>
              <w:t>life;  and</w:t>
            </w:r>
            <w:proofErr w:type="gramEnd"/>
            <w:r>
              <w:rPr>
                <w:rFonts w:ascii="Times New Roman" w:eastAsia="Times New Roman" w:hAnsi="Times New Roman" w:cs="Times New Roman"/>
                <w:lang w:val="en-PH" w:eastAsia="en-PH"/>
              </w:rPr>
              <w:t xml:space="preserve"> b) absence of adopted references in preparing the ABC resulting in contract cost overrun amounting to P1.122 Million.</w:t>
            </w:r>
          </w:p>
          <w:p>
            <w:pPr>
              <w:pStyle w:val="ListParagraph"/>
              <w:spacing w:after="0"/>
              <w:ind w:left="240"/>
              <w:jc w:val="both"/>
              <w:rPr>
                <w:rFonts w:ascii="Times New Roman" w:hAnsi="Times New Roman" w:cs="Times New Roman"/>
              </w:rPr>
            </w:pPr>
          </w:p>
        </w:tc>
        <w:tc>
          <w:tcPr>
            <w:tcW w:w="1146" w:type="pct"/>
          </w:tcPr>
          <w:p>
            <w:pPr>
              <w:pStyle w:val="ListParagraph"/>
              <w:spacing w:after="0"/>
              <w:ind w:left="0"/>
              <w:jc w:val="both"/>
              <w:rPr>
                <w:rFonts w:ascii="Times New Roman" w:hAnsi="Times New Roman" w:cs="Times New Roman"/>
                <w:bCs/>
              </w:rPr>
            </w:pPr>
            <w:r>
              <w:rPr>
                <w:rFonts w:ascii="Times New Roman" w:hAnsi="Times New Roman" w:cs="Times New Roman"/>
                <w:bCs/>
              </w:rPr>
              <w:lastRenderedPageBreak/>
              <w:t xml:space="preserve">We recommended that the City management ensure that program of </w:t>
            </w:r>
            <w:proofErr w:type="gramStart"/>
            <w:r>
              <w:rPr>
                <w:rFonts w:ascii="Times New Roman" w:hAnsi="Times New Roman" w:cs="Times New Roman"/>
                <w:bCs/>
              </w:rPr>
              <w:t>works  are</w:t>
            </w:r>
            <w:proofErr w:type="gramEnd"/>
            <w:r>
              <w:rPr>
                <w:rFonts w:ascii="Times New Roman" w:hAnsi="Times New Roman" w:cs="Times New Roman"/>
                <w:bCs/>
              </w:rPr>
              <w:t xml:space="preserve"> prepared optimizing the expected service life of the project, and should use the updated references in the preparation and computation of the ABC, with a Resolution indicating therein the references to be used and adopted in preparing the ABC.  </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2020</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 Implemented</w:t>
            </w:r>
          </w:p>
        </w:tc>
        <w:tc>
          <w:tcPr>
            <w:tcW w:w="819" w:type="pct"/>
            <w:shd w:val="clear" w:color="auto" w:fill="auto"/>
          </w:tcPr>
          <w:p>
            <w:pPr>
              <w:spacing w:after="0"/>
              <w:contextualSpacing/>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Guidelines in the implementation of the Social Amelioration Program - Emergency Subsidy Program (SAP-ESP) were not properly observed resulting in excessive budget allocation and delayed distribution of cash aid, thereby defeating its purpose of immediately providing emergency subsidy to low-income households.</w:t>
            </w:r>
          </w:p>
          <w:p>
            <w:pPr>
              <w:spacing w:after="0"/>
              <w:jc w:val="both"/>
              <w:rPr>
                <w:rFonts w:ascii="Times New Roman" w:hAnsi="Times New Roman" w:cs="Times New Roman"/>
                <w:bCs/>
              </w:rPr>
            </w:pPr>
          </w:p>
        </w:tc>
        <w:tc>
          <w:tcPr>
            <w:tcW w:w="1146" w:type="pct"/>
          </w:tcPr>
          <w:p>
            <w:pPr>
              <w:pStyle w:val="NoSpacing"/>
              <w:spacing w:line="276" w:lineRule="auto"/>
              <w:ind w:right="91"/>
              <w:jc w:val="both"/>
              <w:rPr>
                <w:rFonts w:ascii="Times New Roman" w:hAnsi="Times New Roman"/>
                <w:bCs/>
                <w:color w:val="222222"/>
              </w:rPr>
            </w:pPr>
            <w:r>
              <w:rPr>
                <w:rFonts w:ascii="Times New Roman" w:hAnsi="Times New Roman"/>
                <w:bCs/>
                <w:color w:val="222222"/>
              </w:rPr>
              <w:t>We recommended that management:</w:t>
            </w:r>
          </w:p>
          <w:p>
            <w:pPr>
              <w:pStyle w:val="NoSpacing"/>
              <w:spacing w:line="276" w:lineRule="auto"/>
              <w:ind w:right="91"/>
              <w:jc w:val="both"/>
              <w:rPr>
                <w:rFonts w:ascii="Times New Roman" w:hAnsi="Times New Roman"/>
                <w:bCs/>
                <w:color w:val="222222"/>
              </w:rPr>
            </w:pPr>
          </w:p>
          <w:p>
            <w:pPr>
              <w:pStyle w:val="NoSpacing"/>
              <w:numPr>
                <w:ilvl w:val="0"/>
                <w:numId w:val="6"/>
              </w:numPr>
              <w:spacing w:line="276" w:lineRule="auto"/>
              <w:ind w:left="273" w:right="90" w:hanging="283"/>
              <w:jc w:val="both"/>
              <w:rPr>
                <w:rFonts w:ascii="Times New Roman" w:hAnsi="Times New Roman"/>
                <w:bCs/>
                <w:color w:val="222222"/>
              </w:rPr>
            </w:pPr>
            <w:r>
              <w:rPr>
                <w:rFonts w:ascii="Times New Roman" w:hAnsi="Times New Roman"/>
                <w:bCs/>
                <w:color w:val="222222"/>
              </w:rPr>
              <w:t xml:space="preserve">maintain an updated database of </w:t>
            </w:r>
            <w:proofErr w:type="spellStart"/>
            <w:r>
              <w:rPr>
                <w:rFonts w:ascii="Times New Roman" w:hAnsi="Times New Roman"/>
                <w:bCs/>
                <w:color w:val="222222"/>
              </w:rPr>
              <w:t>Panabo</w:t>
            </w:r>
            <w:proofErr w:type="spellEnd"/>
            <w:r>
              <w:rPr>
                <w:rFonts w:ascii="Times New Roman" w:hAnsi="Times New Roman"/>
                <w:bCs/>
                <w:color w:val="222222"/>
              </w:rPr>
              <w:t xml:space="preserve"> City residents to ensure that the basis of budget preparation is accurate and complete; and to aid in the validation and verification process needed for financial aid programs;</w:t>
            </w:r>
          </w:p>
          <w:p>
            <w:pPr>
              <w:pStyle w:val="NoSpacing"/>
              <w:numPr>
                <w:ilvl w:val="0"/>
                <w:numId w:val="6"/>
              </w:numPr>
              <w:spacing w:line="276" w:lineRule="auto"/>
              <w:ind w:left="273" w:right="90" w:hanging="283"/>
              <w:jc w:val="both"/>
              <w:rPr>
                <w:rFonts w:ascii="Times New Roman" w:hAnsi="Times New Roman"/>
                <w:bCs/>
                <w:color w:val="222222"/>
              </w:rPr>
            </w:pPr>
            <w:r>
              <w:rPr>
                <w:rFonts w:ascii="Times New Roman" w:hAnsi="Times New Roman"/>
                <w:bCs/>
                <w:color w:val="222222"/>
              </w:rPr>
              <w:t>address the adequacy of manpower during program implementation to expedite the delivery of social services to its constituents; and</w:t>
            </w:r>
          </w:p>
          <w:p>
            <w:pPr>
              <w:pStyle w:val="NoSpacing"/>
              <w:spacing w:line="276" w:lineRule="auto"/>
              <w:ind w:right="90"/>
              <w:jc w:val="both"/>
              <w:rPr>
                <w:rFonts w:ascii="Times New Roman" w:hAnsi="Times New Roman"/>
                <w:bCs/>
                <w:color w:val="222222"/>
              </w:rPr>
            </w:pPr>
          </w:p>
          <w:p>
            <w:pPr>
              <w:pStyle w:val="NoSpacing"/>
              <w:numPr>
                <w:ilvl w:val="0"/>
                <w:numId w:val="6"/>
              </w:numPr>
              <w:tabs>
                <w:tab w:val="left" w:pos="0"/>
                <w:tab w:val="left" w:pos="720"/>
              </w:tabs>
              <w:spacing w:line="276" w:lineRule="auto"/>
              <w:ind w:left="273" w:right="90" w:hanging="283"/>
              <w:jc w:val="both"/>
              <w:rPr>
                <w:rFonts w:ascii="Times New Roman" w:hAnsi="Times New Roman"/>
                <w:bCs/>
              </w:rPr>
            </w:pPr>
            <w:r>
              <w:rPr>
                <w:rFonts w:ascii="Times New Roman" w:hAnsi="Times New Roman"/>
                <w:bCs/>
                <w:color w:val="222222"/>
              </w:rPr>
              <w:lastRenderedPageBreak/>
              <w:t xml:space="preserve">strengthen its internal controls on special cash advances, to ensure that utilization and corresponding liquidation are in accord to prescribed guidelines.  </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2020</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lastRenderedPageBreak/>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tc>
        <w:tc>
          <w:tcPr>
            <w:tcW w:w="819" w:type="pct"/>
            <w:shd w:val="clear" w:color="auto" w:fill="auto"/>
          </w:tcPr>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contextualSpacing/>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Database was not yet updated</w:t>
            </w: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No documents submitted to COA to ascertain that additional safeguard and/or protocol was introduced to strengthen the grant and utilization of cash advance.</w:t>
            </w:r>
          </w:p>
          <w:p>
            <w:pPr>
              <w:spacing w:after="0"/>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Lapses in the conduct of verification and validation process of SAP-ESP beneficiaries resulted in an unreliable database, such as the existence of duplicate entries, inappropriate support documents, and inclusion of unqualified beneficiaries, thereby defeating the purpose of the program on granting immediate relief to targeted beneficiaries greatly affected by the pandemic. </w:t>
            </w:r>
          </w:p>
          <w:p>
            <w:pPr>
              <w:spacing w:after="0"/>
              <w:ind w:left="450"/>
              <w:jc w:val="both"/>
              <w:rPr>
                <w:rFonts w:ascii="Times New Roman" w:hAnsi="Times New Roman" w:cs="Times New Roman"/>
                <w:bCs/>
              </w:rPr>
            </w:pPr>
          </w:p>
        </w:tc>
        <w:tc>
          <w:tcPr>
            <w:tcW w:w="1146" w:type="pct"/>
          </w:tcPr>
          <w:p>
            <w:pPr>
              <w:spacing w:after="0"/>
              <w:jc w:val="both"/>
              <w:rPr>
                <w:rFonts w:ascii="Times New Roman" w:hAnsi="Times New Roman" w:cs="Times New Roman"/>
                <w:bCs/>
              </w:rPr>
            </w:pPr>
            <w:r>
              <w:rPr>
                <w:rFonts w:ascii="Times New Roman" w:hAnsi="Times New Roman" w:cs="Times New Roman"/>
                <w:bCs/>
              </w:rPr>
              <w:t>We recommended and the management agreed that the City Human Resource Management Office (CHMO) verify the inclusion of LGU personnel as the recipient of SAP cash subsidy, and require the immediate refund of the total cash aid of P234,000.00.</w:t>
            </w:r>
          </w:p>
          <w:p>
            <w:pPr>
              <w:spacing w:after="0"/>
              <w:jc w:val="both"/>
              <w:rPr>
                <w:rFonts w:ascii="Times New Roman" w:hAnsi="Times New Roman" w:cs="Times New Roman"/>
                <w:bCs/>
              </w:rPr>
            </w:pPr>
          </w:p>
          <w:p>
            <w:pPr>
              <w:spacing w:after="0"/>
              <w:jc w:val="both"/>
              <w:rPr>
                <w:rFonts w:ascii="Times New Roman" w:hAnsi="Times New Roman" w:cs="Times New Roman"/>
                <w:bCs/>
                <w:color w:val="222222"/>
              </w:rPr>
            </w:pPr>
            <w:r>
              <w:rPr>
                <w:rFonts w:ascii="Times New Roman" w:hAnsi="Times New Roman" w:cs="Times New Roman"/>
                <w:bCs/>
              </w:rPr>
              <w:t xml:space="preserve">Review the current database of constituents, in coordination with the respective barangay officials, to update the information of those already profiled and those who are not yet included in the database, in </w:t>
            </w:r>
            <w:r>
              <w:rPr>
                <w:rFonts w:ascii="Times New Roman" w:hAnsi="Times New Roman" w:cs="Times New Roman"/>
                <w:bCs/>
              </w:rPr>
              <w:lastRenderedPageBreak/>
              <w:t xml:space="preserve">order to come up with an accurate database and facilitate easy </w:t>
            </w:r>
            <w:r>
              <w:rPr>
                <w:rFonts w:ascii="Times New Roman" w:hAnsi="Times New Roman" w:cs="Times New Roman"/>
                <w:bCs/>
                <w:color w:val="222222"/>
              </w:rPr>
              <w:t>identification/ affirmation of targeted beneficiaries for future relief programs.</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2020</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tc>
        <w:tc>
          <w:tcPr>
            <w:tcW w:w="819" w:type="pct"/>
            <w:shd w:val="clear" w:color="auto" w:fill="auto"/>
          </w:tcPr>
          <w:p>
            <w:pPr>
              <w:spacing w:after="0"/>
              <w:contextualSpacing/>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Only one recipient refunded his received SAP subsidy as evidenced by OR no. 0325035 as of 12/31/21. For CY 2022, the Audit Team has not received any updates from CHRMO</w:t>
            </w:r>
          </w:p>
          <w:p>
            <w:pPr>
              <w:spacing w:after="0"/>
              <w:jc w:val="both"/>
              <w:rPr>
                <w:rFonts w:ascii="Times New Roman" w:hAnsi="Times New Roman" w:cs="Times New Roman"/>
              </w:rPr>
            </w:pPr>
            <w:r>
              <w:rPr>
                <w:rFonts w:ascii="Times New Roman" w:hAnsi="Times New Roman" w:cs="Times New Roman"/>
              </w:rPr>
              <w:t>Database is not yet updated</w:t>
            </w:r>
          </w:p>
          <w:p>
            <w:pPr>
              <w:spacing w:after="0"/>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Lapses in management’s assessment of existing conditions and events resulted in non-cancellation of procurement of goods and supplies amounting to P1.68 Million for the CY2020 Davao Regional Athletic Meet, rendering it as unnecessary expenditures per COA Circular No. 2012-003 dated October 29, 2012 due to the indefinite suspension of said sports event, thus possible wastage of government funds.</w:t>
            </w:r>
          </w:p>
          <w:p>
            <w:pPr>
              <w:spacing w:after="0"/>
              <w:ind w:left="450"/>
              <w:jc w:val="both"/>
              <w:rPr>
                <w:rFonts w:ascii="Times New Roman" w:hAnsi="Times New Roman" w:cs="Times New Roman"/>
                <w:bCs/>
              </w:rPr>
            </w:pPr>
          </w:p>
        </w:tc>
        <w:tc>
          <w:tcPr>
            <w:tcW w:w="1146" w:type="pct"/>
          </w:tcPr>
          <w:p>
            <w:pPr>
              <w:pStyle w:val="ListParagraph"/>
              <w:spacing w:after="0"/>
              <w:ind w:left="0"/>
              <w:jc w:val="both"/>
              <w:rPr>
                <w:rFonts w:ascii="Times New Roman" w:hAnsi="Times New Roman" w:cs="Times New Roman"/>
                <w:bCs/>
              </w:rPr>
            </w:pPr>
            <w:r>
              <w:rPr>
                <w:rFonts w:ascii="Times New Roman" w:hAnsi="Times New Roman" w:cs="Times New Roman"/>
                <w:bCs/>
              </w:rPr>
              <w:t>We recommended that prudence is to be exercised in assessing procurement of goods and services when existing or probable conditions will have an impact on its necessity and practicability, and to be guided with Item IV (B), Annex “I” of the 2016 Revised IRR on R.A. 9184.</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t>AAR 2020</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tc>
        <w:tc>
          <w:tcPr>
            <w:tcW w:w="819" w:type="pct"/>
            <w:shd w:val="clear" w:color="auto" w:fill="auto"/>
          </w:tcPr>
          <w:p>
            <w:pPr>
              <w:spacing w:after="0"/>
              <w:contextualSpacing/>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Long outstanding cash advances totaling P</w:t>
            </w:r>
            <w:r>
              <w:rPr>
                <w:rFonts w:ascii="Times New Roman" w:eastAsia="Times New Roman" w:hAnsi="Times New Roman" w:cs="Times New Roman"/>
                <w:color w:val="000000"/>
                <w:lang w:val="en-PH" w:eastAsia="en-PH"/>
              </w:rPr>
              <w:t xml:space="preserve">792,403.05 that are deemed dormant </w:t>
            </w:r>
            <w:r>
              <w:rPr>
                <w:rFonts w:ascii="Times New Roman" w:eastAsia="Times New Roman" w:hAnsi="Times New Roman" w:cs="Times New Roman"/>
                <w:lang w:val="en-PH" w:eastAsia="en-PH"/>
              </w:rPr>
              <w:t xml:space="preserve">are still </w:t>
            </w:r>
            <w:r>
              <w:rPr>
                <w:rFonts w:ascii="Times New Roman" w:eastAsia="Times New Roman" w:hAnsi="Times New Roman" w:cs="Times New Roman"/>
                <w:lang w:val="en-PH" w:eastAsia="en-PH"/>
              </w:rPr>
              <w:lastRenderedPageBreak/>
              <w:t>recorded in the books of accounts, manifesting lapses in management’s policy on enforcing full liquidation of all cash advances granted.</w:t>
            </w:r>
          </w:p>
          <w:p>
            <w:pPr>
              <w:spacing w:after="0"/>
              <w:ind w:left="450"/>
              <w:jc w:val="both"/>
              <w:rPr>
                <w:rFonts w:ascii="Times New Roman" w:hAnsi="Times New Roman" w:cs="Times New Roman"/>
                <w:bCs/>
              </w:rPr>
            </w:pP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We recommended that the CAO conduct a thorough review and evaluation of the outstanding cash advances and </w:t>
            </w:r>
            <w:r>
              <w:rPr>
                <w:rFonts w:ascii="Times New Roman" w:eastAsia="Times New Roman" w:hAnsi="Times New Roman" w:cs="Times New Roman"/>
                <w:lang w:val="en-PH" w:eastAsia="en-PH"/>
              </w:rPr>
              <w:lastRenderedPageBreak/>
              <w:t>comply with all the documentary requirements and procedures under COA Circular 2016-006 for the request for write-off of dormant accounts and the disclosure thereof.</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2019</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hAnsi="Times New Roman" w:cs="Times New Roman"/>
              </w:rPr>
            </w:pPr>
            <w:r>
              <w:rPr>
                <w:rFonts w:ascii="Times New Roman" w:eastAsia="Times New Roman" w:hAnsi="Times New Roman" w:cs="Times New Roman"/>
                <w:lang w:val="en-PH" w:eastAsia="en-PH"/>
              </w:rPr>
              <w:t xml:space="preserve">Dormant cash advances were requested for write-off but were returned </w:t>
            </w:r>
            <w:r>
              <w:rPr>
                <w:rFonts w:ascii="Times New Roman" w:eastAsia="Times New Roman" w:hAnsi="Times New Roman" w:cs="Times New Roman"/>
                <w:lang w:val="en-PH" w:eastAsia="en-PH"/>
              </w:rPr>
              <w:lastRenderedPageBreak/>
              <w:t>due to lacking documentary requirements. As of December 31, 2022, the request has not yet been re-filed.</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Deficiencies in maintenance of cashbooks, and delay in the reconciliation of cash in bank balances, denote lapses on the established internal controls on cash management, thereby exposes public funds to risk of loss or misuse.</w:t>
            </w:r>
          </w:p>
          <w:p>
            <w:pPr>
              <w:spacing w:after="0"/>
              <w:ind w:left="450"/>
              <w:jc w:val="both"/>
              <w:rPr>
                <w:rFonts w:ascii="Times New Roman" w:hAnsi="Times New Roman" w:cs="Times New Roman"/>
                <w:bCs/>
              </w:rPr>
            </w:pP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We recommended that the City Treasurer continuously monitor the reconciliation of all Cash in Bank accounts. The personnel in-charge should also be relieved from other activities that hinder the maintenance and update of cashbooks on Cash in Bank accounts and reconciliation thereof.</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t>AAR 2019</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tc>
        <w:tc>
          <w:tcPr>
            <w:tcW w:w="819" w:type="pct"/>
            <w:shd w:val="clear" w:color="auto" w:fill="auto"/>
          </w:tcPr>
          <w:p>
            <w:pPr>
              <w:spacing w:after="0"/>
              <w:jc w:val="both"/>
              <w:rPr>
                <w:rFonts w:ascii="Times New Roman" w:hAnsi="Times New Roman" w:cs="Times New Roman"/>
              </w:rPr>
            </w:pPr>
            <w:r>
              <w:rPr>
                <w:rFonts w:ascii="Times New Roman" w:eastAsia="Calibri" w:hAnsi="Times New Roman" w:cs="Times New Roman"/>
              </w:rPr>
              <w:t>Reiterated/revised in CY 2022 thru AOM No. 23-014</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Cash advances totaling P36.27 million were granted during the year to the Disbursing Officers exceeding their maximum cash accountabilities by P18.76 million based on the approved bond coverage, </w:t>
            </w:r>
            <w:r>
              <w:rPr>
                <w:rFonts w:ascii="Times New Roman" w:eastAsia="Times New Roman" w:hAnsi="Times New Roman" w:cs="Times New Roman"/>
                <w:lang w:val="en-PH" w:eastAsia="en-PH"/>
              </w:rPr>
              <w:lastRenderedPageBreak/>
              <w:t>contrary to Treasury Circular No. 02-2009, thereby depicting weakness in internal control.</w:t>
            </w:r>
          </w:p>
          <w:p>
            <w:pPr>
              <w:spacing w:after="0"/>
              <w:ind w:left="450"/>
              <w:jc w:val="both"/>
              <w:rPr>
                <w:rFonts w:ascii="Times New Roman" w:hAnsi="Times New Roman" w:cs="Times New Roman"/>
                <w:bCs/>
              </w:rPr>
            </w:pPr>
          </w:p>
        </w:tc>
        <w:tc>
          <w:tcPr>
            <w:tcW w:w="1146" w:type="pct"/>
          </w:tcPr>
          <w:p>
            <w:pPr>
              <w:spacing w:after="0"/>
              <w:jc w:val="both"/>
              <w:rPr>
                <w:rFonts w:ascii="Times New Roman" w:hAnsi="Times New Roman" w:cs="Times New Roman"/>
              </w:rPr>
            </w:pPr>
            <w:r>
              <w:rPr>
                <w:rFonts w:ascii="Times New Roman" w:eastAsia="Times New Roman" w:hAnsi="Times New Roman" w:cs="Times New Roman"/>
                <w:lang w:val="en-PH" w:eastAsia="en-PH"/>
              </w:rPr>
              <w:lastRenderedPageBreak/>
              <w:t xml:space="preserve">We recommended and the Management agreed to refrain from granting cash advances to accountable officers beyond their allowed maximum cash accountabilities; and that the City Treasurer utilize the ATM Payroll System in releasing </w:t>
            </w:r>
            <w:r>
              <w:rPr>
                <w:rFonts w:ascii="Times New Roman" w:eastAsia="Times New Roman" w:hAnsi="Times New Roman" w:cs="Times New Roman"/>
                <w:lang w:val="en-PH" w:eastAsia="en-PH"/>
              </w:rPr>
              <w:lastRenderedPageBreak/>
              <w:t>employees’ benefits and/or incentives.</w:t>
            </w:r>
          </w:p>
        </w:tc>
        <w:tc>
          <w:tcPr>
            <w:tcW w:w="366" w:type="pct"/>
          </w:tcPr>
          <w:p>
            <w:pPr>
              <w:spacing w:after="0"/>
              <w:jc w:val="center"/>
              <w:rPr>
                <w:rFonts w:ascii="Times New Roman" w:hAnsi="Times New Roman" w:cs="Times New Roman"/>
                <w:lang w:val="en-PH"/>
              </w:rPr>
            </w:pPr>
            <w:r>
              <w:rPr>
                <w:rFonts w:ascii="Times New Roman" w:hAnsi="Times New Roman" w:cs="Times New Roman"/>
              </w:rPr>
              <w:lastRenderedPageBreak/>
              <w:t>AAR 2019</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 Implemented</w:t>
            </w:r>
          </w:p>
        </w:tc>
        <w:tc>
          <w:tcPr>
            <w:tcW w:w="819" w:type="pct"/>
            <w:shd w:val="clear" w:color="auto" w:fill="auto"/>
          </w:tcPr>
          <w:p>
            <w:pPr>
              <w:spacing w:after="0"/>
              <w:jc w:val="both"/>
              <w:rPr>
                <w:rFonts w:ascii="Times New Roman" w:hAnsi="Times New Roman" w:cs="Times New Roman"/>
              </w:rPr>
            </w:pPr>
            <w:r>
              <w:rPr>
                <w:rFonts w:ascii="Times New Roman" w:eastAsia="Calibri" w:hAnsi="Times New Roman" w:cs="Times New Roman"/>
              </w:rPr>
              <w:t>Reiterated/revised in CY 2022 thru AOM No. 23-001</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Effective implementation of the City’s Ten-Year Ecological Solid Waste Management Plan may have been compromised due to: a) incomplete members of the Solid Waste Management Board; and b) deficiencies in the collection and transport of solid wastes, inconsistent to R.A. 9003 and its IRR.</w:t>
            </w:r>
          </w:p>
          <w:p>
            <w:pPr>
              <w:pStyle w:val="ListParagraph"/>
              <w:spacing w:after="0"/>
              <w:ind w:left="240"/>
              <w:jc w:val="both"/>
              <w:rPr>
                <w:rFonts w:ascii="Times New Roman" w:eastAsia="Times New Roman" w:hAnsi="Times New Roman" w:cs="Times New Roman"/>
                <w:lang w:val="en-PH" w:eastAsia="en-PH"/>
              </w:rPr>
            </w:pP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We recommended and the management agreed that specific names of representatives from the NGOs, recycling industry, manufacturing/packaging industry and concerned government agency will be designated to complete the SWM Board.</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t>AAR 2019</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The newly-reconstituted SWB still did not meet the qualifications set by RA 9003 </w:t>
            </w:r>
          </w:p>
          <w:p>
            <w:pPr>
              <w:spacing w:after="0"/>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The 120 calendar days-time extension granted to the contractor for the Construction/Establishment of Sanitary Landfill Facilities and Support Utilities at Barangay Waterfall, </w:t>
            </w:r>
            <w:proofErr w:type="spellStart"/>
            <w:r>
              <w:rPr>
                <w:rFonts w:ascii="Times New Roman" w:eastAsia="Times New Roman" w:hAnsi="Times New Roman" w:cs="Times New Roman"/>
                <w:lang w:val="en-PH" w:eastAsia="en-PH"/>
              </w:rPr>
              <w:t>Panabo</w:t>
            </w:r>
            <w:proofErr w:type="spellEnd"/>
            <w:r>
              <w:rPr>
                <w:rFonts w:ascii="Times New Roman" w:eastAsia="Times New Roman" w:hAnsi="Times New Roman" w:cs="Times New Roman"/>
                <w:lang w:val="en-PH" w:eastAsia="en-PH"/>
              </w:rPr>
              <w:t xml:space="preserve"> City costing P75.79 million is </w:t>
            </w:r>
            <w:r>
              <w:rPr>
                <w:rFonts w:ascii="Times New Roman" w:eastAsia="Times New Roman" w:hAnsi="Times New Roman" w:cs="Times New Roman"/>
                <w:lang w:val="en-PH" w:eastAsia="en-PH"/>
              </w:rPr>
              <w:lastRenderedPageBreak/>
              <w:t>not properly justified resulting to unreasonable delay in project implementation, inconsistent to the requirements of the Revised IRR on R.A. 9184.</w:t>
            </w:r>
          </w:p>
          <w:p>
            <w:pPr>
              <w:spacing w:after="0"/>
              <w:ind w:left="450"/>
              <w:jc w:val="both"/>
              <w:rPr>
                <w:rFonts w:ascii="Times New Roman" w:hAnsi="Times New Roman" w:cs="Times New Roman"/>
                <w:bCs/>
              </w:rPr>
            </w:pPr>
          </w:p>
        </w:tc>
        <w:tc>
          <w:tcPr>
            <w:tcW w:w="1146" w:type="pct"/>
          </w:tcPr>
          <w:p>
            <w:pPr>
              <w:spacing w:after="0"/>
              <w:jc w:val="both"/>
              <w:rPr>
                <w:rFonts w:ascii="Times New Roman" w:eastAsia="Times New Roman" w:hAnsi="Times New Roman" w:cs="Times New Roman"/>
                <w:color w:val="000000"/>
                <w:lang w:val="en-PH" w:eastAsia="en-PH"/>
              </w:rPr>
            </w:pPr>
            <w:r>
              <w:rPr>
                <w:rFonts w:ascii="Times New Roman" w:eastAsia="Times New Roman" w:hAnsi="Times New Roman" w:cs="Times New Roman"/>
                <w:color w:val="000000"/>
                <w:lang w:val="en-PH" w:eastAsia="en-PH"/>
              </w:rPr>
              <w:lastRenderedPageBreak/>
              <w:t xml:space="preserve">We recommended further to impose liquidated damages if the contractor incurs delay after the lapse of the revised target date of completion in accordance to Sec. 68 and Item 8, Annex E of the afore-cited Revised IRR. </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t>AAR 2019</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hAnsi="Times New Roman" w:cs="Times New Roman"/>
              </w:rPr>
            </w:pPr>
            <w:r>
              <w:rPr>
                <w:rFonts w:ascii="Times New Roman" w:eastAsia="Calibri" w:hAnsi="Times New Roman" w:cs="Times New Roman"/>
              </w:rPr>
              <w:t>No updates were provided nor relevant documents were submitted to the Audit Team to support implementation of the audit recommendation.</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Delay in the submission of financial and accounting reports, including Disbursement Vouchers, within the prescribed period deprived the management of the timely audit information result that could have help improved any transactional deficiency noted.</w:t>
            </w:r>
          </w:p>
          <w:p>
            <w:pPr>
              <w:spacing w:after="0"/>
              <w:ind w:left="450"/>
              <w:jc w:val="both"/>
              <w:rPr>
                <w:rFonts w:ascii="Times New Roman" w:hAnsi="Times New Roman" w:cs="Times New Roman"/>
                <w:bCs/>
              </w:rPr>
            </w:pP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We recommended that management: </w:t>
            </w:r>
          </w:p>
          <w:p>
            <w:pPr>
              <w:spacing w:after="0"/>
              <w:jc w:val="both"/>
              <w:rPr>
                <w:rFonts w:ascii="Times New Roman" w:eastAsia="Times New Roman" w:hAnsi="Times New Roman" w:cs="Times New Roman"/>
                <w:lang w:val="en-PH" w:eastAsia="en-PH"/>
              </w:rPr>
            </w:pPr>
          </w:p>
          <w:p>
            <w:pPr>
              <w:pStyle w:val="ListParagraph"/>
              <w:numPr>
                <w:ilvl w:val="0"/>
                <w:numId w:val="5"/>
              </w:numPr>
              <w:spacing w:after="0"/>
              <w:ind w:left="286" w:hanging="270"/>
              <w:jc w:val="both"/>
              <w:rPr>
                <w:rFonts w:ascii="Times New Roman" w:hAnsi="Times New Roman" w:cs="Times New Roman"/>
              </w:rPr>
            </w:pPr>
            <w:r>
              <w:rPr>
                <w:rFonts w:ascii="Times New Roman" w:eastAsia="Times New Roman" w:hAnsi="Times New Roman" w:cs="Times New Roman"/>
                <w:lang w:val="en-PH" w:eastAsia="en-PH"/>
              </w:rPr>
              <w:t>require the Accountant to immediately submit the monthly and quarterly financial and accounting reports, together with the Disbursements Vouchers, which are already overdue for submission to the COA Office.</w:t>
            </w:r>
          </w:p>
          <w:p>
            <w:pPr>
              <w:pStyle w:val="ListParagraph"/>
              <w:spacing w:after="0"/>
              <w:ind w:left="286"/>
              <w:jc w:val="both"/>
              <w:rPr>
                <w:rFonts w:ascii="Times New Roman" w:hAnsi="Times New Roman" w:cs="Times New Roman"/>
              </w:rPr>
            </w:pPr>
          </w:p>
          <w:p>
            <w:pPr>
              <w:pStyle w:val="ListParagraph"/>
              <w:numPr>
                <w:ilvl w:val="0"/>
                <w:numId w:val="5"/>
              </w:numPr>
              <w:spacing w:after="0"/>
              <w:ind w:left="286" w:hanging="270"/>
              <w:jc w:val="both"/>
              <w:rPr>
                <w:rFonts w:ascii="Times New Roman" w:hAnsi="Times New Roman" w:cs="Times New Roman"/>
              </w:rPr>
            </w:pPr>
            <w:r>
              <w:rPr>
                <w:rFonts w:ascii="Times New Roman" w:eastAsia="Times New Roman" w:hAnsi="Times New Roman" w:cs="Times New Roman"/>
                <w:lang w:val="en-PH" w:eastAsia="en-PH"/>
              </w:rPr>
              <w:t>ensure the prompt preparation and submission of financial and accounting reports are prepared within the prescribed period.</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t>AAR 2019</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tc>
        <w:tc>
          <w:tcPr>
            <w:tcW w:w="819" w:type="pct"/>
            <w:shd w:val="clear" w:color="auto" w:fill="auto"/>
          </w:tcPr>
          <w:p>
            <w:pPr>
              <w:spacing w:after="0"/>
              <w:jc w:val="both"/>
              <w:rPr>
                <w:rFonts w:ascii="Times New Roman" w:eastAsia="Times New Roman" w:hAnsi="Times New Roman" w:cs="Times New Roman"/>
                <w:lang w:val="en-PH" w:eastAsia="en-PH"/>
              </w:rPr>
            </w:pPr>
          </w:p>
          <w:p>
            <w:pPr>
              <w:spacing w:after="0"/>
              <w:jc w:val="both"/>
              <w:rPr>
                <w:rFonts w:ascii="Times New Roman" w:eastAsia="Times New Roman" w:hAnsi="Times New Roman" w:cs="Times New Roman"/>
                <w:lang w:val="en-PH" w:eastAsia="en-PH"/>
              </w:rPr>
            </w:pPr>
          </w:p>
          <w:p>
            <w:pPr>
              <w:spacing w:after="0"/>
              <w:jc w:val="both"/>
              <w:rPr>
                <w:rFonts w:ascii="Times New Roman" w:eastAsia="Times New Roman" w:hAnsi="Times New Roman" w:cs="Times New Roman"/>
                <w:lang w:val="en-PH" w:eastAsia="en-PH"/>
              </w:rPr>
            </w:pPr>
          </w:p>
          <w:p>
            <w:pPr>
              <w:spacing w:after="0"/>
              <w:contextualSpacing/>
              <w:jc w:val="both"/>
              <w:rPr>
                <w:rFonts w:ascii="Times New Roman" w:eastAsia="Calibri" w:hAnsi="Times New Roman" w:cs="Times New Roman"/>
              </w:rPr>
            </w:pPr>
            <w:r>
              <w:rPr>
                <w:rFonts w:ascii="Times New Roman" w:eastAsia="Times New Roman" w:hAnsi="Times New Roman" w:cs="Times New Roman"/>
                <w:lang w:val="en-PH" w:eastAsia="en-PH"/>
              </w:rPr>
              <w:t>Reiterated/revised in CY 2022 thru AOM No. 23-003</w:t>
            </w:r>
          </w:p>
          <w:p>
            <w:pPr>
              <w:spacing w:after="0"/>
              <w:contextualSpacing/>
              <w:rPr>
                <w:rFonts w:ascii="Times New Roman" w:eastAsia="Calibri" w:hAnsi="Times New Roman" w:cs="Times New Roman"/>
              </w:rPr>
            </w:pPr>
          </w:p>
          <w:p>
            <w:pPr>
              <w:spacing w:after="0"/>
              <w:jc w:val="both"/>
              <w:rPr>
                <w:rFonts w:ascii="Times New Roman" w:hAnsi="Times New Roman" w:cs="Times New Roman"/>
                <w:lang w:val="en-PH"/>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Inadequate strategies and effort by the City Treasurer to collect taxes and penalties accruing thereon resulted in the accumulation of delinquent real property taxes, thus depriving the City of income which could have been derived therefrom. </w:t>
            </w:r>
          </w:p>
          <w:p>
            <w:pPr>
              <w:spacing w:after="0"/>
              <w:ind w:left="240"/>
              <w:jc w:val="both"/>
              <w:rPr>
                <w:rFonts w:ascii="Times New Roman" w:eastAsia="Times New Roman" w:hAnsi="Times New Roman" w:cs="Times New Roman"/>
                <w:lang w:val="en-PH" w:eastAsia="en-PH"/>
              </w:rPr>
            </w:pP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We recommended the City Treasurer to:</w:t>
            </w:r>
          </w:p>
          <w:p>
            <w:pPr>
              <w:spacing w:after="0"/>
              <w:jc w:val="both"/>
              <w:rPr>
                <w:rFonts w:ascii="Times New Roman" w:eastAsia="Times New Roman" w:hAnsi="Times New Roman" w:cs="Times New Roman"/>
                <w:lang w:val="en-PH" w:eastAsia="en-PH"/>
              </w:rPr>
            </w:pPr>
          </w:p>
          <w:p>
            <w:pPr>
              <w:pStyle w:val="ListParagraph"/>
              <w:numPr>
                <w:ilvl w:val="0"/>
                <w:numId w:val="2"/>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Coordinate with the City Assessor’s Office and devise a comprehensive strategy primarily focused on the collection of delinquent property taxes to substantially reduce the outstanding amount of delinquencies;</w:t>
            </w:r>
          </w:p>
          <w:p>
            <w:pPr>
              <w:pStyle w:val="ListParagraph"/>
              <w:spacing w:after="0"/>
              <w:ind w:left="286"/>
              <w:jc w:val="both"/>
              <w:rPr>
                <w:rFonts w:ascii="Times New Roman" w:eastAsia="Times New Roman" w:hAnsi="Times New Roman" w:cs="Times New Roman"/>
                <w:lang w:val="en-PH" w:eastAsia="en-PH"/>
              </w:rPr>
            </w:pPr>
          </w:p>
          <w:p>
            <w:pPr>
              <w:pStyle w:val="ListParagraph"/>
              <w:numPr>
                <w:ilvl w:val="0"/>
                <w:numId w:val="2"/>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Request sufficient funding for </w:t>
            </w:r>
            <w:proofErr w:type="spellStart"/>
            <w:r>
              <w:rPr>
                <w:rFonts w:ascii="Times New Roman" w:eastAsia="Times New Roman" w:hAnsi="Times New Roman" w:cs="Times New Roman"/>
                <w:lang w:val="en-PH" w:eastAsia="en-PH"/>
              </w:rPr>
              <w:t>plantilla</w:t>
            </w:r>
            <w:proofErr w:type="spellEnd"/>
            <w:r>
              <w:rPr>
                <w:rFonts w:ascii="Times New Roman" w:eastAsia="Times New Roman" w:hAnsi="Times New Roman" w:cs="Times New Roman"/>
                <w:lang w:val="en-PH" w:eastAsia="en-PH"/>
              </w:rPr>
              <w:t xml:space="preserve"> position and for other office needs to facilitate effective property tax collection, monitoring and assessment;</w:t>
            </w:r>
          </w:p>
          <w:p>
            <w:pPr>
              <w:pStyle w:val="ListParagraph"/>
              <w:rPr>
                <w:rFonts w:ascii="Times New Roman" w:eastAsia="Times New Roman" w:hAnsi="Times New Roman" w:cs="Times New Roman"/>
                <w:lang w:val="en-PH" w:eastAsia="en-PH"/>
              </w:rPr>
            </w:pPr>
          </w:p>
          <w:p>
            <w:pPr>
              <w:pStyle w:val="ListParagraph"/>
              <w:spacing w:after="0"/>
              <w:ind w:left="286"/>
              <w:jc w:val="both"/>
              <w:rPr>
                <w:rFonts w:ascii="Times New Roman" w:eastAsia="Times New Roman" w:hAnsi="Times New Roman" w:cs="Times New Roman"/>
                <w:lang w:val="en-PH" w:eastAsia="en-PH"/>
              </w:rPr>
            </w:pPr>
          </w:p>
          <w:p>
            <w:pPr>
              <w:pStyle w:val="ListParagraph"/>
              <w:numPr>
                <w:ilvl w:val="0"/>
                <w:numId w:val="2"/>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Carefully consider deputizing the Barangay treasurers in remote barangays as collecting agents in accordance with Section 247 of RA no. 7160 </w:t>
            </w:r>
            <w:r>
              <w:rPr>
                <w:rFonts w:ascii="Times New Roman" w:eastAsia="Times New Roman" w:hAnsi="Times New Roman" w:cs="Times New Roman"/>
                <w:lang w:val="en-PH" w:eastAsia="en-PH"/>
              </w:rPr>
              <w:lastRenderedPageBreak/>
              <w:t>to assist in the collection and monitoring of RPT accounts.</w:t>
            </w:r>
          </w:p>
          <w:p>
            <w:pPr>
              <w:pStyle w:val="ListParagraph"/>
              <w:spacing w:after="0"/>
              <w:rPr>
                <w:rFonts w:ascii="Times New Roman" w:eastAsia="Times New Roman" w:hAnsi="Times New Roman" w:cs="Times New Roman"/>
                <w:lang w:val="en-PH" w:eastAsia="en-PH"/>
              </w:rPr>
            </w:pPr>
          </w:p>
          <w:p>
            <w:pPr>
              <w:pStyle w:val="ListParagraph"/>
              <w:numPr>
                <w:ilvl w:val="0"/>
                <w:numId w:val="2"/>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Exert more effort in collecting the delinquent real property tax, impose all remedies available, and exercise taxing authority as mandated by Law;</w:t>
            </w:r>
          </w:p>
          <w:p>
            <w:pPr>
              <w:pStyle w:val="ListParagraph"/>
              <w:spacing w:after="0"/>
              <w:rPr>
                <w:rFonts w:ascii="Times New Roman" w:eastAsia="Times New Roman" w:hAnsi="Times New Roman" w:cs="Times New Roman"/>
                <w:lang w:val="en-PH" w:eastAsia="en-PH"/>
              </w:rPr>
            </w:pPr>
          </w:p>
          <w:p>
            <w:pPr>
              <w:pStyle w:val="ListParagraph"/>
              <w:numPr>
                <w:ilvl w:val="0"/>
                <w:numId w:val="2"/>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We also recommended that the City Assessor regularly update the classification of real properties to reflect proper assessment.</w:t>
            </w:r>
          </w:p>
          <w:p>
            <w:pPr>
              <w:pStyle w:val="ListParagraph"/>
              <w:spacing w:after="0"/>
              <w:rPr>
                <w:rFonts w:ascii="Times New Roman" w:eastAsia="Times New Roman" w:hAnsi="Times New Roman" w:cs="Times New Roman"/>
                <w:lang w:val="en-PH" w:eastAsia="en-PH"/>
              </w:rPr>
            </w:pPr>
          </w:p>
          <w:p>
            <w:pPr>
              <w:pStyle w:val="ListParagraph"/>
              <w:spacing w:after="0"/>
              <w:ind w:left="286"/>
              <w:jc w:val="both"/>
              <w:rPr>
                <w:rFonts w:ascii="Times New Roman" w:eastAsia="Times New Roman" w:hAnsi="Times New Roman" w:cs="Times New Roman"/>
                <w:lang w:val="en-PH" w:eastAsia="en-PH"/>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2019</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tc>
        <w:tc>
          <w:tcPr>
            <w:tcW w:w="819" w:type="pct"/>
            <w:shd w:val="clear" w:color="auto" w:fill="auto"/>
          </w:tcPr>
          <w:p>
            <w:pPr>
              <w:spacing w:after="0"/>
              <w:contextualSpacing/>
              <w:jc w:val="both"/>
              <w:rPr>
                <w:rFonts w:ascii="Times New Roman" w:eastAsia="Times New Roman" w:hAnsi="Times New Roman" w:cs="Times New Roman"/>
                <w:color w:val="FF0000"/>
                <w:lang w:val="en-PH" w:eastAsia="en-PH"/>
              </w:rPr>
            </w:pPr>
            <w:r>
              <w:rPr>
                <w:rFonts w:ascii="Times New Roman" w:eastAsia="Calibri" w:hAnsi="Times New Roman" w:cs="Times New Roman"/>
              </w:rPr>
              <w:lastRenderedPageBreak/>
              <w:t>Reiterated/revised in CY 2022 thru AOM No. 23-008</w:t>
            </w:r>
          </w:p>
          <w:p>
            <w:pPr>
              <w:spacing w:after="0"/>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Provisions of the applicable City Ordinances and the terms and conditions of the contract of lease were not strictly enforced by the City Economic Enterprise Management and Development Office due to human consideration, </w:t>
            </w:r>
            <w:r>
              <w:rPr>
                <w:rFonts w:ascii="Times New Roman" w:eastAsia="Times New Roman" w:hAnsi="Times New Roman" w:cs="Times New Roman"/>
                <w:lang w:val="en-PH" w:eastAsia="en-PH"/>
              </w:rPr>
              <w:lastRenderedPageBreak/>
              <w:t>leniency, and practices inherited from previous administration, thus affecting the efficiency and effectiveness of market operations.</w:t>
            </w:r>
          </w:p>
          <w:p>
            <w:pPr>
              <w:spacing w:after="0"/>
              <w:ind w:left="450"/>
              <w:jc w:val="both"/>
              <w:rPr>
                <w:rFonts w:ascii="Times New Roman" w:hAnsi="Times New Roman" w:cs="Times New Roman"/>
                <w:bCs/>
              </w:rPr>
            </w:pP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We recommended that the Management:</w:t>
            </w:r>
          </w:p>
          <w:p>
            <w:pPr>
              <w:spacing w:after="0"/>
              <w:jc w:val="both"/>
              <w:rPr>
                <w:rFonts w:ascii="Times New Roman" w:eastAsia="Times New Roman" w:hAnsi="Times New Roman" w:cs="Times New Roman"/>
                <w:lang w:val="en-PH" w:eastAsia="en-PH"/>
              </w:rPr>
            </w:pPr>
          </w:p>
          <w:p>
            <w:pPr>
              <w:pStyle w:val="ListParagraph"/>
              <w:numPr>
                <w:ilvl w:val="0"/>
                <w:numId w:val="2"/>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firmly and timely implement the raffle process as required by the applicable laws, rules and regulations in the disposition of stalls;</w:t>
            </w:r>
          </w:p>
          <w:p>
            <w:pPr>
              <w:pStyle w:val="ListParagraph"/>
              <w:spacing w:after="0"/>
              <w:ind w:left="286"/>
              <w:jc w:val="both"/>
              <w:rPr>
                <w:rFonts w:ascii="Times New Roman" w:eastAsia="Times New Roman" w:hAnsi="Times New Roman" w:cs="Times New Roman"/>
                <w:lang w:val="en-PH" w:eastAsia="en-PH"/>
              </w:rPr>
            </w:pPr>
          </w:p>
          <w:p>
            <w:pPr>
              <w:pStyle w:val="ListParagraph"/>
              <w:numPr>
                <w:ilvl w:val="0"/>
                <w:numId w:val="2"/>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implement the provisions of the contract, such as prescribing the size and design of the stall signboard and requiring the stallholders to provide fire extinguishers, among others; and</w:t>
            </w:r>
          </w:p>
          <w:p>
            <w:pPr>
              <w:pStyle w:val="ListParagraph"/>
              <w:spacing w:after="0"/>
              <w:ind w:left="286"/>
              <w:jc w:val="both"/>
              <w:rPr>
                <w:rFonts w:ascii="Times New Roman" w:eastAsia="Times New Roman" w:hAnsi="Times New Roman" w:cs="Times New Roman"/>
                <w:lang w:val="en-PH" w:eastAsia="en-PH"/>
              </w:rPr>
            </w:pPr>
          </w:p>
          <w:p>
            <w:pPr>
              <w:pStyle w:val="ListParagraph"/>
              <w:numPr>
                <w:ilvl w:val="0"/>
                <w:numId w:val="2"/>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strictly implement the penalty clause of the contract and other administrative sanctions pertaining to the subleasing of stalls, which includes the cancellation or revocation of the Lease Contract and defaulting lessee shall thereafter be disqualified from leasing another space, stall or building owned by the City. </w:t>
            </w:r>
          </w:p>
          <w:p>
            <w:pPr>
              <w:spacing w:after="0"/>
              <w:jc w:val="both"/>
              <w:rPr>
                <w:rFonts w:ascii="Times New Roman" w:eastAsia="Times New Roman" w:hAnsi="Times New Roman" w:cs="Times New Roman"/>
                <w:lang w:val="en-PH" w:eastAsia="en-PH"/>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2019</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tc>
        <w:tc>
          <w:tcPr>
            <w:tcW w:w="819" w:type="pct"/>
            <w:shd w:val="clear" w:color="auto" w:fill="auto"/>
          </w:tcPr>
          <w:p>
            <w:pPr>
              <w:spacing w:after="0"/>
              <w:jc w:val="both"/>
              <w:rPr>
                <w:rFonts w:ascii="Times New Roman" w:hAnsi="Times New Roman" w:cs="Times New Roman"/>
              </w:rPr>
            </w:pPr>
            <w:r>
              <w:rPr>
                <w:rFonts w:ascii="Times New Roman" w:eastAsia="Calibri" w:hAnsi="Times New Roman" w:cs="Times New Roman"/>
              </w:rPr>
              <w:lastRenderedPageBreak/>
              <w:t>No updates were provided nor were relevant documents submitted to the Audit Team to support the implementation of the audit recommendations.</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Non-submission of complete and proper documents to support the </w:t>
            </w:r>
            <w:r>
              <w:rPr>
                <w:rFonts w:ascii="Times New Roman" w:eastAsia="Times New Roman" w:hAnsi="Times New Roman" w:cs="Times New Roman"/>
                <w:lang w:val="en-PH" w:eastAsia="en-PH"/>
              </w:rPr>
              <w:lastRenderedPageBreak/>
              <w:t>distribution of P3.318 million worth of supplies, tools and equipment for the livelihood and employment assistance projects funded by the Bottom-Up Budgeting Program, casts doubt on the efficient delivery of services and benefits to its beneficiaries.</w:t>
            </w:r>
          </w:p>
        </w:tc>
        <w:tc>
          <w:tcPr>
            <w:tcW w:w="1146" w:type="pct"/>
          </w:tcPr>
          <w:p>
            <w:pPr>
              <w:spacing w:after="0"/>
              <w:jc w:val="both"/>
              <w:rPr>
                <w:rFonts w:ascii="Times New Roman" w:hAnsi="Times New Roman" w:cs="Times New Roman"/>
              </w:rPr>
            </w:pPr>
            <w:r>
              <w:rPr>
                <w:rFonts w:ascii="Times New Roman" w:eastAsia="Times New Roman" w:hAnsi="Times New Roman" w:cs="Times New Roman"/>
                <w:color w:val="000000"/>
                <w:lang w:val="en-PH" w:eastAsia="en-PH"/>
              </w:rPr>
              <w:lastRenderedPageBreak/>
              <w:t>We recommended that the City General Services Office cancel the ARE and ICS on the afore-</w:t>
            </w:r>
            <w:r>
              <w:rPr>
                <w:rFonts w:ascii="Times New Roman" w:eastAsia="Times New Roman" w:hAnsi="Times New Roman" w:cs="Times New Roman"/>
                <w:color w:val="000000"/>
                <w:lang w:val="en-PH" w:eastAsia="en-PH"/>
              </w:rPr>
              <w:lastRenderedPageBreak/>
              <w:t>cited equipment and semi-expendable items previously issued to the PESO manager; and submit to the City Accountant the Summary of Supplies and Materials Issued (SSMI) based on the RIS and distribution lists/certificates of acceptance duly signed by the beneficiaries.</w:t>
            </w: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2018</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The City PESO Manager submitted copies of </w:t>
            </w:r>
            <w:r>
              <w:rPr>
                <w:rFonts w:ascii="Times New Roman" w:eastAsia="Times New Roman" w:hAnsi="Times New Roman" w:cs="Times New Roman"/>
                <w:lang w:val="en-PH" w:eastAsia="en-PH"/>
              </w:rPr>
              <w:lastRenderedPageBreak/>
              <w:t xml:space="preserve">acknowledgment receipts, turn-over certificates and sample pictures of the recipients and materials distributed.  </w:t>
            </w:r>
          </w:p>
          <w:p>
            <w:pPr>
              <w:spacing w:after="0"/>
              <w:jc w:val="both"/>
              <w:rPr>
                <w:rFonts w:ascii="Times New Roman" w:eastAsia="Times New Roman" w:hAnsi="Times New Roman" w:cs="Times New Roman"/>
                <w:lang w:val="en-PH" w:eastAsia="en-PH"/>
              </w:rPr>
            </w:pPr>
          </w:p>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In addition, ARE and ICS issued to the PESO manager were also cancelled and copies of SSMI and ARE and ICS issued to the beneficiaries were furnished to the Audit Team. </w:t>
            </w:r>
          </w:p>
          <w:p>
            <w:pPr>
              <w:spacing w:after="0"/>
              <w:jc w:val="both"/>
              <w:rPr>
                <w:rFonts w:ascii="Times New Roman" w:eastAsia="Times New Roman" w:hAnsi="Times New Roman" w:cs="Times New Roman"/>
                <w:lang w:val="en-PH" w:eastAsia="en-PH"/>
              </w:rPr>
            </w:pPr>
          </w:p>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Verification showed that acknowledgement receipts/ certificates submitted do not contain the particular items/goods received by the recipients, casting doubt whether or not the </w:t>
            </w:r>
            <w:r>
              <w:rPr>
                <w:rFonts w:ascii="Times New Roman" w:eastAsia="Times New Roman" w:hAnsi="Times New Roman" w:cs="Times New Roman"/>
                <w:lang w:val="en-PH" w:eastAsia="en-PH"/>
              </w:rPr>
              <w:lastRenderedPageBreak/>
              <w:t xml:space="preserve">said intended beneficiaries have duly received the exact number of items/goods as per approved project proposal. </w:t>
            </w:r>
          </w:p>
          <w:p>
            <w:pPr>
              <w:spacing w:after="0"/>
              <w:jc w:val="both"/>
              <w:rPr>
                <w:rFonts w:ascii="Times New Roman" w:eastAsia="Times New Roman" w:hAnsi="Times New Roman" w:cs="Times New Roman"/>
                <w:lang w:val="en-PH" w:eastAsia="en-PH"/>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Delay in the liquidation of completed MRDP-CFAD projects totaling P1.528 million </w:t>
            </w:r>
            <w:proofErr w:type="gramStart"/>
            <w:r>
              <w:rPr>
                <w:rFonts w:ascii="Times New Roman" w:eastAsia="Times New Roman" w:hAnsi="Times New Roman" w:cs="Times New Roman"/>
                <w:lang w:val="en-PH" w:eastAsia="en-PH"/>
              </w:rPr>
              <w:t>due</w:t>
            </w:r>
            <w:proofErr w:type="gramEnd"/>
            <w:r>
              <w:rPr>
                <w:rFonts w:ascii="Times New Roman" w:eastAsia="Times New Roman" w:hAnsi="Times New Roman" w:cs="Times New Roman"/>
                <w:lang w:val="en-PH" w:eastAsia="en-PH"/>
              </w:rPr>
              <w:t xml:space="preserve"> to lapses in the monitoring and evaluation of project implementation, thus unnecessarily expose government resources to risk of loss or misappropriation.</w:t>
            </w:r>
          </w:p>
          <w:p>
            <w:pPr>
              <w:spacing w:after="0"/>
              <w:ind w:left="240"/>
              <w:jc w:val="both"/>
              <w:rPr>
                <w:rFonts w:ascii="Times New Roman" w:eastAsia="Times New Roman" w:hAnsi="Times New Roman" w:cs="Times New Roman"/>
                <w:lang w:val="en-PH" w:eastAsia="en-PH"/>
              </w:rPr>
            </w:pP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We recommended that immediate action be instituted against the defaulting NGOs/POs, pursuant to the provision of the Memorandum of Agreement and COA Circular no. 2007-001.</w:t>
            </w:r>
          </w:p>
          <w:p>
            <w:pPr>
              <w:spacing w:after="0"/>
              <w:jc w:val="both"/>
              <w:rPr>
                <w:rFonts w:ascii="Times New Roman" w:eastAsia="Times New Roman" w:hAnsi="Times New Roman" w:cs="Times New Roman"/>
                <w:lang w:val="en-PH" w:eastAsia="en-PH"/>
              </w:rPr>
            </w:pPr>
          </w:p>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Regular updating of monitoring and evaluation report of each subproject implementation to ensure compliance with the terms of existing Agreement must also be conducted, as well as considering hiring additional personnel to aid in the review of voluminous transactions handled by the CAGRO.</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t>AAR 2018</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contextualSpacing/>
              <w:jc w:val="both"/>
              <w:rPr>
                <w:rFonts w:ascii="Times New Roman" w:eastAsia="Calibri" w:hAnsi="Times New Roman" w:cs="Times New Roman"/>
              </w:rPr>
            </w:pPr>
            <w:r>
              <w:rPr>
                <w:rFonts w:ascii="Times New Roman" w:eastAsia="Times New Roman" w:hAnsi="Times New Roman" w:cs="Times New Roman"/>
                <w:lang w:val="en-PH" w:eastAsia="en-PH"/>
              </w:rPr>
              <w:t>Outstanding balance remained unliquidated as at year-end despite the demand letters formally sent to defaulting NGOs/</w:t>
            </w:r>
            <w:proofErr w:type="spellStart"/>
            <w:r>
              <w:rPr>
                <w:rFonts w:ascii="Times New Roman" w:eastAsia="Times New Roman" w:hAnsi="Times New Roman" w:cs="Times New Roman"/>
                <w:lang w:val="en-PH" w:eastAsia="en-PH"/>
              </w:rPr>
              <w:t>POs.</w:t>
            </w:r>
            <w:proofErr w:type="spellEnd"/>
          </w:p>
          <w:p>
            <w:pPr>
              <w:spacing w:after="0"/>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Nineteen beneficiaries did not comply with the sustainability plan, thereby depicting ineffectiveness in the implementation of the PAMANA Program.</w:t>
            </w:r>
          </w:p>
          <w:p>
            <w:pPr>
              <w:spacing w:after="0"/>
              <w:ind w:left="240" w:firstLine="720"/>
              <w:jc w:val="both"/>
              <w:rPr>
                <w:rFonts w:ascii="Times New Roman" w:eastAsia="Times New Roman" w:hAnsi="Times New Roman" w:cs="Times New Roman"/>
                <w:lang w:val="en-PH" w:eastAsia="en-PH"/>
              </w:rPr>
            </w:pPr>
          </w:p>
        </w:tc>
        <w:tc>
          <w:tcPr>
            <w:tcW w:w="1146" w:type="pct"/>
          </w:tcPr>
          <w:p>
            <w:pPr>
              <w:spacing w:after="0"/>
              <w:jc w:val="both"/>
              <w:rPr>
                <w:rFonts w:ascii="Times New Roman" w:eastAsia="Times New Roman" w:hAnsi="Times New Roman" w:cs="Times New Roman"/>
                <w:color w:val="000000"/>
                <w:lang w:val="en-PH" w:eastAsia="en-PH"/>
              </w:rPr>
            </w:pPr>
            <w:r>
              <w:rPr>
                <w:rFonts w:ascii="Times New Roman" w:eastAsia="Times New Roman" w:hAnsi="Times New Roman" w:cs="Times New Roman"/>
                <w:lang w:val="en-PH" w:eastAsia="en-PH"/>
              </w:rPr>
              <w:t xml:space="preserve">We recommended that the City, through the City Agriculture Office, </w:t>
            </w:r>
            <w:r>
              <w:rPr>
                <w:rFonts w:ascii="Times New Roman" w:eastAsia="Times New Roman" w:hAnsi="Times New Roman" w:cs="Times New Roman"/>
                <w:color w:val="000000"/>
                <w:lang w:val="en-PH" w:eastAsia="en-PH"/>
              </w:rPr>
              <w:t xml:space="preserve">obtain a written policy from the </w:t>
            </w:r>
            <w:proofErr w:type="spellStart"/>
            <w:r>
              <w:rPr>
                <w:rFonts w:ascii="Times New Roman" w:eastAsia="Times New Roman" w:hAnsi="Times New Roman" w:cs="Times New Roman"/>
                <w:color w:val="000000"/>
                <w:lang w:val="en-PH" w:eastAsia="en-PH"/>
              </w:rPr>
              <w:t>CMuLA</w:t>
            </w:r>
            <w:proofErr w:type="spellEnd"/>
            <w:r>
              <w:rPr>
                <w:rFonts w:ascii="Times New Roman" w:eastAsia="Times New Roman" w:hAnsi="Times New Roman" w:cs="Times New Roman"/>
                <w:color w:val="000000"/>
                <w:lang w:val="en-PH" w:eastAsia="en-PH"/>
              </w:rPr>
              <w:t xml:space="preserve"> on the updated sustainability plan, duly received by the existing beneficiaries and with stipulation, among others, their duties and responsibilities. We further recommended to capacitate the existing beneficiaries on the cattle production project and re-orient them on the sustainability plan in accordance with the policy.</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t>AAR 2018</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hAnsi="Times New Roman" w:cs="Times New Roman"/>
              </w:rPr>
            </w:pPr>
            <w:r>
              <w:rPr>
                <w:rFonts w:ascii="Times New Roman" w:eastAsia="Times New Roman" w:hAnsi="Times New Roman" w:cs="Times New Roman"/>
                <w:lang w:val="en-PH" w:eastAsia="en-PH"/>
              </w:rPr>
              <w:t>The written policy was not duly received by the beneficiaries nor presented proofs that they were re-oriented about the updated sustainability plans and their duties and responsibilities.</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Early Retirement Benefits totaling Php3.746 million paid to employees who opted to retire upon the effectivity of the City’s Revised Organizational Structure, Staffing and Classification is tantamount to a supplementary </w:t>
            </w:r>
            <w:r>
              <w:rPr>
                <w:rFonts w:ascii="Times New Roman" w:eastAsia="Times New Roman" w:hAnsi="Times New Roman" w:cs="Times New Roman"/>
                <w:lang w:val="en-PH" w:eastAsia="en-PH"/>
              </w:rPr>
              <w:lastRenderedPageBreak/>
              <w:t xml:space="preserve">retirement plan contrary to existing laws and regulations, thus, an illegal expenditure.  </w:t>
            </w:r>
          </w:p>
          <w:p>
            <w:pPr>
              <w:spacing w:after="0"/>
              <w:ind w:left="450"/>
              <w:jc w:val="both"/>
              <w:rPr>
                <w:rFonts w:ascii="Times New Roman" w:hAnsi="Times New Roman" w:cs="Times New Roman"/>
                <w:bCs/>
              </w:rPr>
            </w:pPr>
          </w:p>
        </w:tc>
        <w:tc>
          <w:tcPr>
            <w:tcW w:w="1146" w:type="pct"/>
          </w:tcPr>
          <w:p>
            <w:pPr>
              <w:spacing w:after="0"/>
              <w:jc w:val="both"/>
              <w:rPr>
                <w:rFonts w:ascii="Times New Roman" w:hAnsi="Times New Roman" w:cs="Times New Roman"/>
              </w:rPr>
            </w:pPr>
            <w:r>
              <w:rPr>
                <w:rFonts w:ascii="Times New Roman" w:eastAsia="Times New Roman" w:hAnsi="Times New Roman" w:cs="Times New Roman"/>
                <w:lang w:val="en-PH" w:eastAsia="en-PH"/>
              </w:rPr>
              <w:lastRenderedPageBreak/>
              <w:t>We recommended that management require the refund of the</w:t>
            </w:r>
            <w:r>
              <w:rPr>
                <w:rFonts w:ascii="Times New Roman" w:eastAsia="Times New Roman" w:hAnsi="Times New Roman" w:cs="Times New Roman"/>
                <w:color w:val="000000"/>
                <w:lang w:val="en-PH" w:eastAsia="en-PH"/>
              </w:rPr>
              <w:softHyphen/>
              <w:t xml:space="preserve"> </w:t>
            </w:r>
            <w:r>
              <w:rPr>
                <w:rFonts w:ascii="Times New Roman" w:eastAsia="Times New Roman" w:hAnsi="Times New Roman" w:cs="Times New Roman"/>
                <w:lang w:val="en-PH" w:eastAsia="en-PH"/>
              </w:rPr>
              <w:t>Early Retirement Benefit Package paid amounting to P</w:t>
            </w:r>
            <w:r>
              <w:rPr>
                <w:rFonts w:ascii="Times New Roman" w:eastAsia="Times New Roman" w:hAnsi="Times New Roman" w:cs="Times New Roman"/>
                <w:color w:val="000000"/>
                <w:lang w:val="en-PH" w:eastAsia="en-PH"/>
              </w:rPr>
              <w:t>3,746,106.67</w:t>
            </w:r>
            <w:r>
              <w:rPr>
                <w:rFonts w:ascii="Times New Roman" w:eastAsia="Times New Roman" w:hAnsi="Times New Roman" w:cs="Times New Roman"/>
                <w:lang w:val="en-PH" w:eastAsia="en-PH"/>
              </w:rPr>
              <w:t xml:space="preserve"> for being an illegal expenditure.</w:t>
            </w:r>
          </w:p>
        </w:tc>
        <w:tc>
          <w:tcPr>
            <w:tcW w:w="366" w:type="pct"/>
          </w:tcPr>
          <w:p>
            <w:pPr>
              <w:pStyle w:val="NoSpacing"/>
              <w:spacing w:line="276" w:lineRule="auto"/>
              <w:jc w:val="center"/>
              <w:rPr>
                <w:rFonts w:ascii="Times New Roman" w:hAnsi="Times New Roman"/>
              </w:rPr>
            </w:pPr>
            <w:r>
              <w:rPr>
                <w:rFonts w:ascii="Times New Roman" w:hAnsi="Times New Roman"/>
              </w:rPr>
              <w:t>AAR 2018</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contextualSpacing/>
              <w:jc w:val="both"/>
              <w:rPr>
                <w:rFonts w:ascii="Times New Roman" w:eastAsia="Calibri" w:hAnsi="Times New Roman" w:cs="Times New Roman"/>
              </w:rPr>
            </w:pPr>
            <w:r>
              <w:rPr>
                <w:rFonts w:ascii="Times New Roman" w:eastAsia="Times New Roman" w:hAnsi="Times New Roman" w:cs="Times New Roman"/>
                <w:lang w:val="en-PH" w:eastAsia="en-PH"/>
              </w:rPr>
              <w:t>The Notice of Disallowance issued amounting P3,746,106.67   is still under appeal as of December 31, 2022. No settlement was made since its issuance.</w:t>
            </w:r>
          </w:p>
          <w:p>
            <w:pPr>
              <w:spacing w:after="0"/>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The non-compliance with the provisions of COA Resolution No. 2015-031, as amended by COA Resolution No. 2017 – 021, indicates lapses on management’s policy in enforcement of COA Decisions, thus resulting to minimal settlement rate of 12.06 per cent.</w:t>
            </w:r>
          </w:p>
          <w:p>
            <w:pPr>
              <w:spacing w:after="0"/>
              <w:ind w:left="450"/>
              <w:jc w:val="both"/>
              <w:rPr>
                <w:rFonts w:ascii="Times New Roman" w:hAnsi="Times New Roman" w:cs="Times New Roman"/>
                <w:bCs/>
              </w:rPr>
            </w:pP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We recommended that management:</w:t>
            </w:r>
          </w:p>
          <w:p>
            <w:pPr>
              <w:pStyle w:val="ListParagraph"/>
              <w:numPr>
                <w:ilvl w:val="0"/>
                <w:numId w:val="7"/>
              </w:numPr>
              <w:spacing w:after="0"/>
              <w:ind w:left="286" w:hanging="270"/>
              <w:jc w:val="both"/>
              <w:rPr>
                <w:rFonts w:ascii="Times New Roman" w:hAnsi="Times New Roman" w:cs="Times New Roman"/>
              </w:rPr>
            </w:pPr>
            <w:r>
              <w:rPr>
                <w:rFonts w:ascii="Times New Roman" w:eastAsia="Times New Roman" w:hAnsi="Times New Roman" w:cs="Times New Roman"/>
                <w:lang w:val="en-PH" w:eastAsia="en-PH"/>
              </w:rPr>
              <w:t>reassess their policy on enforcement of COA Decisions and craft a more concrete and feasible strategy to expedite the settlement of the remaining balance of the disallowances; and</w:t>
            </w:r>
          </w:p>
          <w:p>
            <w:pPr>
              <w:pStyle w:val="ListParagraph"/>
              <w:spacing w:after="0"/>
              <w:ind w:left="286" w:hanging="270"/>
              <w:jc w:val="both"/>
              <w:rPr>
                <w:rFonts w:ascii="Times New Roman" w:hAnsi="Times New Roman" w:cs="Times New Roman"/>
              </w:rPr>
            </w:pPr>
          </w:p>
          <w:p>
            <w:pPr>
              <w:pStyle w:val="ListParagraph"/>
              <w:numPr>
                <w:ilvl w:val="0"/>
                <w:numId w:val="7"/>
              </w:numPr>
              <w:spacing w:after="0"/>
              <w:ind w:left="286"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submit request for installment payment to the Prosecution and Litigation Office (PLO), Legal Services Sector (LSS) of COA in accordance with Section 8, COA Resolution No. 2017-021, as quoted below: </w:t>
            </w:r>
          </w:p>
          <w:p>
            <w:pPr>
              <w:spacing w:after="0"/>
              <w:jc w:val="both"/>
              <w:rPr>
                <w:rFonts w:ascii="Times New Roman" w:eastAsia="Times New Roman" w:hAnsi="Times New Roman" w:cs="Times New Roman"/>
                <w:lang w:val="en-PH" w:eastAsia="en-PH"/>
              </w:rPr>
            </w:pPr>
          </w:p>
          <w:p>
            <w:pPr>
              <w:spacing w:after="0"/>
              <w:ind w:left="286"/>
              <w:jc w:val="both"/>
              <w:rPr>
                <w:rFonts w:ascii="Times New Roman" w:eastAsia="Times New Roman" w:hAnsi="Times New Roman" w:cs="Times New Roman"/>
                <w:i/>
                <w:iCs/>
                <w:lang w:val="en-PH" w:eastAsia="en-PH"/>
              </w:rPr>
            </w:pPr>
            <w:r>
              <w:rPr>
                <w:rFonts w:ascii="Times New Roman" w:eastAsia="Times New Roman" w:hAnsi="Times New Roman" w:cs="Times New Roman"/>
                <w:i/>
                <w:iCs/>
                <w:lang w:val="en-PH" w:eastAsia="en-PH"/>
              </w:rPr>
              <w:t xml:space="preserve">All requests for installment </w:t>
            </w:r>
            <w:r>
              <w:rPr>
                <w:rFonts w:ascii="Times New Roman" w:eastAsia="Times New Roman" w:hAnsi="Times New Roman" w:cs="Times New Roman"/>
                <w:i/>
                <w:iCs/>
                <w:lang w:val="en-PH" w:eastAsia="en-PH"/>
              </w:rPr>
              <w:lastRenderedPageBreak/>
              <w:t>payment shall be submitted to and reviewed by the Prosecution and Litigation Office (PLO), Legal Services Sector (LSS), through the concerned Auditors and Cluster/ Regional Directors, xxx…</w:t>
            </w:r>
          </w:p>
          <w:p>
            <w:pPr>
              <w:pStyle w:val="ListParagraph"/>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2018</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tc>
        <w:tc>
          <w:tcPr>
            <w:tcW w:w="819" w:type="pct"/>
            <w:shd w:val="clear" w:color="auto" w:fill="auto"/>
          </w:tcPr>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contextualSpacing/>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Ending balance of Notice of Disallowance as of December 31, 2022 amounted to P7,890,218.61. </w:t>
            </w: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r>
              <w:rPr>
                <w:rFonts w:ascii="Times New Roman" w:eastAsia="Times New Roman" w:hAnsi="Times New Roman" w:cs="Times New Roman"/>
                <w:lang w:val="en-PH" w:eastAsia="en-PH"/>
              </w:rPr>
              <w:t>No request for installment payment was filed before the PLO, LSS of COA.</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Noncompliance with the timely remittance of mandatory deductions, including loan amortizations, pursuant to the regulations issued by BIR, GSIS, PhilHealth and Pag-IBIG, amounting to P6.824 million, thereby depriving the national government other and concerned agencies the timely use of such funds due to them. </w:t>
            </w:r>
          </w:p>
          <w:p>
            <w:pPr>
              <w:spacing w:after="0"/>
              <w:ind w:left="450"/>
              <w:jc w:val="both"/>
              <w:rPr>
                <w:rFonts w:ascii="Times New Roman" w:hAnsi="Times New Roman" w:cs="Times New Roman"/>
                <w:bCs/>
              </w:rPr>
            </w:pP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We recommended the following:</w:t>
            </w:r>
          </w:p>
          <w:p>
            <w:pPr>
              <w:spacing w:after="0"/>
              <w:jc w:val="both"/>
              <w:rPr>
                <w:rFonts w:ascii="Times New Roman" w:eastAsia="Times New Roman" w:hAnsi="Times New Roman" w:cs="Times New Roman"/>
                <w:lang w:val="en-PH" w:eastAsia="en-PH"/>
              </w:rPr>
            </w:pPr>
          </w:p>
          <w:p>
            <w:pPr>
              <w:pStyle w:val="ListParagraph"/>
              <w:numPr>
                <w:ilvl w:val="0"/>
                <w:numId w:val="8"/>
              </w:numPr>
              <w:spacing w:after="0"/>
              <w:ind w:left="286" w:hanging="270"/>
              <w:jc w:val="both"/>
              <w:rPr>
                <w:rFonts w:ascii="Times New Roman" w:hAnsi="Times New Roman" w:cs="Times New Roman"/>
              </w:rPr>
            </w:pPr>
            <w:r>
              <w:rPr>
                <w:rFonts w:ascii="Times New Roman" w:eastAsia="Times New Roman" w:hAnsi="Times New Roman" w:cs="Times New Roman"/>
                <w:lang w:val="en-PH" w:eastAsia="en-PH"/>
              </w:rPr>
              <w:t>exert effort in identifying the nature of the previous years’ balances and make the necessary adjustments and reconciliations thereof to facilitate the immediate remittance of the same to the agencies concerned;</w:t>
            </w:r>
          </w:p>
          <w:p>
            <w:pPr>
              <w:pStyle w:val="ListParagraph"/>
              <w:spacing w:after="0"/>
              <w:ind w:left="286"/>
              <w:jc w:val="both"/>
              <w:rPr>
                <w:rFonts w:ascii="Times New Roman" w:hAnsi="Times New Roman" w:cs="Times New Roman"/>
              </w:rPr>
            </w:pPr>
          </w:p>
          <w:p>
            <w:pPr>
              <w:pStyle w:val="ListParagraph"/>
              <w:numPr>
                <w:ilvl w:val="0"/>
                <w:numId w:val="8"/>
              </w:numPr>
              <w:spacing w:after="0"/>
              <w:ind w:left="286"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ensure full remittance of all taxes, contributions and loan payments withheld to avoid incurrence of unnecessary interests and penalties;</w:t>
            </w:r>
          </w:p>
          <w:p>
            <w:pPr>
              <w:spacing w:after="0"/>
              <w:jc w:val="both"/>
              <w:rPr>
                <w:rFonts w:ascii="Times New Roman" w:eastAsia="Times New Roman" w:hAnsi="Times New Roman" w:cs="Times New Roman"/>
                <w:lang w:val="en-PH" w:eastAsia="en-PH"/>
              </w:rPr>
            </w:pPr>
          </w:p>
          <w:p>
            <w:pPr>
              <w:pStyle w:val="ListParagraph"/>
              <w:numPr>
                <w:ilvl w:val="0"/>
                <w:numId w:val="8"/>
              </w:numPr>
              <w:spacing w:after="0"/>
              <w:ind w:left="286"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enhance internal controls by conducting regular reconciliation of amounts withheld and remitted to avoid over/under remittance; and</w:t>
            </w:r>
          </w:p>
          <w:p>
            <w:pPr>
              <w:spacing w:after="0"/>
              <w:jc w:val="both"/>
              <w:rPr>
                <w:rFonts w:ascii="Times New Roman" w:eastAsia="Times New Roman" w:hAnsi="Times New Roman" w:cs="Times New Roman"/>
                <w:lang w:val="en-PH" w:eastAsia="en-PH"/>
              </w:rPr>
            </w:pPr>
          </w:p>
          <w:p>
            <w:pPr>
              <w:pStyle w:val="ListParagraph"/>
              <w:numPr>
                <w:ilvl w:val="0"/>
                <w:numId w:val="8"/>
              </w:numPr>
              <w:spacing w:after="0"/>
              <w:ind w:left="286" w:hanging="27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update the concerned agencies with any subsequent changes, as required by their respective policies, and do follow-ups if these changes were </w:t>
            </w:r>
            <w:proofErr w:type="gramStart"/>
            <w:r>
              <w:rPr>
                <w:rFonts w:ascii="Times New Roman" w:eastAsia="Times New Roman" w:hAnsi="Times New Roman" w:cs="Times New Roman"/>
                <w:lang w:val="en-PH" w:eastAsia="en-PH"/>
              </w:rPr>
              <w:t>effected</w:t>
            </w:r>
            <w:proofErr w:type="gramEnd"/>
            <w:r>
              <w:rPr>
                <w:rFonts w:ascii="Times New Roman" w:eastAsia="Times New Roman" w:hAnsi="Times New Roman" w:cs="Times New Roman"/>
                <w:lang w:val="en-PH" w:eastAsia="en-PH"/>
              </w:rPr>
              <w:t xml:space="preserve"> and implemented.</w:t>
            </w:r>
          </w:p>
          <w:p>
            <w:pPr>
              <w:spacing w:after="0"/>
              <w:jc w:val="both"/>
              <w:rPr>
                <w:rFonts w:ascii="Times New Roman" w:eastAsia="Times New Roman" w:hAnsi="Times New Roman" w:cs="Times New Roman"/>
                <w:lang w:val="en-PH" w:eastAsia="en-PH"/>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2018</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contextualSpacing/>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Not implemented</w:t>
            </w:r>
          </w:p>
          <w:p>
            <w:pPr>
              <w:spacing w:after="0"/>
              <w:contextualSpacing/>
              <w:rPr>
                <w:rFonts w:ascii="Times New Roman" w:eastAsia="Times New Roman" w:hAnsi="Times New Roman" w:cs="Times New Roman"/>
                <w:lang w:val="en-PH" w:eastAsia="en-PH"/>
              </w:rPr>
            </w:pPr>
          </w:p>
          <w:p>
            <w:pPr>
              <w:spacing w:after="0"/>
              <w:contextualSpacing/>
              <w:rPr>
                <w:rFonts w:ascii="Times New Roman" w:eastAsia="Times New Roman" w:hAnsi="Times New Roman" w:cs="Times New Roman"/>
                <w:lang w:val="en-PH" w:eastAsia="en-PH"/>
              </w:rPr>
            </w:pPr>
          </w:p>
          <w:p>
            <w:pPr>
              <w:spacing w:after="0"/>
              <w:contextualSpacing/>
              <w:rPr>
                <w:rFonts w:ascii="Times New Roman" w:eastAsia="Times New Roman" w:hAnsi="Times New Roman" w:cs="Times New Roman"/>
                <w:lang w:val="en-PH" w:eastAsia="en-PH"/>
              </w:rPr>
            </w:pPr>
          </w:p>
          <w:p>
            <w:pPr>
              <w:spacing w:after="0"/>
              <w:contextualSpacing/>
              <w:rPr>
                <w:rFonts w:ascii="Times New Roman" w:eastAsia="Times New Roman" w:hAnsi="Times New Roman" w:cs="Times New Roman"/>
                <w:lang w:val="en-PH" w:eastAsia="en-PH"/>
              </w:rPr>
            </w:pPr>
          </w:p>
          <w:p>
            <w:pPr>
              <w:spacing w:after="0"/>
              <w:contextualSpacing/>
              <w:rPr>
                <w:rFonts w:ascii="Times New Roman" w:eastAsia="Times New Roman" w:hAnsi="Times New Roman" w:cs="Times New Roman"/>
                <w:lang w:val="en-PH" w:eastAsia="en-PH"/>
              </w:rPr>
            </w:pPr>
          </w:p>
          <w:p>
            <w:pPr>
              <w:spacing w:after="0"/>
              <w:contextualSpacing/>
              <w:rPr>
                <w:rFonts w:ascii="Times New Roman" w:eastAsia="Times New Roman" w:hAnsi="Times New Roman" w:cs="Times New Roman"/>
                <w:lang w:val="en-PH" w:eastAsia="en-PH"/>
              </w:rPr>
            </w:pPr>
          </w:p>
          <w:p>
            <w:pPr>
              <w:spacing w:after="0"/>
              <w:contextualSpacing/>
              <w:rPr>
                <w:rFonts w:ascii="Times New Roman" w:eastAsia="Times New Roman" w:hAnsi="Times New Roman" w:cs="Times New Roman"/>
                <w:lang w:val="en-PH" w:eastAsia="en-PH"/>
              </w:rPr>
            </w:pPr>
          </w:p>
          <w:p>
            <w:pPr>
              <w:spacing w:after="0"/>
              <w:contextualSpacing/>
              <w:rPr>
                <w:rFonts w:ascii="Times New Roman" w:eastAsia="Times New Roman" w:hAnsi="Times New Roman" w:cs="Times New Roman"/>
                <w:lang w:val="en-PH" w:eastAsia="en-PH"/>
              </w:rPr>
            </w:pPr>
          </w:p>
          <w:p>
            <w:pPr>
              <w:spacing w:after="0"/>
              <w:contextualSpacing/>
              <w:rPr>
                <w:rFonts w:ascii="Times New Roman" w:eastAsia="Calibri" w:hAnsi="Times New Roman" w:cs="Times New Roman"/>
                <w:b/>
              </w:rPr>
            </w:pPr>
            <w:r>
              <w:rPr>
                <w:rFonts w:ascii="Times New Roman" w:eastAsia="Times New Roman" w:hAnsi="Times New Roman" w:cs="Times New Roman"/>
                <w:lang w:val="en-PH" w:eastAsia="en-PH"/>
              </w:rPr>
              <w:t xml:space="preserve">Not implemented    </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eastAsia="Times New Roman" w:hAnsi="Times New Roman" w:cs="Times New Roman"/>
                <w:lang w:val="en-PH" w:eastAsia="en-PH"/>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tc>
        <w:tc>
          <w:tcPr>
            <w:tcW w:w="819" w:type="pct"/>
            <w:shd w:val="clear" w:color="auto" w:fill="auto"/>
          </w:tcPr>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p>
          <w:p>
            <w:pPr>
              <w:spacing w:after="0"/>
              <w:contextualSpacing/>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The City Accountant is currently undertaking the retrieval of records and coordinating with other offices.</w:t>
            </w: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There are still outstanding balances noted as at year-end</w:t>
            </w: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contextualSpacing/>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Non-synchronization of activities listed in the GAD Plan and Budget with the Annual Investment Program, and non-submission of GAD accomplishment report, prohibited the establishment of actual monitoring and evaluation system to assess the efficiency and </w:t>
            </w:r>
            <w:r>
              <w:rPr>
                <w:rFonts w:ascii="Times New Roman" w:eastAsia="Times New Roman" w:hAnsi="Times New Roman" w:cs="Times New Roman"/>
                <w:lang w:val="en-PH" w:eastAsia="en-PH"/>
              </w:rPr>
              <w:lastRenderedPageBreak/>
              <w:t>effectiveness of gender mainstreaming efforts.</w:t>
            </w: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We recommended the following:</w:t>
            </w:r>
          </w:p>
          <w:p>
            <w:pPr>
              <w:spacing w:after="0"/>
              <w:jc w:val="both"/>
              <w:rPr>
                <w:rFonts w:ascii="Times New Roman" w:eastAsia="Times New Roman" w:hAnsi="Times New Roman" w:cs="Times New Roman"/>
                <w:lang w:val="en-PH" w:eastAsia="en-PH"/>
              </w:rPr>
            </w:pPr>
          </w:p>
          <w:p>
            <w:pPr>
              <w:pStyle w:val="ListParagraph"/>
              <w:numPr>
                <w:ilvl w:val="0"/>
                <w:numId w:val="3"/>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synchronize the GAD programs and activities listed in the GPB with the gender mainstreaming strategies in the AIP, to incorporate GAD mandates and gender issues that the City intends to address, and </w:t>
            </w:r>
            <w:r>
              <w:rPr>
                <w:rFonts w:ascii="Times New Roman" w:eastAsia="Times New Roman" w:hAnsi="Times New Roman" w:cs="Times New Roman"/>
                <w:lang w:val="en-PH" w:eastAsia="en-PH"/>
              </w:rPr>
              <w:lastRenderedPageBreak/>
              <w:t>to maximize the utilization of funds for the benefit of intended beneficiaries;</w:t>
            </w:r>
          </w:p>
          <w:p>
            <w:pPr>
              <w:spacing w:after="0"/>
              <w:jc w:val="both"/>
              <w:rPr>
                <w:rFonts w:ascii="Times New Roman" w:eastAsia="Times New Roman" w:hAnsi="Times New Roman" w:cs="Times New Roman"/>
                <w:lang w:val="en-PH" w:eastAsia="en-PH"/>
              </w:rPr>
            </w:pPr>
          </w:p>
          <w:p>
            <w:pPr>
              <w:pStyle w:val="ListParagraph"/>
              <w:numPr>
                <w:ilvl w:val="0"/>
                <w:numId w:val="3"/>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conduct a thorough review in the crafting of GPB, in accordance with PCW DBM DILG NEDA JMC No. 2013-01, JMC 2016-01, as amended, and other applicable GAD rules and regulations;</w:t>
            </w:r>
          </w:p>
          <w:p>
            <w:pPr>
              <w:pStyle w:val="ListParagraph"/>
              <w:spacing w:after="0"/>
              <w:ind w:left="286" w:hanging="286"/>
              <w:rPr>
                <w:rFonts w:ascii="Times New Roman" w:eastAsia="Times New Roman" w:hAnsi="Times New Roman" w:cs="Times New Roman"/>
                <w:lang w:val="en-PH" w:eastAsia="en-PH"/>
              </w:rPr>
            </w:pPr>
          </w:p>
          <w:p>
            <w:pPr>
              <w:pStyle w:val="ListParagraph"/>
              <w:numPr>
                <w:ilvl w:val="0"/>
                <w:numId w:val="3"/>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strictly observe the timely submission of report at the time set by COA Circular No. 2014-01 dated March 18, 2014 to ensure the timely evaluation of GAD-related accomplishments; and</w:t>
            </w:r>
          </w:p>
          <w:p>
            <w:pPr>
              <w:pStyle w:val="ListParagraph"/>
              <w:spacing w:after="0"/>
              <w:ind w:left="286" w:hanging="286"/>
              <w:rPr>
                <w:rFonts w:ascii="Times New Roman" w:eastAsia="Times New Roman" w:hAnsi="Times New Roman" w:cs="Times New Roman"/>
                <w:lang w:val="en-PH" w:eastAsia="en-PH"/>
              </w:rPr>
            </w:pPr>
          </w:p>
          <w:p>
            <w:pPr>
              <w:pStyle w:val="ListParagraph"/>
              <w:numPr>
                <w:ilvl w:val="0"/>
                <w:numId w:val="3"/>
              </w:numPr>
              <w:spacing w:after="0"/>
              <w:ind w:left="286" w:hanging="286"/>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ensure the efficient delivery and implementation of GAD programs, projects and activities of implementing </w:t>
            </w:r>
            <w:r>
              <w:rPr>
                <w:rFonts w:ascii="Times New Roman" w:eastAsia="Times New Roman" w:hAnsi="Times New Roman" w:cs="Times New Roman"/>
                <w:lang w:val="en-PH" w:eastAsia="en-PH"/>
              </w:rPr>
              <w:lastRenderedPageBreak/>
              <w:t>departments/offices to guarantee attainment the GAD objectives.</w:t>
            </w:r>
          </w:p>
          <w:p>
            <w:pPr>
              <w:spacing w:after="0"/>
              <w:jc w:val="both"/>
              <w:rPr>
                <w:rFonts w:ascii="Times New Roman" w:eastAsia="Times New Roman" w:hAnsi="Times New Roman" w:cs="Times New Roman"/>
                <w:lang w:val="en-PH" w:eastAsia="en-PH"/>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2018</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b/>
                <w:bCs/>
              </w:rPr>
            </w:pPr>
            <w:r>
              <w:rPr>
                <w:rFonts w:ascii="Times New Roman" w:hAnsi="Times New Roman" w:cs="Times New Roman"/>
              </w:rPr>
              <w:t>Not implemented</w:t>
            </w:r>
          </w:p>
        </w:tc>
        <w:tc>
          <w:tcPr>
            <w:tcW w:w="819" w:type="pct"/>
            <w:shd w:val="clear" w:color="auto" w:fill="auto"/>
          </w:tcPr>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contextualSpacing/>
              <w:jc w:val="both"/>
              <w:rPr>
                <w:rFonts w:ascii="Times New Roman" w:eastAsia="Calibri" w:hAnsi="Times New Roman" w:cs="Times New Roman"/>
              </w:rPr>
            </w:pPr>
            <w:r>
              <w:rPr>
                <w:rFonts w:ascii="Times New Roman" w:eastAsia="Calibri" w:hAnsi="Times New Roman" w:cs="Times New Roman"/>
              </w:rPr>
              <w:t xml:space="preserve">GAD AR for CY 2022 was not submitted to COA, hence, could not be validated/evaluated for the utilization of funds </w:t>
            </w: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contextualSpacing/>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CY 2022 GAD AR was not submitted to COA for evaluation.</w:t>
            </w: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p>
          <w:p>
            <w:pPr>
              <w:spacing w:after="0"/>
              <w:jc w:val="both"/>
              <w:rPr>
                <w:rFonts w:ascii="Times New Roman" w:hAnsi="Times New Roman" w:cs="Times New Roman"/>
              </w:rPr>
            </w:pPr>
            <w:r>
              <w:rPr>
                <w:rFonts w:ascii="Times New Roman" w:eastAsia="Times New Roman" w:hAnsi="Times New Roman" w:cs="Times New Roman"/>
                <w:lang w:val="en-PH" w:eastAsia="en-PH"/>
              </w:rPr>
              <w:t xml:space="preserve">Efficiency in the implementation of GAD-related PAPs was not assessed due to non-submission of </w:t>
            </w:r>
            <w:r>
              <w:rPr>
                <w:rFonts w:ascii="Times New Roman" w:eastAsia="Times New Roman" w:hAnsi="Times New Roman" w:cs="Times New Roman"/>
                <w:lang w:val="en-PH" w:eastAsia="en-PH"/>
              </w:rPr>
              <w:lastRenderedPageBreak/>
              <w:t>GAD AR.</w:t>
            </w:r>
          </w:p>
        </w:tc>
      </w:tr>
      <w:tr>
        <w:trPr>
          <w:jc w:val="right"/>
        </w:trPr>
        <w:tc>
          <w:tcPr>
            <w:tcW w:w="1136" w:type="pct"/>
          </w:tcPr>
          <w:p>
            <w:pPr>
              <w:pStyle w:val="ListParagraph"/>
              <w:numPr>
                <w:ilvl w:val="0"/>
                <w:numId w:val="1"/>
              </w:numPr>
              <w:spacing w:after="0"/>
              <w:ind w:left="240"/>
              <w:jc w:val="both"/>
              <w:rPr>
                <w:rFonts w:ascii="Times New Roman" w:hAnsi="Times New Roman" w:cs="Times New Roman"/>
                <w:bCs/>
              </w:rPr>
            </w:pPr>
            <w:r>
              <w:rPr>
                <w:rFonts w:ascii="Times New Roman" w:eastAsia="Times New Roman" w:hAnsi="Times New Roman" w:cs="Times New Roman"/>
                <w:lang w:val="en-PH" w:eastAsia="en-PH"/>
              </w:rPr>
              <w:lastRenderedPageBreak/>
              <w:t>Accuracy of account Due to National Agencies amounting to P30,516,362.23 as of December 31, 2017 is uncertain due to the following: a) non-adjustment of liquidation or fund utilization received from various national agencies; b) erroneous classification of account; and c) long outstanding and non-moving funds, thus affecting reliability of providing useful information for decision making and faithful representation of the agency’s Financial Statements.</w:t>
            </w: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We recommended that the City Accountant:</w:t>
            </w:r>
          </w:p>
          <w:p>
            <w:pPr>
              <w:spacing w:after="0"/>
              <w:jc w:val="both"/>
              <w:rPr>
                <w:rFonts w:ascii="Times New Roman" w:eastAsia="Times New Roman" w:hAnsi="Times New Roman" w:cs="Times New Roman"/>
                <w:lang w:val="en-PH" w:eastAsia="en-PH"/>
              </w:rPr>
            </w:pPr>
          </w:p>
          <w:p>
            <w:pPr>
              <w:pStyle w:val="ListParagraph"/>
              <w:numPr>
                <w:ilvl w:val="0"/>
                <w:numId w:val="9"/>
              </w:numPr>
              <w:spacing w:after="0"/>
              <w:ind w:left="286" w:hanging="270"/>
              <w:jc w:val="both"/>
              <w:rPr>
                <w:rFonts w:ascii="Times New Roman" w:hAnsi="Times New Roman" w:cs="Times New Roman"/>
              </w:rPr>
            </w:pPr>
            <w:r>
              <w:rPr>
                <w:rFonts w:ascii="Times New Roman" w:eastAsia="Times New Roman" w:hAnsi="Times New Roman" w:cs="Times New Roman"/>
                <w:lang w:val="en-PH" w:eastAsia="en-PH"/>
              </w:rPr>
              <w:t xml:space="preserve">Evaluate the non-moving balance aged more than a year and onward, whether or not dormant or unnecessary, requiring return to the National Treasury. However, if this is a case of unrecorded liquidation already utilized fund, adjustment is proper provided it is properly supported with evidence, whether documents and/or physical, in case it is a </w:t>
            </w:r>
            <w:proofErr w:type="gramStart"/>
            <w:r>
              <w:rPr>
                <w:rFonts w:ascii="Times New Roman" w:eastAsia="Times New Roman" w:hAnsi="Times New Roman" w:cs="Times New Roman"/>
                <w:lang w:val="en-PH" w:eastAsia="en-PH"/>
              </w:rPr>
              <w:t>completed hard projects</w:t>
            </w:r>
            <w:proofErr w:type="gramEnd"/>
            <w:r>
              <w:rPr>
                <w:rFonts w:ascii="Times New Roman" w:eastAsia="Times New Roman" w:hAnsi="Times New Roman" w:cs="Times New Roman"/>
                <w:lang w:val="en-PH" w:eastAsia="en-PH"/>
              </w:rPr>
              <w:t>;</w:t>
            </w:r>
          </w:p>
          <w:p>
            <w:pPr>
              <w:pStyle w:val="ListParagraph"/>
              <w:spacing w:after="0"/>
              <w:ind w:left="286"/>
              <w:jc w:val="both"/>
              <w:rPr>
                <w:rFonts w:ascii="Times New Roman" w:hAnsi="Times New Roman" w:cs="Times New Roman"/>
              </w:rPr>
            </w:pPr>
          </w:p>
          <w:p>
            <w:pPr>
              <w:pStyle w:val="ListParagraph"/>
              <w:numPr>
                <w:ilvl w:val="0"/>
                <w:numId w:val="9"/>
              </w:numPr>
              <w:spacing w:after="0"/>
              <w:ind w:left="286" w:hanging="270"/>
              <w:jc w:val="both"/>
              <w:rPr>
                <w:rFonts w:ascii="Times New Roman" w:hAnsi="Times New Roman" w:cs="Times New Roman"/>
              </w:rPr>
            </w:pPr>
            <w:r>
              <w:rPr>
                <w:rFonts w:ascii="Times New Roman" w:eastAsia="Times New Roman" w:hAnsi="Times New Roman" w:cs="Times New Roman"/>
                <w:lang w:val="en-PH" w:eastAsia="en-PH"/>
              </w:rPr>
              <w:t xml:space="preserve">Draw the necessary adjusting journal entry to reconcile the subsidiary ledger of the donor or </w:t>
            </w:r>
            <w:r>
              <w:rPr>
                <w:rFonts w:ascii="Times New Roman" w:eastAsia="Times New Roman" w:hAnsi="Times New Roman" w:cs="Times New Roman"/>
                <w:lang w:val="en-PH" w:eastAsia="en-PH"/>
              </w:rPr>
              <w:lastRenderedPageBreak/>
              <w:t>national agency against its statement of receipts and disbursements (SORD);</w:t>
            </w:r>
          </w:p>
          <w:p>
            <w:pPr>
              <w:spacing w:after="0"/>
              <w:jc w:val="both"/>
              <w:rPr>
                <w:rFonts w:ascii="Times New Roman" w:hAnsi="Times New Roman" w:cs="Times New Roman"/>
              </w:rPr>
            </w:pPr>
          </w:p>
          <w:p>
            <w:pPr>
              <w:pStyle w:val="ListParagraph"/>
              <w:numPr>
                <w:ilvl w:val="0"/>
                <w:numId w:val="9"/>
              </w:numPr>
              <w:spacing w:after="0"/>
              <w:ind w:left="286" w:hanging="270"/>
              <w:jc w:val="both"/>
              <w:rPr>
                <w:rFonts w:ascii="Times New Roman" w:hAnsi="Times New Roman" w:cs="Times New Roman"/>
              </w:rPr>
            </w:pPr>
            <w:r>
              <w:rPr>
                <w:rFonts w:ascii="Times New Roman" w:eastAsia="Times New Roman" w:hAnsi="Times New Roman" w:cs="Times New Roman"/>
                <w:lang w:val="en-PH" w:eastAsia="en-PH"/>
              </w:rPr>
              <w:t>Correct and adjust all other balances to its appropriate account classification as discussed in this audit observation;</w:t>
            </w:r>
          </w:p>
          <w:p>
            <w:pPr>
              <w:spacing w:after="0"/>
              <w:jc w:val="both"/>
              <w:rPr>
                <w:rFonts w:ascii="Times New Roman" w:hAnsi="Times New Roman" w:cs="Times New Roman"/>
              </w:rPr>
            </w:pPr>
          </w:p>
          <w:p>
            <w:pPr>
              <w:pStyle w:val="ListParagraph"/>
              <w:numPr>
                <w:ilvl w:val="0"/>
                <w:numId w:val="9"/>
              </w:numPr>
              <w:spacing w:after="0"/>
              <w:ind w:left="286" w:hanging="270"/>
              <w:jc w:val="both"/>
              <w:rPr>
                <w:rFonts w:ascii="Times New Roman" w:hAnsi="Times New Roman" w:cs="Times New Roman"/>
              </w:rPr>
            </w:pPr>
            <w:r>
              <w:rPr>
                <w:rFonts w:ascii="Times New Roman" w:eastAsia="Times New Roman" w:hAnsi="Times New Roman" w:cs="Times New Roman"/>
                <w:lang w:val="en-PH" w:eastAsia="en-PH"/>
              </w:rPr>
              <w:t>Implement all other previous years’ audit recommendation, such as that of the PDAF.</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2017</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p>
          <w:p>
            <w:pPr>
              <w:spacing w:after="0"/>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p>
            <w:pPr>
              <w:spacing w:after="0"/>
              <w:jc w:val="center"/>
              <w:rPr>
                <w:rFonts w:ascii="Times New Roman" w:hAnsi="Times New Roman" w:cs="Times New Roman"/>
              </w:rPr>
            </w:pPr>
          </w:p>
          <w:p>
            <w:pPr>
              <w:spacing w:after="0"/>
              <w:jc w:val="center"/>
              <w:rPr>
                <w:rFonts w:ascii="Times New Roman" w:hAnsi="Times New Roman" w:cs="Times New Roman"/>
              </w:rPr>
            </w:pPr>
          </w:p>
        </w:tc>
        <w:tc>
          <w:tcPr>
            <w:tcW w:w="819" w:type="pct"/>
            <w:shd w:val="clear" w:color="auto" w:fill="auto"/>
          </w:tcPr>
          <w:p>
            <w:pPr>
              <w:spacing w:after="0"/>
              <w:contextualSpacing/>
              <w:jc w:val="both"/>
              <w:rPr>
                <w:rFonts w:ascii="Times New Roman" w:eastAsia="Times New Roman" w:hAnsi="Times New Roman" w:cs="Times New Roman"/>
                <w:color w:val="FF0000"/>
                <w:lang w:val="en-PH" w:eastAsia="en-PH"/>
              </w:rPr>
            </w:pPr>
            <w:r>
              <w:rPr>
                <w:rFonts w:ascii="Times New Roman" w:eastAsia="Calibri" w:hAnsi="Times New Roman" w:cs="Times New Roman"/>
              </w:rPr>
              <w:lastRenderedPageBreak/>
              <w:t>Reiterated in CY 2022 thru AOM No. 23-007</w:t>
            </w:r>
          </w:p>
          <w:p>
            <w:pPr>
              <w:spacing w:after="0"/>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hAnsi="Times New Roman" w:cs="Times New Roman"/>
                <w:bCs/>
              </w:rPr>
            </w:pPr>
            <w:r>
              <w:rPr>
                <w:rFonts w:ascii="Times New Roman" w:eastAsia="Times New Roman" w:hAnsi="Times New Roman" w:cs="Times New Roman"/>
                <w:lang w:val="en-PH" w:eastAsia="en-PH"/>
              </w:rPr>
              <w:t xml:space="preserve">Cost of sales on lawn lots and family estates are not recognized when sold, resulted to a net effect of overstating the reported surplus in the operation of Cemetery as of December 31, 2017, inconsistent to public sector accounting standards on inventories held for sale. Meanwhile, the accounts receivables </w:t>
            </w:r>
            <w:r>
              <w:rPr>
                <w:rFonts w:ascii="Times New Roman" w:eastAsia="Times New Roman" w:hAnsi="Times New Roman" w:cs="Times New Roman"/>
                <w:lang w:val="en-PH" w:eastAsia="en-PH"/>
              </w:rPr>
              <w:lastRenderedPageBreak/>
              <w:t xml:space="preserve">totaling P2,757,616.00 is understated by P915,610.00, affecting the fairness and accuracy of the presentation of financial statements.  Lastly, uncollected delinquent accounts totaling P1,321,293.13 manifests poor management of receivables, thus affecting the liquidity of the economic enterprise and increasing risks of loss of government funds.  </w:t>
            </w:r>
          </w:p>
          <w:p>
            <w:pPr>
              <w:pStyle w:val="ListParagraph"/>
              <w:spacing w:after="0"/>
              <w:ind w:left="240"/>
              <w:jc w:val="both"/>
              <w:rPr>
                <w:rFonts w:ascii="Times New Roman" w:hAnsi="Times New Roman" w:cs="Times New Roman"/>
                <w:bCs/>
              </w:rPr>
            </w:pP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We recommended that the CEEMDO, through the </w:t>
            </w:r>
            <w:proofErr w:type="spellStart"/>
            <w:r>
              <w:rPr>
                <w:rFonts w:ascii="Times New Roman" w:eastAsia="Times New Roman" w:hAnsi="Times New Roman" w:cs="Times New Roman"/>
                <w:lang w:val="en-PH" w:eastAsia="en-PH"/>
              </w:rPr>
              <w:t>Panabo</w:t>
            </w:r>
            <w:proofErr w:type="spellEnd"/>
            <w:r>
              <w:rPr>
                <w:rFonts w:ascii="Times New Roman" w:eastAsia="Times New Roman" w:hAnsi="Times New Roman" w:cs="Times New Roman"/>
                <w:lang w:val="en-PH" w:eastAsia="en-PH"/>
              </w:rPr>
              <w:t xml:space="preserve"> City Eternal Garden Officer-in-charge and revenue collector, closely monitor the delinquent accounts and exhaust all efforts and legal remedies to collect the same.  </w:t>
            </w:r>
          </w:p>
          <w:p>
            <w:pPr>
              <w:spacing w:after="0"/>
              <w:jc w:val="both"/>
              <w:rPr>
                <w:rFonts w:ascii="Times New Roman" w:eastAsia="Times New Roman" w:hAnsi="Times New Roman" w:cs="Times New Roman"/>
                <w:lang w:val="en-PH" w:eastAsia="en-PH"/>
              </w:rPr>
            </w:pPr>
          </w:p>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Lastly, we recommended that Management review on the provision of Section 7, to </w:t>
            </w:r>
            <w:r>
              <w:rPr>
                <w:rFonts w:ascii="Times New Roman" w:eastAsia="Times New Roman" w:hAnsi="Times New Roman" w:cs="Times New Roman"/>
                <w:lang w:val="en-PH" w:eastAsia="en-PH"/>
              </w:rPr>
              <w:lastRenderedPageBreak/>
              <w:t xml:space="preserve">ensure that the terms on pre-need plan is accurate, consistent and equitable in the application of the 11% interest rate and recommend to the Local </w:t>
            </w:r>
            <w:proofErr w:type="spellStart"/>
            <w:r>
              <w:rPr>
                <w:rFonts w:ascii="Times New Roman" w:eastAsia="Times New Roman" w:hAnsi="Times New Roman" w:cs="Times New Roman"/>
                <w:lang w:val="en-PH" w:eastAsia="en-PH"/>
              </w:rPr>
              <w:t>Sanggunian</w:t>
            </w:r>
            <w:proofErr w:type="spellEnd"/>
            <w:r>
              <w:rPr>
                <w:rFonts w:ascii="Times New Roman" w:eastAsia="Times New Roman" w:hAnsi="Times New Roman" w:cs="Times New Roman"/>
                <w:lang w:val="en-PH" w:eastAsia="en-PH"/>
              </w:rPr>
              <w:t xml:space="preserve"> for approval on the proposed amendments thereto.</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2017</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hAnsi="Times New Roman" w:cs="Times New Roman"/>
              </w:rPr>
            </w:pPr>
            <w:r>
              <w:rPr>
                <w:rFonts w:ascii="Times New Roman" w:eastAsia="Calibri" w:hAnsi="Times New Roman" w:cs="Times New Roman"/>
              </w:rPr>
              <w:t>No updates were provided nor relevant documents were submitted to the Audit Team to support the implementation of the audit recommendations.</w:t>
            </w:r>
          </w:p>
        </w:tc>
      </w:tr>
      <w:tr>
        <w:trPr>
          <w:jc w:val="right"/>
        </w:trPr>
        <w:tc>
          <w:tcPr>
            <w:tcW w:w="1136" w:type="pct"/>
          </w:tcPr>
          <w:p>
            <w:pPr>
              <w:pStyle w:val="ListParagraph"/>
              <w:numPr>
                <w:ilvl w:val="0"/>
                <w:numId w:val="1"/>
              </w:numPr>
              <w:spacing w:after="0"/>
              <w:ind w:left="240"/>
              <w:jc w:val="both"/>
              <w:rPr>
                <w:rFonts w:ascii="Times New Roman" w:hAnsi="Times New Roman" w:cs="Times New Roman"/>
                <w:bCs/>
              </w:rPr>
            </w:pPr>
            <w:proofErr w:type="gramStart"/>
            <w:r>
              <w:rPr>
                <w:rFonts w:ascii="Times New Roman" w:eastAsia="Times New Roman" w:hAnsi="Times New Roman" w:cs="Times New Roman"/>
                <w:lang w:val="en-PH" w:eastAsia="en-PH"/>
              </w:rPr>
              <w:t>Thirty seven</w:t>
            </w:r>
            <w:proofErr w:type="gramEnd"/>
            <w:r>
              <w:rPr>
                <w:rFonts w:ascii="Times New Roman" w:eastAsia="Times New Roman" w:hAnsi="Times New Roman" w:cs="Times New Roman"/>
                <w:lang w:val="en-PH" w:eastAsia="en-PH"/>
              </w:rPr>
              <w:t xml:space="preserve"> (37) signboards installed for various development projects totaling P77,292,215.25 do not contain information on project cost, dates, status of implementation and contractor/supplier, inconsistent to the existing law and regulations on full disclosure of government </w:t>
            </w:r>
            <w:r>
              <w:rPr>
                <w:rFonts w:ascii="Times New Roman" w:eastAsia="Times New Roman" w:hAnsi="Times New Roman" w:cs="Times New Roman"/>
                <w:lang w:val="en-PH" w:eastAsia="en-PH"/>
              </w:rPr>
              <w:lastRenderedPageBreak/>
              <w:t>transactions, thus, deprives the public the right to information, accountability and transparency.</w:t>
            </w: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We recommended that the LGU, particularly the City Engineer and other concerned implementing Office, ensure compliance of the required information and publicity of government PPAs as a tool of showing transparency of their fiscal responsibility and public accountability.</w:t>
            </w:r>
          </w:p>
          <w:p>
            <w:pPr>
              <w:spacing w:after="0"/>
              <w:jc w:val="both"/>
              <w:rPr>
                <w:rFonts w:ascii="Times New Roman" w:hAnsi="Times New Roman" w:cs="Times New Roman"/>
              </w:rPr>
            </w:pPr>
          </w:p>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We also recommended that the </w:t>
            </w:r>
            <w:r>
              <w:rPr>
                <w:rFonts w:ascii="Times New Roman" w:eastAsia="Times New Roman" w:hAnsi="Times New Roman" w:cs="Times New Roman"/>
                <w:lang w:val="en-PH" w:eastAsia="en-PH"/>
              </w:rPr>
              <w:lastRenderedPageBreak/>
              <w:t>LGU maximize the purpose of the signboard as pay item in the program of works – that is for public information. Stated otherwise, public information in the contract price for the contractor to comply, thus if the information is not complete, government funds is not well compensated.</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2017</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hAnsi="Times New Roman" w:cs="Times New Roman"/>
              </w:rPr>
            </w:pPr>
            <w:r>
              <w:rPr>
                <w:rFonts w:ascii="Times New Roman" w:hAnsi="Times New Roman" w:cs="Times New Roman"/>
              </w:rPr>
              <w:t>Upon ocular inspection, signboards installed are still lacking significant information pertaining to the project</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The real property values are outdated and do not reflect the prevailing market prices due to failure to update and approve the proposed revision of the Schedule of Fair Market Values (SFMV) that is already eight (8) years old since its revision in CY 2009, resulting to forgone revenues from real property taxes and the negative impact on the equity of tax burden.  Just as the existing Revenue Code is not amended, changes on </w:t>
            </w:r>
            <w:r>
              <w:rPr>
                <w:rFonts w:ascii="Times New Roman" w:eastAsia="Times New Roman" w:hAnsi="Times New Roman" w:cs="Times New Roman"/>
                <w:lang w:val="en-PH" w:eastAsia="en-PH"/>
              </w:rPr>
              <w:lastRenderedPageBreak/>
              <w:t>the rates of fees collected at the City Economic Enterprise may not be authorized.</w:t>
            </w:r>
          </w:p>
          <w:p>
            <w:pPr>
              <w:spacing w:after="0"/>
              <w:ind w:left="450"/>
              <w:jc w:val="both"/>
              <w:rPr>
                <w:rFonts w:ascii="Times New Roman" w:hAnsi="Times New Roman" w:cs="Times New Roman"/>
                <w:bCs/>
              </w:rPr>
            </w:pPr>
          </w:p>
        </w:tc>
        <w:tc>
          <w:tcPr>
            <w:tcW w:w="1146" w:type="pct"/>
          </w:tcPr>
          <w:p>
            <w:pPr>
              <w:spacing w:after="0"/>
              <w:jc w:val="both"/>
              <w:rPr>
                <w:rFonts w:ascii="Times New Roman" w:hAnsi="Times New Roman" w:cs="Times New Roman"/>
              </w:rPr>
            </w:pPr>
            <w:r>
              <w:rPr>
                <w:rFonts w:ascii="Times New Roman" w:eastAsia="Times New Roman" w:hAnsi="Times New Roman" w:cs="Times New Roman"/>
                <w:lang w:val="en-PH" w:eastAsia="en-PH"/>
              </w:rPr>
              <w:lastRenderedPageBreak/>
              <w:t xml:space="preserve">We reiterated our recommendation that the Oversight Committee to revisit the Schedule of Fair Market Values and conduct general revision of property assessment as of CY 2017, and submit the same to the </w:t>
            </w:r>
            <w:proofErr w:type="spellStart"/>
            <w:r>
              <w:rPr>
                <w:rFonts w:ascii="Times New Roman" w:eastAsia="Times New Roman" w:hAnsi="Times New Roman" w:cs="Times New Roman"/>
                <w:lang w:val="en-PH" w:eastAsia="en-PH"/>
              </w:rPr>
              <w:t>Sanggunian</w:t>
            </w:r>
            <w:proofErr w:type="spellEnd"/>
            <w:r>
              <w:rPr>
                <w:rFonts w:ascii="Times New Roman" w:eastAsia="Times New Roman" w:hAnsi="Times New Roman" w:cs="Times New Roman"/>
                <w:lang w:val="en-PH" w:eastAsia="en-PH"/>
              </w:rPr>
              <w:t xml:space="preserve"> </w:t>
            </w:r>
            <w:proofErr w:type="spellStart"/>
            <w:r>
              <w:rPr>
                <w:rFonts w:ascii="Times New Roman" w:eastAsia="Times New Roman" w:hAnsi="Times New Roman" w:cs="Times New Roman"/>
                <w:lang w:val="en-PH" w:eastAsia="en-PH"/>
              </w:rPr>
              <w:t>Panlungsod</w:t>
            </w:r>
            <w:proofErr w:type="spellEnd"/>
            <w:r>
              <w:rPr>
                <w:rFonts w:ascii="Times New Roman" w:eastAsia="Times New Roman" w:hAnsi="Times New Roman" w:cs="Times New Roman"/>
                <w:lang w:val="en-PH" w:eastAsia="en-PH"/>
              </w:rPr>
              <w:t xml:space="preserve"> for enactment and approval.   </w:t>
            </w:r>
          </w:p>
        </w:tc>
        <w:tc>
          <w:tcPr>
            <w:tcW w:w="366" w:type="pct"/>
          </w:tcPr>
          <w:p>
            <w:pPr>
              <w:pStyle w:val="NoSpacing"/>
              <w:spacing w:line="276" w:lineRule="auto"/>
              <w:jc w:val="center"/>
              <w:rPr>
                <w:rFonts w:ascii="Times New Roman" w:hAnsi="Times New Roman"/>
              </w:rPr>
            </w:pPr>
            <w:r>
              <w:rPr>
                <w:rFonts w:ascii="Times New Roman" w:hAnsi="Times New Roman"/>
              </w:rPr>
              <w:t>AAR 2016</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eastAsia="Times New Roman" w:hAnsi="Times New Roman" w:cs="Times New Roman"/>
                <w:lang w:val="en-PH" w:eastAsia="en-PH"/>
              </w:rPr>
              <w:t xml:space="preserve">Not implemented    </w:t>
            </w:r>
          </w:p>
        </w:tc>
        <w:tc>
          <w:tcPr>
            <w:tcW w:w="819" w:type="pct"/>
            <w:shd w:val="clear" w:color="auto" w:fill="auto"/>
          </w:tcPr>
          <w:p>
            <w:pPr>
              <w:spacing w:after="0"/>
              <w:jc w:val="both"/>
              <w:rPr>
                <w:rFonts w:ascii="Times New Roman" w:hAnsi="Times New Roman" w:cs="Times New Roman"/>
              </w:rPr>
            </w:pPr>
            <w:r>
              <w:rPr>
                <w:rFonts w:ascii="Times New Roman" w:eastAsia="Times New Roman" w:hAnsi="Times New Roman" w:cs="Times New Roman"/>
                <w:lang w:val="en-PH" w:eastAsia="en-PH"/>
              </w:rPr>
              <w:t>The SFMV was not revised since CY 2009.</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Payments of honoraria to local boards and councils amounting to P620,700.00 were either without legal bases or granted in excess of what is allowed by similar bodies creating such pursuant to a law or presidential authority thus, overstating the personal services account and understating the income of the City.</w:t>
            </w:r>
          </w:p>
        </w:tc>
        <w:tc>
          <w:tcPr>
            <w:tcW w:w="1146" w:type="pct"/>
          </w:tcPr>
          <w:p>
            <w:pPr>
              <w:spacing w:after="0"/>
              <w:jc w:val="both"/>
              <w:rPr>
                <w:rFonts w:ascii="Times New Roman" w:hAnsi="Times New Roman" w:cs="Times New Roman"/>
              </w:rPr>
            </w:pPr>
            <w:r>
              <w:rPr>
                <w:rFonts w:ascii="Times New Roman" w:eastAsia="Times New Roman" w:hAnsi="Times New Roman" w:cs="Times New Roman"/>
                <w:lang w:val="en-PH" w:eastAsia="en-PH"/>
              </w:rPr>
              <w:t>We recommended settling the disallowance issued on the following payments without legal bases or authority and/or those that exceeded the limit allowed to be paid to personnel or officials.</w:t>
            </w:r>
          </w:p>
        </w:tc>
        <w:tc>
          <w:tcPr>
            <w:tcW w:w="366" w:type="pct"/>
          </w:tcPr>
          <w:p>
            <w:pPr>
              <w:pStyle w:val="NoSpacing"/>
              <w:spacing w:line="276" w:lineRule="auto"/>
              <w:jc w:val="center"/>
              <w:rPr>
                <w:rFonts w:ascii="Times New Roman" w:hAnsi="Times New Roman"/>
              </w:rPr>
            </w:pPr>
            <w:r>
              <w:rPr>
                <w:rFonts w:ascii="Times New Roman" w:hAnsi="Times New Roman"/>
              </w:rPr>
              <w:t>AAR 2015</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tc>
        <w:tc>
          <w:tcPr>
            <w:tcW w:w="819" w:type="pct"/>
            <w:shd w:val="clear" w:color="auto" w:fill="auto"/>
          </w:tcPr>
          <w:p>
            <w:pPr>
              <w:spacing w:after="0"/>
              <w:jc w:val="both"/>
              <w:rPr>
                <w:rFonts w:ascii="Times New Roman" w:hAnsi="Times New Roman" w:cs="Times New Roman"/>
              </w:rPr>
            </w:pPr>
            <w:r>
              <w:rPr>
                <w:rFonts w:ascii="Times New Roman" w:eastAsia="Times New Roman" w:hAnsi="Times New Roman" w:cs="Times New Roman"/>
                <w:lang w:val="en-PH" w:eastAsia="en-PH"/>
              </w:rPr>
              <w:t>As of December 31, 2022, the Disallowance has a remaining outstanding balance of P126,400.00.   No settlement was made during the year.</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Cash shortage totaling P179,747.70 as of December 31, 2015, representing the unremitted and under declared collections in 2013 of P121,868.20 and P57,879.50, respectively remained unsettled, while </w:t>
            </w:r>
            <w:r>
              <w:rPr>
                <w:rFonts w:ascii="Times New Roman" w:eastAsia="Times New Roman" w:hAnsi="Times New Roman" w:cs="Times New Roman"/>
                <w:lang w:val="en-PH" w:eastAsia="en-PH"/>
              </w:rPr>
              <w:lastRenderedPageBreak/>
              <w:t>collections totaling P737,193.64 were not promptly turned over by the collector to the liquidating officer, thereby incurring delays from one to six months and exposing government funds to probable loss, misuse and wastage.</w:t>
            </w: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We recommended that the Accounting and Treasury Offices take up in the books the cash shortage amounting to P179,747.70 as receivable from the City Treasurer and file appropriate charges against Ms. </w:t>
            </w:r>
            <w:proofErr w:type="spellStart"/>
            <w:r>
              <w:rPr>
                <w:rFonts w:ascii="Times New Roman" w:eastAsia="Times New Roman" w:hAnsi="Times New Roman" w:cs="Times New Roman"/>
                <w:lang w:val="en-PH" w:eastAsia="en-PH"/>
              </w:rPr>
              <w:t>Sison</w:t>
            </w:r>
            <w:proofErr w:type="spellEnd"/>
            <w:r>
              <w:rPr>
                <w:rFonts w:ascii="Times New Roman" w:eastAsia="Times New Roman" w:hAnsi="Times New Roman" w:cs="Times New Roman"/>
                <w:lang w:val="en-PH" w:eastAsia="en-PH"/>
              </w:rPr>
              <w:t xml:space="preserve"> identified to have caused the shortages to recover </w:t>
            </w:r>
            <w:r>
              <w:rPr>
                <w:rFonts w:ascii="Times New Roman" w:eastAsia="Times New Roman" w:hAnsi="Times New Roman" w:cs="Times New Roman"/>
                <w:lang w:val="en-PH" w:eastAsia="en-PH"/>
              </w:rPr>
              <w:lastRenderedPageBreak/>
              <w:t>the said amount.</w:t>
            </w:r>
          </w:p>
          <w:p>
            <w:pPr>
              <w:spacing w:after="0"/>
              <w:jc w:val="both"/>
              <w:rPr>
                <w:rFonts w:ascii="Times New Roman" w:eastAsia="Times New Roman" w:hAnsi="Times New Roman" w:cs="Times New Roman"/>
                <w:lang w:val="en-PH" w:eastAsia="en-PH"/>
              </w:rPr>
            </w:pPr>
          </w:p>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We further recommended that the CTO submit monthly to this Office an electronic copy of the detailed report of collections indicating therein the date, individual OR number, payee, corresponding amount, nature of collection and name of collector per fund.</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2015</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Not implemented</w:t>
            </w: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p>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tc>
        <w:tc>
          <w:tcPr>
            <w:tcW w:w="819" w:type="pct"/>
            <w:shd w:val="clear" w:color="auto" w:fill="auto"/>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Not yet recorded in the accounting books since the City Treasurer’s Office has not furnished the City Accounting Office the copies of the official receipts/ supporting </w:t>
            </w:r>
            <w:r>
              <w:rPr>
                <w:rFonts w:ascii="Times New Roman" w:eastAsia="Times New Roman" w:hAnsi="Times New Roman" w:cs="Times New Roman"/>
                <w:lang w:val="en-PH" w:eastAsia="en-PH"/>
              </w:rPr>
              <w:lastRenderedPageBreak/>
              <w:t>documents.</w:t>
            </w:r>
          </w:p>
          <w:p>
            <w:pPr>
              <w:spacing w:after="0"/>
              <w:jc w:val="both"/>
              <w:rPr>
                <w:rFonts w:ascii="Times New Roman" w:eastAsia="Times New Roman" w:hAnsi="Times New Roman" w:cs="Times New Roman"/>
                <w:lang w:val="en-PH" w:eastAsia="en-PH"/>
              </w:rPr>
            </w:pPr>
          </w:p>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Details are available for viewing in ETRACS</w:t>
            </w:r>
          </w:p>
          <w:p>
            <w:pPr>
              <w:spacing w:after="0"/>
              <w:jc w:val="both"/>
              <w:rPr>
                <w:rFonts w:ascii="Times New Roman" w:hAnsi="Times New Roman" w:cs="Times New Roman"/>
              </w:rPr>
            </w:pP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 xml:space="preserve">The existence, accuracy, and fair presentation of the Cash in Bank-LCCA (111) amounting to P314,688,326.21 as of December 31, 2014, could not be ascertained due to the presence of unrecorded and unverified reconciling items amounting to P2,088,145.67. </w:t>
            </w:r>
          </w:p>
          <w:p>
            <w:pPr>
              <w:pStyle w:val="ListParagraph"/>
              <w:spacing w:after="0"/>
              <w:ind w:left="240"/>
              <w:jc w:val="both"/>
              <w:rPr>
                <w:rFonts w:ascii="Times New Roman" w:eastAsia="Times New Roman" w:hAnsi="Times New Roman" w:cs="Times New Roman"/>
                <w:lang w:val="en-PH" w:eastAsia="en-PH"/>
              </w:rPr>
            </w:pPr>
          </w:p>
        </w:tc>
        <w:tc>
          <w:tcPr>
            <w:tcW w:w="1146" w:type="pct"/>
          </w:tcPr>
          <w:p>
            <w:pPr>
              <w:spacing w:after="0"/>
              <w:jc w:val="both"/>
              <w:rPr>
                <w:rFonts w:ascii="Times New Roman" w:hAnsi="Times New Roman" w:cs="Times New Roman"/>
              </w:rPr>
            </w:pPr>
            <w:r>
              <w:rPr>
                <w:rFonts w:ascii="Times New Roman" w:eastAsia="Times New Roman" w:hAnsi="Times New Roman" w:cs="Times New Roman"/>
                <w:lang w:val="en-PH" w:eastAsia="en-PH"/>
              </w:rPr>
              <w:t>It is further recommended that the CTO investigate and determine the accountable officer (AO) immediately responsible for the deposit in transit (DIT) amounting to P39,156.48 and require the refund of the same.</w:t>
            </w:r>
          </w:p>
        </w:tc>
        <w:tc>
          <w:tcPr>
            <w:tcW w:w="366" w:type="pct"/>
          </w:tcPr>
          <w:p>
            <w:pPr>
              <w:pStyle w:val="NoSpacing"/>
              <w:spacing w:line="276" w:lineRule="auto"/>
              <w:jc w:val="center"/>
              <w:rPr>
                <w:rFonts w:ascii="Times New Roman" w:hAnsi="Times New Roman"/>
              </w:rPr>
            </w:pPr>
            <w:r>
              <w:rPr>
                <w:rFonts w:ascii="Times New Roman" w:hAnsi="Times New Roman"/>
              </w:rPr>
              <w:t>AAR 2014</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jc w:val="center"/>
              <w:rPr>
                <w:rFonts w:ascii="Times New Roman" w:hAnsi="Times New Roman" w:cs="Times New Roman"/>
              </w:rPr>
            </w:pPr>
            <w:r>
              <w:rPr>
                <w:rFonts w:ascii="Times New Roman" w:hAnsi="Times New Roman" w:cs="Times New Roman"/>
              </w:rPr>
              <w:t>Fully</w:t>
            </w:r>
          </w:p>
          <w:p>
            <w:pPr>
              <w:spacing w:after="0"/>
              <w:jc w:val="center"/>
              <w:rPr>
                <w:rFonts w:ascii="Times New Roman" w:hAnsi="Times New Roman" w:cs="Times New Roman"/>
              </w:rPr>
            </w:pPr>
            <w:r>
              <w:rPr>
                <w:rFonts w:ascii="Times New Roman" w:hAnsi="Times New Roman" w:cs="Times New Roman"/>
              </w:rPr>
              <w:t>Implemented</w:t>
            </w:r>
          </w:p>
        </w:tc>
        <w:tc>
          <w:tcPr>
            <w:tcW w:w="819" w:type="pct"/>
            <w:shd w:val="clear" w:color="auto" w:fill="auto"/>
          </w:tcPr>
          <w:p>
            <w:pPr>
              <w:spacing w:after="0"/>
              <w:contextualSpacing/>
              <w:jc w:val="both"/>
              <w:rPr>
                <w:rFonts w:ascii="Times New Roman" w:eastAsia="Calibri" w:hAnsi="Times New Roman" w:cs="Times New Roman"/>
                <w:color w:val="FF0000"/>
              </w:rPr>
            </w:pPr>
            <w:r>
              <w:rPr>
                <w:rFonts w:ascii="Times New Roman" w:eastAsia="Calibri" w:hAnsi="Times New Roman" w:cs="Times New Roman"/>
              </w:rPr>
              <w:t>Reiterated in CY 2022 thru AOM No. 23-006</w:t>
            </w:r>
          </w:p>
        </w:tc>
      </w:tr>
      <w:tr>
        <w:trPr>
          <w:jc w:val="right"/>
        </w:trPr>
        <w:tc>
          <w:tcPr>
            <w:tcW w:w="1136" w:type="pct"/>
          </w:tcPr>
          <w:p>
            <w:pPr>
              <w:pStyle w:val="ListParagraph"/>
              <w:numPr>
                <w:ilvl w:val="0"/>
                <w:numId w:val="1"/>
              </w:numPr>
              <w:spacing w:after="0"/>
              <w:ind w:left="24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 xml:space="preserve">Cash in Bank amounting to P33,180.73 as of December 31, 2014 is no longer </w:t>
            </w:r>
            <w:r>
              <w:rPr>
                <w:rFonts w:ascii="Times New Roman" w:eastAsia="Times New Roman" w:hAnsi="Times New Roman" w:cs="Times New Roman"/>
                <w:lang w:val="en-PH" w:eastAsia="en-PH"/>
              </w:rPr>
              <w:lastRenderedPageBreak/>
              <w:t>existing with One Network Bank as per bank confirmation due to account dormancy thus, affecting the consistency and accuracy of the amounts presented in the financial statement.</w:t>
            </w:r>
          </w:p>
          <w:p>
            <w:pPr>
              <w:spacing w:after="0"/>
              <w:ind w:left="450"/>
              <w:jc w:val="both"/>
              <w:rPr>
                <w:rFonts w:ascii="Times New Roman" w:hAnsi="Times New Roman" w:cs="Times New Roman"/>
                <w:bCs/>
              </w:rPr>
            </w:pPr>
          </w:p>
        </w:tc>
        <w:tc>
          <w:tcPr>
            <w:tcW w:w="1146" w:type="pct"/>
          </w:tcPr>
          <w:p>
            <w:pPr>
              <w:spacing w:after="0"/>
              <w:jc w:val="both"/>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lastRenderedPageBreak/>
              <w:t>We recommended investigating what caused the bank error transaction or non-</w:t>
            </w:r>
            <w:r>
              <w:rPr>
                <w:rFonts w:ascii="Times New Roman" w:eastAsia="Times New Roman" w:hAnsi="Times New Roman" w:cs="Times New Roman"/>
                <w:lang w:val="en-PH" w:eastAsia="en-PH"/>
              </w:rPr>
              <w:lastRenderedPageBreak/>
              <w:t>existing account of the LGU’s account maintained with One Network Bank.  Retrieve any available bank document informing the LGU of its dormant account prior to the imposition of dormancy fee, otherwise, it may have violated BSP Circular No. 485. Otherwise, if the dormancy charges or was due to negligence, then the loss shall be borne by the officer responsible therefore.</w:t>
            </w:r>
          </w:p>
          <w:p>
            <w:pPr>
              <w:spacing w:after="0"/>
              <w:jc w:val="both"/>
              <w:rPr>
                <w:rFonts w:ascii="Times New Roman" w:hAnsi="Times New Roman" w:cs="Times New Roman"/>
              </w:rPr>
            </w:pPr>
          </w:p>
        </w:tc>
        <w:tc>
          <w:tcPr>
            <w:tcW w:w="366" w:type="pct"/>
          </w:tcPr>
          <w:p>
            <w:pPr>
              <w:pStyle w:val="NoSpacing"/>
              <w:spacing w:line="276" w:lineRule="auto"/>
              <w:jc w:val="center"/>
              <w:rPr>
                <w:rFonts w:ascii="Times New Roman" w:hAnsi="Times New Roman"/>
              </w:rPr>
            </w:pPr>
            <w:r>
              <w:rPr>
                <w:rFonts w:ascii="Times New Roman" w:hAnsi="Times New Roman"/>
              </w:rPr>
              <w:lastRenderedPageBreak/>
              <w:t>AAR 2014</w:t>
            </w:r>
          </w:p>
        </w:tc>
        <w:tc>
          <w:tcPr>
            <w:tcW w:w="836" w:type="pct"/>
            <w:shd w:val="clear" w:color="auto" w:fill="auto"/>
          </w:tcPr>
          <w:p>
            <w:pPr>
              <w:spacing w:after="0"/>
              <w:contextualSpacing/>
              <w:jc w:val="both"/>
              <w:rPr>
                <w:rFonts w:ascii="Times New Roman" w:hAnsi="Times New Roman" w:cs="Times New Roman"/>
              </w:rPr>
            </w:pPr>
          </w:p>
        </w:tc>
        <w:tc>
          <w:tcPr>
            <w:tcW w:w="697" w:type="pct"/>
          </w:tcPr>
          <w:p>
            <w:pPr>
              <w:spacing w:after="0"/>
              <w:contextualSpacing/>
              <w:jc w:val="center"/>
              <w:rPr>
                <w:rFonts w:ascii="Times New Roman" w:eastAsia="Times New Roman" w:hAnsi="Times New Roman" w:cs="Times New Roman"/>
                <w:lang w:val="en-PH" w:eastAsia="en-PH"/>
              </w:rPr>
            </w:pPr>
            <w:r>
              <w:rPr>
                <w:rFonts w:ascii="Times New Roman" w:eastAsia="Times New Roman" w:hAnsi="Times New Roman" w:cs="Times New Roman"/>
                <w:lang w:val="en-PH" w:eastAsia="en-PH"/>
              </w:rPr>
              <w:t>Fully</w:t>
            </w:r>
          </w:p>
          <w:p>
            <w:pPr>
              <w:spacing w:after="0"/>
              <w:contextualSpacing/>
              <w:jc w:val="center"/>
              <w:rPr>
                <w:rFonts w:ascii="Times New Roman" w:eastAsia="Calibri" w:hAnsi="Times New Roman" w:cs="Times New Roman"/>
                <w:b/>
              </w:rPr>
            </w:pPr>
            <w:r>
              <w:rPr>
                <w:rFonts w:ascii="Times New Roman" w:eastAsia="Times New Roman" w:hAnsi="Times New Roman" w:cs="Times New Roman"/>
                <w:lang w:val="en-PH" w:eastAsia="en-PH"/>
              </w:rPr>
              <w:t>Implemented</w:t>
            </w:r>
          </w:p>
          <w:p>
            <w:pPr>
              <w:spacing w:after="0"/>
              <w:jc w:val="center"/>
              <w:rPr>
                <w:rFonts w:ascii="Times New Roman" w:hAnsi="Times New Roman" w:cs="Times New Roman"/>
              </w:rPr>
            </w:pPr>
          </w:p>
        </w:tc>
        <w:tc>
          <w:tcPr>
            <w:tcW w:w="819" w:type="pct"/>
            <w:shd w:val="clear" w:color="auto" w:fill="auto"/>
          </w:tcPr>
          <w:p>
            <w:pPr>
              <w:spacing w:after="0"/>
              <w:jc w:val="both"/>
              <w:rPr>
                <w:rFonts w:ascii="Times New Roman" w:hAnsi="Times New Roman" w:cs="Times New Roman"/>
              </w:rPr>
            </w:pPr>
            <w:r>
              <w:rPr>
                <w:rFonts w:ascii="Times New Roman" w:eastAsia="Times New Roman" w:hAnsi="Times New Roman" w:cs="Times New Roman"/>
                <w:lang w:val="en-PH" w:eastAsia="en-PH"/>
              </w:rPr>
              <w:t>Reiterated in CY 2022 thru AOM No. 23-014</w:t>
            </w:r>
          </w:p>
        </w:tc>
      </w:tr>
    </w:tbl>
    <w:p/>
    <w:sectPr>
      <w:footerReference w:type="default" r:id="rId8"/>
      <w:pgSz w:w="15840" w:h="12240" w:orient="landscape" w:code="1"/>
      <w:pgMar w:top="2160" w:right="1440" w:bottom="1440" w:left="1440" w:header="720" w:footer="680" w:gutter="0"/>
      <w:pgNumType w:start="25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3104326"/>
      <w:docPartObj>
        <w:docPartGallery w:val="Page Numbers (Bottom of Page)"/>
        <w:docPartUnique/>
      </w:docPartObj>
    </w:sdtPr>
    <w:sdtEndPr>
      <w:rPr>
        <w:rFonts w:ascii="Times New Roman" w:hAnsi="Times New Roman" w:cs="Times New Roman"/>
        <w:noProof/>
        <w:sz w:val="24"/>
        <w:szCs w:val="24"/>
      </w:rPr>
    </w:sdtEndPr>
    <w:sdtContent>
      <w:p>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254</w:t>
        </w:r>
        <w:r>
          <w:rPr>
            <w:rFonts w:ascii="Times New Roman" w:hAnsi="Times New Roman" w:cs="Times New Roman"/>
            <w:noProof/>
            <w:sz w:val="24"/>
            <w:szCs w:val="24"/>
          </w:rP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019EC"/>
    <w:multiLevelType w:val="hybridMultilevel"/>
    <w:tmpl w:val="E0E08530"/>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C0F5247"/>
    <w:multiLevelType w:val="hybridMultilevel"/>
    <w:tmpl w:val="7892E85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9865E98"/>
    <w:multiLevelType w:val="hybridMultilevel"/>
    <w:tmpl w:val="DC6493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CD13E47"/>
    <w:multiLevelType w:val="hybridMultilevel"/>
    <w:tmpl w:val="D4AECB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EA43870"/>
    <w:multiLevelType w:val="hybridMultilevel"/>
    <w:tmpl w:val="78248C8C"/>
    <w:lvl w:ilvl="0" w:tplc="459A724E">
      <w:start w:val="1"/>
      <w:numFmt w:val="decimal"/>
      <w:lvlText w:val="%1."/>
      <w:lvlJc w:val="left"/>
      <w:pPr>
        <w:ind w:left="360" w:hanging="360"/>
      </w:pPr>
      <w:rPr>
        <w:rFonts w:hint="default"/>
        <w:color w:val="auto"/>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23047887"/>
    <w:multiLevelType w:val="hybridMultilevel"/>
    <w:tmpl w:val="0226E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30052C"/>
    <w:multiLevelType w:val="hybridMultilevel"/>
    <w:tmpl w:val="559E04B2"/>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09F4261"/>
    <w:multiLevelType w:val="hybridMultilevel"/>
    <w:tmpl w:val="70141A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ED62121"/>
    <w:multiLevelType w:val="hybridMultilevel"/>
    <w:tmpl w:val="4670C93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50A04F1D"/>
    <w:multiLevelType w:val="hybridMultilevel"/>
    <w:tmpl w:val="99B41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A016E"/>
    <w:multiLevelType w:val="hybridMultilevel"/>
    <w:tmpl w:val="02082CB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C8C4276"/>
    <w:multiLevelType w:val="hybridMultilevel"/>
    <w:tmpl w:val="B67E81D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5E923F49"/>
    <w:multiLevelType w:val="hybridMultilevel"/>
    <w:tmpl w:val="02082CB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5FA163B7"/>
    <w:multiLevelType w:val="hybridMultilevel"/>
    <w:tmpl w:val="5C30139C"/>
    <w:lvl w:ilvl="0" w:tplc="34090011">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abstractNumId w:val="4"/>
  </w:num>
  <w:num w:numId="2">
    <w:abstractNumId w:val="8"/>
  </w:num>
  <w:num w:numId="3">
    <w:abstractNumId w:val="13"/>
  </w:num>
  <w:num w:numId="4">
    <w:abstractNumId w:val="0"/>
  </w:num>
  <w:num w:numId="5">
    <w:abstractNumId w:val="2"/>
  </w:num>
  <w:num w:numId="6">
    <w:abstractNumId w:val="6"/>
  </w:num>
  <w:num w:numId="7">
    <w:abstractNumId w:val="3"/>
  </w:num>
  <w:num w:numId="8">
    <w:abstractNumId w:val="1"/>
  </w:num>
  <w:num w:numId="9">
    <w:abstractNumId w:val="7"/>
  </w:num>
  <w:num w:numId="10">
    <w:abstractNumId w:val="9"/>
  </w:num>
  <w:num w:numId="11">
    <w:abstractNumId w:val="5"/>
  </w:num>
  <w:num w:numId="12">
    <w:abstractNumId w:val="11"/>
  </w:num>
  <w:num w:numId="13">
    <w:abstractNumId w:val="10"/>
  </w:num>
  <w:num w:numId="1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revisionView w:inkAnnotations="0"/>
  <w:documentProtection w:edit="forms" w:enforcement="1" w:cryptProviderType="rsaAES" w:cryptAlgorithmClass="hash" w:cryptAlgorithmType="typeAny" w:cryptAlgorithmSid="14" w:cryptSpinCount="100000" w:hash="eZkgcxLDgMHJuNeBGsEF6VV+8mJ10XUA0Pdd0pGCrURyiGOp4jtuUUqM4nSGHGbLaAeYcekLtYpkcrmA6bpUqw==" w:salt="+cnxZ8v0j8noHddCb0r+KQ=="/>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wJic0MDY0NTQ0MTYyUdpeDU4uLM/DyQAtNaAHGClZAsAAAA"/>
  </w:docVar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2DEF7F87-5C45-475F-A12D-5AA368937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esume Title"/>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odyText">
    <w:name w:val="Body Text"/>
    <w:basedOn w:val="Normal"/>
    <w:link w:val="BodyTextChar"/>
    <w:unhideWhenUsed/>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Pr>
      <w:rFonts w:ascii="Times New Roman" w:eastAsia="Times New Roman" w:hAnsi="Times New Roman" w:cs="Times New Roman"/>
      <w:sz w:val="24"/>
      <w:szCs w:val="24"/>
    </w:rPr>
  </w:style>
  <w:style w:type="paragraph" w:styleId="NoSpacing">
    <w:name w:val="No Spacing"/>
    <w:link w:val="NoSpacingChar"/>
    <w:qFormat/>
    <w:pPr>
      <w:spacing w:after="0" w:line="240" w:lineRule="auto"/>
    </w:pPr>
    <w:rPr>
      <w:rFonts w:ascii="Calibri" w:eastAsia="Calibri" w:hAnsi="Calibri" w:cs="Times New Roman"/>
      <w:lang w:val="en-PH"/>
    </w:rPr>
  </w:style>
  <w:style w:type="paragraph" w:styleId="EndnoteText">
    <w:name w:val="endnote text"/>
    <w:basedOn w:val="Normal"/>
    <w:link w:val="EndnoteTextChar"/>
    <w:uiPriority w:val="99"/>
    <w:unhideWhenUsed/>
    <w:pPr>
      <w:spacing w:after="0" w:line="240" w:lineRule="auto"/>
    </w:pPr>
    <w:rPr>
      <w:rFonts w:ascii="Calibri" w:eastAsia="Calibri" w:hAnsi="Calibri" w:cs="Times New Roman"/>
      <w:sz w:val="20"/>
      <w:szCs w:val="20"/>
      <w:lang w:val="en-PH"/>
    </w:rPr>
  </w:style>
  <w:style w:type="character" w:customStyle="1" w:styleId="EndnoteTextChar">
    <w:name w:val="Endnote Text Char"/>
    <w:basedOn w:val="DefaultParagraphFont"/>
    <w:link w:val="EndnoteText"/>
    <w:uiPriority w:val="99"/>
    <w:rPr>
      <w:rFonts w:ascii="Calibri" w:eastAsia="Calibri" w:hAnsi="Calibri" w:cs="Times New Roman"/>
      <w:sz w:val="20"/>
      <w:szCs w:val="20"/>
      <w:lang w:val="en-PH"/>
    </w:rPr>
  </w:style>
  <w:style w:type="character" w:styleId="EndnoteReference">
    <w:name w:val="endnote reference"/>
    <w:uiPriority w:val="99"/>
    <w:unhideWhenUsed/>
    <w:rPr>
      <w:vertAlign w:val="superscript"/>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ListParagraphChar">
    <w:name w:val="List Paragraph Char"/>
    <w:aliases w:val="Resume Title Char"/>
    <w:link w:val="ListParagraph"/>
    <w:qFormat/>
  </w:style>
  <w:style w:type="paragraph" w:styleId="NormalWeb">
    <w:name w:val="Normal (Web)"/>
    <w:basedOn w:val="Normal"/>
    <w:uiPriority w:val="99"/>
    <w:pPr>
      <w:spacing w:before="100" w:beforeAutospacing="1" w:after="100" w:afterAutospacing="1" w:line="240" w:lineRule="auto"/>
    </w:pPr>
    <w:rPr>
      <w:rFonts w:ascii="Arial" w:eastAsia="Times New Roman" w:hAnsi="Arial" w:cs="Arial"/>
      <w:color w:val="000080"/>
      <w:sz w:val="21"/>
      <w:szCs w:val="21"/>
    </w:rPr>
  </w:style>
  <w:style w:type="character" w:customStyle="1" w:styleId="NoSpacingChar">
    <w:name w:val="No Spacing Char"/>
    <w:link w:val="NoSpacing"/>
    <w:uiPriority w:val="1"/>
    <w:locked/>
    <w:rPr>
      <w:rFonts w:ascii="Calibri" w:eastAsia="Calibri" w:hAnsi="Calibri" w:cs="Times New Roman"/>
      <w:lang w:val="en-PH"/>
    </w:rPr>
  </w:style>
  <w:style w:type="paragraph" w:customStyle="1" w:styleId="ListParagraph1">
    <w:name w:val="List Paragraph1"/>
    <w:basedOn w:val="Normal"/>
    <w:uiPriority w:val="34"/>
    <w:qFormat/>
    <w:pPr>
      <w:spacing w:after="0" w:line="240" w:lineRule="auto"/>
      <w:ind w:left="720"/>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005852">
      <w:bodyDiv w:val="1"/>
      <w:marLeft w:val="0"/>
      <w:marRight w:val="0"/>
      <w:marTop w:val="0"/>
      <w:marBottom w:val="0"/>
      <w:divBdr>
        <w:top w:val="none" w:sz="0" w:space="0" w:color="auto"/>
        <w:left w:val="none" w:sz="0" w:space="0" w:color="auto"/>
        <w:bottom w:val="none" w:sz="0" w:space="0" w:color="auto"/>
        <w:right w:val="none" w:sz="0" w:space="0" w:color="auto"/>
      </w:divBdr>
    </w:div>
    <w:div w:id="504397305">
      <w:bodyDiv w:val="1"/>
      <w:marLeft w:val="0"/>
      <w:marRight w:val="0"/>
      <w:marTop w:val="0"/>
      <w:marBottom w:val="0"/>
      <w:divBdr>
        <w:top w:val="none" w:sz="0" w:space="0" w:color="auto"/>
        <w:left w:val="none" w:sz="0" w:space="0" w:color="auto"/>
        <w:bottom w:val="none" w:sz="0" w:space="0" w:color="auto"/>
        <w:right w:val="none" w:sz="0" w:space="0" w:color="auto"/>
      </w:divBdr>
    </w:div>
    <w:div w:id="655304446">
      <w:bodyDiv w:val="1"/>
      <w:marLeft w:val="0"/>
      <w:marRight w:val="0"/>
      <w:marTop w:val="0"/>
      <w:marBottom w:val="0"/>
      <w:divBdr>
        <w:top w:val="none" w:sz="0" w:space="0" w:color="auto"/>
        <w:left w:val="none" w:sz="0" w:space="0" w:color="auto"/>
        <w:bottom w:val="none" w:sz="0" w:space="0" w:color="auto"/>
        <w:right w:val="none" w:sz="0" w:space="0" w:color="auto"/>
      </w:divBdr>
    </w:div>
    <w:div w:id="830365199">
      <w:bodyDiv w:val="1"/>
      <w:marLeft w:val="0"/>
      <w:marRight w:val="0"/>
      <w:marTop w:val="0"/>
      <w:marBottom w:val="0"/>
      <w:divBdr>
        <w:top w:val="none" w:sz="0" w:space="0" w:color="auto"/>
        <w:left w:val="none" w:sz="0" w:space="0" w:color="auto"/>
        <w:bottom w:val="none" w:sz="0" w:space="0" w:color="auto"/>
        <w:right w:val="none" w:sz="0" w:space="0" w:color="auto"/>
      </w:divBdr>
    </w:div>
    <w:div w:id="1076171559">
      <w:bodyDiv w:val="1"/>
      <w:marLeft w:val="0"/>
      <w:marRight w:val="0"/>
      <w:marTop w:val="0"/>
      <w:marBottom w:val="0"/>
      <w:divBdr>
        <w:top w:val="none" w:sz="0" w:space="0" w:color="auto"/>
        <w:left w:val="none" w:sz="0" w:space="0" w:color="auto"/>
        <w:bottom w:val="none" w:sz="0" w:space="0" w:color="auto"/>
        <w:right w:val="none" w:sz="0" w:space="0" w:color="auto"/>
      </w:divBdr>
    </w:div>
    <w:div w:id="1242639544">
      <w:bodyDiv w:val="1"/>
      <w:marLeft w:val="0"/>
      <w:marRight w:val="0"/>
      <w:marTop w:val="0"/>
      <w:marBottom w:val="0"/>
      <w:divBdr>
        <w:top w:val="none" w:sz="0" w:space="0" w:color="auto"/>
        <w:left w:val="none" w:sz="0" w:space="0" w:color="auto"/>
        <w:bottom w:val="none" w:sz="0" w:space="0" w:color="auto"/>
        <w:right w:val="none" w:sz="0" w:space="0" w:color="auto"/>
      </w:divBdr>
    </w:div>
    <w:div w:id="192487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6101B6-77B8-44E7-A929-CE7E2419D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6690</Words>
  <Characters>38135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Status of Implementation of Prior Years' Audit Recommendations</vt:lpstr>
    </vt:vector>
  </TitlesOfParts>
  <Company/>
  <LinksUpToDate>false</LinksUpToDate>
  <CharactersWithSpaces>44736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Implementation of Prior Years' Audit Recommendations</dc:title>
  <dc:creator>COA - City of Panabo, Davao del Norte</dc:creator>
  <cp:lastModifiedBy>Ben A. Lazo, Jr.</cp:lastModifiedBy>
  <cp:revision>7</cp:revision>
  <cp:lastPrinted>2022-05-20T04:21:00Z</cp:lastPrinted>
  <dcterms:created xsi:type="dcterms:W3CDTF">2023-05-11T14:22:00Z</dcterms:created>
  <dcterms:modified xsi:type="dcterms:W3CDTF">2023-06-27T00:33:00Z</dcterms:modified>
</cp:coreProperties>
</file>