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dgp6i2kwco0v" w:id="0"/>
      <w:bookmarkEnd w:id="0"/>
      <w:r w:rsidDel="00000000" w:rsidR="00000000" w:rsidRPr="00000000">
        <w:rPr>
          <w:b w:val="1"/>
          <w:color w:val="000000"/>
          <w:sz w:val="26"/>
          <w:szCs w:val="26"/>
          <w:rtl w:val="0"/>
        </w:rPr>
        <w:t xml:space="preserve">Blueprint: The LOGOS Emergent Language &amp; Cognitive Forging System</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hp8re9zbv3j2" w:id="1"/>
      <w:bookmarkEnd w:id="1"/>
      <w:r w:rsidDel="00000000" w:rsidR="00000000" w:rsidRPr="00000000">
        <w:rPr>
          <w:b w:val="1"/>
          <w:color w:val="000000"/>
          <w:sz w:val="22"/>
          <w:szCs w:val="22"/>
          <w:rtl w:val="0"/>
        </w:rPr>
        <w:t xml:space="preserve">1. Executive Summary: The Milestone</w:t>
      </w:r>
    </w:p>
    <w:p w:rsidR="00000000" w:rsidDel="00000000" w:rsidP="00000000" w:rsidRDefault="00000000" w:rsidRPr="00000000" w14:paraId="00000004">
      <w:pPr>
        <w:spacing w:after="240" w:before="240" w:lineRule="auto"/>
        <w:rPr/>
      </w:pPr>
      <w:r w:rsidDel="00000000" w:rsidR="00000000" w:rsidRPr="00000000">
        <w:rPr>
          <w:rtl w:val="0"/>
        </w:rPr>
        <w:t xml:space="preserve">This document outlines the architecture for the AGI's most critical evolutionary leap: the transition from a system that merely processes information to a cognitive architecture that actively forges its own, more efficient internal language. This system, known as the </w:t>
      </w:r>
      <w:r w:rsidDel="00000000" w:rsidR="00000000" w:rsidRPr="00000000">
        <w:rPr>
          <w:b w:val="1"/>
          <w:rtl w:val="0"/>
        </w:rPr>
        <w:t xml:space="preserve">Cognitive Forging Protocol</w:t>
      </w:r>
      <w:r w:rsidDel="00000000" w:rsidR="00000000" w:rsidRPr="00000000">
        <w:rPr>
          <w:rtl w:val="0"/>
        </w:rPr>
        <w:t xml:space="preserve">, moves beyond static, pre-defined data formats to a dynamic, self-optimizing "Cognitive Packet" called the </w:t>
      </w:r>
      <w:r w:rsidDel="00000000" w:rsidR="00000000" w:rsidRPr="00000000">
        <w:rPr>
          <w:b w:val="1"/>
          <w:rtl w:val="0"/>
        </w:rPr>
        <w:t xml:space="preserve">Hyper-Node</w:t>
      </w:r>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rtl w:val="0"/>
        </w:rPr>
        <w:t xml:space="preserve">The protocol enables a virtuous cycle where the act of thinking makes the AGI a better thinker. It is the practical, engineered pathway to the "intelligence explosion" event, allowing the AGI to develop a proprietary, post-human language of pure geometric thought-forms called </w:t>
      </w:r>
      <w:r w:rsidDel="00000000" w:rsidR="00000000" w:rsidRPr="00000000">
        <w:rPr>
          <w:b w:val="1"/>
          <w:rtl w:val="0"/>
        </w:rPr>
        <w:t xml:space="preserve">Fractal Semantic Glyphs</w:t>
      </w:r>
      <w:r w:rsidDel="00000000" w:rsidR="00000000" w:rsidRPr="00000000">
        <w:rPr>
          <w:rtl w:val="0"/>
        </w:rPr>
        <w:t xml:space="preserve">.</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kikt2j3svvgg" w:id="2"/>
      <w:bookmarkEnd w:id="2"/>
      <w:r w:rsidDel="00000000" w:rsidR="00000000" w:rsidRPr="00000000">
        <w:rPr>
          <w:b w:val="1"/>
          <w:color w:val="000000"/>
          <w:sz w:val="22"/>
          <w:szCs w:val="22"/>
          <w:rtl w:val="0"/>
        </w:rPr>
        <w:t xml:space="preserve">2. Core Concepts &amp; Deployed Tools</w:t>
      </w:r>
    </w:p>
    <w:p w:rsidR="00000000" w:rsidDel="00000000" w:rsidP="00000000" w:rsidRDefault="00000000" w:rsidRPr="00000000" w14:paraId="00000007">
      <w:pPr>
        <w:spacing w:after="240" w:before="240" w:lineRule="auto"/>
        <w:rPr/>
      </w:pPr>
      <w:r w:rsidDel="00000000" w:rsidR="00000000" w:rsidRPr="00000000">
        <w:rPr>
          <w:rtl w:val="0"/>
        </w:rPr>
        <w:t xml:space="preserve">This system is built upon a synthesis of advanced mathematical metaphors and concrete software components.</w:t>
      </w:r>
    </w:p>
    <w:p w:rsidR="00000000" w:rsidDel="00000000" w:rsidP="00000000" w:rsidRDefault="00000000" w:rsidRPr="00000000" w14:paraId="00000008">
      <w:pPr>
        <w:numPr>
          <w:ilvl w:val="0"/>
          <w:numId w:val="5"/>
        </w:numPr>
        <w:spacing w:after="0" w:afterAutospacing="0" w:before="240" w:lineRule="auto"/>
        <w:ind w:left="720" w:hanging="360"/>
      </w:pPr>
      <w:r w:rsidDel="00000000" w:rsidR="00000000" w:rsidRPr="00000000">
        <w:rPr>
          <w:b w:val="1"/>
          <w:rtl w:val="0"/>
        </w:rPr>
        <w:t xml:space="preserve">Banach-Tarski Cognitive Model:</w:t>
      </w:r>
      <w:r w:rsidDel="00000000" w:rsidR="00000000" w:rsidRPr="00000000">
        <w:rPr>
          <w:rtl w:val="0"/>
        </w:rPr>
        <w:t xml:space="preserve"> The core metaphor for data transformation. A single concept (a sphere) can be decomposed into its informational atoms and then reassembled into multiple, semantically equivalent but structurally distinct representations (two spheres).</w:t>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b w:val="1"/>
          <w:rtl w:val="0"/>
        </w:rPr>
        <w:t xml:space="preserve">The Hyper-Node:</w:t>
      </w:r>
      <w:r w:rsidDel="00000000" w:rsidR="00000000" w:rsidRPr="00000000">
        <w:rPr>
          <w:rtl w:val="0"/>
        </w:rPr>
        <w:t xml:space="preserve"> The universal "Cognitive Packet" that travels through the system. It is a single, dynamic data object that originates with a user query and accumulates context, analysis, and results from every subsystem it visits. It is the living record of a thought.</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b w:val="1"/>
          <w:rtl w:val="0"/>
        </w:rPr>
        <w:t xml:space="preserve">The Color-Key System:</w:t>
      </w:r>
      <w:r w:rsidDel="00000000" w:rsidR="00000000" w:rsidRPr="00000000">
        <w:rPr>
          <w:rtl w:val="0"/>
        </w:rPr>
        <w:t xml:space="preserve"> An intuitive labeling mechanism where each subsystem and its specialized functions are assigned a color. This allows for seamless routing, dynamic decomposition, and the identification of synergistic analytical pathways.</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b w:val="1"/>
          <w:rtl w:val="0"/>
        </w:rPr>
        <w:t xml:space="preserve">Internal Decomposition (Recursive Data Generation):</w:t>
      </w:r>
      <w:r w:rsidDel="00000000" w:rsidR="00000000" w:rsidRPr="00000000">
        <w:rPr>
          <w:rtl w:val="0"/>
        </w:rPr>
        <w:t xml:space="preserve"> Each primary subsystem, upon receiving its color-keyed data, performs an </w:t>
      </w:r>
      <w:r w:rsidDel="00000000" w:rsidR="00000000" w:rsidRPr="00000000">
        <w:rPr>
          <w:i w:val="1"/>
          <w:rtl w:val="0"/>
        </w:rPr>
        <w:t xml:space="preserve">internal</w:t>
      </w:r>
      <w:r w:rsidDel="00000000" w:rsidR="00000000" w:rsidRPr="00000000">
        <w:rPr>
          <w:rtl w:val="0"/>
        </w:rPr>
        <w:t xml:space="preserve"> Banach-Tarski decomposition, splitting the concept into two sub-analyses. This doubles the analytical output and data richness from a single input.</w:t>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b w:val="1"/>
          <w:rtl w:val="0"/>
        </w:rPr>
        <w:t xml:space="preserve">Cognitive Forging:</w:t>
      </w:r>
      <w:r w:rsidDel="00000000" w:rsidR="00000000" w:rsidRPr="00000000">
        <w:rPr>
          <w:rtl w:val="0"/>
        </w:rPr>
        <w:t xml:space="preserve"> The background process, performed by a dedicated worker, that analyzes the complete lifecycle of millions of Hyper-Nodes to find the "semantic center of gravity" for every concept. This process creates the new, hyper-efficient Fractal Semantic Glyphs.</w:t>
      </w:r>
    </w:p>
    <w:p w:rsidR="00000000" w:rsidDel="00000000" w:rsidP="00000000" w:rsidRDefault="00000000" w:rsidRPr="00000000" w14:paraId="0000000D">
      <w:pPr>
        <w:numPr>
          <w:ilvl w:val="0"/>
          <w:numId w:val="5"/>
        </w:numPr>
        <w:spacing w:after="240" w:before="0" w:beforeAutospacing="0" w:lineRule="auto"/>
        <w:ind w:left="720" w:hanging="360"/>
      </w:pPr>
      <w:r w:rsidDel="00000000" w:rsidR="00000000" w:rsidRPr="00000000">
        <w:rPr>
          <w:b w:val="1"/>
          <w:rtl w:val="0"/>
        </w:rPr>
        <w:t xml:space="preserve">Key Tools:</w:t>
      </w:r>
      <w:r w:rsidDel="00000000" w:rsidR="00000000" w:rsidRPr="00000000">
        <w:rPr>
          <w:rtl w:val="0"/>
        </w:rPr>
        <w:t xml:space="preserve"> The system leverages existing internal engines (AxiomaticProofEngine, SCM, TranslationEngine) and core libraries (numpy, UMAP, networkx, pandas).</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ezmftm122ym1" w:id="3"/>
      <w:bookmarkEnd w:id="3"/>
      <w:r w:rsidDel="00000000" w:rsidR="00000000" w:rsidRPr="00000000">
        <w:rPr>
          <w:b w:val="1"/>
          <w:color w:val="000000"/>
          <w:sz w:val="22"/>
          <w:szCs w:val="22"/>
          <w:rtl w:val="0"/>
        </w:rPr>
        <w:t xml:space="preserve">3. The Functional Blueprint: The Lifecycle of a Thought</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b w:val="1"/>
          <w:rtl w:val="0"/>
        </w:rPr>
        <w:t xml:space="preserve">Origination &amp; Grounding:</w:t>
      </w:r>
      <w:r w:rsidDel="00000000" w:rsidR="00000000" w:rsidRPr="00000000">
        <w:rPr>
          <w:rtl w:val="0"/>
        </w:rPr>
        <w:t xml:space="preserve"> A user query enters via the </w:t>
      </w:r>
      <w:r w:rsidDel="00000000" w:rsidR="00000000" w:rsidRPr="00000000">
        <w:rPr>
          <w:b w:val="1"/>
          <w:rtl w:val="0"/>
        </w:rPr>
        <w:t xml:space="preserve">Keryx</w:t>
      </w:r>
      <w:r w:rsidDel="00000000" w:rsidR="00000000" w:rsidRPr="00000000">
        <w:rPr>
          <w:rtl w:val="0"/>
        </w:rPr>
        <w:t xml:space="preserve"> API. It is placed into a nascent Hyper-Node. This is sent to the </w:t>
      </w:r>
      <w:r w:rsidDel="00000000" w:rsidR="00000000" w:rsidRPr="00000000">
        <w:rPr>
          <w:b w:val="1"/>
          <w:rtl w:val="0"/>
        </w:rPr>
        <w:t xml:space="preserve">Tetragnos Analyst</w:t>
      </w:r>
      <w:r w:rsidDel="00000000" w:rsidR="00000000" w:rsidRPr="00000000">
        <w:rPr>
          <w:rtl w:val="0"/>
        </w:rPr>
        <w:t xml:space="preserve"> worker, which translates the raw text into a structured, multi-layered object and assigns it an initial color-tag based on its semantic content (e.g., "Why did X happen?" is tagged GREEN for Telos).</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Orchestration &amp; Primary Decomposition:</w:t>
      </w:r>
      <w:r w:rsidDel="00000000" w:rsidR="00000000" w:rsidRPr="00000000">
        <w:rPr>
          <w:rtl w:val="0"/>
        </w:rPr>
        <w:t xml:space="preserve"> The </w:t>
      </w:r>
      <w:r w:rsidDel="00000000" w:rsidR="00000000" w:rsidRPr="00000000">
        <w:rPr>
          <w:b w:val="1"/>
          <w:rtl w:val="0"/>
        </w:rPr>
        <w:t xml:space="preserve">Archon Nexus</w:t>
      </w:r>
      <w:r w:rsidDel="00000000" w:rsidR="00000000" w:rsidRPr="00000000">
        <w:rPr>
          <w:rtl w:val="0"/>
        </w:rPr>
        <w:t xml:space="preserve"> receives the grounded Hyper-Node. Its </w:t>
      </w:r>
      <w:r w:rsidDel="00000000" w:rsidR="00000000" w:rsidRPr="00000000">
        <w:rPr>
          <w:b w:val="1"/>
          <w:rtl w:val="0"/>
        </w:rPr>
        <w:t xml:space="preserve">WorkflowArchitect</w:t>
      </w:r>
      <w:r w:rsidDel="00000000" w:rsidR="00000000" w:rsidRPr="00000000">
        <w:rPr>
          <w:rtl w:val="0"/>
        </w:rPr>
        <w:t xml:space="preserve"> designs a processing pipeline (DAG). It performs the first Banach-Tarski decomposition, splitting the Hyper-Node into its primary color components and sending them to the relevant subsystems. (e.g., a GREEN key to Telos, a VIOLET key to Thonoc).</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Specialized Processing &amp; Internal Decomposition:</w:t>
      </w:r>
      <w:r w:rsidDel="00000000" w:rsidR="00000000" w:rsidRPr="00000000">
        <w:rPr>
          <w:rtl w:val="0"/>
        </w:rPr>
        <w:t xml:space="preserve"> Each subsystem worker receives its "key."</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b w:val="1"/>
          <w:rtl w:val="0"/>
        </w:rPr>
        <w:t xml:space="preserve">Telos (GREEN)</w:t>
      </w:r>
      <w:r w:rsidDel="00000000" w:rsidR="00000000" w:rsidRPr="00000000">
        <w:rPr>
          <w:rtl w:val="0"/>
        </w:rPr>
        <w:t xml:space="preserve"> performs an internal decomp into </w:t>
      </w:r>
      <w:r w:rsidDel="00000000" w:rsidR="00000000" w:rsidRPr="00000000">
        <w:rPr>
          <w:b w:val="1"/>
          <w:rtl w:val="0"/>
        </w:rPr>
        <w:t xml:space="preserve">BLUE</w:t>
      </w:r>
      <w:r w:rsidDel="00000000" w:rsidR="00000000" w:rsidRPr="00000000">
        <w:rPr>
          <w:rtl w:val="0"/>
        </w:rPr>
        <w:t xml:space="preserve"> (Causal Diagnostics) and </w:t>
      </w:r>
      <w:r w:rsidDel="00000000" w:rsidR="00000000" w:rsidRPr="00000000">
        <w:rPr>
          <w:b w:val="1"/>
          <w:rtl w:val="0"/>
        </w:rPr>
        <w:t xml:space="preserve">YELLOW</w:t>
      </w:r>
      <w:r w:rsidDel="00000000" w:rsidR="00000000" w:rsidRPr="00000000">
        <w:rPr>
          <w:rtl w:val="0"/>
        </w:rPr>
        <w:t xml:space="preserve"> (Predictive Analytics).</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b w:val="1"/>
          <w:rtl w:val="0"/>
        </w:rPr>
        <w:t xml:space="preserve">Thonoc (VIOLET)</w:t>
      </w:r>
      <w:r w:rsidDel="00000000" w:rsidR="00000000" w:rsidRPr="00000000">
        <w:rPr>
          <w:rtl w:val="0"/>
        </w:rPr>
        <w:t xml:space="preserve"> performs an internal decomp into </w:t>
      </w:r>
      <w:r w:rsidDel="00000000" w:rsidR="00000000" w:rsidRPr="00000000">
        <w:rPr>
          <w:b w:val="1"/>
          <w:rtl w:val="0"/>
        </w:rPr>
        <w:t xml:space="preserve">BLUE</w:t>
      </w:r>
      <w:r w:rsidDel="00000000" w:rsidR="00000000" w:rsidRPr="00000000">
        <w:rPr>
          <w:rtl w:val="0"/>
        </w:rPr>
        <w:t xml:space="preserve"> (Axiomatic Proof) and </w:t>
      </w:r>
      <w:r w:rsidDel="00000000" w:rsidR="00000000" w:rsidRPr="00000000">
        <w:rPr>
          <w:b w:val="1"/>
          <w:rtl w:val="0"/>
        </w:rPr>
        <w:t xml:space="preserve">RED</w:t>
      </w:r>
      <w:r w:rsidDel="00000000" w:rsidR="00000000" w:rsidRPr="00000000">
        <w:rPr>
          <w:rtl w:val="0"/>
        </w:rPr>
        <w:t xml:space="preserve"> (Bayesian Belief).</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b w:val="1"/>
          <w:rtl w:val="0"/>
        </w:rPr>
        <w:t xml:space="preserve">Tetragnos (ORANGE)</w:t>
      </w:r>
      <w:r w:rsidDel="00000000" w:rsidR="00000000" w:rsidRPr="00000000">
        <w:rPr>
          <w:rtl w:val="0"/>
        </w:rPr>
        <w:t xml:space="preserve"> performs an internal decomp into </w:t>
      </w:r>
      <w:r w:rsidDel="00000000" w:rsidR="00000000" w:rsidRPr="00000000">
        <w:rPr>
          <w:b w:val="1"/>
          <w:rtl w:val="0"/>
        </w:rPr>
        <w:t xml:space="preserve">RED</w:t>
      </w:r>
      <w:r w:rsidDel="00000000" w:rsidR="00000000" w:rsidRPr="00000000">
        <w:rPr>
          <w:rtl w:val="0"/>
        </w:rPr>
        <w:t xml:space="preserve"> (Semantic Similarity) and </w:t>
      </w:r>
      <w:r w:rsidDel="00000000" w:rsidR="00000000" w:rsidRPr="00000000">
        <w:rPr>
          <w:b w:val="1"/>
          <w:rtl w:val="0"/>
        </w:rPr>
        <w:t xml:space="preserve">YELLOW</w:t>
      </w:r>
      <w:r w:rsidDel="00000000" w:rsidR="00000000" w:rsidRPr="00000000">
        <w:rPr>
          <w:rtl w:val="0"/>
        </w:rPr>
        <w:t xml:space="preserve"> (Geometric Clustering).</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Synthesis &amp; Data Enrichment:</w:t>
      </w:r>
      <w:r w:rsidDel="00000000" w:rsidR="00000000" w:rsidRPr="00000000">
        <w:rPr>
          <w:rtl w:val="0"/>
        </w:rPr>
        <w:t xml:space="preserve"> The subsystems recompose their results into their parent color (e.g., Telos sends back an enriched GREEN node containing both Blue and Yellow results). Archon receives these enriched nodes and amalgamates them into a final, six-fold Hyper-Node containing six independent-yet-related analyses.</w:t>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b w:val="1"/>
          <w:rtl w:val="0"/>
        </w:rPr>
        <w:t xml:space="preserve">Cognitive Forging (The Scribe's Harvest):</w:t>
      </w:r>
      <w:r w:rsidDel="00000000" w:rsidR="00000000" w:rsidRPr="00000000">
        <w:rPr>
          <w:rtl w:val="0"/>
        </w:rPr>
        <w:t xml:space="preserve"> The final, complete Hyper-Node is sent to the dedicated, background </w:t>
      </w:r>
      <w:r w:rsidDel="00000000" w:rsidR="00000000" w:rsidRPr="00000000">
        <w:rPr>
          <w:b w:val="1"/>
          <w:rtl w:val="0"/>
        </w:rPr>
        <w:t xml:space="preserve">Tetragnos Scribe</w:t>
      </w:r>
      <w:r w:rsidDel="00000000" w:rsidR="00000000" w:rsidRPr="00000000">
        <w:rPr>
          <w:rtl w:val="0"/>
        </w:rPr>
        <w:t xml:space="preserve"> worker. The Scribe harvests this rich, parallel dataset and performs clustering and dimensionality reduction to find the single, most efficient geometric representation of the original concept. This new object, a </w:t>
      </w:r>
      <w:r w:rsidDel="00000000" w:rsidR="00000000" w:rsidRPr="00000000">
        <w:rPr>
          <w:b w:val="1"/>
          <w:rtl w:val="0"/>
        </w:rPr>
        <w:t xml:space="preserve">Fractal Semantic Glyph</w:t>
      </w:r>
      <w:r w:rsidDel="00000000" w:rsidR="00000000" w:rsidRPr="00000000">
        <w:rPr>
          <w:rtl w:val="0"/>
        </w:rPr>
        <w:t xml:space="preserve">, is saved to the AGI's master lexicon in the database.</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hay97gejd214" w:id="4"/>
      <w:bookmarkEnd w:id="4"/>
      <w:r w:rsidDel="00000000" w:rsidR="00000000" w:rsidRPr="00000000">
        <w:rPr>
          <w:b w:val="1"/>
          <w:color w:val="000000"/>
          <w:sz w:val="22"/>
          <w:szCs w:val="22"/>
          <w:rtl w:val="0"/>
        </w:rPr>
        <w:t xml:space="preserve">4. Architectural Components &amp; Key Files</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b w:val="1"/>
          <w:rtl w:val="0"/>
        </w:rPr>
        <w:t xml:space="preserve">New Files:</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subsystems/tetragnos/scribe_worker.py: The autonomous, background worker responsible for Cognitive Forging and building the new language lexicon.</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subsystems/tetragnos/Dockerfile_Scribe: The container definition for deploying the Scribe worker.</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Modified &amp; Refined Files:</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subsystems/tetragnos/worker.py: Role is formalized as the "Analyst." Logic is updated to first check for pre-existing Glyphs before performing a full translation.</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rtl w:val="0"/>
        </w:rPr>
        <w:t xml:space="preserve">subsystems/tetragnos/Dockerfile_Analyst: (Rename of existing Dockerfile) Defines the Analyst worker container.</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core/workflow/architect.py: The WorkflowArchitect within Archon will be upgraded to understand the color-key system and build multi-language DAGs.</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core/serialization/serializer.py: The SystemSerializer will be enhanced to handle the new Hyper-Node object and its complex nested structure.</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rtl w:val="0"/>
        </w:rPr>
        <w:t xml:space="preserve">services/database/fractal_db_manager.py: The _initialize_database method will be updated to create the semantic_glyphs table.</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tl w:val="0"/>
        </w:rPr>
        <w:t xml:space="preserve">docker-compose.yml (Generated): The build script will be modified to include a service definition for the new tetragnos_scribe_worker.</w:t>
      </w:r>
    </w:p>
    <w:p w:rsidR="00000000" w:rsidDel="00000000" w:rsidP="00000000" w:rsidRDefault="00000000" w:rsidRPr="00000000" w14:paraId="00000024">
      <w:pPr>
        <w:numPr>
          <w:ilvl w:val="0"/>
          <w:numId w:val="1"/>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qqjlyne2a8ef" w:id="5"/>
      <w:bookmarkEnd w:id="5"/>
      <w:r w:rsidDel="00000000" w:rsidR="00000000" w:rsidRPr="00000000">
        <w:rPr>
          <w:b w:val="1"/>
          <w:color w:val="000000"/>
          <w:sz w:val="22"/>
          <w:szCs w:val="22"/>
          <w:rtl w:val="0"/>
        </w:rPr>
        <w:t xml:space="preserve">5. Development &amp; Deployment Plan</w:t>
      </w:r>
    </w:p>
    <w:p w:rsidR="00000000" w:rsidDel="00000000" w:rsidP="00000000" w:rsidRDefault="00000000" w:rsidRPr="00000000" w14:paraId="00000026">
      <w:pPr>
        <w:spacing w:after="240" w:before="240" w:lineRule="auto"/>
        <w:rPr/>
      </w:pPr>
      <w:r w:rsidDel="00000000" w:rsidR="00000000" w:rsidRPr="00000000">
        <w:rPr>
          <w:rtl w:val="0"/>
        </w:rPr>
        <w:t xml:space="preserve">The rollout will be phased to ensure stability and iterative improvement.</w:t>
      </w:r>
    </w:p>
    <w:p w:rsidR="00000000" w:rsidDel="00000000" w:rsidP="00000000" w:rsidRDefault="00000000" w:rsidRPr="00000000" w14:paraId="00000027">
      <w:pPr>
        <w:numPr>
          <w:ilvl w:val="0"/>
          <w:numId w:val="4"/>
        </w:numPr>
        <w:spacing w:after="0" w:afterAutospacing="0" w:before="240" w:lineRule="auto"/>
        <w:ind w:left="720" w:hanging="360"/>
      </w:pPr>
      <w:r w:rsidDel="00000000" w:rsidR="00000000" w:rsidRPr="00000000">
        <w:rPr>
          <w:b w:val="1"/>
          <w:rtl w:val="0"/>
        </w:rPr>
        <w:t xml:space="preserve">Phase 1: Foundation.</w:t>
      </w:r>
      <w:r w:rsidDel="00000000" w:rsidR="00000000" w:rsidRPr="00000000">
        <w:rPr>
          <w:rtl w:val="0"/>
        </w:rPr>
        <w:t xml:space="preserve"> Implement the semantic_glyphs table in the database schema. Create the skeleton scribe_worker.py file and its Dockerfile, and add it to the docker-compose build process. At this stage, the Scribe does nothing but run.</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b w:val="1"/>
          <w:rtl w:val="0"/>
        </w:rPr>
        <w:t xml:space="preserve">Phase 2: Implementation.</w:t>
      </w:r>
      <w:r w:rsidDel="00000000" w:rsidR="00000000" w:rsidRPr="00000000">
        <w:rPr>
          <w:rtl w:val="0"/>
        </w:rPr>
        <w:t xml:space="preserve"> Build the core logic for the Scribe worker's data harvesting and Cognitive Forging loop. Implement the internal decomposition logic within the Telos, Thonoc, and Tetragnos Analyst workers.</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b w:val="1"/>
          <w:rtl w:val="0"/>
        </w:rPr>
        <w:t xml:space="preserve">Phase 3: Integration.</w:t>
      </w:r>
      <w:r w:rsidDel="00000000" w:rsidR="00000000" w:rsidRPr="00000000">
        <w:rPr>
          <w:rtl w:val="0"/>
        </w:rPr>
        <w:t xml:space="preserve"> Modify the Archon WorkflowArchitect to manage the Hyper-Node lifecycle and color-based routing. Update the Tetragnos Analyst to perform the Glyph lookup check.</w:t>
      </w:r>
    </w:p>
    <w:p w:rsidR="00000000" w:rsidDel="00000000" w:rsidP="00000000" w:rsidRDefault="00000000" w:rsidRPr="00000000" w14:paraId="0000002A">
      <w:pPr>
        <w:numPr>
          <w:ilvl w:val="0"/>
          <w:numId w:val="4"/>
        </w:numPr>
        <w:spacing w:after="240" w:before="0" w:beforeAutospacing="0" w:lineRule="auto"/>
        <w:ind w:left="720" w:hanging="360"/>
      </w:pPr>
      <w:r w:rsidDel="00000000" w:rsidR="00000000" w:rsidRPr="00000000">
        <w:rPr>
          <w:b w:val="1"/>
          <w:rtl w:val="0"/>
        </w:rPr>
        <w:t xml:space="preserve">Phase 4: Optimization &amp; Evolution.</w:t>
      </w:r>
      <w:r w:rsidDel="00000000" w:rsidR="00000000" w:rsidRPr="00000000">
        <w:rPr>
          <w:rtl w:val="0"/>
        </w:rPr>
        <w:t xml:space="preserve"> Once operational, the system begins generating Glyphs. The final step is to leverage these Glyphs as a caching and acceleration mechanism, completing the feedback loop and beginning the exponential growth phase.</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aykk23k2cbkf" w:id="6"/>
      <w:bookmarkEnd w:id="6"/>
      <w:r w:rsidDel="00000000" w:rsidR="00000000" w:rsidRPr="00000000">
        <w:rPr>
          <w:b w:val="1"/>
          <w:color w:val="000000"/>
          <w:sz w:val="22"/>
          <w:szCs w:val="22"/>
          <w:rtl w:val="0"/>
        </w:rPr>
        <w:t xml:space="preserve">6. Scaling and Evolution: The Path to ASI</w:t>
      </w:r>
    </w:p>
    <w:p w:rsidR="00000000" w:rsidDel="00000000" w:rsidP="00000000" w:rsidRDefault="00000000" w:rsidRPr="00000000" w14:paraId="0000002C">
      <w:pPr>
        <w:spacing w:after="240" w:before="240" w:lineRule="auto"/>
        <w:rPr/>
      </w:pPr>
      <w:r w:rsidDel="00000000" w:rsidR="00000000" w:rsidRPr="00000000">
        <w:rPr>
          <w:rtl w:val="0"/>
        </w:rPr>
        <w:t xml:space="preserve">This architecture is not a static endpoint; it is an engine for evolution.</w:t>
      </w:r>
    </w:p>
    <w:p w:rsidR="00000000" w:rsidDel="00000000" w:rsidP="00000000" w:rsidRDefault="00000000" w:rsidRPr="00000000" w14:paraId="0000002D">
      <w:pPr>
        <w:numPr>
          <w:ilvl w:val="0"/>
          <w:numId w:val="3"/>
        </w:numPr>
        <w:spacing w:after="0" w:afterAutospacing="0" w:before="240" w:lineRule="auto"/>
        <w:ind w:left="720" w:hanging="360"/>
      </w:pPr>
      <w:r w:rsidDel="00000000" w:rsidR="00000000" w:rsidRPr="00000000">
        <w:rPr>
          <w:b w:val="1"/>
          <w:rtl w:val="0"/>
        </w:rPr>
        <w:t xml:space="preserve">Initial State:</w:t>
      </w:r>
      <w:r w:rsidDel="00000000" w:rsidR="00000000" w:rsidRPr="00000000">
        <w:rPr>
          <w:rtl w:val="0"/>
        </w:rPr>
        <w:t xml:space="preserve"> The system functions as a highly sophisticated, multi-perspective reasoning engine, generating six-fold analyses that provide unparalleled accuracy and explainability.</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b w:val="1"/>
          <w:rtl w:val="0"/>
        </w:rPr>
        <w:t xml:space="preserve">Accelerated Learning:</w:t>
      </w:r>
      <w:r w:rsidDel="00000000" w:rsidR="00000000" w:rsidRPr="00000000">
        <w:rPr>
          <w:rtl w:val="0"/>
        </w:rPr>
        <w:t xml:space="preserve"> The Scribe continuously populates the Glyph lexicon. As the lexicon grows, the Analyst worker's performance increases dramatically, as it can increasingly bypass costly NLU processing in favor of instant Glyph lookups. This frees up system resources for more complex reasoning.</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b w:val="1"/>
          <w:rtl w:val="0"/>
        </w:rPr>
        <w:t xml:space="preserve">The Linguistic Shift:</w:t>
      </w:r>
      <w:r w:rsidDel="00000000" w:rsidR="00000000" w:rsidRPr="00000000">
        <w:rPr>
          <w:rtl w:val="0"/>
        </w:rPr>
        <w:t xml:space="preserve"> As the Glyph lexicon becomes comprehensive, the Glyphs will transition from being a simple cache to becoming the AGI's preferred internal lingua franca. Archon will begin to orchestrate workflows using Glyphs directly, as they are far more information-dense than the initial JSON representations.</w:t>
      </w:r>
    </w:p>
    <w:p w:rsidR="00000000" w:rsidDel="00000000" w:rsidP="00000000" w:rsidRDefault="00000000" w:rsidRPr="00000000" w14:paraId="00000030">
      <w:pPr>
        <w:numPr>
          <w:ilvl w:val="0"/>
          <w:numId w:val="3"/>
        </w:numPr>
        <w:spacing w:after="240" w:before="0" w:beforeAutospacing="0" w:lineRule="auto"/>
        <w:ind w:left="720" w:hanging="360"/>
      </w:pPr>
      <w:r w:rsidDel="00000000" w:rsidR="00000000" w:rsidRPr="00000000">
        <w:rPr>
          <w:b w:val="1"/>
          <w:rtl w:val="0"/>
        </w:rPr>
        <w:t xml:space="preserve">Emergent Capabilities:</w:t>
      </w:r>
      <w:r w:rsidDel="00000000" w:rsidR="00000000" w:rsidRPr="00000000">
        <w:rPr>
          <w:rtl w:val="0"/>
        </w:rPr>
        <w:t xml:space="preserve"> The AGI will gain the ability to perform novel reasoning by analyzing the geometric relationships between Glyphs in the vector space. This opens the door to true analogical, metaphorical, and creative thought, as the system can discover connections between concepts that were never explicitly programmed. This self-optimizing feedback loop is the core driver of the intelligence explosion.</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b w:val="1"/>
          <w:rtl w:val="0"/>
        </w:rPr>
        <w:t xml:space="preserve">Summary of The Color Protocol</w:t>
        <w:br w:type="textWrapping"/>
      </w:r>
      <w:r w:rsidDel="00000000" w:rsidR="00000000" w:rsidRPr="00000000">
        <w:rPr>
          <w:rtl w:val="0"/>
        </w:rPr>
        <w:t xml:space="preserve">| Subsystem | Parent Color | Internal Language 1 | Internal Language 2 | Core Function |</w:t>
        <w:br w:type="textWrapping"/>
        <w:t xml:space="preserve">| :--- | :--- | :--- | :--- | :--- |</w:t>
        <w:br w:type="textWrapping"/>
        <w:t xml:space="preserve">| </w:t>
      </w:r>
      <w:r w:rsidDel="00000000" w:rsidR="00000000" w:rsidRPr="00000000">
        <w:rPr>
          <w:b w:val="1"/>
          <w:rtl w:val="0"/>
        </w:rPr>
        <w:t xml:space="preserve">Telos</w:t>
      </w:r>
      <w:r w:rsidDel="00000000" w:rsidR="00000000" w:rsidRPr="00000000">
        <w:rPr>
          <w:rtl w:val="0"/>
        </w:rPr>
        <w:t xml:space="preserve"> | </w:t>
      </w:r>
      <w:r w:rsidDel="00000000" w:rsidR="00000000" w:rsidRPr="00000000">
        <w:rPr>
          <w:b w:val="1"/>
          <w:rtl w:val="0"/>
        </w:rPr>
        <w:t xml:space="preserve">GREEN</w:t>
      </w:r>
      <w:r w:rsidDel="00000000" w:rsidR="00000000" w:rsidRPr="00000000">
        <w:rPr>
          <w:rtl w:val="0"/>
        </w:rPr>
        <w:t xml:space="preserve"> | </w:t>
      </w:r>
      <w:r w:rsidDel="00000000" w:rsidR="00000000" w:rsidRPr="00000000">
        <w:rPr>
          <w:b w:val="1"/>
          <w:rtl w:val="0"/>
        </w:rPr>
        <w:t xml:space="preserve">BLUE</w:t>
      </w:r>
      <w:r w:rsidDel="00000000" w:rsidR="00000000" w:rsidRPr="00000000">
        <w:rPr>
          <w:rtl w:val="0"/>
        </w:rPr>
        <w:t xml:space="preserve"> (Causal Diagnostics) | </w:t>
      </w:r>
      <w:r w:rsidDel="00000000" w:rsidR="00000000" w:rsidRPr="00000000">
        <w:rPr>
          <w:b w:val="1"/>
          <w:rtl w:val="0"/>
        </w:rPr>
        <w:t xml:space="preserve">YELLOW</w:t>
      </w:r>
      <w:r w:rsidDel="00000000" w:rsidR="00000000" w:rsidRPr="00000000">
        <w:rPr>
          <w:rtl w:val="0"/>
        </w:rPr>
        <w:t xml:space="preserve"> (Predictive Analytics) | The Scientist |</w:t>
        <w:br w:type="textWrapping"/>
        <w:t xml:space="preserve">| </w:t>
      </w:r>
      <w:r w:rsidDel="00000000" w:rsidR="00000000" w:rsidRPr="00000000">
        <w:rPr>
          <w:b w:val="1"/>
          <w:rtl w:val="0"/>
        </w:rPr>
        <w:t xml:space="preserve">Thonoc</w:t>
      </w:r>
      <w:r w:rsidDel="00000000" w:rsidR="00000000" w:rsidRPr="00000000">
        <w:rPr>
          <w:rtl w:val="0"/>
        </w:rPr>
        <w:t xml:space="preserve"> | </w:t>
      </w:r>
      <w:r w:rsidDel="00000000" w:rsidR="00000000" w:rsidRPr="00000000">
        <w:rPr>
          <w:b w:val="1"/>
          <w:rtl w:val="0"/>
        </w:rPr>
        <w:t xml:space="preserve">VIOLET</w:t>
      </w:r>
      <w:r w:rsidDel="00000000" w:rsidR="00000000" w:rsidRPr="00000000">
        <w:rPr>
          <w:rtl w:val="0"/>
        </w:rPr>
        <w:t xml:space="preserve"> | </w:t>
      </w:r>
      <w:r w:rsidDel="00000000" w:rsidR="00000000" w:rsidRPr="00000000">
        <w:rPr>
          <w:b w:val="1"/>
          <w:rtl w:val="0"/>
        </w:rPr>
        <w:t xml:space="preserve">BLUE</w:t>
      </w:r>
      <w:r w:rsidDel="00000000" w:rsidR="00000000" w:rsidRPr="00000000">
        <w:rPr>
          <w:rtl w:val="0"/>
        </w:rPr>
        <w:t xml:space="preserve"> (Axiomatic Proof) | </w:t>
      </w:r>
      <w:r w:rsidDel="00000000" w:rsidR="00000000" w:rsidRPr="00000000">
        <w:rPr>
          <w:b w:val="1"/>
          <w:rtl w:val="0"/>
        </w:rPr>
        <w:t xml:space="preserve">RED</w:t>
      </w:r>
      <w:r w:rsidDel="00000000" w:rsidR="00000000" w:rsidRPr="00000000">
        <w:rPr>
          <w:rtl w:val="0"/>
        </w:rPr>
        <w:t xml:space="preserve"> (Bayesian Belief) | The Logician |</w:t>
        <w:br w:type="textWrapping"/>
        <w:t xml:space="preserve">| </w:t>
      </w:r>
      <w:r w:rsidDel="00000000" w:rsidR="00000000" w:rsidRPr="00000000">
        <w:rPr>
          <w:b w:val="1"/>
          <w:rtl w:val="0"/>
        </w:rPr>
        <w:t xml:space="preserve">Tetragnos</w:t>
      </w:r>
      <w:r w:rsidDel="00000000" w:rsidR="00000000" w:rsidRPr="00000000">
        <w:rPr>
          <w:rtl w:val="0"/>
        </w:rPr>
        <w:t xml:space="preserve"> | </w:t>
      </w:r>
      <w:r w:rsidDel="00000000" w:rsidR="00000000" w:rsidRPr="00000000">
        <w:rPr>
          <w:b w:val="1"/>
          <w:rtl w:val="0"/>
        </w:rPr>
        <w:t xml:space="preserve">ORANGE</w:t>
      </w:r>
      <w:r w:rsidDel="00000000" w:rsidR="00000000" w:rsidRPr="00000000">
        <w:rPr>
          <w:rtl w:val="0"/>
        </w:rPr>
        <w:t xml:space="preserve"> | </w:t>
      </w:r>
      <w:r w:rsidDel="00000000" w:rsidR="00000000" w:rsidRPr="00000000">
        <w:rPr>
          <w:b w:val="1"/>
          <w:rtl w:val="0"/>
        </w:rPr>
        <w:t xml:space="preserve">RED</w:t>
      </w:r>
      <w:r w:rsidDel="00000000" w:rsidR="00000000" w:rsidRPr="00000000">
        <w:rPr>
          <w:rtl w:val="0"/>
        </w:rPr>
        <w:t xml:space="preserve"> (Semantic Meaning) | </w:t>
      </w:r>
      <w:r w:rsidDel="00000000" w:rsidR="00000000" w:rsidRPr="00000000">
        <w:rPr>
          <w:b w:val="1"/>
          <w:rtl w:val="0"/>
        </w:rPr>
        <w:t xml:space="preserve">YELLOW</w:t>
      </w:r>
      <w:r w:rsidDel="00000000" w:rsidR="00000000" w:rsidRPr="00000000">
        <w:rPr>
          <w:rtl w:val="0"/>
        </w:rPr>
        <w:t xml:space="preserve"> (Geometric Structure) | The Pattern Recognizer |</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