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USDTZ – Terms to Market (TTM)</w:t>
      </w:r>
    </w:p>
    <w:p>
      <w:r>
        <w:t>Document Version: v2.0</w:t>
      </w:r>
    </w:p>
    <w:p>
      <w:r>
        <w:t>Last Updated: 22 September 2025</w:t>
      </w:r>
    </w:p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Network / Standard</w:t>
            </w:r>
          </w:p>
        </w:tc>
        <w:tc>
          <w:tcPr>
            <w:tcW w:type="dxa" w:w="4320"/>
          </w:tcPr>
          <w:p>
            <w:r>
              <w:t>BNB Smart Chain (BSC) – BEP-20</w:t>
            </w:r>
          </w:p>
        </w:tc>
      </w:tr>
      <w:tr>
        <w:tc>
          <w:tcPr>
            <w:tcW w:type="dxa" w:w="4320"/>
          </w:tcPr>
          <w:p>
            <w:r>
              <w:t>Token Address (contract)</w:t>
            </w:r>
          </w:p>
        </w:tc>
        <w:tc>
          <w:tcPr>
            <w:tcW w:type="dxa" w:w="4320"/>
          </w:tcPr>
          <w:p>
            <w:r>
              <w:t>0x86e7C48432fE2f98ABc6aDcA0aF87847Ab5542ce</w:t>
            </w:r>
          </w:p>
        </w:tc>
      </w:tr>
      <w:tr>
        <w:tc>
          <w:tcPr>
            <w:tcW w:type="dxa" w:w="4320"/>
          </w:tcPr>
          <w:p>
            <w:r>
              <w:t>Decimals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Total Supply</w:t>
            </w:r>
          </w:p>
        </w:tc>
        <w:tc>
          <w:tcPr>
            <w:tcW w:type="dxa" w:w="4320"/>
          </w:tcPr>
          <w:p>
            <w:r>
              <w:t>100,000,000,000 (fissa, non mintabile)</w:t>
            </w:r>
          </w:p>
        </w:tc>
      </w:tr>
      <w:tr>
        <w:tc>
          <w:tcPr>
            <w:tcW w:type="dxa" w:w="4320"/>
          </w:tcPr>
          <w:p>
            <w:r>
              <w:t>Transfer fees</w:t>
            </w:r>
          </w:p>
        </w:tc>
        <w:tc>
          <w:tcPr>
            <w:tcW w:type="dxa" w:w="4320"/>
          </w:tcPr>
          <w:p>
            <w:r>
              <w:t>0% | Reflection: none | Auto-burn: none</w:t>
            </w:r>
          </w:p>
        </w:tc>
      </w:tr>
      <w:tr>
        <w:tc>
          <w:tcPr>
            <w:tcW w:type="dxa" w:w="4320"/>
          </w:tcPr>
          <w:p>
            <w:r>
              <w:t>Official site</w:t>
            </w:r>
          </w:p>
        </w:tc>
        <w:tc>
          <w:tcPr>
            <w:tcW w:type="dxa" w:w="4320"/>
          </w:tcPr>
          <w:p>
            <w:r>
              <w:t>https://usdt-z.cloud</w:t>
            </w:r>
          </w:p>
        </w:tc>
      </w:tr>
      <w:tr>
        <w:tc>
          <w:tcPr>
            <w:tcW w:type="dxa" w:w="4320"/>
          </w:tcPr>
          <w:p>
            <w:r>
              <w:t>Contacts</w:t>
            </w:r>
          </w:p>
        </w:tc>
        <w:tc>
          <w:tcPr>
            <w:tcW w:type="dxa" w:w="4320"/>
          </w:tcPr>
          <w:p>
            <w:r>
              <w:t>info@usdt-z.cloud | Instagram: @usdtz2025</w:t>
            </w:r>
          </w:p>
        </w:tc>
      </w:tr>
    </w:tbl>
    <w:p>
      <w:r>
        <w:br w:type="page"/>
      </w:r>
    </w:p>
    <w:p>
      <w:pPr>
        <w:pStyle w:val="Heading1"/>
      </w:pPr>
      <w:r>
        <w:t>Executive Summary</w:t>
      </w:r>
    </w:p>
    <w:p>
      <w:r>
        <w:t>USDTz destinato a operazioni OTC e collaterali, non trading. Peg 1:1 con USDT, mantenuto tramite pool PancakeSwap v3.</w:t>
      </w:r>
    </w:p>
    <w:p>
      <w:r>
        <w:br w:type="page"/>
      </w:r>
    </w:p>
    <w:p>
      <w:pPr>
        <w:pStyle w:val="Heading1"/>
      </w:pPr>
      <w:r>
        <w:t>Token Overview</w:t>
      </w:r>
    </w:p>
    <w:p>
      <w:pPr>
        <w:pStyle w:val="ListBullet"/>
      </w:pPr>
      <w:r>
        <w:t>Network: BNB Smart Chain (BEP-20)</w:t>
      </w:r>
    </w:p>
    <w:p>
      <w:pPr>
        <w:pStyle w:val="ListBullet"/>
      </w:pPr>
      <w:r>
        <w:t>Contract: 0x86e7C48432fE2f98ABc6aDcA0aF87847Ab5542ce</w:t>
      </w:r>
    </w:p>
    <w:p>
      <w:pPr>
        <w:pStyle w:val="ListBullet"/>
      </w:pPr>
      <w:r>
        <w:t>Total Supply: 100B fissa</w:t>
      </w:r>
    </w:p>
    <w:p>
      <w:pPr>
        <w:pStyle w:val="ListBullet"/>
      </w:pPr>
      <w:r>
        <w:t>Mint: assente</w:t>
      </w:r>
    </w:p>
    <w:p>
      <w:pPr>
        <w:pStyle w:val="ListBullet"/>
      </w:pPr>
      <w:r>
        <w:t>Transfer fees: 0%, Auto-burn: none</w:t>
      </w:r>
    </w:p>
    <w:p>
      <w:pPr>
        <w:pStyle w:val="ListBullet"/>
      </w:pPr>
      <w:r>
        <w:t>Decimals: 6</w:t>
      </w:r>
    </w:p>
    <w:p>
      <w:r>
        <w:br w:type="page"/>
      </w:r>
    </w:p>
    <w:p>
      <w:pPr>
        <w:pStyle w:val="Heading1"/>
      </w:pPr>
      <w:r>
        <w:t>Canonical Markets &amp; Routing</w:t>
      </w:r>
    </w:p>
    <w:p>
      <w:pPr>
        <w:pStyle w:val="ListBullet"/>
      </w:pPr>
      <w:r>
        <w:t>Canonical pool: PancakeSwap v3 USDTz/USDT</w:t>
      </w:r>
    </w:p>
    <w:p>
      <w:pPr>
        <w:pStyle w:val="ListBullet"/>
      </w:pPr>
      <w:r>
        <w:t>Routing: solo pool canonica</w:t>
      </w:r>
    </w:p>
    <w:p>
      <w:pPr>
        <w:pStyle w:val="ListBullet"/>
      </w:pPr>
      <w:r>
        <w:t>Indexing: richiesta di uso esclusivo della pair canonica per trackers</w:t>
      </w:r>
    </w:p>
    <w:p>
      <w:r>
        <w:br w:type="page"/>
      </w:r>
    </w:p>
    <w:p>
      <w:pPr>
        <w:pStyle w:val="Heading1"/>
      </w:pPr>
      <w:r>
        <w:t>Peg &amp; Liquidity Policy</w:t>
      </w:r>
    </w:p>
    <w:p>
      <w:r>
        <w:t>Peg 1:1 con USDT mantenuto tramite rebalancing e LP sizing.</w:t>
      </w:r>
    </w:p>
    <w:p>
      <w:r>
        <w:br w:type="page"/>
      </w:r>
    </w:p>
    <w:p>
      <w:pPr>
        <w:pStyle w:val="Heading1"/>
      </w:pPr>
      <w:r>
        <w:t>LP Sizing (slippage target)</w:t>
      </w:r>
    </w:p>
    <w:p>
      <w:r>
        <w:t>Esempi di calcolo minimi di liquidità per garantire slippage ≤1%. Y ≥ t·(1−s)/s.</w:t>
      </w:r>
    </w:p>
    <w:p>
      <w:r>
        <w:br w:type="page"/>
      </w:r>
    </w:p>
    <w:p>
      <w:pPr>
        <w:pStyle w:val="Heading1"/>
      </w:pPr>
      <w:r>
        <w:t>Compliance &amp; Disclosure</w:t>
      </w:r>
    </w:p>
    <w:p>
      <w:pPr>
        <w:pStyle w:val="ListBullet"/>
      </w:pPr>
      <w:r>
        <w:t>On-chain &gt; documenti</w:t>
      </w:r>
    </w:p>
    <w:p>
      <w:pPr>
        <w:pStyle w:val="ListBullet"/>
      </w:pPr>
      <w:r>
        <w:t>Non affiliato a Tether</w:t>
      </w:r>
    </w:p>
    <w:p>
      <w:pPr>
        <w:pStyle w:val="ListBullet"/>
      </w:pPr>
      <w:r>
        <w:t>Trasparenza pubblica su GitHub Pages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