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USDTZ – Transparency &amp; Policy</w:t>
      </w:r>
    </w:p>
    <w:p>
      <w:r>
        <w:t>Document Version: v2.0</w:t>
      </w:r>
    </w:p>
    <w:p>
      <w:r>
        <w:t>Last Updated: 22 September 2025</w:t>
      </w:r>
    </w:p>
    <w:p>
      <w:r>
        <w:t xml:space="preserve">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Network / Standard</w:t>
            </w:r>
          </w:p>
        </w:tc>
        <w:tc>
          <w:tcPr>
            <w:tcW w:type="dxa" w:w="4320"/>
          </w:tcPr>
          <w:p>
            <w:r>
              <w:t>BNB Smart Chain (BSC) – BEP-20</w:t>
            </w:r>
          </w:p>
        </w:tc>
      </w:tr>
      <w:tr>
        <w:tc>
          <w:tcPr>
            <w:tcW w:type="dxa" w:w="4320"/>
          </w:tcPr>
          <w:p>
            <w:r>
              <w:t>Token Address (contract)</w:t>
            </w:r>
          </w:p>
        </w:tc>
        <w:tc>
          <w:tcPr>
            <w:tcW w:type="dxa" w:w="4320"/>
          </w:tcPr>
          <w:p>
            <w:r>
              <w:t>0x86e7C48432fE2f98ABc6aDcA0aF87847Ab5542ce</w:t>
            </w:r>
          </w:p>
        </w:tc>
      </w:tr>
      <w:tr>
        <w:tc>
          <w:tcPr>
            <w:tcW w:type="dxa" w:w="4320"/>
          </w:tcPr>
          <w:p>
            <w:r>
              <w:t>Decimals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Total Supply</w:t>
            </w:r>
          </w:p>
        </w:tc>
        <w:tc>
          <w:tcPr>
            <w:tcW w:type="dxa" w:w="4320"/>
          </w:tcPr>
          <w:p>
            <w:r>
              <w:t>100,000,000,000 (fissa, non mintabile)</w:t>
            </w:r>
          </w:p>
        </w:tc>
      </w:tr>
      <w:tr>
        <w:tc>
          <w:tcPr>
            <w:tcW w:type="dxa" w:w="4320"/>
          </w:tcPr>
          <w:p>
            <w:r>
              <w:t>Transfer fees</w:t>
            </w:r>
          </w:p>
        </w:tc>
        <w:tc>
          <w:tcPr>
            <w:tcW w:type="dxa" w:w="4320"/>
          </w:tcPr>
          <w:p>
            <w:r>
              <w:t>0% | Reflection: none | Auto-burn: none</w:t>
            </w:r>
          </w:p>
        </w:tc>
      </w:tr>
      <w:tr>
        <w:tc>
          <w:tcPr>
            <w:tcW w:type="dxa" w:w="4320"/>
          </w:tcPr>
          <w:p>
            <w:r>
              <w:t>Official site</w:t>
            </w:r>
          </w:p>
        </w:tc>
        <w:tc>
          <w:tcPr>
            <w:tcW w:type="dxa" w:w="4320"/>
          </w:tcPr>
          <w:p>
            <w:r>
              <w:t>https://usdt-z.cloud</w:t>
            </w:r>
          </w:p>
        </w:tc>
      </w:tr>
      <w:tr>
        <w:tc>
          <w:tcPr>
            <w:tcW w:type="dxa" w:w="4320"/>
          </w:tcPr>
          <w:p>
            <w:r>
              <w:t>Contacts</w:t>
            </w:r>
          </w:p>
        </w:tc>
        <w:tc>
          <w:tcPr>
            <w:tcW w:type="dxa" w:w="4320"/>
          </w:tcPr>
          <w:p>
            <w:r>
              <w:t>info@usdt-z.cloud | Instagram: @usdtz2025</w:t>
            </w:r>
          </w:p>
        </w:tc>
      </w:tr>
    </w:tbl>
    <w:p>
      <w:r>
        <w:br w:type="page"/>
      </w:r>
    </w:p>
    <w:p>
      <w:pPr>
        <w:pStyle w:val="Heading1"/>
      </w:pPr>
      <w:r>
        <w:t>Contract &amp; Addresses</w:t>
      </w:r>
    </w:p>
    <w:p>
      <w:pPr>
        <w:pStyle w:val="ListBullet"/>
      </w:pPr>
      <w:r>
        <w:t>Contratto: 0x86e7C48432fE2f98ABc6aDcA0aF87847Ab5542ce</w:t>
      </w:r>
    </w:p>
    <w:p>
      <w:pPr>
        <w:pStyle w:val="ListBullet"/>
      </w:pPr>
      <w:r>
        <w:t>Canonical pair: PancakeSwap v3 (USDTz/USDT, fee 0.01%, fallback 0.05%)</w:t>
      </w:r>
    </w:p>
    <w:p>
      <w:pPr>
        <w:pStyle w:val="ListBullet"/>
      </w:pPr>
      <w:r>
        <w:t>LP lock: none (policy di disclosure pubblica)</w:t>
      </w:r>
    </w:p>
    <w:p>
      <w:r>
        <w:br w:type="page"/>
      </w:r>
    </w:p>
    <w:p>
      <w:pPr>
        <w:pStyle w:val="Heading1"/>
      </w:pPr>
      <w:r>
        <w:t>Supply &amp; Circulating Methodology</w:t>
      </w:r>
    </w:p>
    <w:p>
      <w:r>
        <w:t>Circulating = totalSupply – Σ(excluded balances). Esclusioni: treasury, owner, pauser, burn. LP incluso (non lockato).</w:t>
      </w:r>
    </w:p>
    <w:p>
      <w:r>
        <w:br w:type="page"/>
      </w:r>
    </w:p>
    <w:p>
      <w:pPr>
        <w:pStyle w:val="Heading1"/>
      </w:pPr>
      <w:r>
        <w:t>DEX &amp; Liquidity Policy</w:t>
      </w:r>
    </w:p>
    <w:p>
      <w:pPr>
        <w:pStyle w:val="ListBullet"/>
      </w:pPr>
      <w:r>
        <w:t>Solo pool canonica PancakeSwap v3 da usare per routing</w:t>
      </w:r>
    </w:p>
    <w:p>
      <w:pPr>
        <w:pStyle w:val="ListBullet"/>
      </w:pPr>
      <w:r>
        <w:t>Gestione pool spurie e comunicazione verso indexers</w:t>
      </w:r>
    </w:p>
    <w:p>
      <w:pPr>
        <w:pStyle w:val="ListBullet"/>
      </w:pPr>
      <w:r>
        <w:t>Range iniziale 0.995–1.005, micro-swap post add liquidity</w:t>
      </w:r>
    </w:p>
    <w:p>
      <w:r>
        <w:br w:type="page"/>
      </w:r>
    </w:p>
    <w:p>
      <w:pPr>
        <w:pStyle w:val="Heading1"/>
      </w:pPr>
      <w:r>
        <w:t>Disclosures</w:t>
      </w:r>
    </w:p>
    <w:p>
      <w:pPr>
        <w:pStyle w:val="ListBullet"/>
      </w:pPr>
      <w:r>
        <w:t>Non affiliato a Tether</w:t>
      </w:r>
    </w:p>
    <w:p>
      <w:pPr>
        <w:pStyle w:val="ListBullet"/>
      </w:pPr>
      <w:r>
        <w:t>On-chain &gt; documenti</w:t>
      </w:r>
    </w:p>
    <w:p>
      <w:pPr>
        <w:pStyle w:val="ListBullet"/>
      </w:pPr>
      <w:r>
        <w:t>Trasparenza tramite registry CSV e GitHub Pages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