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USDTZ – Whitepaper Lite</w:t>
      </w:r>
    </w:p>
    <w:p>
      <w:r>
        <w:t>Document Version: v2.0</w:t>
      </w:r>
    </w:p>
    <w:p>
      <w:r>
        <w:t>Last Updated: 22 September 2025</w:t>
      </w:r>
    </w:p>
    <w:p>
      <w:r>
        <w:t xml:space="preserve">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Network / Standard</w:t>
            </w:r>
          </w:p>
        </w:tc>
        <w:tc>
          <w:tcPr>
            <w:tcW w:type="dxa" w:w="4320"/>
          </w:tcPr>
          <w:p>
            <w:r>
              <w:t>BNB Smart Chain (BSC) – BEP-20</w:t>
            </w:r>
          </w:p>
        </w:tc>
      </w:tr>
      <w:tr>
        <w:tc>
          <w:tcPr>
            <w:tcW w:type="dxa" w:w="4320"/>
          </w:tcPr>
          <w:p>
            <w:r>
              <w:t>Token Address (contract)</w:t>
            </w:r>
          </w:p>
        </w:tc>
        <w:tc>
          <w:tcPr>
            <w:tcW w:type="dxa" w:w="4320"/>
          </w:tcPr>
          <w:p>
            <w:r>
              <w:t>0x86e7C48432fE2f98ABc6aDcA0aF87847Ab5542ce</w:t>
            </w:r>
          </w:p>
        </w:tc>
      </w:tr>
      <w:tr>
        <w:tc>
          <w:tcPr>
            <w:tcW w:type="dxa" w:w="4320"/>
          </w:tcPr>
          <w:p>
            <w:r>
              <w:t>Decimals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Total Supply</w:t>
            </w:r>
          </w:p>
        </w:tc>
        <w:tc>
          <w:tcPr>
            <w:tcW w:type="dxa" w:w="4320"/>
          </w:tcPr>
          <w:p>
            <w:r>
              <w:t>100,000,000,000 (fissa, non mintabile)</w:t>
            </w:r>
          </w:p>
        </w:tc>
      </w:tr>
      <w:tr>
        <w:tc>
          <w:tcPr>
            <w:tcW w:type="dxa" w:w="4320"/>
          </w:tcPr>
          <w:p>
            <w:r>
              <w:t>Transfer fees</w:t>
            </w:r>
          </w:p>
        </w:tc>
        <w:tc>
          <w:tcPr>
            <w:tcW w:type="dxa" w:w="4320"/>
          </w:tcPr>
          <w:p>
            <w:r>
              <w:t>0% | Reflection: none | Auto-burn: none</w:t>
            </w:r>
          </w:p>
        </w:tc>
      </w:tr>
      <w:tr>
        <w:tc>
          <w:tcPr>
            <w:tcW w:type="dxa" w:w="4320"/>
          </w:tcPr>
          <w:p>
            <w:r>
              <w:t>Official site</w:t>
            </w:r>
          </w:p>
        </w:tc>
        <w:tc>
          <w:tcPr>
            <w:tcW w:type="dxa" w:w="4320"/>
          </w:tcPr>
          <w:p>
            <w:r>
              <w:t>https://usdt-z.cloud</w:t>
            </w:r>
          </w:p>
        </w:tc>
      </w:tr>
      <w:tr>
        <w:tc>
          <w:tcPr>
            <w:tcW w:type="dxa" w:w="4320"/>
          </w:tcPr>
          <w:p>
            <w:r>
              <w:t>Contacts</w:t>
            </w:r>
          </w:p>
        </w:tc>
        <w:tc>
          <w:tcPr>
            <w:tcW w:type="dxa" w:w="4320"/>
          </w:tcPr>
          <w:p>
            <w:r>
              <w:t>info@usdt-z.cloud | Instagram: @usdtz2025</w:t>
            </w:r>
          </w:p>
        </w:tc>
      </w:tr>
    </w:tbl>
    <w:p>
      <w:r>
        <w:br w:type="page"/>
      </w:r>
    </w:p>
    <w:p>
      <w:pPr>
        <w:pStyle w:val="Heading1"/>
      </w:pPr>
      <w:r>
        <w:t>Overview &amp; Use Case</w:t>
      </w:r>
    </w:p>
    <w:p>
      <w:r>
        <w:t>USDTz = token OTC/collaterale, non creato per trading speculativo. Deploy su BNB Smart Chain, supply fissa 100B, decimali 6.</w:t>
      </w:r>
    </w:p>
    <w:p>
      <w:r>
        <w:br w:type="page"/>
      </w:r>
    </w:p>
    <w:p>
      <w:pPr>
        <w:pStyle w:val="Heading1"/>
      </w:pPr>
      <w:r>
        <w:t>Technology</w:t>
      </w:r>
    </w:p>
    <w:p>
      <w:pPr>
        <w:pStyle w:val="ListBullet"/>
      </w:pPr>
      <w:r>
        <w:t>Framework: OpenZeppelin 4.9.5</w:t>
      </w:r>
    </w:p>
    <w:p>
      <w:pPr>
        <w:pStyle w:val="ListBullet"/>
      </w:pPr>
      <w:r>
        <w:t>Contract: 0x86e7C48432fE2f98ABc6aDcA0aF87847Ab5542ce</w:t>
      </w:r>
    </w:p>
    <w:p>
      <w:pPr>
        <w:pStyle w:val="ListBullet"/>
      </w:pPr>
      <w:r>
        <w:t>Funzioni: ERC20, Permit, Pausable, Ownable2Step</w:t>
      </w:r>
    </w:p>
    <w:p>
      <w:r>
        <w:br w:type="page"/>
      </w:r>
    </w:p>
    <w:p>
      <w:pPr>
        <w:pStyle w:val="Heading1"/>
      </w:pPr>
      <w:r>
        <w:t>Tokenomics</w:t>
      </w:r>
    </w:p>
    <w:p>
      <w:pPr>
        <w:pStyle w:val="ListBullet"/>
      </w:pPr>
      <w:r>
        <w:t>Supply fissa: 100,000,000,000</w:t>
      </w:r>
    </w:p>
    <w:p>
      <w:pPr>
        <w:pStyle w:val="ListBullet"/>
      </w:pPr>
      <w:r>
        <w:t>Treasury genesis: 0xC6BEdBB3542b044E124F1261e2D146174f622F2D</w:t>
      </w:r>
    </w:p>
    <w:p>
      <w:pPr>
        <w:pStyle w:val="ListBullet"/>
      </w:pPr>
      <w:r>
        <w:t>Owner: 0xFA4C56bC42C78816B7622f8d4EecF1caAd89fDb4</w:t>
      </w:r>
    </w:p>
    <w:p>
      <w:pPr>
        <w:pStyle w:val="ListBullet"/>
      </w:pPr>
      <w:r>
        <w:t>Pauser: 0x886C8047F4cF961b738a2d7b01f38c2A93d9E657</w:t>
      </w:r>
    </w:p>
    <w:p>
      <w:r>
        <w:br w:type="page"/>
      </w:r>
    </w:p>
    <w:p>
      <w:pPr>
        <w:pStyle w:val="Heading1"/>
      </w:pPr>
      <w:r>
        <w:t>Peg &amp; Liquidity</w:t>
      </w:r>
    </w:p>
    <w:p>
      <w:r>
        <w:t>Canonical pair PancakeSwap v3 (USDTz/USDT, fee 0.01%, fallback 0.05%), range 0.995–1.005.</w:t>
      </w:r>
    </w:p>
    <w:p>
      <w:r>
        <w:br w:type="page"/>
      </w:r>
    </w:p>
    <w:p>
      <w:pPr>
        <w:pStyle w:val="Heading1"/>
      </w:pPr>
      <w:r>
        <w:t>Governance &amp; Transparency</w:t>
      </w:r>
    </w:p>
    <w:p>
      <w:r>
        <w:t>On-chain &gt; documenti. Registry CSV pubblico. Audit e policy pubblicate su GitHub.</w:t>
      </w:r>
    </w:p>
    <w:p>
      <w:r>
        <w:br w:type="page"/>
      </w:r>
    </w:p>
    <w:p>
      <w:pPr>
        <w:pStyle w:val="Heading1"/>
      </w:pPr>
      <w:r>
        <w:t>Disclaimer</w:t>
      </w:r>
    </w:p>
    <w:p>
      <w:r>
        <w:t>Non affiliato a Tether. Documento tecnico-informativo, non offerta di investimento.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