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1C94" w:rsidRPr="00813694" w:rsidRDefault="006729D0" w:rsidP="00813694">
      <w:pPr>
        <w:spacing w:after="0"/>
        <w:rPr>
          <w:rFonts w:ascii="Times New Roman" w:hAnsi="Times New Roman"/>
          <w:b/>
        </w:rPr>
      </w:pPr>
      <w:r w:rsidRPr="00813694">
        <w:rPr>
          <w:rFonts w:ascii="Times New Roman" w:hAnsi="Times New Roman"/>
          <w:b/>
        </w:rPr>
        <w:t>N</w:t>
      </w:r>
      <w:r w:rsidR="000E0CDC" w:rsidRPr="00813694">
        <w:rPr>
          <w:rFonts w:ascii="Times New Roman" w:hAnsi="Times New Roman"/>
          <w:b/>
        </w:rPr>
        <w:t>ovel therapeutic approach</w:t>
      </w:r>
      <w:r w:rsidR="006E135A" w:rsidRPr="00813694">
        <w:rPr>
          <w:rFonts w:ascii="Times New Roman" w:hAnsi="Times New Roman"/>
          <w:b/>
        </w:rPr>
        <w:t>es for c</w:t>
      </w:r>
      <w:r w:rsidR="00A16646" w:rsidRPr="00813694">
        <w:rPr>
          <w:rFonts w:ascii="Times New Roman" w:hAnsi="Times New Roman"/>
          <w:b/>
        </w:rPr>
        <w:t>hondrosarcomas</w:t>
      </w:r>
      <w:r w:rsidRPr="00813694">
        <w:rPr>
          <w:rFonts w:ascii="Times New Roman" w:hAnsi="Times New Roman"/>
          <w:b/>
        </w:rPr>
        <w:t xml:space="preserve">: </w:t>
      </w:r>
      <w:r w:rsidR="006E135A" w:rsidRPr="00813694">
        <w:rPr>
          <w:rFonts w:ascii="Times New Roman" w:hAnsi="Times New Roman"/>
          <w:b/>
        </w:rPr>
        <w:t>the r</w:t>
      </w:r>
      <w:r w:rsidRPr="00813694">
        <w:rPr>
          <w:rFonts w:ascii="Times New Roman" w:hAnsi="Times New Roman"/>
          <w:b/>
        </w:rPr>
        <w:t xml:space="preserve">ole of </w:t>
      </w:r>
      <w:r w:rsidR="009F7266" w:rsidRPr="00813694">
        <w:rPr>
          <w:rFonts w:ascii="Times New Roman" w:hAnsi="Times New Roman"/>
          <w:b/>
        </w:rPr>
        <w:t xml:space="preserve">retinol-binding protein 1 (RBP1) </w:t>
      </w:r>
      <w:r w:rsidR="006E135A" w:rsidRPr="00813694">
        <w:rPr>
          <w:rFonts w:ascii="Times New Roman" w:hAnsi="Times New Roman"/>
          <w:b/>
        </w:rPr>
        <w:t>and retinoic a</w:t>
      </w:r>
      <w:r w:rsidRPr="00813694">
        <w:rPr>
          <w:rFonts w:ascii="Times New Roman" w:hAnsi="Times New Roman"/>
          <w:b/>
        </w:rPr>
        <w:t>cid signaling</w:t>
      </w:r>
    </w:p>
    <w:p w:rsidR="00F66318" w:rsidRPr="00015909" w:rsidRDefault="00F66318" w:rsidP="00813694">
      <w:pPr>
        <w:spacing w:after="0"/>
        <w:rPr>
          <w:rFonts w:ascii="Times New Roman" w:hAnsi="Times New Roman"/>
        </w:rPr>
      </w:pPr>
    </w:p>
    <w:p w:rsidR="00521C94" w:rsidRPr="00015909" w:rsidRDefault="00521C94" w:rsidP="00813694">
      <w:pPr>
        <w:spacing w:after="0"/>
        <w:rPr>
          <w:rFonts w:ascii="Times New Roman" w:hAnsi="Times New Roman"/>
        </w:rPr>
      </w:pPr>
      <w:r w:rsidRPr="00015909">
        <w:rPr>
          <w:rFonts w:ascii="Times New Roman" w:hAnsi="Times New Roman"/>
          <w:b/>
        </w:rPr>
        <w:t>Scholar:</w:t>
      </w:r>
      <w:r w:rsidRPr="00015909">
        <w:rPr>
          <w:rFonts w:ascii="Times New Roman" w:hAnsi="Times New Roman"/>
        </w:rPr>
        <w:t xml:space="preserve"> Angela Burns</w:t>
      </w:r>
      <w:bookmarkStart w:id="0" w:name="_GoBack"/>
      <w:bookmarkEnd w:id="0"/>
    </w:p>
    <w:p w:rsidR="00F66318" w:rsidRPr="00015909" w:rsidRDefault="00F66318" w:rsidP="00813694">
      <w:pPr>
        <w:spacing w:after="0"/>
        <w:rPr>
          <w:rFonts w:ascii="Times New Roman" w:hAnsi="Times New Roman"/>
        </w:rPr>
      </w:pPr>
    </w:p>
    <w:p w:rsidR="00521C94" w:rsidRPr="00015909" w:rsidRDefault="00521C94" w:rsidP="00813694">
      <w:pPr>
        <w:spacing w:after="0"/>
        <w:rPr>
          <w:rFonts w:ascii="Times New Roman" w:hAnsi="Times New Roman"/>
        </w:rPr>
      </w:pPr>
      <w:r w:rsidRPr="00015909">
        <w:rPr>
          <w:rFonts w:ascii="Times New Roman" w:hAnsi="Times New Roman"/>
          <w:b/>
        </w:rPr>
        <w:t>High School:</w:t>
      </w:r>
      <w:r w:rsidRPr="00015909">
        <w:rPr>
          <w:rFonts w:ascii="Times New Roman" w:hAnsi="Times New Roman"/>
        </w:rPr>
        <w:t xml:space="preserve"> Bethe</w:t>
      </w:r>
      <w:r w:rsidR="00A35B98" w:rsidRPr="00015909">
        <w:rPr>
          <w:rFonts w:ascii="Times New Roman" w:hAnsi="Times New Roman"/>
        </w:rPr>
        <w:t xml:space="preserve">l Park High School, Bethel Park </w:t>
      </w:r>
      <w:r w:rsidRPr="00015909">
        <w:rPr>
          <w:rFonts w:ascii="Times New Roman" w:hAnsi="Times New Roman"/>
        </w:rPr>
        <w:t>Pennsylvania</w:t>
      </w:r>
    </w:p>
    <w:p w:rsidR="00F66318" w:rsidRPr="00015909" w:rsidRDefault="00F66318" w:rsidP="00813694">
      <w:pPr>
        <w:spacing w:after="0"/>
        <w:rPr>
          <w:rFonts w:ascii="Times New Roman" w:hAnsi="Times New Roman"/>
        </w:rPr>
      </w:pPr>
    </w:p>
    <w:p w:rsidR="00D11F76" w:rsidRPr="00015909" w:rsidRDefault="00521C94" w:rsidP="00813694">
      <w:pPr>
        <w:spacing w:after="0"/>
        <w:rPr>
          <w:rFonts w:ascii="Times New Roman" w:hAnsi="Times New Roman"/>
        </w:rPr>
      </w:pPr>
      <w:r w:rsidRPr="00015909">
        <w:rPr>
          <w:rFonts w:ascii="Times New Roman" w:hAnsi="Times New Roman"/>
          <w:b/>
        </w:rPr>
        <w:t>Lab:</w:t>
      </w:r>
      <w:r w:rsidRPr="00015909">
        <w:rPr>
          <w:rFonts w:ascii="Times New Roman" w:hAnsi="Times New Roman"/>
        </w:rPr>
        <w:t xml:space="preserve"> Anette </w:t>
      </w:r>
      <w:proofErr w:type="spellStart"/>
      <w:r w:rsidRPr="00015909">
        <w:rPr>
          <w:rFonts w:ascii="Times New Roman" w:hAnsi="Times New Roman"/>
        </w:rPr>
        <w:t>Duensing</w:t>
      </w:r>
      <w:proofErr w:type="spellEnd"/>
      <w:r w:rsidR="00F66318" w:rsidRPr="00015909">
        <w:rPr>
          <w:rFonts w:ascii="Times New Roman" w:hAnsi="Times New Roman"/>
        </w:rPr>
        <w:t>, MD</w:t>
      </w:r>
    </w:p>
    <w:p w:rsidR="00F66318" w:rsidRPr="00015909" w:rsidRDefault="00F66318" w:rsidP="00813694">
      <w:pPr>
        <w:spacing w:after="0"/>
        <w:rPr>
          <w:rFonts w:ascii="Times New Roman" w:hAnsi="Times New Roman"/>
        </w:rPr>
      </w:pPr>
    </w:p>
    <w:p w:rsidR="00D11F76" w:rsidRPr="00015909" w:rsidRDefault="00D11F76" w:rsidP="00813694">
      <w:pPr>
        <w:spacing w:after="0"/>
        <w:rPr>
          <w:rFonts w:ascii="Times New Roman" w:hAnsi="Times New Roman"/>
        </w:rPr>
      </w:pPr>
      <w:r w:rsidRPr="00015909">
        <w:rPr>
          <w:rFonts w:ascii="Times New Roman" w:hAnsi="Times New Roman"/>
          <w:b/>
        </w:rPr>
        <w:t>Mentor</w:t>
      </w:r>
      <w:r w:rsidR="008D024D" w:rsidRPr="00015909">
        <w:rPr>
          <w:rFonts w:ascii="Times New Roman" w:hAnsi="Times New Roman"/>
          <w:b/>
        </w:rPr>
        <w:t>:</w:t>
      </w:r>
      <w:r w:rsidR="008D024D" w:rsidRPr="00015909">
        <w:rPr>
          <w:rFonts w:ascii="Times New Roman" w:hAnsi="Times New Roman"/>
        </w:rPr>
        <w:t xml:space="preserve"> </w:t>
      </w:r>
      <w:r w:rsidRPr="00015909">
        <w:rPr>
          <w:rFonts w:ascii="Times New Roman" w:hAnsi="Times New Roman"/>
        </w:rPr>
        <w:t>Donna Lee</w:t>
      </w:r>
    </w:p>
    <w:p w:rsidR="00F66318" w:rsidRPr="00015909" w:rsidRDefault="00F66318" w:rsidP="00813694">
      <w:pPr>
        <w:spacing w:after="0"/>
        <w:rPr>
          <w:rFonts w:ascii="Times New Roman" w:hAnsi="Times New Roman"/>
        </w:rPr>
      </w:pPr>
    </w:p>
    <w:p w:rsidR="00D11F76" w:rsidRPr="00015909" w:rsidRDefault="00D11F76" w:rsidP="00813694">
      <w:pPr>
        <w:spacing w:after="0"/>
        <w:rPr>
          <w:rFonts w:ascii="Times New Roman" w:hAnsi="Times New Roman"/>
        </w:rPr>
      </w:pPr>
      <w:r w:rsidRPr="00015909">
        <w:rPr>
          <w:rFonts w:ascii="Times New Roman" w:hAnsi="Times New Roman"/>
          <w:b/>
        </w:rPr>
        <w:t>Site:</w:t>
      </w:r>
      <w:r w:rsidRPr="00015909">
        <w:rPr>
          <w:rFonts w:ascii="Times New Roman" w:hAnsi="Times New Roman"/>
        </w:rPr>
        <w:t xml:space="preserve"> Cancer Biology</w:t>
      </w:r>
    </w:p>
    <w:p w:rsidR="00F66318" w:rsidRPr="00015909" w:rsidRDefault="00F66318" w:rsidP="009F7266">
      <w:pPr>
        <w:spacing w:after="0"/>
        <w:jc w:val="center"/>
        <w:rPr>
          <w:rFonts w:ascii="Times New Roman" w:hAnsi="Times New Roman"/>
        </w:rPr>
      </w:pPr>
    </w:p>
    <w:p w:rsidR="004B09DC" w:rsidRPr="00015909" w:rsidRDefault="006F56A1" w:rsidP="004B09DC">
      <w:pPr>
        <w:spacing w:after="0"/>
        <w:jc w:val="both"/>
        <w:rPr>
          <w:rFonts w:ascii="Times New Roman" w:hAnsi="Times New Roman"/>
        </w:rPr>
      </w:pPr>
      <w:r w:rsidRPr="00015909">
        <w:rPr>
          <w:rFonts w:ascii="Times New Roman" w:hAnsi="Times New Roman"/>
          <w:b/>
        </w:rPr>
        <w:t>Background</w:t>
      </w:r>
      <w:r w:rsidR="00770857" w:rsidRPr="00015909">
        <w:rPr>
          <w:rFonts w:ascii="Times New Roman" w:hAnsi="Times New Roman"/>
          <w:b/>
        </w:rPr>
        <w:t>:</w:t>
      </w:r>
      <w:r w:rsidR="002A5571" w:rsidRPr="00015909">
        <w:rPr>
          <w:rFonts w:ascii="Times New Roman" w:hAnsi="Times New Roman"/>
        </w:rPr>
        <w:t xml:space="preserve"> </w:t>
      </w:r>
      <w:bookmarkStart w:id="1" w:name="OLE_LINK1"/>
      <w:r w:rsidR="002A5571" w:rsidRPr="00015909">
        <w:rPr>
          <w:rFonts w:ascii="Times New Roman" w:hAnsi="Times New Roman"/>
        </w:rPr>
        <w:t>Chondrosarcoma</w:t>
      </w:r>
      <w:r w:rsidR="00356B9F" w:rsidRPr="00015909">
        <w:rPr>
          <w:rFonts w:ascii="Times New Roman" w:hAnsi="Times New Roman"/>
        </w:rPr>
        <w:t xml:space="preserve"> is a </w:t>
      </w:r>
      <w:r w:rsidR="00F66318" w:rsidRPr="00015909">
        <w:rPr>
          <w:rFonts w:ascii="Times New Roman" w:hAnsi="Times New Roman"/>
        </w:rPr>
        <w:t>malignant bone</w:t>
      </w:r>
      <w:r w:rsidR="00583CFE" w:rsidRPr="00015909">
        <w:rPr>
          <w:rFonts w:ascii="Times New Roman" w:hAnsi="Times New Roman"/>
        </w:rPr>
        <w:t xml:space="preserve"> </w:t>
      </w:r>
      <w:r w:rsidR="00704AD3" w:rsidRPr="00015909">
        <w:rPr>
          <w:rFonts w:ascii="Times New Roman" w:hAnsi="Times New Roman"/>
        </w:rPr>
        <w:t>cancer that</w:t>
      </w:r>
      <w:r w:rsidR="000544CE" w:rsidRPr="00015909">
        <w:rPr>
          <w:rFonts w:ascii="Times New Roman" w:hAnsi="Times New Roman"/>
        </w:rPr>
        <w:t xml:space="preserve"> </w:t>
      </w:r>
      <w:r w:rsidR="00583CFE" w:rsidRPr="00015909">
        <w:rPr>
          <w:rFonts w:ascii="Times New Roman" w:hAnsi="Times New Roman"/>
        </w:rPr>
        <w:t xml:space="preserve">produces cartilaginous matrix. Currently, </w:t>
      </w:r>
      <w:r w:rsidR="002715D6" w:rsidRPr="00015909">
        <w:rPr>
          <w:rFonts w:ascii="Times New Roman" w:hAnsi="Times New Roman"/>
        </w:rPr>
        <w:t>surgery</w:t>
      </w:r>
      <w:r w:rsidR="00583CFE" w:rsidRPr="00015909">
        <w:rPr>
          <w:rFonts w:ascii="Times New Roman" w:hAnsi="Times New Roman"/>
        </w:rPr>
        <w:t xml:space="preserve"> is the only available treatment option</w:t>
      </w:r>
      <w:r w:rsidR="004D6D35" w:rsidRPr="00015909">
        <w:rPr>
          <w:rFonts w:ascii="Times New Roman" w:hAnsi="Times New Roman"/>
        </w:rPr>
        <w:t>.</w:t>
      </w:r>
      <w:r w:rsidR="004B09DC" w:rsidRPr="00015909">
        <w:rPr>
          <w:rFonts w:ascii="Times New Roman" w:hAnsi="Times New Roman"/>
        </w:rPr>
        <w:t xml:space="preserve"> </w:t>
      </w:r>
      <w:r w:rsidR="004D6D35" w:rsidRPr="00015909">
        <w:rPr>
          <w:rFonts w:ascii="Times New Roman" w:hAnsi="Times New Roman"/>
        </w:rPr>
        <w:t>T</w:t>
      </w:r>
      <w:r w:rsidR="004B09DC" w:rsidRPr="00015909">
        <w:rPr>
          <w:rFonts w:ascii="Times New Roman" w:hAnsi="Times New Roman"/>
        </w:rPr>
        <w:t>herefore</w:t>
      </w:r>
      <w:r w:rsidR="004D6D35" w:rsidRPr="00015909">
        <w:rPr>
          <w:rFonts w:ascii="Times New Roman" w:hAnsi="Times New Roman"/>
        </w:rPr>
        <w:t>,</w:t>
      </w:r>
      <w:r w:rsidR="004B09DC" w:rsidRPr="00015909">
        <w:rPr>
          <w:rFonts w:ascii="Times New Roman" w:hAnsi="Times New Roman"/>
        </w:rPr>
        <w:t xml:space="preserve"> novel therapeutic approaches are urgently needed for patients with metastatic and/or </w:t>
      </w:r>
      <w:proofErr w:type="spellStart"/>
      <w:r w:rsidR="004B09DC" w:rsidRPr="00015909">
        <w:rPr>
          <w:rFonts w:ascii="Times New Roman" w:hAnsi="Times New Roman"/>
        </w:rPr>
        <w:t>unresectable</w:t>
      </w:r>
      <w:proofErr w:type="spellEnd"/>
      <w:r w:rsidR="004B09DC" w:rsidRPr="00015909">
        <w:rPr>
          <w:rFonts w:ascii="Times New Roman" w:hAnsi="Times New Roman"/>
        </w:rPr>
        <w:t xml:space="preserve"> tumors. </w:t>
      </w:r>
      <w:proofErr w:type="gramStart"/>
      <w:r w:rsidR="004B09DC" w:rsidRPr="00015909">
        <w:rPr>
          <w:rFonts w:ascii="Times New Roman" w:hAnsi="Times New Roman"/>
        </w:rPr>
        <w:t>A large percentage</w:t>
      </w:r>
      <w:proofErr w:type="gramEnd"/>
      <w:r w:rsidR="004B09DC" w:rsidRPr="00015909">
        <w:rPr>
          <w:rFonts w:ascii="Times New Roman" w:hAnsi="Times New Roman"/>
        </w:rPr>
        <w:t xml:space="preserve"> of chondrosarcomas carry a point mutation in the isocitrate dehydrogenase (</w:t>
      </w:r>
      <w:r w:rsidR="004B09DC" w:rsidRPr="00015909">
        <w:rPr>
          <w:rFonts w:ascii="Times New Roman" w:hAnsi="Times New Roman"/>
          <w:i/>
        </w:rPr>
        <w:t>IDH</w:t>
      </w:r>
      <w:r w:rsidR="004B09DC" w:rsidRPr="00015909">
        <w:rPr>
          <w:rFonts w:ascii="Times New Roman" w:hAnsi="Times New Roman"/>
        </w:rPr>
        <w:t xml:space="preserve">) 1 or </w:t>
      </w:r>
      <w:r w:rsidR="004B09DC" w:rsidRPr="00015909">
        <w:rPr>
          <w:rFonts w:ascii="Times New Roman" w:hAnsi="Times New Roman"/>
          <w:i/>
        </w:rPr>
        <w:t>IDH2</w:t>
      </w:r>
      <w:r w:rsidR="004B09DC" w:rsidRPr="00015909">
        <w:rPr>
          <w:rFonts w:ascii="Times New Roman" w:hAnsi="Times New Roman"/>
        </w:rPr>
        <w:t xml:space="preserve"> gene. This leads to the production of the oncometabolite 2-hydroxyglutarate (2-HG), which promotes tumorigenesis through DNA hypermethylation and downregulation of tumor suppressor genes. Gliomas with </w:t>
      </w:r>
      <w:r w:rsidR="004B09DC" w:rsidRPr="00015909">
        <w:rPr>
          <w:rFonts w:ascii="Times New Roman" w:hAnsi="Times New Roman"/>
          <w:i/>
        </w:rPr>
        <w:t>IDH1/2</w:t>
      </w:r>
      <w:r w:rsidR="004B09DC" w:rsidRPr="00015909">
        <w:rPr>
          <w:rFonts w:ascii="Times New Roman" w:hAnsi="Times New Roman"/>
        </w:rPr>
        <w:t xml:space="preserve"> mutations have been shown to downregulate retinol-binding protein 1 (RBP1), which is crucial in the metabolism of v</w:t>
      </w:r>
      <w:r w:rsidR="004D6D35" w:rsidRPr="00015909">
        <w:rPr>
          <w:rFonts w:ascii="Times New Roman" w:hAnsi="Times New Roman"/>
        </w:rPr>
        <w:t xml:space="preserve">itamin A to retinoic acid (RA). Importantly, </w:t>
      </w:r>
      <w:r w:rsidR="004B09DC" w:rsidRPr="00015909">
        <w:rPr>
          <w:rFonts w:ascii="Times New Roman" w:hAnsi="Times New Roman"/>
        </w:rPr>
        <w:t>treatment with RA can reverse this effect. RA induces the transcription of multiple genes that are important for tumor suppression, cell differentiation, and immune activation. Thus, this study investigates RBP1 levels in chondrosarcomas and the efficacy of RA as a potential new treatment strategy for patients with chondrosarcoma.</w:t>
      </w:r>
    </w:p>
    <w:bookmarkEnd w:id="1"/>
    <w:p w:rsidR="00F66318" w:rsidRPr="00015909" w:rsidRDefault="00F66318" w:rsidP="00F66318">
      <w:pPr>
        <w:spacing w:after="0"/>
        <w:jc w:val="both"/>
        <w:rPr>
          <w:rFonts w:ascii="Times New Roman" w:hAnsi="Times New Roman"/>
        </w:rPr>
      </w:pPr>
    </w:p>
    <w:p w:rsidR="004B09DC" w:rsidRPr="00015909" w:rsidRDefault="00840896" w:rsidP="004B09DC">
      <w:pPr>
        <w:spacing w:after="0"/>
        <w:jc w:val="both"/>
        <w:rPr>
          <w:rFonts w:ascii="Times New Roman" w:hAnsi="Times New Roman"/>
        </w:rPr>
      </w:pPr>
      <w:r w:rsidRPr="00015909">
        <w:rPr>
          <w:rFonts w:ascii="Times New Roman" w:hAnsi="Times New Roman"/>
          <w:b/>
        </w:rPr>
        <w:t>Methods</w:t>
      </w:r>
      <w:r w:rsidR="00EA18CE" w:rsidRPr="00015909">
        <w:rPr>
          <w:rFonts w:ascii="Times New Roman" w:hAnsi="Times New Roman"/>
          <w:b/>
        </w:rPr>
        <w:t>:</w:t>
      </w:r>
      <w:r w:rsidR="00EA18CE" w:rsidRPr="00015909">
        <w:rPr>
          <w:rFonts w:ascii="Times New Roman" w:hAnsi="Times New Roman"/>
        </w:rPr>
        <w:t xml:space="preserve"> </w:t>
      </w:r>
      <w:r w:rsidR="004D6D35" w:rsidRPr="00015909">
        <w:rPr>
          <w:rFonts w:ascii="Times New Roman" w:hAnsi="Times New Roman"/>
        </w:rPr>
        <w:t>H</w:t>
      </w:r>
      <w:r w:rsidR="002A5237" w:rsidRPr="00015909">
        <w:rPr>
          <w:rFonts w:ascii="Times New Roman" w:hAnsi="Times New Roman"/>
        </w:rPr>
        <w:t xml:space="preserve">uman chondrosarcoma </w:t>
      </w:r>
      <w:r w:rsidR="004B09DC" w:rsidRPr="00015909">
        <w:rPr>
          <w:rFonts w:ascii="Times New Roman" w:hAnsi="Times New Roman"/>
        </w:rPr>
        <w:t xml:space="preserve">cell lines (HT-1080, SW1353, DK12) and control sarcoma cell lines (GIST-T1, GIST48) were treated with varying doses of RA. </w:t>
      </w:r>
      <w:r w:rsidR="005762D2" w:rsidRPr="00015909">
        <w:rPr>
          <w:rFonts w:ascii="Times New Roman" w:hAnsi="Times New Roman"/>
        </w:rPr>
        <w:t xml:space="preserve">Quantitative PCR was used to assess gene expression levels of RBP1. </w:t>
      </w:r>
      <w:r w:rsidR="004B09DC" w:rsidRPr="00015909">
        <w:rPr>
          <w:rFonts w:ascii="Times New Roman" w:hAnsi="Times New Roman"/>
        </w:rPr>
        <w:t xml:space="preserve">Immunoblotting and luminescence-based assays were used to evaluate cell viability and apoptosis. DNA sequencing was used to </w:t>
      </w:r>
      <w:r w:rsidR="005762D2" w:rsidRPr="00015909">
        <w:rPr>
          <w:rFonts w:ascii="Times New Roman" w:hAnsi="Times New Roman"/>
        </w:rPr>
        <w:t>assess</w:t>
      </w:r>
      <w:r w:rsidR="004B09DC" w:rsidRPr="00015909">
        <w:rPr>
          <w:rFonts w:ascii="Times New Roman" w:hAnsi="Times New Roman"/>
        </w:rPr>
        <w:t xml:space="preserve"> </w:t>
      </w:r>
      <w:r w:rsidR="004B09DC" w:rsidRPr="00015909">
        <w:rPr>
          <w:rFonts w:ascii="Times New Roman" w:hAnsi="Times New Roman"/>
          <w:i/>
        </w:rPr>
        <w:t>IDH1/2</w:t>
      </w:r>
      <w:r w:rsidR="004B09DC" w:rsidRPr="00015909">
        <w:rPr>
          <w:rFonts w:ascii="Times New Roman" w:hAnsi="Times New Roman"/>
        </w:rPr>
        <w:t xml:space="preserve"> mutations. </w:t>
      </w:r>
    </w:p>
    <w:p w:rsidR="00F66318" w:rsidRPr="00015909" w:rsidRDefault="00F66318" w:rsidP="00F66318">
      <w:pPr>
        <w:spacing w:after="0"/>
        <w:jc w:val="both"/>
        <w:rPr>
          <w:rFonts w:ascii="Times New Roman" w:hAnsi="Times New Roman"/>
        </w:rPr>
      </w:pPr>
    </w:p>
    <w:p w:rsidR="005762D2" w:rsidRPr="00015909" w:rsidRDefault="00770857" w:rsidP="005762D2">
      <w:pPr>
        <w:spacing w:after="0"/>
        <w:jc w:val="both"/>
        <w:rPr>
          <w:rFonts w:ascii="Times New Roman" w:hAnsi="Times New Roman"/>
        </w:rPr>
      </w:pPr>
      <w:r w:rsidRPr="00015909">
        <w:rPr>
          <w:rFonts w:ascii="Times New Roman" w:hAnsi="Times New Roman"/>
          <w:b/>
        </w:rPr>
        <w:t>Results:</w:t>
      </w:r>
      <w:r w:rsidR="00004D6A" w:rsidRPr="00015909">
        <w:rPr>
          <w:rFonts w:ascii="Times New Roman" w:hAnsi="Times New Roman"/>
        </w:rPr>
        <w:t xml:space="preserve"> </w:t>
      </w:r>
      <w:r w:rsidR="005762D2" w:rsidRPr="00015909">
        <w:rPr>
          <w:rFonts w:ascii="Times New Roman" w:hAnsi="Times New Roman"/>
        </w:rPr>
        <w:t xml:space="preserve">HT-1080 and SW1353 have known </w:t>
      </w:r>
      <w:r w:rsidR="005762D2" w:rsidRPr="00015909">
        <w:rPr>
          <w:rFonts w:ascii="Times New Roman" w:hAnsi="Times New Roman"/>
          <w:i/>
        </w:rPr>
        <w:t>IDH1</w:t>
      </w:r>
      <w:r w:rsidR="005762D2" w:rsidRPr="00015909">
        <w:rPr>
          <w:rFonts w:ascii="Times New Roman" w:hAnsi="Times New Roman"/>
        </w:rPr>
        <w:t xml:space="preserve"> and </w:t>
      </w:r>
      <w:r w:rsidR="005762D2" w:rsidRPr="00015909">
        <w:rPr>
          <w:rFonts w:ascii="Times New Roman" w:hAnsi="Times New Roman"/>
          <w:i/>
        </w:rPr>
        <w:t>IDH2</w:t>
      </w:r>
      <w:r w:rsidR="005762D2" w:rsidRPr="00015909">
        <w:rPr>
          <w:rFonts w:ascii="Times New Roman" w:hAnsi="Times New Roman"/>
        </w:rPr>
        <w:t xml:space="preserve"> mutations, respectively. GIST-T1 cells were shown to be </w:t>
      </w:r>
      <w:r w:rsidR="005762D2" w:rsidRPr="00015909">
        <w:rPr>
          <w:rFonts w:ascii="Times New Roman" w:hAnsi="Times New Roman"/>
          <w:i/>
        </w:rPr>
        <w:t>IDH1/2</w:t>
      </w:r>
      <w:r w:rsidR="005762D2" w:rsidRPr="00015909">
        <w:rPr>
          <w:rFonts w:ascii="Times New Roman" w:hAnsi="Times New Roman"/>
        </w:rPr>
        <w:t xml:space="preserve"> wildtype by </w:t>
      </w:r>
      <w:r w:rsidR="004D6D35" w:rsidRPr="00015909">
        <w:rPr>
          <w:rFonts w:ascii="Times New Roman" w:hAnsi="Times New Roman"/>
        </w:rPr>
        <w:t xml:space="preserve">DNA </w:t>
      </w:r>
      <w:r w:rsidR="005762D2" w:rsidRPr="00015909">
        <w:rPr>
          <w:rFonts w:ascii="Times New Roman" w:hAnsi="Times New Roman"/>
        </w:rPr>
        <w:t xml:space="preserve">sequencing. RA treatment increased RBP1 expression, decreased cell viability, and induced apoptosis in a dose-dependent and time-dependent manner in </w:t>
      </w:r>
      <w:r w:rsidR="005762D2" w:rsidRPr="00015909">
        <w:rPr>
          <w:rFonts w:ascii="Times New Roman" w:hAnsi="Times New Roman"/>
          <w:i/>
        </w:rPr>
        <w:t>IDH</w:t>
      </w:r>
      <w:r w:rsidR="004D6D35" w:rsidRPr="00015909">
        <w:rPr>
          <w:rFonts w:ascii="Times New Roman" w:hAnsi="Times New Roman"/>
        </w:rPr>
        <w:t>-</w:t>
      </w:r>
      <w:r w:rsidR="005762D2" w:rsidRPr="00015909">
        <w:rPr>
          <w:rFonts w:ascii="Times New Roman" w:hAnsi="Times New Roman"/>
        </w:rPr>
        <w:t xml:space="preserve">mutant cell lines. </w:t>
      </w:r>
    </w:p>
    <w:p w:rsidR="00F66318" w:rsidRPr="00015909" w:rsidRDefault="00F66318" w:rsidP="00F66318">
      <w:pPr>
        <w:spacing w:after="0"/>
        <w:jc w:val="both"/>
        <w:rPr>
          <w:rFonts w:ascii="Times New Roman" w:hAnsi="Times New Roman"/>
        </w:rPr>
      </w:pPr>
    </w:p>
    <w:p w:rsidR="004D6D35" w:rsidRPr="00015909" w:rsidRDefault="00770857" w:rsidP="004D6D35">
      <w:pPr>
        <w:spacing w:after="0"/>
        <w:jc w:val="both"/>
        <w:rPr>
          <w:rFonts w:ascii="Times New Roman" w:hAnsi="Times New Roman"/>
        </w:rPr>
      </w:pPr>
      <w:r w:rsidRPr="00015909">
        <w:rPr>
          <w:rFonts w:ascii="Times New Roman" w:hAnsi="Times New Roman"/>
          <w:b/>
        </w:rPr>
        <w:t>Conclusion:</w:t>
      </w:r>
      <w:r w:rsidRPr="00015909">
        <w:rPr>
          <w:rFonts w:ascii="Times New Roman" w:hAnsi="Times New Roman"/>
        </w:rPr>
        <w:t xml:space="preserve"> </w:t>
      </w:r>
      <w:r w:rsidR="005762D2" w:rsidRPr="00015909">
        <w:rPr>
          <w:rFonts w:ascii="Times New Roman" w:hAnsi="Times New Roman"/>
        </w:rPr>
        <w:t xml:space="preserve">Our study shows that RBP1 levels increase upon RA treatment in </w:t>
      </w:r>
      <w:r w:rsidR="005762D2" w:rsidRPr="00015909">
        <w:rPr>
          <w:rFonts w:ascii="Times New Roman" w:hAnsi="Times New Roman"/>
          <w:i/>
        </w:rPr>
        <w:t>IDH</w:t>
      </w:r>
      <w:r w:rsidR="005762D2" w:rsidRPr="00015909">
        <w:rPr>
          <w:rFonts w:ascii="Times New Roman" w:hAnsi="Times New Roman"/>
        </w:rPr>
        <w:t xml:space="preserve">-mutant chondrosarcoma cells. Hence, RA is a promising new treatment strategy for </w:t>
      </w:r>
      <w:r w:rsidR="005762D2" w:rsidRPr="00015909">
        <w:rPr>
          <w:rFonts w:ascii="Times New Roman" w:hAnsi="Times New Roman"/>
          <w:i/>
        </w:rPr>
        <w:t>IDH</w:t>
      </w:r>
      <w:r w:rsidR="005762D2" w:rsidRPr="00015909">
        <w:rPr>
          <w:rFonts w:ascii="Times New Roman" w:hAnsi="Times New Roman"/>
        </w:rPr>
        <w:t>-mutant chondrosarcomas.</w:t>
      </w:r>
      <w:r w:rsidR="004D6D35" w:rsidRPr="00015909">
        <w:rPr>
          <w:rFonts w:ascii="Times New Roman" w:hAnsi="Times New Roman"/>
        </w:rPr>
        <w:t xml:space="preserve"> Further studies will be done to confirm this result and investigate the mechanism by which RA acts to inhibit tumorigenic activity.  </w:t>
      </w:r>
    </w:p>
    <w:p w:rsidR="004D6D35" w:rsidRPr="00015909" w:rsidRDefault="004D6D35">
      <w:pPr>
        <w:rPr>
          <w:rFonts w:ascii="Times New Roman" w:hAnsi="Times New Roman"/>
        </w:rPr>
      </w:pPr>
    </w:p>
    <w:sectPr w:rsidR="004D6D35" w:rsidRPr="00015909" w:rsidSect="001D431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31A"/>
    <w:rsid w:val="00004D6A"/>
    <w:rsid w:val="00014771"/>
    <w:rsid w:val="00015909"/>
    <w:rsid w:val="00045E5E"/>
    <w:rsid w:val="000462AA"/>
    <w:rsid w:val="00051AD6"/>
    <w:rsid w:val="000544CE"/>
    <w:rsid w:val="00073E24"/>
    <w:rsid w:val="000E0CDC"/>
    <w:rsid w:val="000F70D3"/>
    <w:rsid w:val="00195A8F"/>
    <w:rsid w:val="001A5C68"/>
    <w:rsid w:val="001D431A"/>
    <w:rsid w:val="00211314"/>
    <w:rsid w:val="00221D5F"/>
    <w:rsid w:val="002715D6"/>
    <w:rsid w:val="002A5237"/>
    <w:rsid w:val="002A5571"/>
    <w:rsid w:val="002D03BF"/>
    <w:rsid w:val="002D3F78"/>
    <w:rsid w:val="00320E40"/>
    <w:rsid w:val="00340879"/>
    <w:rsid w:val="0035178F"/>
    <w:rsid w:val="00356B9F"/>
    <w:rsid w:val="003C103B"/>
    <w:rsid w:val="003C4B67"/>
    <w:rsid w:val="004441FA"/>
    <w:rsid w:val="00461FFF"/>
    <w:rsid w:val="00462F2F"/>
    <w:rsid w:val="004B09DC"/>
    <w:rsid w:val="004D6D35"/>
    <w:rsid w:val="00521C94"/>
    <w:rsid w:val="005762D2"/>
    <w:rsid w:val="00583CFE"/>
    <w:rsid w:val="005B3214"/>
    <w:rsid w:val="005E6036"/>
    <w:rsid w:val="006729D0"/>
    <w:rsid w:val="00695565"/>
    <w:rsid w:val="006A1C1F"/>
    <w:rsid w:val="006E135A"/>
    <w:rsid w:val="006F56A1"/>
    <w:rsid w:val="00704AD3"/>
    <w:rsid w:val="00723BF7"/>
    <w:rsid w:val="00753071"/>
    <w:rsid w:val="00770857"/>
    <w:rsid w:val="007A7C64"/>
    <w:rsid w:val="007C67A0"/>
    <w:rsid w:val="007D5017"/>
    <w:rsid w:val="00813694"/>
    <w:rsid w:val="00817D4D"/>
    <w:rsid w:val="0082769B"/>
    <w:rsid w:val="00840896"/>
    <w:rsid w:val="008729F4"/>
    <w:rsid w:val="00873DD4"/>
    <w:rsid w:val="008877CB"/>
    <w:rsid w:val="008D024D"/>
    <w:rsid w:val="009027BD"/>
    <w:rsid w:val="009239BB"/>
    <w:rsid w:val="00932D84"/>
    <w:rsid w:val="00962BBA"/>
    <w:rsid w:val="009A4CFB"/>
    <w:rsid w:val="009A50F3"/>
    <w:rsid w:val="009C3149"/>
    <w:rsid w:val="009F7266"/>
    <w:rsid w:val="00A16646"/>
    <w:rsid w:val="00A35B98"/>
    <w:rsid w:val="00A55300"/>
    <w:rsid w:val="00A620D3"/>
    <w:rsid w:val="00A930E2"/>
    <w:rsid w:val="00AD2CB8"/>
    <w:rsid w:val="00AD75FB"/>
    <w:rsid w:val="00C42BDF"/>
    <w:rsid w:val="00CD7C15"/>
    <w:rsid w:val="00CF5E79"/>
    <w:rsid w:val="00D11F76"/>
    <w:rsid w:val="00D40CDB"/>
    <w:rsid w:val="00D75053"/>
    <w:rsid w:val="00D9417F"/>
    <w:rsid w:val="00DF15E1"/>
    <w:rsid w:val="00E230D5"/>
    <w:rsid w:val="00E37EDC"/>
    <w:rsid w:val="00E53C5C"/>
    <w:rsid w:val="00E7161F"/>
    <w:rsid w:val="00E9184C"/>
    <w:rsid w:val="00EA18CE"/>
    <w:rsid w:val="00EB043F"/>
    <w:rsid w:val="00EF3FC6"/>
    <w:rsid w:val="00F25273"/>
    <w:rsid w:val="00F640F7"/>
    <w:rsid w:val="00F66318"/>
    <w:rsid w:val="00F85E5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08290"/>
  <w15:docId w15:val="{B8A1CAA0-1DF8-4E11-B6DE-E8D9BBDFA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779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UPCI</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Duensing</dc:creator>
  <cp:lastModifiedBy>Solomon</cp:lastModifiedBy>
  <cp:revision>3</cp:revision>
  <dcterms:created xsi:type="dcterms:W3CDTF">2017-07-31T19:40:00Z</dcterms:created>
  <dcterms:modified xsi:type="dcterms:W3CDTF">2017-08-01T03:17:00Z</dcterms:modified>
</cp:coreProperties>
</file>