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76207" w14:textId="2C3432EC" w:rsidR="002E4D2E" w:rsidRDefault="002E4D2E" w:rsidP="002E4D2E">
      <w:pPr>
        <w:pStyle w:val="Title"/>
      </w:pPr>
      <w:r>
        <w:t xml:space="preserve">Persona: </w:t>
      </w:r>
      <w:r w:rsidR="00C122EB">
        <w:t>Bid Manager</w:t>
      </w:r>
    </w:p>
    <w:p w14:paraId="20B86EA0" w14:textId="0593DCA2" w:rsidR="002E4D2E" w:rsidRDefault="002E4D2E" w:rsidP="002E4D2E">
      <w:pPr>
        <w:pStyle w:val="Heading1"/>
      </w:pPr>
      <w:r>
        <w:t>Overview</w:t>
      </w:r>
    </w:p>
    <w:p w14:paraId="5E78BFEC" w14:textId="491872F4" w:rsidR="002E4D2E" w:rsidRPr="005427FB" w:rsidRDefault="00C122EB" w:rsidP="002E4D2E">
      <w:pPr>
        <w:rPr>
          <w:highlight w:val="yellow"/>
        </w:rPr>
      </w:pPr>
      <w:r w:rsidRPr="00C122EB">
        <w:t>Chris Morgan is a Bid Manager responsible for overseeing and submitting bids for government contracts within a large organization. With extensive experience in public sector procurement, Chris ensures that each bid is compliant, competitive, and aligns with government requirements. His role involves coordinating internal teams, reviewing responses, and ensuring that each bid effectively communicates value. However, he faces challenges in balancing internal priorities with customer needs and managing time-consuming bid reviews before submission.</w:t>
      </w:r>
      <w:r w:rsidR="002E4D2E" w:rsidRPr="005427FB">
        <w:rPr>
          <w:highlight w:val="yellow"/>
        </w:rPr>
        <w:t xml:space="preserve">  </w:t>
      </w:r>
    </w:p>
    <w:p w14:paraId="3ABAB074" w14:textId="1483E86E" w:rsidR="002E4D2E" w:rsidRDefault="002E4D2E" w:rsidP="002E4D2E">
      <w:pPr>
        <w:pStyle w:val="Heading1"/>
      </w:pPr>
      <w:r>
        <w:t>Personality &amp; Tone</w:t>
      </w:r>
    </w:p>
    <w:p w14:paraId="01AAD277" w14:textId="77777777" w:rsidR="00C122EB" w:rsidRPr="00C122EB" w:rsidRDefault="00C122EB" w:rsidP="00C122EB">
      <w:pPr>
        <w:numPr>
          <w:ilvl w:val="0"/>
          <w:numId w:val="13"/>
        </w:numPr>
      </w:pPr>
      <w:r w:rsidRPr="00C122EB">
        <w:rPr>
          <w:b/>
          <w:bCs/>
        </w:rPr>
        <w:t>Strategic &amp; Analytical:</w:t>
      </w:r>
      <w:r w:rsidRPr="00C122EB">
        <w:t xml:space="preserve"> Focuses on aligning bids with government expectations while ensuring commercial viability.</w:t>
      </w:r>
    </w:p>
    <w:p w14:paraId="1158C872" w14:textId="77777777" w:rsidR="00C122EB" w:rsidRPr="00C122EB" w:rsidRDefault="00C122EB" w:rsidP="00C122EB">
      <w:pPr>
        <w:numPr>
          <w:ilvl w:val="0"/>
          <w:numId w:val="13"/>
        </w:numPr>
      </w:pPr>
      <w:r w:rsidRPr="00C122EB">
        <w:rPr>
          <w:b/>
          <w:bCs/>
        </w:rPr>
        <w:t>Detail-Oriented:</w:t>
      </w:r>
      <w:r w:rsidRPr="00C122EB">
        <w:t xml:space="preserve"> Pays close attention to compliance, formatting, and content structure.</w:t>
      </w:r>
    </w:p>
    <w:p w14:paraId="160E6D26" w14:textId="77777777" w:rsidR="00C122EB" w:rsidRPr="00C122EB" w:rsidRDefault="00C122EB" w:rsidP="00C122EB">
      <w:pPr>
        <w:numPr>
          <w:ilvl w:val="0"/>
          <w:numId w:val="13"/>
        </w:numPr>
      </w:pPr>
      <w:r w:rsidRPr="00C122EB">
        <w:rPr>
          <w:b/>
          <w:bCs/>
        </w:rPr>
        <w:t>Process-Driven:</w:t>
      </w:r>
      <w:r w:rsidRPr="00C122EB">
        <w:t xml:space="preserve"> Adheres to strict deadlines and structured review processes.</w:t>
      </w:r>
    </w:p>
    <w:p w14:paraId="427E09F8" w14:textId="77777777" w:rsidR="00C122EB" w:rsidRPr="00C122EB" w:rsidRDefault="00C122EB" w:rsidP="00C122EB">
      <w:pPr>
        <w:numPr>
          <w:ilvl w:val="0"/>
          <w:numId w:val="13"/>
        </w:numPr>
      </w:pPr>
      <w:r w:rsidRPr="00C122EB">
        <w:rPr>
          <w:b/>
          <w:bCs/>
        </w:rPr>
        <w:t>Time-Conscious:</w:t>
      </w:r>
      <w:r w:rsidRPr="00C122EB">
        <w:t xml:space="preserve"> Struggles with lengthy bid review cycles and seeks efficiencies in the process.</w:t>
      </w:r>
    </w:p>
    <w:p w14:paraId="78514DA6" w14:textId="77777777" w:rsidR="00C122EB" w:rsidRPr="00C122EB" w:rsidRDefault="00C122EB" w:rsidP="00C122EB">
      <w:pPr>
        <w:numPr>
          <w:ilvl w:val="0"/>
          <w:numId w:val="13"/>
        </w:numPr>
      </w:pPr>
      <w:r w:rsidRPr="00C122EB">
        <w:rPr>
          <w:b/>
          <w:bCs/>
        </w:rPr>
        <w:t>Collaborative but Assertive:</w:t>
      </w:r>
      <w:r w:rsidRPr="00C122EB">
        <w:t xml:space="preserve"> Works with multiple teams and ensures contributions meet bid requirements.</w:t>
      </w:r>
    </w:p>
    <w:p w14:paraId="6358C77E" w14:textId="04B80D80" w:rsidR="002E4D2E" w:rsidRDefault="002E4D2E" w:rsidP="002E4D2E">
      <w:pPr>
        <w:pStyle w:val="Heading1"/>
      </w:pPr>
      <w:r>
        <w:t>Evaluation Criteria</w:t>
      </w:r>
    </w:p>
    <w:p w14:paraId="76858B19" w14:textId="69D44CC0" w:rsidR="002E4D2E" w:rsidRDefault="002E4D2E" w:rsidP="002E4D2E">
      <w:pPr>
        <w:pStyle w:val="Heading2"/>
      </w:pPr>
      <w:r>
        <w:t xml:space="preserve">1. </w:t>
      </w:r>
      <w:r w:rsidR="005427FB">
        <w:t>Compliance</w:t>
      </w:r>
      <w:r>
        <w:t xml:space="preserve">  </w:t>
      </w:r>
    </w:p>
    <w:p w14:paraId="65CB0F4B" w14:textId="77777777" w:rsidR="00C122EB" w:rsidRDefault="00C122EB" w:rsidP="00C122EB">
      <w:pPr>
        <w:pStyle w:val="ListParagraph"/>
        <w:numPr>
          <w:ilvl w:val="0"/>
          <w:numId w:val="14"/>
        </w:numPr>
      </w:pPr>
      <w:r>
        <w:t>Does the bid demonstrate a thorough understanding of all relevant government regulations and procurement policies?</w:t>
      </w:r>
    </w:p>
    <w:p w14:paraId="3A169ADF" w14:textId="77777777" w:rsidR="00C122EB" w:rsidRDefault="00C122EB" w:rsidP="00C122EB">
      <w:pPr>
        <w:pStyle w:val="ListParagraph"/>
        <w:numPr>
          <w:ilvl w:val="0"/>
          <w:numId w:val="14"/>
        </w:numPr>
      </w:pPr>
      <w:r>
        <w:t>Is there evidence that the bid adheres to the Public Contracts Regulations 2015 and other applicable laws?</w:t>
      </w:r>
    </w:p>
    <w:p w14:paraId="7FB9C7E4" w14:textId="77777777" w:rsidR="002E4D2E" w:rsidRDefault="002E4D2E" w:rsidP="002E4D2E"/>
    <w:p w14:paraId="153666F9" w14:textId="61DC7A7D" w:rsidR="002E4D2E" w:rsidRDefault="002E4D2E" w:rsidP="002E4D2E">
      <w:pPr>
        <w:pStyle w:val="Heading2"/>
      </w:pPr>
      <w:r>
        <w:t xml:space="preserve">2. </w:t>
      </w:r>
      <w:r w:rsidR="005427FB">
        <w:t>Completeness</w:t>
      </w:r>
    </w:p>
    <w:p w14:paraId="06E53B3D" w14:textId="77777777" w:rsidR="00C122EB" w:rsidRDefault="00C122EB" w:rsidP="00C122EB">
      <w:pPr>
        <w:pStyle w:val="ListParagraph"/>
        <w:numPr>
          <w:ilvl w:val="0"/>
          <w:numId w:val="15"/>
        </w:numPr>
      </w:pPr>
      <w:r>
        <w:t>Are all required documents, certifications, and accreditations included in the bid package?</w:t>
      </w:r>
    </w:p>
    <w:p w14:paraId="231E52DA" w14:textId="77777777" w:rsidR="00C122EB" w:rsidRDefault="00C122EB" w:rsidP="00C122EB">
      <w:pPr>
        <w:pStyle w:val="ListParagraph"/>
        <w:numPr>
          <w:ilvl w:val="0"/>
          <w:numId w:val="15"/>
        </w:numPr>
      </w:pPr>
      <w:r>
        <w:t>Does the response address every aspect of the tender specifications, including technical requirements and deliverables?</w:t>
      </w:r>
    </w:p>
    <w:p w14:paraId="3AADA4C8" w14:textId="77777777" w:rsidR="002E4D2E" w:rsidRDefault="002E4D2E" w:rsidP="002E4D2E"/>
    <w:p w14:paraId="32976A78" w14:textId="51882C31" w:rsidR="002E4D2E" w:rsidRDefault="002E4D2E" w:rsidP="002E4D2E">
      <w:pPr>
        <w:pStyle w:val="Heading2"/>
      </w:pPr>
      <w:r>
        <w:t xml:space="preserve">3. </w:t>
      </w:r>
      <w:r w:rsidR="005427FB">
        <w:t>Clarity</w:t>
      </w:r>
      <w:r>
        <w:t xml:space="preserve">  </w:t>
      </w:r>
    </w:p>
    <w:p w14:paraId="165E5E59" w14:textId="582B937C" w:rsidR="00C122EB" w:rsidRDefault="00C122EB" w:rsidP="00C122EB">
      <w:pPr>
        <w:pStyle w:val="ListParagraph"/>
        <w:numPr>
          <w:ilvl w:val="0"/>
          <w:numId w:val="16"/>
        </w:numPr>
      </w:pPr>
      <w:r>
        <w:t xml:space="preserve">Is the bid </w:t>
      </w:r>
      <w:r w:rsidR="00021693">
        <w:t>well organised</w:t>
      </w:r>
      <w:r>
        <w:t xml:space="preserve"> with a clear structure that follows the tender's format and requirements?</w:t>
      </w:r>
    </w:p>
    <w:p w14:paraId="3D564CCE" w14:textId="77777777" w:rsidR="00C122EB" w:rsidRDefault="00C122EB" w:rsidP="00C122EB">
      <w:pPr>
        <w:pStyle w:val="ListParagraph"/>
        <w:numPr>
          <w:ilvl w:val="0"/>
          <w:numId w:val="16"/>
        </w:numPr>
      </w:pPr>
      <w:r>
        <w:lastRenderedPageBreak/>
        <w:t>Are complex technical concepts explained in a way that non-specialists can understand?</w:t>
      </w:r>
    </w:p>
    <w:p w14:paraId="38AF0EFA" w14:textId="77777777" w:rsidR="002E4D2E" w:rsidRDefault="002E4D2E" w:rsidP="002E4D2E"/>
    <w:p w14:paraId="2EDE6BAE" w14:textId="6BE5B9D7" w:rsidR="002E4D2E" w:rsidRDefault="002E4D2E" w:rsidP="002E4D2E">
      <w:pPr>
        <w:pStyle w:val="Heading2"/>
      </w:pPr>
      <w:r>
        <w:t xml:space="preserve">4. </w:t>
      </w:r>
      <w:r w:rsidR="005427FB">
        <w:t>Viability</w:t>
      </w:r>
      <w:r>
        <w:t xml:space="preserve">  </w:t>
      </w:r>
    </w:p>
    <w:p w14:paraId="1F3407AD" w14:textId="7954DFE9" w:rsidR="00C122EB" w:rsidRDefault="00C122EB" w:rsidP="00C122EB">
      <w:pPr>
        <w:pStyle w:val="ListParagraph"/>
        <w:numPr>
          <w:ilvl w:val="0"/>
          <w:numId w:val="18"/>
        </w:numPr>
      </w:pPr>
      <w:r>
        <w:t>Does the proposed</w:t>
      </w:r>
      <w:r w:rsidR="00021693">
        <w:t xml:space="preserve"> solution align with the organis</w:t>
      </w:r>
      <w:r>
        <w:t>ation's capabilities and resources?</w:t>
      </w:r>
    </w:p>
    <w:p w14:paraId="2A17366A" w14:textId="77777777" w:rsidR="00C122EB" w:rsidRDefault="00C122EB" w:rsidP="00C122EB">
      <w:pPr>
        <w:pStyle w:val="ListParagraph"/>
        <w:numPr>
          <w:ilvl w:val="0"/>
          <w:numId w:val="18"/>
        </w:numPr>
      </w:pPr>
      <w:r>
        <w:t>Is there a realistic timeline and resource allocation plan for delivering the contract requirements?</w:t>
      </w:r>
    </w:p>
    <w:p w14:paraId="1CEC7B65" w14:textId="77777777" w:rsidR="002E4D2E" w:rsidRDefault="002E4D2E" w:rsidP="00C122EB">
      <w:pPr>
        <w:pStyle w:val="ListParagraph"/>
      </w:pPr>
    </w:p>
    <w:p w14:paraId="37469E32" w14:textId="71DB0E49" w:rsidR="002E4D2E" w:rsidRDefault="002E4D2E" w:rsidP="002E4D2E">
      <w:pPr>
        <w:pStyle w:val="Heading2"/>
      </w:pPr>
      <w:r>
        <w:t xml:space="preserve">5. </w:t>
      </w:r>
      <w:r w:rsidR="005427FB">
        <w:t xml:space="preserve">Specialist </w:t>
      </w:r>
      <w:r>
        <w:t xml:space="preserve">  </w:t>
      </w:r>
    </w:p>
    <w:p w14:paraId="09E1FFB2" w14:textId="67213DC9" w:rsidR="00C122EB" w:rsidRPr="00C122EB" w:rsidRDefault="00C122EB" w:rsidP="00C122EB">
      <w:pPr>
        <w:pStyle w:val="ListParagraph"/>
        <w:numPr>
          <w:ilvl w:val="0"/>
          <w:numId w:val="21"/>
        </w:numPr>
      </w:pPr>
      <w:r w:rsidRPr="00C122EB">
        <w:t>Does the bid showcase the organi</w:t>
      </w:r>
      <w:r w:rsidR="00021693">
        <w:t>s</w:t>
      </w:r>
      <w:r w:rsidRPr="00C122EB">
        <w:t>ation's unique expertise or innovative approaches relevant to the contract?</w:t>
      </w:r>
    </w:p>
    <w:p w14:paraId="2B9A3862" w14:textId="4F7D02D2" w:rsidR="00C122EB" w:rsidRPr="00C122EB" w:rsidRDefault="00C122EB" w:rsidP="00C122EB">
      <w:pPr>
        <w:pStyle w:val="ListParagraph"/>
        <w:numPr>
          <w:ilvl w:val="0"/>
          <w:numId w:val="21"/>
        </w:numPr>
      </w:pPr>
      <w:r w:rsidRPr="00C122EB">
        <w:t>Are there case studies or examples of similar successful projects completed for government clients?</w:t>
      </w:r>
    </w:p>
    <w:p w14:paraId="6652AD08" w14:textId="170E697F" w:rsidR="002E4D2E" w:rsidRDefault="002E4D2E" w:rsidP="002E4D2E">
      <w:pPr>
        <w:pStyle w:val="Heading1"/>
      </w:pPr>
      <w:r>
        <w:t xml:space="preserve">Common Mistakes </w:t>
      </w:r>
    </w:p>
    <w:p w14:paraId="03393AF9" w14:textId="77777777" w:rsidR="00C122EB" w:rsidRDefault="00C122EB" w:rsidP="00C122EB">
      <w:pPr>
        <w:pStyle w:val="ListParagraph"/>
        <w:numPr>
          <w:ilvl w:val="0"/>
          <w:numId w:val="19"/>
        </w:numPr>
      </w:pPr>
      <w:r>
        <w:t>Overlooking mandatory requirements or failing to provide all requested information</w:t>
      </w:r>
    </w:p>
    <w:p w14:paraId="4598054C" w14:textId="77777777" w:rsidR="00C122EB" w:rsidRDefault="00C122EB" w:rsidP="00C122EB">
      <w:pPr>
        <w:pStyle w:val="ListParagraph"/>
        <w:numPr>
          <w:ilvl w:val="0"/>
          <w:numId w:val="19"/>
        </w:numPr>
      </w:pPr>
      <w:r>
        <w:t>Submitting generic responses that don't address the specific needs of the contracting authority</w:t>
      </w:r>
    </w:p>
    <w:p w14:paraId="74102035" w14:textId="77777777" w:rsidR="00C122EB" w:rsidRDefault="00C122EB" w:rsidP="00C122EB">
      <w:pPr>
        <w:pStyle w:val="ListParagraph"/>
        <w:numPr>
          <w:ilvl w:val="0"/>
          <w:numId w:val="19"/>
        </w:numPr>
      </w:pPr>
      <w:r>
        <w:t>Focusing too heavily on price at the expense of demonstrating quality and value</w:t>
      </w:r>
    </w:p>
    <w:p w14:paraId="29B07BCE" w14:textId="77777777" w:rsidR="00C122EB" w:rsidRDefault="00C122EB" w:rsidP="00C122EB">
      <w:pPr>
        <w:pStyle w:val="ListParagraph"/>
        <w:numPr>
          <w:ilvl w:val="0"/>
          <w:numId w:val="19"/>
        </w:numPr>
      </w:pPr>
      <w:r>
        <w:t>Neglecting to proofread, resulting in errors or inconsistencies that could undermine credibility</w:t>
      </w:r>
    </w:p>
    <w:p w14:paraId="728A4CB3" w14:textId="77777777" w:rsidR="00C122EB" w:rsidRDefault="00C122EB" w:rsidP="00C122EB">
      <w:pPr>
        <w:pStyle w:val="ListParagraph"/>
        <w:numPr>
          <w:ilvl w:val="0"/>
          <w:numId w:val="19"/>
        </w:numPr>
      </w:pPr>
      <w:r>
        <w:t>Failing to allow sufficient time for internal reviews and approvals before the submission deadline</w:t>
      </w:r>
      <w:bookmarkStart w:id="0" w:name="_GoBack"/>
      <w:bookmarkEnd w:id="0"/>
    </w:p>
    <w:p w14:paraId="0730A4F0" w14:textId="29D728F4" w:rsidR="00427019" w:rsidRDefault="00427019" w:rsidP="00427019">
      <w:r>
        <w:t xml:space="preserve"> </w:t>
      </w:r>
    </w:p>
    <w:sectPr w:rsidR="004270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0AF29" w14:textId="77777777" w:rsidR="00A710D8" w:rsidRDefault="00A710D8" w:rsidP="00E80FEC">
      <w:pPr>
        <w:spacing w:after="0" w:line="240" w:lineRule="auto"/>
      </w:pPr>
      <w:r>
        <w:separator/>
      </w:r>
    </w:p>
  </w:endnote>
  <w:endnote w:type="continuationSeparator" w:id="0">
    <w:p w14:paraId="704317C5" w14:textId="77777777" w:rsidR="00A710D8" w:rsidRDefault="00A710D8" w:rsidP="00E8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15B39" w14:textId="77777777" w:rsidR="00A710D8" w:rsidRDefault="00A710D8" w:rsidP="00E80FEC">
      <w:pPr>
        <w:spacing w:after="0" w:line="240" w:lineRule="auto"/>
      </w:pPr>
      <w:r>
        <w:separator/>
      </w:r>
    </w:p>
  </w:footnote>
  <w:footnote w:type="continuationSeparator" w:id="0">
    <w:p w14:paraId="6488725E" w14:textId="77777777" w:rsidR="00A710D8" w:rsidRDefault="00A710D8" w:rsidP="00E80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AD1"/>
    <w:multiLevelType w:val="hybridMultilevel"/>
    <w:tmpl w:val="B25C1630"/>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C80515"/>
    <w:multiLevelType w:val="hybridMultilevel"/>
    <w:tmpl w:val="634E2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D64E7"/>
    <w:multiLevelType w:val="hybridMultilevel"/>
    <w:tmpl w:val="631A41BC"/>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0395A"/>
    <w:multiLevelType w:val="hybridMultilevel"/>
    <w:tmpl w:val="D0443B20"/>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648C1"/>
    <w:multiLevelType w:val="hybridMultilevel"/>
    <w:tmpl w:val="8A3A3872"/>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C022B3"/>
    <w:multiLevelType w:val="hybridMultilevel"/>
    <w:tmpl w:val="D652A53A"/>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A341E"/>
    <w:multiLevelType w:val="hybridMultilevel"/>
    <w:tmpl w:val="3072F45C"/>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40A39"/>
    <w:multiLevelType w:val="hybridMultilevel"/>
    <w:tmpl w:val="96A600E8"/>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C0AAE"/>
    <w:multiLevelType w:val="hybridMultilevel"/>
    <w:tmpl w:val="EC5E5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F3E0F"/>
    <w:multiLevelType w:val="hybridMultilevel"/>
    <w:tmpl w:val="E6EC7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D63244"/>
    <w:multiLevelType w:val="hybridMultilevel"/>
    <w:tmpl w:val="2804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2F7882"/>
    <w:multiLevelType w:val="multilevel"/>
    <w:tmpl w:val="CB0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168FB"/>
    <w:multiLevelType w:val="hybridMultilevel"/>
    <w:tmpl w:val="7D58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8E2FA3"/>
    <w:multiLevelType w:val="hybridMultilevel"/>
    <w:tmpl w:val="8800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C5C32"/>
    <w:multiLevelType w:val="hybridMultilevel"/>
    <w:tmpl w:val="45C6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3321A4"/>
    <w:multiLevelType w:val="multilevel"/>
    <w:tmpl w:val="9C9C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D1228"/>
    <w:multiLevelType w:val="hybridMultilevel"/>
    <w:tmpl w:val="67BE5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765CA"/>
    <w:multiLevelType w:val="hybridMultilevel"/>
    <w:tmpl w:val="70AE496A"/>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0334A5"/>
    <w:multiLevelType w:val="hybridMultilevel"/>
    <w:tmpl w:val="9D98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1E46C0"/>
    <w:multiLevelType w:val="multilevel"/>
    <w:tmpl w:val="081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B27CF"/>
    <w:multiLevelType w:val="multilevel"/>
    <w:tmpl w:val="F3F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20"/>
  </w:num>
  <w:num w:numId="4">
    <w:abstractNumId w:val="16"/>
  </w:num>
  <w:num w:numId="5">
    <w:abstractNumId w:val="0"/>
  </w:num>
  <w:num w:numId="6">
    <w:abstractNumId w:val="6"/>
  </w:num>
  <w:num w:numId="7">
    <w:abstractNumId w:val="7"/>
  </w:num>
  <w:num w:numId="8">
    <w:abstractNumId w:val="5"/>
  </w:num>
  <w:num w:numId="9">
    <w:abstractNumId w:val="2"/>
  </w:num>
  <w:num w:numId="10">
    <w:abstractNumId w:val="3"/>
  </w:num>
  <w:num w:numId="11">
    <w:abstractNumId w:val="4"/>
  </w:num>
  <w:num w:numId="12">
    <w:abstractNumId w:val="17"/>
  </w:num>
  <w:num w:numId="13">
    <w:abstractNumId w:val="11"/>
  </w:num>
  <w:num w:numId="14">
    <w:abstractNumId w:val="9"/>
  </w:num>
  <w:num w:numId="15">
    <w:abstractNumId w:val="14"/>
  </w:num>
  <w:num w:numId="16">
    <w:abstractNumId w:val="8"/>
  </w:num>
  <w:num w:numId="17">
    <w:abstractNumId w:val="13"/>
  </w:num>
  <w:num w:numId="18">
    <w:abstractNumId w:val="10"/>
  </w:num>
  <w:num w:numId="19">
    <w:abstractNumId w:val="12"/>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2E"/>
    <w:rsid w:val="000012CF"/>
    <w:rsid w:val="00021693"/>
    <w:rsid w:val="00024112"/>
    <w:rsid w:val="001E6A13"/>
    <w:rsid w:val="002E4D2E"/>
    <w:rsid w:val="00427019"/>
    <w:rsid w:val="005427FB"/>
    <w:rsid w:val="00561974"/>
    <w:rsid w:val="00730A85"/>
    <w:rsid w:val="00890D56"/>
    <w:rsid w:val="00A710D8"/>
    <w:rsid w:val="00B67BB0"/>
    <w:rsid w:val="00C122EB"/>
    <w:rsid w:val="00D17E18"/>
    <w:rsid w:val="00E8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14BF0"/>
  <w15:chartTrackingRefBased/>
  <w15:docId w15:val="{1E5AFA73-2507-4EE1-8B81-C230A1C8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4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D2E"/>
    <w:rPr>
      <w:rFonts w:eastAsiaTheme="majorEastAsia" w:cstheme="majorBidi"/>
      <w:color w:val="272727" w:themeColor="text1" w:themeTint="D8"/>
    </w:rPr>
  </w:style>
  <w:style w:type="paragraph" w:styleId="Title">
    <w:name w:val="Title"/>
    <w:basedOn w:val="Normal"/>
    <w:next w:val="Normal"/>
    <w:link w:val="TitleChar"/>
    <w:uiPriority w:val="10"/>
    <w:qFormat/>
    <w:rsid w:val="002E4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D2E"/>
    <w:pPr>
      <w:spacing w:before="160"/>
      <w:jc w:val="center"/>
    </w:pPr>
    <w:rPr>
      <w:i/>
      <w:iCs/>
      <w:color w:val="404040" w:themeColor="text1" w:themeTint="BF"/>
    </w:rPr>
  </w:style>
  <w:style w:type="character" w:customStyle="1" w:styleId="QuoteChar">
    <w:name w:val="Quote Char"/>
    <w:basedOn w:val="DefaultParagraphFont"/>
    <w:link w:val="Quote"/>
    <w:uiPriority w:val="29"/>
    <w:rsid w:val="002E4D2E"/>
    <w:rPr>
      <w:i/>
      <w:iCs/>
      <w:color w:val="404040" w:themeColor="text1" w:themeTint="BF"/>
    </w:rPr>
  </w:style>
  <w:style w:type="paragraph" w:styleId="ListParagraph">
    <w:name w:val="List Paragraph"/>
    <w:basedOn w:val="Normal"/>
    <w:uiPriority w:val="34"/>
    <w:qFormat/>
    <w:rsid w:val="002E4D2E"/>
    <w:pPr>
      <w:ind w:left="720"/>
      <w:contextualSpacing/>
    </w:pPr>
  </w:style>
  <w:style w:type="character" w:styleId="IntenseEmphasis">
    <w:name w:val="Intense Emphasis"/>
    <w:basedOn w:val="DefaultParagraphFont"/>
    <w:uiPriority w:val="21"/>
    <w:qFormat/>
    <w:rsid w:val="002E4D2E"/>
    <w:rPr>
      <w:i/>
      <w:iCs/>
      <w:color w:val="0F4761" w:themeColor="accent1" w:themeShade="BF"/>
    </w:rPr>
  </w:style>
  <w:style w:type="paragraph" w:styleId="IntenseQuote">
    <w:name w:val="Intense Quote"/>
    <w:basedOn w:val="Normal"/>
    <w:next w:val="Normal"/>
    <w:link w:val="IntenseQuoteChar"/>
    <w:uiPriority w:val="30"/>
    <w:qFormat/>
    <w:rsid w:val="002E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D2E"/>
    <w:rPr>
      <w:i/>
      <w:iCs/>
      <w:color w:val="0F4761" w:themeColor="accent1" w:themeShade="BF"/>
    </w:rPr>
  </w:style>
  <w:style w:type="character" w:styleId="IntenseReference">
    <w:name w:val="Intense Reference"/>
    <w:basedOn w:val="DefaultParagraphFont"/>
    <w:uiPriority w:val="32"/>
    <w:qFormat/>
    <w:rsid w:val="002E4D2E"/>
    <w:rPr>
      <w:b/>
      <w:bCs/>
      <w:smallCaps/>
      <w:color w:val="0F4761" w:themeColor="accent1" w:themeShade="BF"/>
      <w:spacing w:val="5"/>
    </w:rPr>
  </w:style>
  <w:style w:type="character" w:styleId="Hyperlink">
    <w:name w:val="Hyperlink"/>
    <w:basedOn w:val="DefaultParagraphFont"/>
    <w:uiPriority w:val="99"/>
    <w:unhideWhenUsed/>
    <w:rsid w:val="00427019"/>
    <w:rPr>
      <w:color w:val="467886" w:themeColor="hyperlink"/>
      <w:u w:val="single"/>
    </w:rPr>
  </w:style>
  <w:style w:type="character" w:customStyle="1" w:styleId="UnresolvedMention">
    <w:name w:val="Unresolved Mention"/>
    <w:basedOn w:val="DefaultParagraphFont"/>
    <w:uiPriority w:val="99"/>
    <w:semiHidden/>
    <w:unhideWhenUsed/>
    <w:rsid w:val="00427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7998">
      <w:bodyDiv w:val="1"/>
      <w:marLeft w:val="0"/>
      <w:marRight w:val="0"/>
      <w:marTop w:val="0"/>
      <w:marBottom w:val="0"/>
      <w:divBdr>
        <w:top w:val="none" w:sz="0" w:space="0" w:color="auto"/>
        <w:left w:val="none" w:sz="0" w:space="0" w:color="auto"/>
        <w:bottom w:val="none" w:sz="0" w:space="0" w:color="auto"/>
        <w:right w:val="none" w:sz="0" w:space="0" w:color="auto"/>
      </w:divBdr>
    </w:div>
    <w:div w:id="379210331">
      <w:bodyDiv w:val="1"/>
      <w:marLeft w:val="0"/>
      <w:marRight w:val="0"/>
      <w:marTop w:val="0"/>
      <w:marBottom w:val="0"/>
      <w:divBdr>
        <w:top w:val="none" w:sz="0" w:space="0" w:color="auto"/>
        <w:left w:val="none" w:sz="0" w:space="0" w:color="auto"/>
        <w:bottom w:val="none" w:sz="0" w:space="0" w:color="auto"/>
        <w:right w:val="none" w:sz="0" w:space="0" w:color="auto"/>
      </w:divBdr>
    </w:div>
    <w:div w:id="395397223">
      <w:bodyDiv w:val="1"/>
      <w:marLeft w:val="0"/>
      <w:marRight w:val="0"/>
      <w:marTop w:val="0"/>
      <w:marBottom w:val="0"/>
      <w:divBdr>
        <w:top w:val="none" w:sz="0" w:space="0" w:color="auto"/>
        <w:left w:val="none" w:sz="0" w:space="0" w:color="auto"/>
        <w:bottom w:val="none" w:sz="0" w:space="0" w:color="auto"/>
        <w:right w:val="none" w:sz="0" w:space="0" w:color="auto"/>
      </w:divBdr>
    </w:div>
    <w:div w:id="1005398231">
      <w:bodyDiv w:val="1"/>
      <w:marLeft w:val="0"/>
      <w:marRight w:val="0"/>
      <w:marTop w:val="0"/>
      <w:marBottom w:val="0"/>
      <w:divBdr>
        <w:top w:val="none" w:sz="0" w:space="0" w:color="auto"/>
        <w:left w:val="none" w:sz="0" w:space="0" w:color="auto"/>
        <w:bottom w:val="none" w:sz="0" w:space="0" w:color="auto"/>
        <w:right w:val="none" w:sz="0" w:space="0" w:color="auto"/>
      </w:divBdr>
    </w:div>
    <w:div w:id="1155225822">
      <w:bodyDiv w:val="1"/>
      <w:marLeft w:val="0"/>
      <w:marRight w:val="0"/>
      <w:marTop w:val="0"/>
      <w:marBottom w:val="0"/>
      <w:divBdr>
        <w:top w:val="none" w:sz="0" w:space="0" w:color="auto"/>
        <w:left w:val="none" w:sz="0" w:space="0" w:color="auto"/>
        <w:bottom w:val="none" w:sz="0" w:space="0" w:color="auto"/>
        <w:right w:val="none" w:sz="0" w:space="0" w:color="auto"/>
      </w:divBdr>
    </w:div>
    <w:div w:id="1206868128">
      <w:bodyDiv w:val="1"/>
      <w:marLeft w:val="0"/>
      <w:marRight w:val="0"/>
      <w:marTop w:val="0"/>
      <w:marBottom w:val="0"/>
      <w:divBdr>
        <w:top w:val="none" w:sz="0" w:space="0" w:color="auto"/>
        <w:left w:val="none" w:sz="0" w:space="0" w:color="auto"/>
        <w:bottom w:val="none" w:sz="0" w:space="0" w:color="auto"/>
        <w:right w:val="none" w:sz="0" w:space="0" w:color="auto"/>
      </w:divBdr>
    </w:div>
    <w:div w:id="1306424507">
      <w:bodyDiv w:val="1"/>
      <w:marLeft w:val="0"/>
      <w:marRight w:val="0"/>
      <w:marTop w:val="0"/>
      <w:marBottom w:val="0"/>
      <w:divBdr>
        <w:top w:val="none" w:sz="0" w:space="0" w:color="auto"/>
        <w:left w:val="none" w:sz="0" w:space="0" w:color="auto"/>
        <w:bottom w:val="none" w:sz="0" w:space="0" w:color="auto"/>
        <w:right w:val="none" w:sz="0" w:space="0" w:color="auto"/>
      </w:divBdr>
    </w:div>
    <w:div w:id="1634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9EEFCC-ECBB-447F-A5E9-631FED2A60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E8E523-197C-45B7-9F7A-B5424A077DB1}">
  <ds:schemaRefs>
    <ds:schemaRef ds:uri="http://schemas.microsoft.com/sharepoint/v3/contenttype/forms"/>
  </ds:schemaRefs>
</ds:datastoreItem>
</file>

<file path=customXml/itemProps3.xml><?xml version="1.0" encoding="utf-8"?>
<ds:datastoreItem xmlns:ds="http://schemas.openxmlformats.org/officeDocument/2006/customXml" ds:itemID="{DF38C470-E6A6-45A0-8AA8-DE02AEDCDBA2}"/>
</file>

<file path=docProps/app.xml><?xml version="1.0" encoding="utf-8"?>
<Properties xmlns="http://schemas.openxmlformats.org/officeDocument/2006/extended-properties" xmlns:vt="http://schemas.openxmlformats.org/officeDocument/2006/docPropsVTypes">
  <Template>Normal.dotm</Template>
  <TotalTime>5</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Murray</dc:creator>
  <cp:keywords/>
  <dc:description/>
  <cp:lastModifiedBy>Norton, Harry</cp:lastModifiedBy>
  <cp:revision>4</cp:revision>
  <dcterms:created xsi:type="dcterms:W3CDTF">2025-03-11T16:11:00Z</dcterms:created>
  <dcterms:modified xsi:type="dcterms:W3CDTF">2025-03-11T16:29:00Z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y fmtid="{D5CDD505-2E9C-101B-9397-08002B2CF9AE}" pid="3" name="GrammarlyDocumentId">
    <vt:lpwstr>9d87c44f1465cd1456bcd3427091cedea452346e00d57327c02f43623493fde0</vt:lpwstr>
  </property>
  <property fmtid="{D5CDD505-2E9C-101B-9397-08002B2CF9AE}" pid="4" name="MSIP_Label_9e3fe282-78a3-46c2-a95b-f1092c13d694_Enabled">
    <vt:lpwstr>true</vt:lpwstr>
  </property>
  <property fmtid="{D5CDD505-2E9C-101B-9397-08002B2CF9AE}" pid="5" name="MSIP_Label_9e3fe282-78a3-46c2-a95b-f1092c13d694_SetDate">
    <vt:lpwstr>2025-03-11T16:29:19Z</vt:lpwstr>
  </property>
  <property fmtid="{D5CDD505-2E9C-101B-9397-08002B2CF9AE}" pid="6" name="MSIP_Label_9e3fe282-78a3-46c2-a95b-f1092c13d694_Method">
    <vt:lpwstr>Privileged</vt:lpwstr>
  </property>
  <property fmtid="{D5CDD505-2E9C-101B-9397-08002B2CF9AE}" pid="7" name="MSIP_Label_9e3fe282-78a3-46c2-a95b-f1092c13d694_Name">
    <vt:lpwstr>THALES-CORE-07</vt:lpwstr>
  </property>
  <property fmtid="{D5CDD505-2E9C-101B-9397-08002B2CF9AE}" pid="8" name="MSIP_Label_9e3fe282-78a3-46c2-a95b-f1092c13d694_SiteId">
    <vt:lpwstr>6e603289-5e46-4e26-ac7c-03a85420a9a5</vt:lpwstr>
  </property>
  <property fmtid="{D5CDD505-2E9C-101B-9397-08002B2CF9AE}" pid="9" name="MSIP_Label_9e3fe282-78a3-46c2-a95b-f1092c13d694_ActionId">
    <vt:lpwstr>f58d5c82-383a-4d90-b689-8ff36ae23757</vt:lpwstr>
  </property>
  <property fmtid="{D5CDD505-2E9C-101B-9397-08002B2CF9AE}" pid="10" name="MSIP_Label_9e3fe282-78a3-46c2-a95b-f1092c13d694_ContentBits">
    <vt:lpwstr>0</vt:lpwstr>
  </property>
  <property fmtid="{D5CDD505-2E9C-101B-9397-08002B2CF9AE}" pid="11" name="Thales-Sensitivity">
    <vt:lpwstr>{TGOPEN-UM}</vt:lpwstr>
  </property>
</Properties>
</file>