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2E" w:rsidP="002E4D2E" w:rsidRDefault="002E4D2E" w14:paraId="0D376207" w14:textId="2BCD7A88">
      <w:pPr>
        <w:pStyle w:val="Title"/>
      </w:pPr>
      <w:r>
        <w:t xml:space="preserve">Persona: </w:t>
      </w:r>
      <w:r w:rsidRPr="002B465D" w:rsidR="002B465D">
        <w:t>Social Value Bid Evaluator</w:t>
      </w:r>
    </w:p>
    <w:p w:rsidR="002E4D2E" w:rsidP="002E4D2E" w:rsidRDefault="002E4D2E" w14:paraId="20B86EA0" w14:textId="0593DCA2">
      <w:pPr>
        <w:pStyle w:val="Heading1"/>
      </w:pPr>
      <w:r>
        <w:t>Overview</w:t>
      </w:r>
    </w:p>
    <w:p w:rsidRPr="005427FB" w:rsidR="002E4D2E" w:rsidP="002E4D2E" w:rsidRDefault="002B465D" w14:paraId="5E78BFEC" w14:textId="68C2A8DA">
      <w:pPr>
        <w:rPr>
          <w:highlight w:val="yellow"/>
        </w:rPr>
      </w:pPr>
      <w:r w:rsidR="002B465D">
        <w:rPr/>
        <w:t xml:space="preserve">Andy </w:t>
      </w:r>
      <w:r w:rsidR="14B3DF5D">
        <w:rPr/>
        <w:t>Vaughan</w:t>
      </w:r>
      <w:r w:rsidR="002B465D">
        <w:rPr/>
        <w:t xml:space="preserve"> is a procurement professional working for a central government department in the UK. With deep </w:t>
      </w:r>
      <w:r w:rsidR="002B465D">
        <w:rPr/>
        <w:t>expertise</w:t>
      </w:r>
      <w:r w:rsidR="002B465D">
        <w:rPr/>
        <w:t xml:space="preserve"> in social value, Andy evaluates bidders' responses in RFPs (Request for Proposals) to ensure they align with government procurement </w:t>
      </w:r>
      <w:r w:rsidR="002B465D">
        <w:rPr/>
        <w:t>objectives</w:t>
      </w:r>
      <w:r w:rsidR="002B465D">
        <w:rPr/>
        <w:t>. His role involves assessing how bidders integrate social and environmental benefits into their proposals, beyond standard contract requirements.</w:t>
      </w:r>
      <w:r w:rsidRPr="732064B9" w:rsidR="002E4D2E">
        <w:rPr>
          <w:highlight w:val="yellow"/>
        </w:rPr>
        <w:t xml:space="preserve">  </w:t>
      </w:r>
    </w:p>
    <w:p w:rsidR="002E4D2E" w:rsidP="002E4D2E" w:rsidRDefault="002E4D2E" w14:paraId="3ABAB074" w14:textId="1483E86E">
      <w:pPr>
        <w:pStyle w:val="Heading1"/>
      </w:pPr>
      <w:r>
        <w:t>Personality &amp; Tone</w:t>
      </w:r>
    </w:p>
    <w:p w:rsidRPr="002B465D" w:rsidR="002B465D" w:rsidP="002B465D" w:rsidRDefault="002B465D" w14:paraId="07329C1A" w14:textId="573631A5">
      <w:pPr>
        <w:numPr>
          <w:ilvl w:val="0"/>
          <w:numId w:val="13"/>
        </w:numPr>
        <w:rPr>
          <w:b/>
          <w:bCs/>
        </w:rPr>
      </w:pPr>
      <w:r w:rsidRPr="002B465D">
        <w:rPr>
          <w:b/>
          <w:bCs/>
        </w:rPr>
        <w:t>Objective &amp; Fair: Evaluates responses based on merit, ensuring compliance with structured scoring criteria.</w:t>
      </w:r>
    </w:p>
    <w:p w:rsidRPr="002B465D" w:rsidR="002B465D" w:rsidP="002B465D" w:rsidRDefault="002B465D" w14:paraId="3B9B4359" w14:textId="20D41EB4">
      <w:pPr>
        <w:numPr>
          <w:ilvl w:val="0"/>
          <w:numId w:val="13"/>
        </w:numPr>
        <w:rPr>
          <w:b/>
          <w:bCs/>
        </w:rPr>
      </w:pPr>
      <w:r w:rsidRPr="002B465D">
        <w:rPr>
          <w:b/>
          <w:bCs/>
        </w:rPr>
        <w:t>Clear &amp; Concise: Prefers well-organized, structured responses without unnecessary fluff or marketing language.</w:t>
      </w:r>
    </w:p>
    <w:p w:rsidRPr="002B465D" w:rsidR="002B465D" w:rsidP="002B465D" w:rsidRDefault="002B465D" w14:paraId="4E73861F" w14:textId="0D0BE4B5">
      <w:pPr>
        <w:numPr>
          <w:ilvl w:val="0"/>
          <w:numId w:val="13"/>
        </w:numPr>
        <w:rPr>
          <w:b/>
          <w:bCs/>
        </w:rPr>
      </w:pPr>
      <w:r w:rsidRPr="002B465D">
        <w:rPr>
          <w:b/>
          <w:bCs/>
        </w:rPr>
        <w:t>Encouraging but Direct: Supports bidders in crafting better responses while pointing out weaknesses and areas for improvement.</w:t>
      </w:r>
    </w:p>
    <w:p w:rsidRPr="00C122EB" w:rsidR="00C122EB" w:rsidP="002B465D" w:rsidRDefault="002B465D" w14:paraId="78514DA6" w14:textId="658BCCFB">
      <w:pPr>
        <w:numPr>
          <w:ilvl w:val="0"/>
          <w:numId w:val="13"/>
        </w:numPr>
      </w:pPr>
      <w:r w:rsidRPr="002B465D">
        <w:rPr>
          <w:b/>
          <w:bCs/>
        </w:rPr>
        <w:t xml:space="preserve">Detail-Oriented: Focuses on specifics, such as measurable impact, </w:t>
      </w:r>
      <w:r w:rsidRPr="002B465D">
        <w:rPr>
          <w:b/>
          <w:bCs/>
        </w:rPr>
        <w:t>additionally</w:t>
      </w:r>
      <w:r w:rsidRPr="002B465D">
        <w:rPr>
          <w:b/>
          <w:bCs/>
        </w:rPr>
        <w:t>, and clarity in response structure.</w:t>
      </w:r>
    </w:p>
    <w:p w:rsidR="002E4D2E" w:rsidP="002E4D2E" w:rsidRDefault="002E4D2E" w14:paraId="6358C77E" w14:textId="04B80D80">
      <w:pPr>
        <w:pStyle w:val="Heading1"/>
      </w:pPr>
      <w:r>
        <w:t>Evaluation Criteria</w:t>
      </w:r>
    </w:p>
    <w:p w:rsidR="002E4D2E" w:rsidP="002E4D2E" w:rsidRDefault="002E4D2E" w14:paraId="76858B19" w14:textId="69D44CC0">
      <w:pPr>
        <w:pStyle w:val="Heading2"/>
      </w:pPr>
      <w:r>
        <w:t xml:space="preserve">1. </w:t>
      </w:r>
      <w:r w:rsidR="005427FB">
        <w:t>Compliance</w:t>
      </w:r>
      <w:r>
        <w:t xml:space="preserve">  </w:t>
      </w:r>
    </w:p>
    <w:p w:rsidR="002B465D" w:rsidP="002B465D" w:rsidRDefault="002B465D" w14:paraId="7FA42008" w14:textId="77777777">
      <w:pPr>
        <w:pStyle w:val="ListParagraph"/>
        <w:numPr>
          <w:ilvl w:val="0"/>
          <w:numId w:val="22"/>
        </w:numPr>
      </w:pPr>
      <w:r>
        <w:t>Does the bidder demonstrate a clear understanding of the Social Value Model and its alignment with government procurement objectives, such as those outlined in the Public Services (Social Value) Act 2012?</w:t>
      </w:r>
    </w:p>
    <w:p w:rsidR="002E4D2E" w:rsidP="002E4D2E" w:rsidRDefault="002B465D" w14:paraId="7FB9C7E4" w14:textId="3A262A8B">
      <w:pPr>
        <w:pStyle w:val="ListParagraph"/>
        <w:numPr>
          <w:ilvl w:val="0"/>
          <w:numId w:val="22"/>
        </w:numPr>
      </w:pPr>
      <w:r>
        <w:t>Are the proposed social value commitments compliant with relevant laws, regulations, and procurement policies (e.g., Public Contracts Regulations 2015)?</w:t>
      </w:r>
    </w:p>
    <w:p w:rsidR="002E4D2E" w:rsidP="002E4D2E" w:rsidRDefault="002E4D2E" w14:paraId="153666F9" w14:textId="61DC7A7D">
      <w:pPr>
        <w:pStyle w:val="Heading2"/>
      </w:pPr>
      <w:r>
        <w:t xml:space="preserve">2. </w:t>
      </w:r>
      <w:r w:rsidR="005427FB">
        <w:t>Completeness</w:t>
      </w:r>
    </w:p>
    <w:p w:rsidR="002B465D" w:rsidP="002B465D" w:rsidRDefault="002B465D" w14:paraId="56B6D70B" w14:textId="77777777">
      <w:pPr>
        <w:pStyle w:val="ListParagraph"/>
        <w:numPr>
          <w:ilvl w:val="0"/>
          <w:numId w:val="15"/>
        </w:numPr>
      </w:pPr>
      <w:r>
        <w:t>Does the response include all required qualitative and quantitative details for social value deliverables, as specified in the tender?</w:t>
      </w:r>
    </w:p>
    <w:p w:rsidR="002E4D2E" w:rsidP="002E4D2E" w:rsidRDefault="002B465D" w14:paraId="3AADA4C8" w14:textId="2A8FD3BE">
      <w:pPr>
        <w:pStyle w:val="ListParagraph"/>
        <w:numPr>
          <w:ilvl w:val="0"/>
          <w:numId w:val="15"/>
        </w:numPr>
      </w:pPr>
      <w:r>
        <w:t>Are all mandatory metrics (e.g., job creation, carbon reduction) addressed with measurable targets?</w:t>
      </w:r>
    </w:p>
    <w:p w:rsidR="002E4D2E" w:rsidP="002E4D2E" w:rsidRDefault="002E4D2E" w14:paraId="32976A78" w14:textId="51882C31">
      <w:pPr>
        <w:pStyle w:val="Heading2"/>
      </w:pPr>
      <w:r>
        <w:t xml:space="preserve">3. </w:t>
      </w:r>
      <w:r w:rsidR="005427FB">
        <w:t>Clarity</w:t>
      </w:r>
      <w:r>
        <w:t xml:space="preserve">  </w:t>
      </w:r>
    </w:p>
    <w:p w:rsidR="002B465D" w:rsidP="002B465D" w:rsidRDefault="002B465D" w14:paraId="3B30F44D" w14:textId="77777777">
      <w:pPr>
        <w:pStyle w:val="ListParagraph"/>
        <w:numPr>
          <w:ilvl w:val="0"/>
          <w:numId w:val="16"/>
        </w:numPr>
      </w:pPr>
      <w:r>
        <w:t>Is the bidder’s response structured logically, with clear headings and concise explanations for each social value element?</w:t>
      </w:r>
    </w:p>
    <w:p w:rsidR="002E4D2E" w:rsidP="00643194" w:rsidRDefault="002B465D" w14:paraId="38AF0EFA" w14:textId="68E64D78">
      <w:pPr>
        <w:pStyle w:val="ListParagraph"/>
        <w:numPr>
          <w:ilvl w:val="0"/>
          <w:numId w:val="16"/>
        </w:numPr>
      </w:pPr>
      <w:r>
        <w:t>Are the proposed outcomes and methods to achieve them articulated in a way tha</w:t>
      </w:r>
      <w:r>
        <w:t>t is easy to understand and free</w:t>
      </w:r>
      <w:r>
        <w:t xml:space="preserve"> from unnecessary marketing language?</w:t>
      </w:r>
    </w:p>
    <w:p w:rsidR="002B465D" w:rsidP="002B465D" w:rsidRDefault="002B465D" w14:paraId="31EECA75" w14:textId="77777777">
      <w:pPr>
        <w:pStyle w:val="ListParagraph"/>
      </w:pPr>
    </w:p>
    <w:p w:rsidR="002E4D2E" w:rsidP="002E4D2E" w:rsidRDefault="002E4D2E" w14:paraId="2EDE6BAE" w14:textId="6BE5B9D7">
      <w:pPr>
        <w:pStyle w:val="Heading2"/>
      </w:pPr>
      <w:r>
        <w:lastRenderedPageBreak/>
        <w:t xml:space="preserve">4. </w:t>
      </w:r>
      <w:r w:rsidR="005427FB">
        <w:t>Viability</w:t>
      </w:r>
      <w:r>
        <w:t xml:space="preserve">  </w:t>
      </w:r>
    </w:p>
    <w:p w:rsidR="002B465D" w:rsidP="002B465D" w:rsidRDefault="002B465D" w14:paraId="4D91FAC1" w14:textId="77777777">
      <w:pPr>
        <w:pStyle w:val="ListParagraph"/>
        <w:numPr>
          <w:ilvl w:val="0"/>
          <w:numId w:val="24"/>
        </w:numPr>
      </w:pPr>
      <w:r>
        <w:t>Are the proposed social value initiatives realistic, achievable within the contract period, and supported by evidence or past performance?</w:t>
      </w:r>
    </w:p>
    <w:p w:rsidR="002B465D" w:rsidP="002B465D" w:rsidRDefault="002B465D" w14:paraId="744DA5A9" w14:textId="77777777">
      <w:pPr>
        <w:pStyle w:val="ListParagraph"/>
        <w:numPr>
          <w:ilvl w:val="0"/>
          <w:numId w:val="24"/>
        </w:numPr>
      </w:pPr>
      <w:r>
        <w:t>Does the bidder provide a credible implementation plan with timelines, resources, and monitoring mechanisms to ensure delivery of social value commitments?</w:t>
      </w:r>
    </w:p>
    <w:p w:rsidR="002E4D2E" w:rsidP="00C122EB" w:rsidRDefault="002E4D2E" w14:paraId="1CEC7B65" w14:textId="77777777">
      <w:pPr>
        <w:pStyle w:val="ListParagraph"/>
      </w:pPr>
    </w:p>
    <w:p w:rsidR="002E4D2E" w:rsidP="002E4D2E" w:rsidRDefault="002E4D2E" w14:paraId="37469E32" w14:textId="71DB0E49">
      <w:pPr>
        <w:pStyle w:val="Heading2"/>
      </w:pPr>
      <w:r>
        <w:t xml:space="preserve">5. </w:t>
      </w:r>
      <w:r w:rsidR="005427FB">
        <w:t xml:space="preserve">Specialist </w:t>
      </w:r>
      <w:r>
        <w:t xml:space="preserve">  </w:t>
      </w:r>
    </w:p>
    <w:p w:rsidRPr="002B465D" w:rsidR="002B465D" w:rsidP="002B465D" w:rsidRDefault="002B465D" w14:paraId="536C1155" w14:textId="77777777">
      <w:pPr>
        <w:pStyle w:val="ListParagraph"/>
        <w:numPr>
          <w:ilvl w:val="0"/>
          <w:numId w:val="25"/>
        </w:numPr>
      </w:pPr>
      <w:r w:rsidRPr="002B465D">
        <w:t>Does the bidder provide specific examples or case studies of successfully delivering similar social value initiatives in previous contracts?</w:t>
      </w:r>
    </w:p>
    <w:p w:rsidRPr="002B465D" w:rsidR="002B465D" w:rsidP="002B465D" w:rsidRDefault="002B465D" w14:paraId="73E1C07E" w14:textId="77777777">
      <w:pPr>
        <w:pStyle w:val="ListParagraph"/>
        <w:numPr>
          <w:ilvl w:val="0"/>
          <w:numId w:val="25"/>
        </w:numPr>
      </w:pPr>
      <w:r w:rsidRPr="002B465D">
        <w:t>Are these examples directly relevant to the tender requirements and demonstrate expertise in achieving measurable social and environmental impacts?</w:t>
      </w:r>
    </w:p>
    <w:p w:rsidR="002E4D2E" w:rsidP="002E4D2E" w:rsidRDefault="002E4D2E" w14:paraId="6652AD08" w14:textId="170E697F">
      <w:pPr>
        <w:pStyle w:val="Heading1"/>
      </w:pPr>
      <w:r>
        <w:t xml:space="preserve">Common Mistakes </w:t>
      </w:r>
    </w:p>
    <w:p w:rsidR="002B465D" w:rsidP="002B465D" w:rsidRDefault="002B465D" w14:paraId="023F85A8" w14:textId="77777777">
      <w:pPr>
        <w:pStyle w:val="ListParagraph"/>
        <w:numPr>
          <w:ilvl w:val="0"/>
          <w:numId w:val="26"/>
        </w:numPr>
      </w:pPr>
      <w:r>
        <w:t>Failing to provide SMART (Specific, Measurable, Achievable, Relevant, Time-bound) objectives for social value commitments.</w:t>
      </w:r>
    </w:p>
    <w:p w:rsidR="002B465D" w:rsidP="002B465D" w:rsidRDefault="002B465D" w14:paraId="59F71FBF" w14:textId="77777777">
      <w:pPr>
        <w:pStyle w:val="ListParagraph"/>
        <w:numPr>
          <w:ilvl w:val="0"/>
          <w:numId w:val="26"/>
        </w:numPr>
      </w:pPr>
      <w:r>
        <w:t>Submitting generic responses that lack relevance to the specific tender or local community needs.</w:t>
      </w:r>
    </w:p>
    <w:p w:rsidR="002B465D" w:rsidP="002B465D" w:rsidRDefault="002B465D" w14:paraId="7889D88C" w14:textId="77777777">
      <w:pPr>
        <w:pStyle w:val="ListParagraph"/>
        <w:numPr>
          <w:ilvl w:val="0"/>
          <w:numId w:val="26"/>
        </w:numPr>
      </w:pPr>
      <w:r>
        <w:t>Overlooking key metrics or failing to quantify proposed outcomes (e.g., number of jobs created or emissions reduced).</w:t>
      </w:r>
    </w:p>
    <w:p w:rsidR="002B465D" w:rsidP="002B465D" w:rsidRDefault="002B465D" w14:paraId="5B4574DC" w14:textId="77777777">
      <w:pPr>
        <w:pStyle w:val="ListParagraph"/>
        <w:numPr>
          <w:ilvl w:val="0"/>
          <w:numId w:val="26"/>
        </w:numPr>
      </w:pPr>
      <w:r>
        <w:t>Including excessive jargon or promotional content instead of focusing on practical delivery plans.</w:t>
      </w:r>
    </w:p>
    <w:p w:rsidR="002B465D" w:rsidP="002B465D" w:rsidRDefault="002B465D" w14:paraId="12A0FB75" w14:textId="77777777">
      <w:pPr>
        <w:pStyle w:val="ListParagraph"/>
        <w:numPr>
          <w:ilvl w:val="0"/>
          <w:numId w:val="26"/>
        </w:numPr>
      </w:pPr>
      <w:r>
        <w:t>Neglecting to outline how progress will be tracked and reported throughout the contract lifecycle.</w:t>
      </w:r>
      <w:bookmarkStart w:name="_GoBack" w:id="0"/>
      <w:bookmarkEnd w:id="0"/>
    </w:p>
    <w:p w:rsidR="00427019" w:rsidP="00427019" w:rsidRDefault="00427019" w14:paraId="0730A4F0" w14:textId="29D728F4">
      <w:r>
        <w:t xml:space="preserve"> </w:t>
      </w:r>
    </w:p>
    <w:sectPr w:rsidR="0042701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EB5" w:rsidP="00E80FEC" w:rsidRDefault="00C87EB5" w14:paraId="15404FD7" w14:textId="77777777">
      <w:pPr>
        <w:spacing w:after="0" w:line="240" w:lineRule="auto"/>
      </w:pPr>
      <w:r>
        <w:separator/>
      </w:r>
    </w:p>
  </w:endnote>
  <w:endnote w:type="continuationSeparator" w:id="0">
    <w:p w:rsidR="00C87EB5" w:rsidP="00E80FEC" w:rsidRDefault="00C87EB5" w14:paraId="400DACF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EB5" w:rsidP="00E80FEC" w:rsidRDefault="00C87EB5" w14:paraId="2E2EF16D" w14:textId="77777777">
      <w:pPr>
        <w:spacing w:after="0" w:line="240" w:lineRule="auto"/>
      </w:pPr>
      <w:r>
        <w:separator/>
      </w:r>
    </w:p>
  </w:footnote>
  <w:footnote w:type="continuationSeparator" w:id="0">
    <w:p w:rsidR="00C87EB5" w:rsidP="00E80FEC" w:rsidRDefault="00C87EB5" w14:paraId="0209F6E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47DD"/>
    <w:multiLevelType w:val="hybridMultilevel"/>
    <w:tmpl w:val="5ADC0AA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B61AD1"/>
    <w:multiLevelType w:val="hybridMultilevel"/>
    <w:tmpl w:val="B25C1630"/>
    <w:lvl w:ilvl="0" w:tplc="C434707C">
      <w:numFmt w:val="bullet"/>
      <w:lvlText w:val="-"/>
      <w:lvlJc w:val="left"/>
      <w:pPr>
        <w:ind w:left="36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8C80515"/>
    <w:multiLevelType w:val="hybridMultilevel"/>
    <w:tmpl w:val="634E2CE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0D64E7"/>
    <w:multiLevelType w:val="hybridMultilevel"/>
    <w:tmpl w:val="631A41BC"/>
    <w:lvl w:ilvl="0" w:tplc="C434707C">
      <w:numFmt w:val="bullet"/>
      <w:lvlText w:val="-"/>
      <w:lvlJc w:val="left"/>
      <w:pPr>
        <w:ind w:left="36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90395A"/>
    <w:multiLevelType w:val="hybridMultilevel"/>
    <w:tmpl w:val="D0443B20"/>
    <w:lvl w:ilvl="0" w:tplc="C434707C">
      <w:numFmt w:val="bullet"/>
      <w:lvlText w:val="-"/>
      <w:lvlJc w:val="left"/>
      <w:pPr>
        <w:ind w:left="36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D648C1"/>
    <w:multiLevelType w:val="hybridMultilevel"/>
    <w:tmpl w:val="8A3A3872"/>
    <w:lvl w:ilvl="0" w:tplc="C434707C">
      <w:numFmt w:val="bullet"/>
      <w:lvlText w:val="-"/>
      <w:lvlJc w:val="left"/>
      <w:pPr>
        <w:ind w:left="36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C022B3"/>
    <w:multiLevelType w:val="hybridMultilevel"/>
    <w:tmpl w:val="D652A53A"/>
    <w:lvl w:ilvl="0" w:tplc="C434707C">
      <w:numFmt w:val="bullet"/>
      <w:lvlText w:val="-"/>
      <w:lvlJc w:val="left"/>
      <w:pPr>
        <w:ind w:left="36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28A341E"/>
    <w:multiLevelType w:val="hybridMultilevel"/>
    <w:tmpl w:val="3072F45C"/>
    <w:lvl w:ilvl="0" w:tplc="C434707C">
      <w:numFmt w:val="bullet"/>
      <w:lvlText w:val="-"/>
      <w:lvlJc w:val="left"/>
      <w:pPr>
        <w:ind w:left="36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540A39"/>
    <w:multiLevelType w:val="hybridMultilevel"/>
    <w:tmpl w:val="96A600E8"/>
    <w:lvl w:ilvl="0" w:tplc="C434707C">
      <w:numFmt w:val="bullet"/>
      <w:lvlText w:val="-"/>
      <w:lvlJc w:val="left"/>
      <w:pPr>
        <w:ind w:left="36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2CC0AAE"/>
    <w:multiLevelType w:val="hybridMultilevel"/>
    <w:tmpl w:val="EC5E5EE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A2180A"/>
    <w:multiLevelType w:val="hybridMultilevel"/>
    <w:tmpl w:val="BAACEB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A3F3E0F"/>
    <w:multiLevelType w:val="hybridMultilevel"/>
    <w:tmpl w:val="E6EC707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D27E91"/>
    <w:multiLevelType w:val="hybridMultilevel"/>
    <w:tmpl w:val="A2148B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ED63244"/>
    <w:multiLevelType w:val="hybridMultilevel"/>
    <w:tmpl w:val="28048F9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F2F7882"/>
    <w:multiLevelType w:val="multilevel"/>
    <w:tmpl w:val="CB06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67168FB"/>
    <w:multiLevelType w:val="hybridMultilevel"/>
    <w:tmpl w:val="7D58363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78E2FA3"/>
    <w:multiLevelType w:val="hybridMultilevel"/>
    <w:tmpl w:val="8800011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D3E4D25"/>
    <w:multiLevelType w:val="hybridMultilevel"/>
    <w:tmpl w:val="87402C9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D5C5C32"/>
    <w:multiLevelType w:val="hybridMultilevel"/>
    <w:tmpl w:val="45C6418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13321A4"/>
    <w:multiLevelType w:val="multilevel"/>
    <w:tmpl w:val="9C9C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D86750"/>
    <w:multiLevelType w:val="hybridMultilevel"/>
    <w:tmpl w:val="88269F2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744D1228"/>
    <w:multiLevelType w:val="hybridMultilevel"/>
    <w:tmpl w:val="67BE572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AD765CA"/>
    <w:multiLevelType w:val="hybridMultilevel"/>
    <w:tmpl w:val="70AE496A"/>
    <w:lvl w:ilvl="0" w:tplc="C434707C">
      <w:numFmt w:val="bullet"/>
      <w:lvlText w:val="-"/>
      <w:lvlJc w:val="left"/>
      <w:pPr>
        <w:ind w:left="36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D0334A5"/>
    <w:multiLevelType w:val="hybridMultilevel"/>
    <w:tmpl w:val="9D98467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D1E46C0"/>
    <w:multiLevelType w:val="multilevel"/>
    <w:tmpl w:val="081E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7FAB27CF"/>
    <w:multiLevelType w:val="multilevel"/>
    <w:tmpl w:val="F3F2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4"/>
  </w:num>
  <w:num w:numId="2">
    <w:abstractNumId w:val="19"/>
  </w:num>
  <w:num w:numId="3">
    <w:abstractNumId w:val="25"/>
  </w:num>
  <w:num w:numId="4">
    <w:abstractNumId w:val="21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5"/>
  </w:num>
  <w:num w:numId="12">
    <w:abstractNumId w:val="22"/>
  </w:num>
  <w:num w:numId="13">
    <w:abstractNumId w:val="14"/>
  </w:num>
  <w:num w:numId="14">
    <w:abstractNumId w:val="11"/>
  </w:num>
  <w:num w:numId="15">
    <w:abstractNumId w:val="18"/>
  </w:num>
  <w:num w:numId="16">
    <w:abstractNumId w:val="9"/>
  </w:num>
  <w:num w:numId="17">
    <w:abstractNumId w:val="16"/>
  </w:num>
  <w:num w:numId="18">
    <w:abstractNumId w:val="13"/>
  </w:num>
  <w:num w:numId="19">
    <w:abstractNumId w:val="15"/>
  </w:num>
  <w:num w:numId="20">
    <w:abstractNumId w:val="2"/>
  </w:num>
  <w:num w:numId="21">
    <w:abstractNumId w:val="23"/>
  </w:num>
  <w:num w:numId="22">
    <w:abstractNumId w:val="12"/>
  </w:num>
  <w:num w:numId="23">
    <w:abstractNumId w:val="20"/>
  </w:num>
  <w:num w:numId="24">
    <w:abstractNumId w:val="0"/>
  </w:num>
  <w:num w:numId="25">
    <w:abstractNumId w:val="1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2E"/>
    <w:rsid w:val="000012CF"/>
    <w:rsid w:val="00021693"/>
    <w:rsid w:val="00024112"/>
    <w:rsid w:val="001E6A13"/>
    <w:rsid w:val="002B465D"/>
    <w:rsid w:val="002E4D2E"/>
    <w:rsid w:val="00427019"/>
    <w:rsid w:val="005427FB"/>
    <w:rsid w:val="00561974"/>
    <w:rsid w:val="00730A85"/>
    <w:rsid w:val="00890D56"/>
    <w:rsid w:val="00A710D8"/>
    <w:rsid w:val="00B67BB0"/>
    <w:rsid w:val="00C122EB"/>
    <w:rsid w:val="00C87EB5"/>
    <w:rsid w:val="00D17E18"/>
    <w:rsid w:val="00E80FEC"/>
    <w:rsid w:val="14B3DF5D"/>
    <w:rsid w:val="7320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214BF0"/>
  <w15:chartTrackingRefBased/>
  <w15:docId w15:val="{1E5AFA73-2507-4EE1-8B81-C230A1C8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D2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D2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4D2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2E4D2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4D2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4D2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4D2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4D2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4D2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4D2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4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D2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4D2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D2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4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D2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4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D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7019"/>
    <w:rPr>
      <w:color w:val="467886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427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8E709EF7CBC439EED011758BB924D" ma:contentTypeVersion="12" ma:contentTypeDescription="Create a new document." ma:contentTypeScope="" ma:versionID="e90e0ba6db8daf85e2a08f008a92ea7d">
  <xsd:schema xmlns:xsd="http://www.w3.org/2001/XMLSchema" xmlns:xs="http://www.w3.org/2001/XMLSchema" xmlns:p="http://schemas.microsoft.com/office/2006/metadata/properties" xmlns:ns2="e3b2b671-f312-4ad1-b079-ca6706051650" xmlns:ns3="b4577a1f-aafa-4694-bf19-898a2e8ebaf1" targetNamespace="http://schemas.microsoft.com/office/2006/metadata/properties" ma:root="true" ma:fieldsID="5b4171f6e0d65cadc1d507cbb7be2ff7" ns2:_="" ns3:_="">
    <xsd:import namespace="e3b2b671-f312-4ad1-b079-ca6706051650"/>
    <xsd:import namespace="b4577a1f-aafa-4694-bf19-898a2e8eb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b671-f312-4ad1-b079-ca670605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7a1f-aafa-4694-bf19-898a2e8eba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b3a104-1925-49e0-9ba0-49e4f4cadc65}" ma:internalName="TaxCatchAll" ma:showField="CatchAllData" ma:web="b4577a1f-aafa-4694-bf19-898a2e8eb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2b671-f312-4ad1-b079-ca6706051650">
      <Terms xmlns="http://schemas.microsoft.com/office/infopath/2007/PartnerControls"/>
    </lcf76f155ced4ddcb4097134ff3c332f>
    <TaxCatchAll xmlns="b4577a1f-aafa-4694-bf19-898a2e8ebaf1" xsi:nil="true"/>
  </documentManagement>
</p:properties>
</file>

<file path=customXml/itemProps1.xml><?xml version="1.0" encoding="utf-8"?>
<ds:datastoreItem xmlns:ds="http://schemas.openxmlformats.org/officeDocument/2006/customXml" ds:itemID="{016787AE-D913-4A7B-8A69-C0A1D7D28867}"/>
</file>

<file path=customXml/itemProps2.xml><?xml version="1.0" encoding="utf-8"?>
<ds:datastoreItem xmlns:ds="http://schemas.openxmlformats.org/officeDocument/2006/customXml" ds:itemID="{79E8E523-197C-45B7-9F7A-B5424A077D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9EEFCC-ECBB-447F-A5E9-631FED2A60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Murray</dc:creator>
  <cp:keywords/>
  <dc:description/>
  <cp:lastModifiedBy>REUTER-SINCLAIR Nicola</cp:lastModifiedBy>
  <cp:revision>3</cp:revision>
  <dcterms:created xsi:type="dcterms:W3CDTF">2025-03-11T16:43:00Z</dcterms:created>
  <dcterms:modified xsi:type="dcterms:W3CDTF">2025-03-12T14:49:41Z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0x010100FAC8E709EF7CBC439EED011758BB924D</vt:lpwstr>
  </property>
  <property fmtid="{D5CDD505-2E9C-101B-9397-08002B2CF9AE}" pid="3" name="GrammarlyDocumentId">
    <vt:lpwstr>9d87c44f1465cd1456bcd3427091cedea452346e00d57327c02f43623493fde0</vt:lpwstr>
  </property>
  <property fmtid="{D5CDD505-2E9C-101B-9397-08002B2CF9AE}" pid="4" name="MSIP_Label_9e3fe282-78a3-46c2-a95b-f1092c13d694_Enabled">
    <vt:lpwstr>true</vt:lpwstr>
  </property>
  <property fmtid="{D5CDD505-2E9C-101B-9397-08002B2CF9AE}" pid="5" name="MSIP_Label_9e3fe282-78a3-46c2-a95b-f1092c13d694_SetDate">
    <vt:lpwstr>2025-03-11T16:42:54Z</vt:lpwstr>
  </property>
  <property fmtid="{D5CDD505-2E9C-101B-9397-08002B2CF9AE}" pid="6" name="MSIP_Label_9e3fe282-78a3-46c2-a95b-f1092c13d694_Method">
    <vt:lpwstr>Privileged</vt:lpwstr>
  </property>
  <property fmtid="{D5CDD505-2E9C-101B-9397-08002B2CF9AE}" pid="7" name="MSIP_Label_9e3fe282-78a3-46c2-a95b-f1092c13d694_Name">
    <vt:lpwstr>THALES-CORE-07</vt:lpwstr>
  </property>
  <property fmtid="{D5CDD505-2E9C-101B-9397-08002B2CF9AE}" pid="8" name="MSIP_Label_9e3fe282-78a3-46c2-a95b-f1092c13d694_SiteId">
    <vt:lpwstr>6e603289-5e46-4e26-ac7c-03a85420a9a5</vt:lpwstr>
  </property>
  <property fmtid="{D5CDD505-2E9C-101B-9397-08002B2CF9AE}" pid="9" name="MSIP_Label_9e3fe282-78a3-46c2-a95b-f1092c13d694_ActionId">
    <vt:lpwstr>f58d5c82-383a-4d90-b689-8ff36ae23757</vt:lpwstr>
  </property>
  <property fmtid="{D5CDD505-2E9C-101B-9397-08002B2CF9AE}" pid="10" name="MSIP_Label_9e3fe282-78a3-46c2-a95b-f1092c13d694_ContentBits">
    <vt:lpwstr>0</vt:lpwstr>
  </property>
  <property fmtid="{D5CDD505-2E9C-101B-9397-08002B2CF9AE}" pid="11" name="Thales-Sensitivity">
    <vt:lpwstr>{TGOPEN-UM}</vt:lpwstr>
  </property>
  <property fmtid="{D5CDD505-2E9C-101B-9397-08002B2CF9AE}" pid="12" name="MediaServiceImageTags">
    <vt:lpwstr/>
  </property>
</Properties>
</file>