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Soluții Recomandate pentru Scenariile Practice de Rețelistică Azure</w:t>
      </w:r>
    </w:p>
    <w:p>
      <w:pPr>
        <w:pStyle w:val="MdParagraph"/>
      </w:pPr>
      <w:r>
        <w:t xml:space="preserve">Acest document oferă soluții detaliate și raționamentul tehnic pentru fiecare dintre cele 5 scenarii practice legate de Rețelistica în Azure. Scopul este de a demonstra aplicarea corectă a conceptelor și de a consolida gândirea critică a unui viitor arhitect de rețea cloud.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Magazinul Online și Black Friday</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Componenta Esențială: Azure Load Balancer.</w:t>
      </w:r>
    </w:p>
    <w:p>
      <w:pPr>
        <w:pStyle w:val="MdListItem"/>
        <w:numPr>
          <w:ilvl w:val="1"/>
          <w:numId w:val="3"/>
        </w:numPr>
      </w:pPr>
      <w:r>
        <w:rPr>
          <w:rStyle w:val="MdStrong"/>
          <w:b/>
          <w:bCs/>
        </w:rPr>
        <w:t xml:space="preserve">Raționament:</w:t>
      </w:r>
      <w:r>
        <w:t xml:space="preserve"> Un Load Balancer este proiectat exact pentru acest scop. Acesta primește tot traficul de intrare pe o singură adresă IP publică și îl distribuie inteligent către mașinile virtuale (VM-uri) din spatele său (backend pool).</w:t>
      </w:r>
    </w:p>
    <w:p>
      <w:pPr>
        <w:pStyle w:val="MdListItem"/>
        <w:numPr>
          <w:ilvl w:val="0"/>
          <w:numId w:val="2"/>
        </w:numPr>
      </w:pPr>
      <w:r>
        <w:rPr>
          <w:rStyle w:val="MdStrong"/>
          <w:b/>
          <w:bCs/>
        </w:rPr>
        <w:t xml:space="preserve">Funcționalitatea de Verificare: Health Probes (Sonde de Sănătate).</w:t>
      </w:r>
    </w:p>
    <w:p>
      <w:pPr>
        <w:pStyle w:val="MdListItem"/>
        <w:numPr>
          <w:ilvl w:val="1"/>
          <w:numId w:val="3"/>
        </w:numPr>
      </w:pPr>
      <w:r>
        <w:rPr>
          <w:rStyle w:val="MdStrong"/>
          <w:b/>
          <w:bCs/>
        </w:rPr>
        <w:t xml:space="preserve">Raționament:</w:t>
      </w:r>
      <w:r>
        <w:t xml:space="preserve"> Load Balancer-ul folosește "Health Probes" pentru a verifica periodic starea de sănătate a fiecărei VM din backend pool. Acesta trimite o cerere la un interval regulat (ex: la fiecare 15 secunde) către un port specific al VM-ului (ex: portul 80 pentru web). Dacă o VM nu răspunde corect la un număr configurat de cereri consecutive, Load Balancer-ul o marchează ca fiind "nesănătoasă" și o scoate temporar din rotație, încetând să-i mai trimită trafic. Când VM-ul își revine și începe să răspundă din nou la probe, este adăugat automat înapoi în rotație.</w:t>
      </w:r>
    </w:p>
    <w:p>
      <w:pPr>
        <w:pStyle w:val="MdListItem"/>
        <w:numPr>
          <w:ilvl w:val="0"/>
          <w:numId w:val="2"/>
        </w:numPr>
      </w:pPr>
      <w:r>
        <w:rPr>
          <w:rStyle w:val="MdStrong"/>
          <w:b/>
          <w:bCs/>
        </w:rPr>
        <w:t xml:space="preserve">Adrese IP Publice pentru VM-uri: Nu.</w:t>
      </w:r>
    </w:p>
    <w:p>
      <w:pPr>
        <w:pStyle w:val="MdListItem"/>
        <w:numPr>
          <w:ilvl w:val="1"/>
          <w:numId w:val="3"/>
        </w:numPr>
      </w:pPr>
      <w:r>
        <w:rPr>
          <w:rStyle w:val="MdStrong"/>
          <w:b/>
          <w:bCs/>
        </w:rPr>
        <w:t xml:space="preserve">Raționament:</w:t>
      </w:r>
      <w:r>
        <w:t xml:space="preserve"> Este o practică proastă și nesigură. Doar </w:t>
      </w:r>
      <w:r>
        <w:rPr>
          <w:rStyle w:val="MdStrong"/>
          <w:b/>
          <w:bCs/>
        </w:rPr>
        <w:t xml:space="preserve">Load Balancer-ul</w:t>
      </w:r>
      <w:r>
        <w:t xml:space="preserve"> ar trebui să aibă o adresă IP Publică. VM-urile din spate trebuie să aibă doar adrese IP Private. Traficul din internet ajunge la IP-ul public al Load Balancer-ului, care apoi îl direcționează către IP-urile private ale VM-urilor. Acest lucru reduce suprafața de atac, deoarece VM-urile individuale nu sunt expuse direct pe internet.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Securizarea Bazei de Date a Spitalului</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Structura Rețelei: VNet cu Două Subnet-uri.</w:t>
      </w:r>
    </w:p>
    <w:p>
      <w:pPr>
        <w:pStyle w:val="MdListItem"/>
        <w:numPr>
          <w:ilvl w:val="1"/>
          <w:numId w:val="3"/>
        </w:numPr>
      </w:pPr>
      <w:r>
        <w:rPr>
          <w:rStyle w:val="MdStrong"/>
          <w:b/>
          <w:bCs/>
        </w:rPr>
        <w:t xml:space="preserve">Raționament:</w:t>
      </w:r>
      <w:r>
        <w:t xml:space="preserve"> Se va crea un singur Virtual Network (VNet). În interiorul acestui VNet, se vor crea două subnet-uri separate:</w:t>
      </w:r>
    </w:p>
    <w:p>
      <w:pPr>
        <w:pStyle w:val="MdListItem"/>
        <w:numPr>
          <w:ilvl w:val="2"/>
          <w:numId w:val="3"/>
        </w:numPr>
      </w:pPr>
      <w:r>
        <w:rPr>
          <w:rStyle w:val="MdCode"/>
          <w:b/>
          <w:bCs/>
          <w:u w:val="single"/>
        </w:rPr>
        <w:t xml:space="preserve">frontend-subnet</w:t>
      </w:r>
      <w:r>
        <w:t xml:space="preserve">: Aici va fi plasat serverul web (VM).</w:t>
      </w:r>
    </w:p>
    <w:p>
      <w:pPr>
        <w:pStyle w:val="MdListItem"/>
        <w:numPr>
          <w:ilvl w:val="2"/>
          <w:numId w:val="3"/>
        </w:numPr>
      </w:pPr>
      <w:r>
        <w:rPr>
          <w:rStyle w:val="MdCode"/>
          <w:b/>
          <w:bCs/>
          <w:u w:val="single"/>
        </w:rPr>
        <w:t xml:space="preserve">backend-subnet</w:t>
      </w:r>
      <w:r>
        <w:t xml:space="preserve">: Aici va fi plasat serverul de baze de date (VM).</w:t>
      </w:r>
    </w:p>
    <w:p>
      <w:pPr>
        <w:pStyle w:val="MdListItem"/>
        <w:numPr>
          <w:ilvl w:val="1"/>
          <w:numId w:val="3"/>
        </w:numPr>
      </w:pPr>
      <w:r>
        <w:t xml:space="preserve">Această separare logică este primul pas esențial în izolarea resurselor.</w:t>
      </w:r>
    </w:p>
    <w:p>
      <w:pPr>
        <w:pStyle w:val="MdListItem"/>
        <w:numPr>
          <w:ilvl w:val="0"/>
          <w:numId w:val="2"/>
        </w:numPr>
      </w:pPr>
      <w:r>
        <w:rPr>
          <w:rStyle w:val="MdStrong"/>
          <w:b/>
          <w:bCs/>
        </w:rPr>
        <w:t xml:space="preserve">Adresa IP a Bazei de Date: Doar Privată.</w:t>
      </w:r>
    </w:p>
    <w:p>
      <w:pPr>
        <w:pStyle w:val="MdListItem"/>
        <w:numPr>
          <w:ilvl w:val="1"/>
          <w:numId w:val="3"/>
        </w:numPr>
      </w:pPr>
      <w:r>
        <w:rPr>
          <w:rStyle w:val="MdStrong"/>
          <w:b/>
          <w:bCs/>
        </w:rPr>
        <w:t xml:space="preserve">Raționament:</w:t>
      </w:r>
      <w:r>
        <w:t xml:space="preserve"> Serverul de baze de date </w:t>
      </w:r>
      <w:r>
        <w:rPr>
          <w:rStyle w:val="MdStrong"/>
          <w:b/>
          <w:bCs/>
        </w:rPr>
        <w:t xml:space="preserve">nu trebuie să aibă niciodată o adresă IP Publică</w:t>
      </w:r>
      <w:r>
        <w:t xml:space="preserve">. Acesta trebuie să aibă doar o adresă IP Privată. Astfel, este imposibil din punct de vedere tehnic să fie accesat direct de pe internet. Comunicarea dintre serverul web și baza de date se va face exclusiv prin rețeaua privată, folosind adresele IP private.</w:t>
      </w:r>
    </w:p>
    <w:p>
      <w:pPr>
        <w:pStyle w:val="MdListItem"/>
        <w:numPr>
          <w:ilvl w:val="0"/>
          <w:numId w:val="2"/>
        </w:numPr>
      </w:pPr>
      <w:r>
        <w:rPr>
          <w:rStyle w:val="MdStrong"/>
          <w:b/>
          <w:bCs/>
        </w:rPr>
        <w:t xml:space="preserve">Regula Specifică de NSG:</w:t>
      </w:r>
    </w:p>
    <w:p>
      <w:pPr>
        <w:pStyle w:val="MdListItem"/>
        <w:numPr>
          <w:ilvl w:val="1"/>
          <w:numId w:val="3"/>
        </w:numPr>
      </w:pPr>
      <w:r>
        <w:t xml:space="preserve">Se va crea un Network Security Group (NSG) numit </w:t>
      </w:r>
      <w:r>
        <w:rPr>
          <w:rStyle w:val="MdCode"/>
          <w:u w:val="single"/>
        </w:rPr>
        <w:t xml:space="preserve">nsg-backend</w:t>
      </w:r>
      <w:r>
        <w:t xml:space="preserve"> și se va asocia cu </w:t>
      </w:r>
      <w:r>
        <w:rPr>
          <w:rStyle w:val="MdCode"/>
          <w:u w:val="single"/>
        </w:rPr>
        <w:t xml:space="preserve">backend-subnet</w:t>
      </w:r>
      <w:r>
        <w:t xml:space="preserve">. În acest NSG, se va crea o regulă de intrare (Inbound Rule) cu următoarele proprietăți:</w:t>
      </w:r>
    </w:p>
    <w:p>
      <w:pPr>
        <w:pStyle w:val="MdListItem"/>
        <w:numPr>
          <w:ilvl w:val="2"/>
          <w:numId w:val="3"/>
        </w:numPr>
      </w:pPr>
      <w:r>
        <w:rPr>
          <w:rStyle w:val="MdStrong"/>
          <w:b/>
          <w:bCs/>
        </w:rPr>
        <w:t xml:space="preserve">Sursă (Source):</w:t>
      </w:r>
      <w:r>
        <w:t xml:space="preserve"> </w:t>
      </w:r>
      <w:r>
        <w:rPr>
          <w:rStyle w:val="MdCode"/>
          <w:u w:val="single"/>
        </w:rPr>
        <w:t xml:space="preserve">IP Addresses</w:t>
      </w:r>
    </w:p>
    <w:p>
      <w:pPr>
        <w:pStyle w:val="MdListItem"/>
        <w:numPr>
          <w:ilvl w:val="2"/>
          <w:numId w:val="3"/>
        </w:numPr>
      </w:pPr>
      <w:r>
        <w:rPr>
          <w:rStyle w:val="MdStrong"/>
          <w:b/>
          <w:bCs/>
        </w:rPr>
        <w:t xml:space="preserve">Adresa IP Sursă (Source IP addresses/CIDR ranges):</w:t>
      </w:r>
      <w:r>
        <w:t xml:space="preserve"> Intervalul de adrese IP al </w:t>
      </w:r>
      <w:r>
        <w:rPr>
          <w:rStyle w:val="MdCode"/>
          <w:u w:val="single"/>
        </w:rPr>
        <w:t xml:space="preserve">frontend-subnet</w:t>
      </w:r>
      <w:r>
        <w:t xml:space="preserve"> (ex: </w:t>
      </w:r>
      <w:r>
        <w:rPr>
          <w:rStyle w:val="MdCode"/>
          <w:u w:val="single"/>
        </w:rPr>
        <w:t xml:space="preserve">10.0.1.0/24</w:t>
      </w:r>
      <w:r>
        <w:t xml:space="preserve">).</w:t>
      </w:r>
    </w:p>
    <w:p>
      <w:pPr>
        <w:pStyle w:val="MdListItem"/>
        <w:numPr>
          <w:ilvl w:val="2"/>
          <w:numId w:val="3"/>
        </w:numPr>
      </w:pPr>
      <w:r>
        <w:rPr>
          <w:rStyle w:val="MdStrong"/>
          <w:b/>
          <w:bCs/>
        </w:rPr>
        <w:t xml:space="preserve">Port Sursă (Source port ranges):</w:t>
      </w:r>
      <w:r>
        <w:t xml:space="preserve"> </w:t>
      </w:r>
      <w:r>
        <w:rPr>
          <w:rStyle w:val="MdCode"/>
          <w:u w:val="single"/>
        </w:rPr>
        <w:t xml:space="preserve">*</w:t>
      </w:r>
      <w:r>
        <w:t xml:space="preserve"> (Any)</w:t>
      </w:r>
    </w:p>
    <w:p>
      <w:pPr>
        <w:pStyle w:val="MdListItem"/>
        <w:numPr>
          <w:ilvl w:val="2"/>
          <w:numId w:val="3"/>
        </w:numPr>
      </w:pPr>
      <w:r>
        <w:rPr>
          <w:rStyle w:val="MdStrong"/>
          <w:b/>
          <w:bCs/>
        </w:rPr>
        <w:t xml:space="preserve">Destinație (Destination):</w:t>
      </w:r>
      <w:r>
        <w:t xml:space="preserve"> </w:t>
      </w:r>
      <w:r>
        <w:rPr>
          <w:rStyle w:val="MdCode"/>
          <w:u w:val="single"/>
        </w:rPr>
        <w:t xml:space="preserve">Any</w:t>
      </w:r>
    </w:p>
    <w:p>
      <w:pPr>
        <w:pStyle w:val="MdListItem"/>
        <w:numPr>
          <w:ilvl w:val="2"/>
          <w:numId w:val="3"/>
        </w:numPr>
      </w:pPr>
      <w:r>
        <w:rPr>
          <w:rStyle w:val="MdStrong"/>
          <w:b/>
          <w:bCs/>
        </w:rPr>
        <w:t xml:space="preserve">Port Destinație (Destination port ranges):</w:t>
      </w:r>
      <w:r>
        <w:t xml:space="preserve"> Portul bazei de date (ex: </w:t>
      </w:r>
      <w:r>
        <w:rPr>
          <w:rStyle w:val="MdCode"/>
          <w:u w:val="single"/>
        </w:rPr>
        <w:t xml:space="preserve">1433</w:t>
      </w:r>
      <w:r>
        <w:t xml:space="preserve"> pentru SQL Server).</w:t>
      </w:r>
    </w:p>
    <w:p>
      <w:pPr>
        <w:pStyle w:val="MdListItem"/>
        <w:numPr>
          <w:ilvl w:val="2"/>
          <w:numId w:val="3"/>
        </w:numPr>
      </w:pPr>
      <w:r>
        <w:rPr>
          <w:rStyle w:val="MdStrong"/>
          <w:b/>
          <w:bCs/>
        </w:rPr>
        <w:t xml:space="preserve">Protocol:</w:t>
      </w:r>
      <w:r>
        <w:t xml:space="preserve"> </w:t>
      </w:r>
      <w:r>
        <w:rPr>
          <w:rStyle w:val="MdCode"/>
          <w:u w:val="single"/>
        </w:rPr>
        <w:t xml:space="preserve">TCP</w:t>
      </w:r>
    </w:p>
    <w:p>
      <w:pPr>
        <w:pStyle w:val="MdListItem"/>
        <w:numPr>
          <w:ilvl w:val="2"/>
          <w:numId w:val="3"/>
        </w:numPr>
      </w:pPr>
      <w:r>
        <w:rPr>
          <w:rStyle w:val="MdStrong"/>
          <w:b/>
          <w:bCs/>
        </w:rPr>
        <w:t xml:space="preserve">Acțiune (Action):</w:t>
      </w:r>
      <w:r>
        <w:t xml:space="preserve"> </w:t>
      </w:r>
      <w:r>
        <w:rPr>
          <w:rStyle w:val="MdCode"/>
          <w:u w:val="single"/>
        </w:rPr>
        <w:t xml:space="preserve">Allow</w:t>
      </w:r>
    </w:p>
    <w:p>
      <w:pPr>
        <w:pStyle w:val="MdListItem"/>
        <w:numPr>
          <w:ilvl w:val="2"/>
          <w:numId w:val="3"/>
        </w:numPr>
      </w:pPr>
      <w:r>
        <w:rPr>
          <w:rStyle w:val="MdStrong"/>
          <w:b/>
          <w:bCs/>
        </w:rPr>
        <w:t xml:space="preserve">Prioritate (Priority):</w:t>
      </w:r>
      <w:r>
        <w:t xml:space="preserve"> Un număr mic, ex: </w:t>
      </w:r>
      <w:r>
        <w:rPr>
          <w:rStyle w:val="MdCode"/>
          <w:u w:val="single"/>
        </w:rPr>
        <w:t xml:space="preserve">100</w:t>
      </w:r>
      <w:r>
        <w:t xml:space="preserve">.</w:t>
      </w:r>
    </w:p>
    <w:p>
      <w:pPr>
        <w:pStyle w:val="MdListItem"/>
        <w:numPr>
          <w:ilvl w:val="1"/>
          <w:numId w:val="3"/>
        </w:numPr>
      </w:pPr>
      <w:r>
        <w:t xml:space="preserve">Această regulă permite traficul pe portul bazei de date </w:t>
      </w:r>
      <w:r>
        <w:rPr>
          <w:rStyle w:val="MdStrong"/>
          <w:b/>
          <w:bCs/>
        </w:rPr>
        <w:t xml:space="preserve">doar</w:t>
      </w:r>
      <w:r>
        <w:t xml:space="preserve"> dacă provine de la o resursă din </w:t>
      </w:r>
      <w:r>
        <w:rPr>
          <w:rStyle w:val="MdCode"/>
          <w:u w:val="single"/>
        </w:rPr>
        <w:t xml:space="preserve">frontend-subnet</w:t>
      </w:r>
      <w: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Laboratorul de Cercetare și Accesul de la Distanță</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Descrierea Regulii NSG:</w:t>
      </w:r>
    </w:p>
    <w:p>
      <w:pPr>
        <w:pStyle w:val="MdListItem"/>
        <w:numPr>
          <w:ilvl w:val="1"/>
          <w:numId w:val="3"/>
        </w:numPr>
      </w:pPr>
      <w:r>
        <w:t xml:space="preserve">Se va crea o regulă de intrare (Inbound Rule) în NSG-ul asociat cu VM-ul sau subnet-ul acestuia:</w:t>
      </w:r>
    </w:p>
    <w:p>
      <w:pPr>
        <w:pStyle w:val="MdListItem"/>
        <w:numPr>
          <w:ilvl w:val="2"/>
          <w:numId w:val="3"/>
        </w:numPr>
      </w:pPr>
      <w:r>
        <w:rPr>
          <w:rStyle w:val="MdStrong"/>
          <w:b/>
          <w:bCs/>
        </w:rPr>
        <w:t xml:space="preserve">Sursă (Source):</w:t>
      </w:r>
      <w:r>
        <w:t xml:space="preserve"> </w:t>
      </w:r>
      <w:r>
        <w:rPr>
          <w:rStyle w:val="MdCode"/>
          <w:u w:val="single"/>
        </w:rPr>
        <w:t xml:space="preserve">IP Addresses</w:t>
      </w:r>
    </w:p>
    <w:p>
      <w:pPr>
        <w:pStyle w:val="MdListItem"/>
        <w:numPr>
          <w:ilvl w:val="2"/>
          <w:numId w:val="3"/>
        </w:numPr>
      </w:pPr>
      <w:r>
        <w:rPr>
          <w:rStyle w:val="MdStrong"/>
          <w:b/>
          <w:bCs/>
        </w:rPr>
        <w:t xml:space="preserve">Adresa IP Sursă (Source IP addresses/CIDR ranges):</w:t>
      </w:r>
      <w:r>
        <w:t xml:space="preserve"> Adresa IP publică a casei profesorului (ex: </w:t>
      </w:r>
      <w:r>
        <w:rPr>
          <w:rStyle w:val="MdCode"/>
          <w:u w:val="single"/>
        </w:rPr>
        <w:t xml:space="preserve">86.122.50.110</w:t>
      </w:r>
      <w:r>
        <w:t xml:space="preserve">).</w:t>
      </w:r>
    </w:p>
    <w:p>
      <w:pPr>
        <w:pStyle w:val="MdListItem"/>
        <w:numPr>
          <w:ilvl w:val="2"/>
          <w:numId w:val="3"/>
        </w:numPr>
      </w:pPr>
      <w:r>
        <w:rPr>
          <w:rStyle w:val="MdStrong"/>
          <w:b/>
          <w:bCs/>
        </w:rPr>
        <w:t xml:space="preserve">Port Sursă (Source port ranges):</w:t>
      </w:r>
      <w:r>
        <w:t xml:space="preserve"> </w:t>
      </w:r>
      <w:r>
        <w:rPr>
          <w:rStyle w:val="MdCode"/>
          <w:u w:val="single"/>
        </w:rPr>
        <w:t xml:space="preserve">*</w:t>
      </w:r>
      <w:r>
        <w:t xml:space="preserve"> (Any)</w:t>
      </w:r>
    </w:p>
    <w:p>
      <w:pPr>
        <w:pStyle w:val="MdListItem"/>
        <w:numPr>
          <w:ilvl w:val="2"/>
          <w:numId w:val="3"/>
        </w:numPr>
      </w:pPr>
      <w:r>
        <w:rPr>
          <w:rStyle w:val="MdStrong"/>
          <w:b/>
          <w:bCs/>
        </w:rPr>
        <w:t xml:space="preserve">Destinație (Destination):</w:t>
      </w:r>
      <w:r>
        <w:t xml:space="preserve"> </w:t>
      </w:r>
      <w:r>
        <w:rPr>
          <w:rStyle w:val="MdCode"/>
          <w:u w:val="single"/>
        </w:rPr>
        <w:t xml:space="preserve">Any</w:t>
      </w:r>
    </w:p>
    <w:p>
      <w:pPr>
        <w:pStyle w:val="MdListItem"/>
        <w:numPr>
          <w:ilvl w:val="2"/>
          <w:numId w:val="3"/>
        </w:numPr>
      </w:pPr>
      <w:r>
        <w:rPr>
          <w:rStyle w:val="MdStrong"/>
          <w:b/>
          <w:bCs/>
        </w:rPr>
        <w:t xml:space="preserve">Port Destinație (Destination port ranges):</w:t>
      </w:r>
      <w:r>
        <w:t xml:space="preserve"> </w:t>
      </w:r>
      <w:r>
        <w:rPr>
          <w:rStyle w:val="MdCode"/>
          <w:u w:val="single"/>
        </w:rPr>
        <w:t xml:space="preserve">22</w:t>
      </w:r>
      <w:r>
        <w:t xml:space="preserve"> (pentru SSH).</w:t>
      </w:r>
    </w:p>
    <w:p>
      <w:pPr>
        <w:pStyle w:val="MdListItem"/>
        <w:numPr>
          <w:ilvl w:val="2"/>
          <w:numId w:val="3"/>
        </w:numPr>
      </w:pPr>
      <w:r>
        <w:rPr>
          <w:rStyle w:val="MdStrong"/>
          <w:b/>
          <w:bCs/>
        </w:rPr>
        <w:t xml:space="preserve">Protocol:</w:t>
      </w:r>
      <w:r>
        <w:t xml:space="preserve"> </w:t>
      </w:r>
      <w:r>
        <w:rPr>
          <w:rStyle w:val="MdCode"/>
          <w:u w:val="single"/>
        </w:rPr>
        <w:t xml:space="preserve">TCP</w:t>
      </w:r>
    </w:p>
    <w:p>
      <w:pPr>
        <w:pStyle w:val="MdListItem"/>
        <w:numPr>
          <w:ilvl w:val="2"/>
          <w:numId w:val="3"/>
        </w:numPr>
      </w:pPr>
      <w:r>
        <w:rPr>
          <w:rStyle w:val="MdStrong"/>
          <w:b/>
          <w:bCs/>
        </w:rPr>
        <w:t xml:space="preserve">Acțiune (Action):</w:t>
      </w:r>
      <w:r>
        <w:t xml:space="preserve"> </w:t>
      </w:r>
      <w:r>
        <w:rPr>
          <w:rStyle w:val="MdCode"/>
          <w:u w:val="single"/>
        </w:rPr>
        <w:t xml:space="preserve">Allow</w:t>
      </w:r>
    </w:p>
    <w:p>
      <w:pPr>
        <w:pStyle w:val="MdListItem"/>
        <w:numPr>
          <w:ilvl w:val="2"/>
          <w:numId w:val="3"/>
        </w:numPr>
      </w:pPr>
      <w:r>
        <w:rPr>
          <w:rStyle w:val="MdStrong"/>
          <w:b/>
          <w:bCs/>
        </w:rPr>
        <w:t xml:space="preserve">Prioritate (Priority):</w:t>
      </w:r>
      <w:r>
        <w:t xml:space="preserve"> Un număr mic, ex: </w:t>
      </w:r>
      <w:r>
        <w:rPr>
          <w:rStyle w:val="MdCode"/>
          <w:u w:val="single"/>
        </w:rPr>
        <w:t xml:space="preserve">100</w:t>
      </w:r>
      <w:r>
        <w:t xml:space="preserve">.</w:t>
      </w:r>
    </w:p>
    <w:p>
      <w:pPr>
        <w:pStyle w:val="MdListItem"/>
        <w:numPr>
          <w:ilvl w:val="0"/>
          <w:numId w:val="2"/>
        </w:numPr>
      </w:pPr>
      <w:r>
        <w:rPr>
          <w:rStyle w:val="MdStrong"/>
          <w:b/>
          <w:bCs/>
        </w:rPr>
        <w:t xml:space="preserve">Pericolul Regulii "Any":</w:t>
      </w:r>
    </w:p>
    <w:p>
      <w:pPr>
        <w:pStyle w:val="MdListItem"/>
        <w:numPr>
          <w:ilvl w:val="1"/>
          <w:numId w:val="3"/>
        </w:numPr>
      </w:pPr>
      <w:r>
        <w:t xml:space="preserve">Lăsând sursa ca "Any" (sau </w:t>
      </w:r>
      <w:r>
        <w:rPr>
          <w:rStyle w:val="MdCode"/>
          <w:u w:val="single"/>
        </w:rPr>
        <w:t xml:space="preserve">0.0.0.0/0</w:t>
      </w:r>
      <w:r>
        <w:t xml:space="preserve">), portul 22 al mașinii virtuale este expus întregului internet. Acest lucru transformă VM-ul într-o țintă pentru atacuri automate de tip "brute-force", unde boții încearcă mii de combinații de utilizator/parolă pe secundă pentru a obține accesul. Este una dintre cele mai comune greșeli de securitate.</w:t>
      </w:r>
    </w:p>
    <w:p>
      <w:pPr>
        <w:pStyle w:val="MdListItem"/>
        <w:numPr>
          <w:ilvl w:val="0"/>
          <w:numId w:val="2"/>
        </w:numPr>
      </w:pPr>
      <w:r>
        <w:rPr>
          <w:rStyle w:val="MdStrong"/>
          <w:b/>
          <w:bCs/>
        </w:rPr>
        <w:t xml:space="preserve">Modificarea la Schimbarea IP-ului:</w:t>
      </w:r>
    </w:p>
    <w:p>
      <w:pPr>
        <w:pStyle w:val="MdListItem"/>
        <w:numPr>
          <w:ilvl w:val="1"/>
          <w:numId w:val="3"/>
        </w:numPr>
      </w:pPr>
      <w:r>
        <w:t xml:space="preserve">Profesorul va trebui să meargă în Azure Portal, să navigheze la Network Security Group-ul respectiv, să găsească regula creată la pasul 1 și </w:t>
      </w:r>
      <w:r>
        <w:rPr>
          <w:rStyle w:val="MdStrong"/>
          <w:b/>
          <w:bCs/>
        </w:rPr>
        <w:t xml:space="preserve">să editeze câmpul "Source IP addresses/CIDR ranges"</w:t>
      </w:r>
      <w:r>
        <w:t xml:space="preserve">, înlocuind vechea adresă IP cu cea nouă. Până când această modificare nu este făcută, accesul său va fi blocat de NSG.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Aplicația Corporativă cu 3 Niveluri (3-Tier)</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Numărul de Subnet-uri: 3.</w:t>
      </w:r>
    </w:p>
    <w:p>
      <w:pPr>
        <w:pStyle w:val="MdListItem"/>
        <w:numPr>
          <w:ilvl w:val="1"/>
          <w:numId w:val="3"/>
        </w:numPr>
      </w:pPr>
      <w:r>
        <w:rPr>
          <w:rStyle w:val="MdStrong"/>
          <w:b/>
          <w:bCs/>
        </w:rPr>
        <w:t xml:space="preserve">Raționament:</w:t>
      </w:r>
      <w:r>
        <w:t xml:space="preserve"> Se vor crea 3 subnet-uri în cadrul aceluiași VNet, fiecare corespunzând unui nivel al aplicației:</w:t>
      </w:r>
    </w:p>
    <w:p>
      <w:pPr>
        <w:pStyle w:val="MdListItem"/>
        <w:numPr>
          <w:ilvl w:val="2"/>
          <w:numId w:val="3"/>
        </w:numPr>
      </w:pPr>
      <w:r>
        <w:rPr>
          <w:rStyle w:val="MdCode"/>
          <w:u w:val="single"/>
        </w:rPr>
        <w:t xml:space="preserve">web-subnet</w:t>
      </w:r>
    </w:p>
    <w:p>
      <w:pPr>
        <w:pStyle w:val="MdListItem"/>
        <w:numPr>
          <w:ilvl w:val="2"/>
          <w:numId w:val="3"/>
        </w:numPr>
      </w:pPr>
      <w:r>
        <w:rPr>
          <w:rStyle w:val="MdCode"/>
          <w:u w:val="single"/>
        </w:rPr>
        <w:t xml:space="preserve">app-subnet</w:t>
      </w:r>
    </w:p>
    <w:p>
      <w:pPr>
        <w:pStyle w:val="MdListItem"/>
        <w:numPr>
          <w:ilvl w:val="2"/>
          <w:numId w:val="3"/>
        </w:numPr>
      </w:pPr>
      <w:r>
        <w:rPr>
          <w:rStyle w:val="MdCode"/>
          <w:u w:val="single"/>
        </w:rPr>
        <w:t xml:space="preserve">data-subnet</w:t>
      </w:r>
    </w:p>
    <w:p>
      <w:pPr>
        <w:pStyle w:val="MdListItem"/>
        <w:numPr>
          <w:ilvl w:val="0"/>
          <w:numId w:val="2"/>
        </w:numPr>
      </w:pPr>
      <w:r>
        <w:rPr>
          <w:rStyle w:val="MdStrong"/>
          <w:b/>
          <w:bCs/>
        </w:rPr>
        <w:t xml:space="preserve">Regula NSG pentru Data Tier:</w:t>
      </w:r>
    </w:p>
    <w:p>
      <w:pPr>
        <w:pStyle w:val="MdListItem"/>
        <w:numPr>
          <w:ilvl w:val="1"/>
          <w:numId w:val="3"/>
        </w:numPr>
      </w:pPr>
      <w:r>
        <w:t xml:space="preserve">Se va crea un NSG numit </w:t>
      </w:r>
      <w:r>
        <w:rPr>
          <w:rStyle w:val="MdCode"/>
          <w:u w:val="single"/>
        </w:rPr>
        <w:t xml:space="preserve">nsg-data</w:t>
      </w:r>
      <w:r>
        <w:t xml:space="preserve"> și se va asocia cu </w:t>
      </w:r>
      <w:r>
        <w:rPr>
          <w:rStyle w:val="MdCode"/>
          <w:u w:val="single"/>
        </w:rPr>
        <w:t xml:space="preserve">data-subnet</w:t>
      </w:r>
      <w:r>
        <w:t xml:space="preserve">. În acest NSG, se va crea o regulă de intrare care să permită comunicarea de la </w:t>
      </w:r>
      <w:r>
        <w:rPr>
          <w:rStyle w:val="MdCode"/>
          <w:u w:val="single"/>
        </w:rPr>
        <w:t xml:space="preserve">app-subnet</w:t>
      </w:r>
      <w:r>
        <w:t xml:space="preserve">:</w:t>
      </w:r>
    </w:p>
    <w:p>
      <w:pPr>
        <w:pStyle w:val="MdListItem"/>
        <w:numPr>
          <w:ilvl w:val="2"/>
          <w:numId w:val="3"/>
        </w:numPr>
      </w:pPr>
      <w:r>
        <w:rPr>
          <w:rStyle w:val="MdStrong"/>
          <w:b/>
          <w:bCs/>
        </w:rPr>
        <w:t xml:space="preserve">Sursă (Source):</w:t>
      </w:r>
      <w:r>
        <w:t xml:space="preserve"> </w:t>
      </w:r>
      <w:r>
        <w:rPr>
          <w:rStyle w:val="MdCode"/>
          <w:u w:val="single"/>
        </w:rPr>
        <w:t xml:space="preserve">IP Addresses</w:t>
      </w:r>
    </w:p>
    <w:p>
      <w:pPr>
        <w:pStyle w:val="MdListItem"/>
        <w:numPr>
          <w:ilvl w:val="2"/>
          <w:numId w:val="3"/>
        </w:numPr>
      </w:pPr>
      <w:r>
        <w:rPr>
          <w:rStyle w:val="MdStrong"/>
          <w:b/>
          <w:bCs/>
        </w:rPr>
        <w:t xml:space="preserve">Adresa IP Sursă (Source IP addresses/CIDR ranges):</w:t>
      </w:r>
      <w:r>
        <w:t xml:space="preserve"> Intervalul de adrese IP al </w:t>
      </w:r>
      <w:r>
        <w:rPr>
          <w:rStyle w:val="MdCode"/>
          <w:u w:val="single"/>
        </w:rPr>
        <w:t xml:space="preserve">app-subnet</w:t>
      </w:r>
      <w:r>
        <w:t xml:space="preserve">.</w:t>
      </w:r>
    </w:p>
    <w:p>
      <w:pPr>
        <w:pStyle w:val="MdListItem"/>
        <w:numPr>
          <w:ilvl w:val="2"/>
          <w:numId w:val="3"/>
        </w:numPr>
      </w:pPr>
      <w:r>
        <w:rPr>
          <w:rStyle w:val="MdStrong"/>
          <w:b/>
          <w:bCs/>
        </w:rPr>
        <w:t xml:space="preserve">Port Destinație (Destination port ranges):</w:t>
      </w:r>
      <w:r>
        <w:t xml:space="preserve"> Portul bazei de date.</w:t>
      </w:r>
    </w:p>
    <w:p>
      <w:pPr>
        <w:pStyle w:val="MdListItem"/>
        <w:numPr>
          <w:ilvl w:val="2"/>
          <w:numId w:val="3"/>
        </w:numPr>
      </w:pPr>
      <w:r>
        <w:rPr>
          <w:rStyle w:val="MdStrong"/>
          <w:b/>
          <w:bCs/>
        </w:rPr>
        <w:t xml:space="preserve">Acțiune (Action):</w:t>
      </w:r>
      <w:r>
        <w:t xml:space="preserve"> </w:t>
      </w:r>
      <w:r>
        <w:rPr>
          <w:rStyle w:val="MdCode"/>
          <w:u w:val="single"/>
        </w:rPr>
        <w:t xml:space="preserve">Allow</w:t>
      </w:r>
    </w:p>
    <w:p>
      <w:pPr>
        <w:pStyle w:val="MdListItem"/>
        <w:numPr>
          <w:ilvl w:val="1"/>
          <w:numId w:val="3"/>
        </w:numPr>
      </w:pPr>
      <w:r>
        <w:t xml:space="preserve">Implicit, NSG-urile blochează traficul care nu este permis explicit, deci traficul de la </w:t>
      </w:r>
      <w:r>
        <w:rPr>
          <w:rStyle w:val="MdCode"/>
          <w:u w:val="single"/>
        </w:rPr>
        <w:t xml:space="preserve">web-subnet</w:t>
      </w:r>
      <w:r>
        <w:t xml:space="preserve"> va fi blocat. Pentru a fi și mai siguri, se poate adăuga o regulă cu prioritate mai mare care refuză explicit traficul de la </w:t>
      </w:r>
      <w:r>
        <w:rPr>
          <w:rStyle w:val="MdCode"/>
          <w:u w:val="single"/>
        </w:rPr>
        <w:t xml:space="preserve">web-subnet</w:t>
      </w:r>
      <w:r>
        <w:t xml:space="preserve">.</w:t>
      </w:r>
    </w:p>
    <w:p>
      <w:pPr>
        <w:pStyle w:val="MdListItem"/>
        <w:numPr>
          <w:ilvl w:val="0"/>
          <w:numId w:val="2"/>
        </w:numPr>
      </w:pPr>
      <w:r>
        <w:rPr>
          <w:rStyle w:val="MdStrong"/>
          <w:b/>
          <w:bCs/>
        </w:rPr>
        <w:t xml:space="preserve">Riscurile unui Singur Subnet:</w:t>
      </w:r>
    </w:p>
    <w:p>
      <w:pPr>
        <w:pStyle w:val="MdListItem"/>
        <w:numPr>
          <w:ilvl w:val="1"/>
          <w:numId w:val="3"/>
        </w:numPr>
      </w:pPr>
      <w:r>
        <w:t xml:space="preserve">Dacă toate VM-urile sunt în același subnet, nu există nicio izolare la nivel de rețea. Un atacator care compromite un server web (cel mai expus nivel) ar putea scana rețeaua locală și ar descoperi imediat serverul de baze de date. De acolo, ar putea lansa un atac direct asupra bazei de date, ocolind complet nivelul de aplicație. Separarea în subnet-uri este o măsură fundamentală de securitate ("defense in depth").</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Conectarea a Două Departamente</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Tehnologia de Conectare: VNet Peering.</w:t>
      </w:r>
    </w:p>
    <w:p>
      <w:pPr>
        <w:pStyle w:val="MdListItem"/>
        <w:numPr>
          <w:ilvl w:val="1"/>
          <w:numId w:val="3"/>
        </w:numPr>
      </w:pPr>
      <w:r>
        <w:rPr>
          <w:rStyle w:val="MdStrong"/>
          <w:b/>
          <w:bCs/>
        </w:rPr>
        <w:t xml:space="preserve">Raționament:</w:t>
      </w:r>
      <w:r>
        <w:t xml:space="preserve"> VNet Peering este tehnologia nativă Azure care permite conectarea a două VNet-uri. Odată ce peering-ul este stabilit, cele două rețele virtuale devin, în esență, una singură din punct de vedere al rutării, iar traficul dintre ele trece prin rețeaua privată a Microsoft, nu prin internetul public.</w:t>
      </w:r>
    </w:p>
    <w:p>
      <w:pPr>
        <w:pStyle w:val="MdListItem"/>
        <w:numPr>
          <w:ilvl w:val="0"/>
          <w:numId w:val="2"/>
        </w:numPr>
      </w:pPr>
      <w:r>
        <w:rPr>
          <w:rStyle w:val="MdStrong"/>
          <w:b/>
          <w:bCs/>
        </w:rPr>
        <w:t xml:space="preserve">Tipul de Adresă IP Folosit: Privată.</w:t>
      </w:r>
    </w:p>
    <w:p>
      <w:pPr>
        <w:pStyle w:val="MdListItem"/>
        <w:numPr>
          <w:ilvl w:val="1"/>
          <w:numId w:val="3"/>
        </w:numPr>
      </w:pPr>
      <w:r>
        <w:rPr>
          <w:rStyle w:val="MdStrong"/>
          <w:b/>
          <w:bCs/>
        </w:rPr>
        <w:t xml:space="preserve">Raționament:</w:t>
      </w:r>
      <w:r>
        <w:t xml:space="preserve"> Frumusețea VNet Peering-ului este că permite resurselor să comunice folosind adresele lor IP Private. VM-ul de marketing se va conecta la adresa IP Privată a VM-ului de HR, ca și cum ar fi în același VNet. Acest lucru este sigur și eficient.</w:t>
      </w:r>
    </w:p>
    <w:p>
      <w:pPr>
        <w:pStyle w:val="MdListItem"/>
        <w:numPr>
          <w:ilvl w:val="0"/>
          <w:numId w:val="2"/>
        </w:numPr>
      </w:pPr>
      <w:r>
        <w:rPr>
          <w:rStyle w:val="MdStrong"/>
          <w:b/>
          <w:bCs/>
        </w:rPr>
        <w:t xml:space="preserve">Componenta Suplimentară de Verificat: Network Security Group (NSG).</w:t>
      </w:r>
    </w:p>
    <w:p>
      <w:pPr>
        <w:pStyle w:val="MdListItem"/>
        <w:numPr>
          <w:ilvl w:val="1"/>
          <w:numId w:val="3"/>
        </w:numPr>
      </w:pPr>
      <w:r>
        <w:rPr>
          <w:rStyle w:val="MdStrong"/>
          <w:b/>
          <w:bCs/>
        </w:rPr>
        <w:t xml:space="preserve">Raționament:</w:t>
      </w:r>
      <w:r>
        <w:t xml:space="preserve"> VNet Peering stabilește doar calea de rețea. Securitatea este încă gestionată de NSG-uri. Chiar dacă cele două VM-uri se pot "vedea" acum, NSG-ul asociat cu VM-ul de HR (sau cu subnet-ul său) trebuie să aibă o regulă de intrare care să permită traficul pe portul bazei de date (ex: 1433) de la adresa IP privată a VM-ului de marketing (sau de la întregul interval al subnet-ului de marketing). Fără această regulă NSG, conexiunea va eșua.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2026-01-17T07:53:16.393Z</dcterms:created>
  <dcterms:modified xsi:type="dcterms:W3CDTF">2026-01-17T07:53:16.393Z</dcterms:modified>
</cp:coreProperties>
</file>

<file path=docProps/custom.xml><?xml version="1.0" encoding="utf-8"?>
<Properties xmlns="http://schemas.openxmlformats.org/officeDocument/2006/custom-properties" xmlns:vt="http://schemas.openxmlformats.org/officeDocument/2006/docPropsVTypes"/>
</file>