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PRINCIPAIS GARGALOS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Atribuição: não há conexão clara entre campanha, canal e resultado final do cliente.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Dados internos: os resultados chegam por e-mail, sem estrutura suficiente para análise detalhada.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Separação entre BUs: Leilão e Venda Direta ainda precisam ser tratados de forma mais clara e independente.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WhatsApp: é hoje uma métrica relevante para Venda Direta, mas ainda funciona como caixa preta. Não há clareza sobre origem, qualidade da conversa ou desdobramento posterior.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Site/jornada: a experiência é confusa, especialmente em Venda Direta. Também há limitações de tracking, como etapas de cadastro sem mudança de URL.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Confiança: alguns links e fluxos podem gerar insegurança no usuário, especialmente quando não parecem claramente vinculados à Copart.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CRM e conteúdo: surgiram sinais de que mídia sozinha não resolve o problema. As próximas conversas com CRM, SEO e conteúdo serão essenciais para entender continuidade de jornada, segmentação e comunicação.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OPORTUNIDADES IMEDIATAS</w:t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Transformar taxa de habilitação em métrica central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de entrantes e habilitados, é necessário acompanhar taxa de habilitação. Essa métrica ajuda a defender qualidade de tráfego e não apenas volume.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Taxa de habilitação = habilitados / entrantes.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Evidenciar o saneamento de mídia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o que foi encontrado, o que foi reduzido e o que foi reorganizado: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Antes: campanhas fragmentadas, segmentações dispersas e promessas desalinhadas.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Depois: estrutura mais enxuta, foco em qualidade e maior aderência ao objetivo de negócio.</w:t>
      </w:r>
    </w:p>
    <w:p w:rsidR="00000000" w:rsidDel="00000000" w:rsidP="00000000" w:rsidRDefault="00000000" w:rsidRPr="00000000" w14:paraId="00000012">
      <w:pPr>
        <w:keepNext w:val="0"/>
        <w:keepLines w:val="0"/>
        <w:spacing w:before="2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Separar Leilão e Venda Direta nas análises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duas frentes têm metas, jornadas e indicadores diferentes. Devem aparecer separadas desde o Documento V1.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Formalizar o problema de atribuição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Atribuição deve ser tratada como prioridade do diagnóstico.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central: </w:t>
      </w:r>
      <w:r w:rsidDel="00000000" w:rsidR="00000000" w:rsidRPr="00000000">
        <w:rPr>
          <w:rtl w:val="0"/>
        </w:rPr>
        <w:t xml:space="preserve">Como conectar campanha, canal e origem aos indicadores finais da Copart?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Mapear a jornada de Venda Direta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frente tem potencial, mas hoje ainda é limitada por baixo inventário, experiência confusa e baixa visibilidade do WhatsApp.</w:t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6. Revisar pontos de confiança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Links, CTAs e jornadas que pareçam pouco confiáveis devem ser mapeados como potenciais barreiras de conversão.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