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6E463A5F" w:rsidR="00E027B2" w:rsidRDefault="00E027B2" w:rsidP="00E027B2">
      <w:pPr>
        <w:ind w:left="340" w:hanging="340"/>
      </w:pPr>
      <w:r>
        <w:rPr>
          <w:b/>
          <w:bCs/>
        </w:rPr>
        <w:t xml:space="preserve">Focus: </w:t>
      </w:r>
      <w:r>
        <w:t>Making it calculate the results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bool armorClass[20];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r>
              <w:rPr>
                <w:rFonts w:ascii="Consolas" w:hAnsi="Consolas"/>
              </w:rPr>
              <w:t>unitHealth</w:t>
            </w:r>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rangedDamage;</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lastRenderedPageBreak/>
              <w:t>int standardDamage;</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int unitAge;</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int pointValue;</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int garrisonValue;</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int unitQuantity;</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923"/>
        <w:gridCol w:w="5381"/>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3"/>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4"/>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3"/>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3"/>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3"/>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3"/>
          </w:tcPr>
          <w:p w14:paraId="01563D6A" w14:textId="50002C99" w:rsidR="00EA53EF" w:rsidRDefault="00EA53EF" w:rsidP="000F35DB">
            <w:r>
              <w:t>View developer guide button</w:t>
            </w:r>
          </w:p>
        </w:tc>
      </w:tr>
      <w:tr w:rsidR="00863CA5" w14:paraId="6CB6148F" w14:textId="77777777" w:rsidTr="00D471C8">
        <w:tc>
          <w:tcPr>
            <w:tcW w:w="10762" w:type="dxa"/>
            <w:gridSpan w:val="4"/>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3"/>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3"/>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3"/>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3"/>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3"/>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r w:rsidR="00C377D3" w:rsidRPr="00C377D3">
              <w:t>Macchu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3"/>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3"/>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3"/>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3"/>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4"/>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3"/>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3"/>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4"/>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33721921" w:rsidR="00507084" w:rsidRDefault="00911FC3" w:rsidP="000F35DB">
                <w:r>
                  <w:rPr>
                    <w:rFonts w:ascii="MS Gothic" w:eastAsia="MS Gothic" w:hAnsi="MS Gothic" w:hint="eastAsia"/>
                  </w:rPr>
                  <w:t>☐</w:t>
                </w:r>
              </w:p>
            </w:tc>
          </w:sdtContent>
        </w:sdt>
        <w:tc>
          <w:tcPr>
            <w:tcW w:w="8280" w:type="dxa"/>
            <w:gridSpan w:val="3"/>
          </w:tcPr>
          <w:p w14:paraId="52C82BA4" w14:textId="56E9E294" w:rsidR="001E5443" w:rsidRDefault="00046F8A" w:rsidP="000F35DB">
            <w:r>
              <w:t>Supplying variables with answers the user provides. Was using std::cin for this. Perhaps we’d need to use a popup if we’re using QT framework</w:t>
            </w:r>
            <w:r w:rsidR="00FC274D">
              <w:t xml:space="preserve">. </w:t>
            </w:r>
            <w:r w:rsidR="004E10FB">
              <w:t>The QInputDialog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4"/>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3"/>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4"/>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3"/>
          </w:tcPr>
          <w:p w14:paraId="70AFE1A5" w14:textId="3B02958A" w:rsidR="000F35DB" w:rsidRDefault="00507084" w:rsidP="000F35DB">
            <w:r>
              <w:t>Writing std::cout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3"/>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3"/>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4"/>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3"/>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3"/>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4"/>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3"/>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3"/>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4"/>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3"/>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4"/>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gridSpan w:val="2"/>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gridSpan w:val="2"/>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gridSpan w:val="2"/>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gridSpan w:val="2"/>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4"/>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3"/>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3"/>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3"/>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824510" w:rsidRPr="00D519C5" w14:paraId="7F5F3F9F" w14:textId="77777777" w:rsidTr="00F52080">
        <w:trPr>
          <w:trHeight w:val="79"/>
        </w:trPr>
        <w:tc>
          <w:tcPr>
            <w:tcW w:w="10762" w:type="dxa"/>
            <w:gridSpan w:val="4"/>
          </w:tcPr>
          <w:p w14:paraId="20AF47B9" w14:textId="2F2867A5" w:rsidR="00824510" w:rsidRDefault="00824510" w:rsidP="00B81BAE">
            <w:pPr>
              <w:rPr>
                <w:b/>
                <w:bCs/>
              </w:rPr>
            </w:pPr>
            <w:r>
              <w:rPr>
                <w:b/>
                <w:bCs/>
              </w:rPr>
              <w:t>Fixing bizarre problems (if possible)</w:t>
            </w:r>
          </w:p>
        </w:tc>
      </w:tr>
      <w:tr w:rsidR="00824510" w:rsidRPr="00D519C5" w14:paraId="436C50B0" w14:textId="77777777" w:rsidTr="00B96C9E">
        <w:trPr>
          <w:trHeight w:val="79"/>
        </w:trPr>
        <w:sdt>
          <w:sdtPr>
            <w:id w:val="1360165468"/>
            <w14:checkbox>
              <w14:checked w14:val="0"/>
              <w14:checkedState w14:val="2612" w14:font="MS Gothic"/>
              <w14:uncheckedState w14:val="2610" w14:font="MS Gothic"/>
            </w14:checkbox>
          </w:sdtPr>
          <w:sdtContent>
            <w:tc>
              <w:tcPr>
                <w:tcW w:w="5381" w:type="dxa"/>
                <w:gridSpan w:val="3"/>
              </w:tcPr>
              <w:p w14:paraId="6966DEA1" w14:textId="1C4B878F" w:rsidR="00824510" w:rsidRDefault="00F21F9C" w:rsidP="00B81BAE">
                <w:pPr>
                  <w:rPr>
                    <w:b/>
                    <w:bCs/>
                  </w:rPr>
                </w:pPr>
                <w:r>
                  <w:rPr>
                    <w:rFonts w:ascii="MS Gothic" w:eastAsia="MS Gothic" w:hAnsi="MS Gothic" w:hint="eastAsia"/>
                  </w:rPr>
                  <w:t>☐</w:t>
                </w:r>
              </w:p>
            </w:tc>
          </w:sdtContent>
        </w:sdt>
        <w:tc>
          <w:tcPr>
            <w:tcW w:w="5381" w:type="dxa"/>
          </w:tcPr>
          <w:p w14:paraId="0418B88B" w14:textId="0CFDB015" w:rsidR="00824510" w:rsidRPr="00824510" w:rsidRDefault="00824510" w:rsidP="00B81BAE">
            <w:r>
              <w:t>Menu items appearing on second monitor</w:t>
            </w:r>
          </w:p>
        </w:tc>
      </w:tr>
      <w:tr w:rsidR="00B81BAE" w:rsidRPr="00D519C5" w14:paraId="6E39492D" w14:textId="77777777" w:rsidTr="00F52080">
        <w:trPr>
          <w:trHeight w:val="79"/>
        </w:trPr>
        <w:tc>
          <w:tcPr>
            <w:tcW w:w="10762" w:type="dxa"/>
            <w:gridSpan w:val="4"/>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3"/>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4"/>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3"/>
          </w:tcPr>
          <w:p w14:paraId="475C8283" w14:textId="7A4A8937" w:rsidR="00702654" w:rsidRPr="00817E55" w:rsidRDefault="00F21F9C" w:rsidP="00B81BAE">
            <w:r w:rsidRPr="00817E55">
              <w:t>Implementing a PDF viewer for the user guide, developer guide, and developer wishlist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3"/>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3"/>
          </w:tcPr>
          <w:p w14:paraId="3F745D9A" w14:textId="342A2195" w:rsidR="00114326" w:rsidRPr="00817E55" w:rsidRDefault="00114326" w:rsidP="00B35B9D">
            <w:r w:rsidRPr="00817E55">
              <w:t>Having</w:t>
            </w:r>
            <w:r w:rsidR="00957E33" w:rsidRPr="00817E55">
              <w:t xml:space="preserve"> icons for entities, which would consist of</w:t>
            </w:r>
            <w:r w:rsidRPr="00817E55">
              <w:t xml:space="preserve"> attack animation</w:t>
            </w:r>
            <w:r w:rsidR="003C541A" w:rsidRPr="00817E55">
              <w:t xml:space="preserve"> for units / still pictures for buildings</w:t>
            </w:r>
            <w:r w:rsidRPr="00817E55">
              <w:t xml:space="preserve"> </w:t>
            </w:r>
            <w:r w:rsidR="00B57C80" w:rsidRPr="00817E55">
              <w:br/>
            </w:r>
            <w:r w:rsidR="00B57C80" w:rsidRPr="00817E55">
              <w:br/>
              <w:t>Can refer to this AoE 2 database for an example of that</w:t>
            </w:r>
            <w:r w:rsidR="00B57C80" w:rsidRPr="00817E55">
              <w:br/>
            </w:r>
            <w:hyperlink r:id="rId13" w:history="1">
              <w:r w:rsidR="00D00F43" w:rsidRPr="00817E55">
                <w:rPr>
                  <w:rStyle w:val="Hyperlink"/>
                </w:rPr>
                <w:t>https://www.aoe2database.com/unit/129/-1/en</w:t>
              </w:r>
            </w:hyperlink>
            <w:r w:rsidR="00D00F43" w:rsidRPr="00817E55">
              <w:br/>
            </w:r>
            <w:hyperlink r:id="rId14" w:history="1">
              <w:r w:rsidR="00D00F43" w:rsidRPr="00817E55">
                <w:rPr>
                  <w:rStyle w:val="Hyperlink"/>
                </w:rPr>
                <w:t>https://www.aoe2database.com/building/7/-1/en</w:t>
              </w:r>
            </w:hyperlink>
            <w:r w:rsidR="00D00F43" w:rsidRPr="00817E55">
              <w:br/>
            </w:r>
            <w:r w:rsidR="00B57C80" w:rsidRPr="00817E55">
              <w:br/>
            </w:r>
            <w:r w:rsidR="00B57C80" w:rsidRPr="00817E55">
              <w:br/>
              <w:t>Wouldn’t want it to rotate, however</w:t>
            </w:r>
            <w:r w:rsidR="0010717B">
              <w:br/>
            </w:r>
            <w:r w:rsidR="0010717B">
              <w:br/>
              <w:t>(partially done)</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3"/>
          </w:tcPr>
          <w:p w14:paraId="1BF20FFD" w14:textId="4CB5D45A" w:rsidR="001C13AE" w:rsidRPr="00817E55" w:rsidRDefault="001C13AE" w:rsidP="00B35B9D">
            <w:r w:rsidRPr="00817E55">
              <w:t>Having icons for the technologies</w:t>
            </w:r>
            <w:r w:rsidR="0048625E" w:rsidRPr="00817E55">
              <w:br/>
            </w:r>
            <w:r w:rsidR="0048625E" w:rsidRPr="00817E55">
              <w:br/>
            </w:r>
            <w:hyperlink r:id="rId15" w:history="1">
              <w:r w:rsidR="004B0C1A" w:rsidRPr="00817E55">
                <w:rPr>
                  <w:rStyle w:val="Hyperlink"/>
                </w:rPr>
                <w:t>https://www.aoe2database.com/tech/115/-1/en</w:t>
              </w:r>
            </w:hyperlink>
            <w:r w:rsidR="004B0C1A" w:rsidRPr="00817E55">
              <w:br/>
            </w:r>
          </w:p>
        </w:tc>
      </w:tr>
      <w:tr w:rsidR="00B95551" w:rsidRPr="003805A0" w14:paraId="6725E980" w14:textId="77777777" w:rsidTr="00114326">
        <w:trPr>
          <w:trHeight w:val="79"/>
        </w:trPr>
        <w:sdt>
          <w:sdtPr>
            <w:id w:val="-583449198"/>
            <w14:checkbox>
              <w14:checked w14:val="0"/>
              <w14:checkedState w14:val="2612" w14:font="MS Gothic"/>
              <w14:uncheckedState w14:val="2610" w14:font="MS Gothic"/>
            </w14:checkbox>
          </w:sdtPr>
          <w:sdtContent>
            <w:tc>
              <w:tcPr>
                <w:tcW w:w="2482" w:type="dxa"/>
              </w:tcPr>
              <w:p w14:paraId="14A5505F" w14:textId="2277F6D9" w:rsidR="00B95551" w:rsidRPr="00817E55" w:rsidRDefault="00B95551" w:rsidP="00B35B9D">
                <w:r w:rsidRPr="00817E55">
                  <w:rPr>
                    <w:rFonts w:ascii="MS Gothic" w:eastAsia="MS Gothic" w:hAnsi="MS Gothic" w:hint="eastAsia"/>
                  </w:rPr>
                  <w:t>☐</w:t>
                </w:r>
              </w:p>
            </w:tc>
          </w:sdtContent>
        </w:sdt>
        <w:tc>
          <w:tcPr>
            <w:tcW w:w="8280" w:type="dxa"/>
            <w:gridSpan w:val="3"/>
          </w:tcPr>
          <w:p w14:paraId="25090C34" w14:textId="704C51AE"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r w:rsidR="004A338A">
              <w:br/>
            </w:r>
            <w:r w:rsidR="004A338A">
              <w:br/>
              <w:t>(Done quite poorly IMO)</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3"/>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E0958" w:rsidRDefault="00911FC3" w:rsidP="00B35B9D">
                <w:r>
                  <w:rPr>
                    <w:rFonts w:ascii="MS Gothic" w:eastAsia="MS Gothic" w:hAnsi="MS Gothic" w:hint="eastAsia"/>
                  </w:rPr>
                  <w:t>☒</w:t>
                </w:r>
              </w:p>
            </w:tc>
          </w:sdtContent>
        </w:sdt>
        <w:tc>
          <w:tcPr>
            <w:tcW w:w="8280" w:type="dxa"/>
            <w:gridSpan w:val="3"/>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E0958" w:rsidRDefault="00911FC3" w:rsidP="00B35B9D">
                <w:r>
                  <w:rPr>
                    <w:rFonts w:ascii="MS Gothic" w:eastAsia="MS Gothic" w:hAnsi="MS Gothic" w:hint="eastAsia"/>
                  </w:rPr>
                  <w:t>☒</w:t>
                </w:r>
              </w:p>
            </w:tc>
          </w:sdtContent>
        </w:sdt>
        <w:tc>
          <w:tcPr>
            <w:tcW w:w="8280" w:type="dxa"/>
            <w:gridSpan w:val="3"/>
          </w:tcPr>
          <w:p w14:paraId="33C87C0A" w14:textId="25E9229B" w:rsidR="000E0958" w:rsidRDefault="000E0958" w:rsidP="003845E6">
            <w:r>
              <w:t>Having an option to automatically set whether a player is converting or healing</w:t>
            </w:r>
          </w:p>
        </w:tc>
      </w:tr>
      <w:tr w:rsidR="009E45BB"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9E45BB" w:rsidRDefault="009E45BB" w:rsidP="00B35B9D">
                <w:r>
                  <w:rPr>
                    <w:rFonts w:ascii="MS Gothic" w:eastAsia="MS Gothic" w:hAnsi="MS Gothic" w:hint="eastAsia"/>
                  </w:rPr>
                  <w:t>☒</w:t>
                </w:r>
              </w:p>
            </w:tc>
          </w:sdtContent>
        </w:sdt>
        <w:tc>
          <w:tcPr>
            <w:tcW w:w="8280" w:type="dxa"/>
            <w:gridSpan w:val="3"/>
          </w:tcPr>
          <w:p w14:paraId="48621244" w14:textId="1AB90CB8" w:rsidR="009E45BB" w:rsidRDefault="009E45BB" w:rsidP="003845E6">
            <w:r>
              <w:t>Making it so it doesn’t ask if player will retreat if opposing entity has died</w:t>
            </w:r>
          </w:p>
        </w:tc>
      </w:tr>
      <w:tr w:rsidR="009E45BB"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9E45BB" w:rsidRDefault="009E45BB" w:rsidP="00B35B9D">
                <w:r>
                  <w:rPr>
                    <w:rFonts w:ascii="MS Gothic" w:eastAsia="MS Gothic" w:hAnsi="MS Gothic" w:hint="eastAsia"/>
                  </w:rPr>
                  <w:t>☒</w:t>
                </w:r>
              </w:p>
            </w:tc>
          </w:sdtContent>
        </w:sdt>
        <w:tc>
          <w:tcPr>
            <w:tcW w:w="8280" w:type="dxa"/>
            <w:gridSpan w:val="3"/>
          </w:tcPr>
          <w:p w14:paraId="181E7A73" w14:textId="2D17AF12" w:rsidR="009E45BB" w:rsidRDefault="009E45BB" w:rsidP="003845E6">
            <w:r>
              <w:t>Making it so it doesn’t ask if player will retreat if building vs building battle</w:t>
            </w:r>
          </w:p>
        </w:tc>
      </w:tr>
      <w:tr w:rsidR="009E45BB"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9E45BB" w:rsidRDefault="004A338A" w:rsidP="00B35B9D">
                <w:r>
                  <w:rPr>
                    <w:rFonts w:ascii="MS Gothic" w:eastAsia="MS Gothic" w:hAnsi="MS Gothic" w:hint="eastAsia"/>
                  </w:rPr>
                  <w:t>☒</w:t>
                </w:r>
              </w:p>
            </w:tc>
          </w:sdtContent>
        </w:sdt>
        <w:tc>
          <w:tcPr>
            <w:tcW w:w="8280" w:type="dxa"/>
            <w:gridSpan w:val="3"/>
          </w:tcPr>
          <w:p w14:paraId="47F78380" w14:textId="7A0D2741" w:rsidR="009E45BB" w:rsidRDefault="009E45BB" w:rsidP="003845E6">
            <w:r>
              <w:t>Making it so archer round of combat only applies to buildings</w:t>
            </w:r>
          </w:p>
        </w:tc>
      </w:tr>
      <w:tr w:rsidR="009E45BB" w:rsidRPr="003805A0" w14:paraId="390D2B07" w14:textId="77777777" w:rsidTr="00114326">
        <w:trPr>
          <w:trHeight w:val="79"/>
        </w:trPr>
        <w:sdt>
          <w:sdtPr>
            <w:id w:val="-1111128088"/>
            <w14:checkbox>
              <w14:checked w14:val="0"/>
              <w14:checkedState w14:val="2612" w14:font="MS Gothic"/>
              <w14:uncheckedState w14:val="2610" w14:font="MS Gothic"/>
            </w14:checkbox>
          </w:sdtPr>
          <w:sdtContent>
            <w:tc>
              <w:tcPr>
                <w:tcW w:w="2482" w:type="dxa"/>
              </w:tcPr>
              <w:p w14:paraId="30AEE1A4" w14:textId="108E6324" w:rsidR="009E45BB" w:rsidRDefault="009E45BB" w:rsidP="00B35B9D">
                <w:r w:rsidRPr="00817E55">
                  <w:rPr>
                    <w:rFonts w:ascii="MS Gothic" w:eastAsia="MS Gothic" w:hAnsi="MS Gothic" w:hint="eastAsia"/>
                  </w:rPr>
                  <w:t>☐</w:t>
                </w:r>
              </w:p>
            </w:tc>
          </w:sdtContent>
        </w:sdt>
        <w:tc>
          <w:tcPr>
            <w:tcW w:w="8280" w:type="dxa"/>
            <w:gridSpan w:val="3"/>
          </w:tcPr>
          <w:p w14:paraId="40132207" w14:textId="28DBAFFB" w:rsidR="009E45BB" w:rsidRDefault="009E45BB" w:rsidP="003845E6">
            <w:r>
              <w:t>Making it so if archer retreats in a hit and run attack (vs non-cavalry), it doesn’t show the first round of combat</w:t>
            </w:r>
          </w:p>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619AF294" w14:textId="32A98584" w:rsidR="00DD44E6" w:rsidRDefault="00DD44E6" w:rsidP="004B562F">
      <w:pPr>
        <w:rPr>
          <w:b/>
          <w:bCs/>
        </w:rPr>
      </w:pPr>
      <w:r>
        <w:rPr>
          <w:b/>
          <w:bCs/>
        </w:rPr>
        <w:t>References:</w:t>
      </w:r>
    </w:p>
    <w:p w14:paraId="766CF078" w14:textId="13C79107" w:rsidR="00DD44E6" w:rsidRPr="00DD44E6" w:rsidRDefault="00DD44E6" w:rsidP="004C7E2C">
      <w:pPr>
        <w:ind w:left="340" w:hanging="340"/>
      </w:pPr>
      <w:r>
        <w:t>Chapter 7 of “Learn QT 5”</w:t>
      </w:r>
      <w:r w:rsidR="006D1DFA">
        <w:t>. Opting to use this one first as it talks about using SQLLite</w:t>
      </w:r>
    </w:p>
    <w:p w14:paraId="2342B9EB" w14:textId="7E743569" w:rsidR="004C7E2C" w:rsidRDefault="00000000" w:rsidP="004C7E2C">
      <w:pPr>
        <w:ind w:left="340" w:hanging="340"/>
      </w:pPr>
      <w:hyperlink r:id="rId16" w:history="1">
        <w:r w:rsidR="008970B5" w:rsidRPr="00640FC9">
          <w:rPr>
            <w:rStyle w:val="Hyperlink"/>
          </w:rPr>
          <w:t>https://doc.qt.io/qt-6/qtsql-index.html</w:t>
        </w:r>
      </w:hyperlink>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0"/>
              <w14:checkedState w14:val="2612" w14:font="MS Gothic"/>
              <w14:uncheckedState w14:val="2610" w14:font="MS Gothic"/>
            </w14:checkbox>
          </w:sdtPr>
          <w:sdtContent>
            <w:tc>
              <w:tcPr>
                <w:tcW w:w="5381" w:type="dxa"/>
              </w:tcPr>
              <w:p w14:paraId="1373A5A8" w14:textId="64DAF66B" w:rsidR="004C7E2C" w:rsidRDefault="004C7E2C" w:rsidP="00182F36">
                <w:r>
                  <w:rPr>
                    <w:rFonts w:ascii="MS Gothic" w:eastAsia="MS Gothic" w:hAnsi="MS Gothic" w:hint="eastAsia"/>
                  </w:rPr>
                  <w:t>☐</w:t>
                </w:r>
              </w:p>
            </w:tc>
          </w:sdtContent>
        </w:sdt>
        <w:tc>
          <w:tcPr>
            <w:tcW w:w="5381" w:type="dxa"/>
          </w:tcPr>
          <w:p w14:paraId="56A6CF7C" w14:textId="5F35D74F" w:rsidR="004C7E2C" w:rsidRDefault="004C7E2C" w:rsidP="00182F36">
            <w:r>
              <w:t>Units table</w:t>
            </w:r>
          </w:p>
        </w:tc>
      </w:tr>
      <w:tr w:rsidR="004C7E2C" w14:paraId="726AA060" w14:textId="77777777" w:rsidTr="004C7E2C">
        <w:sdt>
          <w:sdtPr>
            <w:id w:val="-537284208"/>
            <w14:checkbox>
              <w14:checked w14:val="0"/>
              <w14:checkedState w14:val="2612" w14:font="MS Gothic"/>
              <w14:uncheckedState w14:val="2610" w14:font="MS Gothic"/>
            </w14:checkbox>
          </w:sdtPr>
          <w:sdtContent>
            <w:tc>
              <w:tcPr>
                <w:tcW w:w="5381" w:type="dxa"/>
              </w:tcPr>
              <w:p w14:paraId="2AA0CD42" w14:textId="2A584699" w:rsidR="004C7E2C" w:rsidRDefault="004C7E2C" w:rsidP="00182F36">
                <w:r>
                  <w:rPr>
                    <w:rFonts w:ascii="MS Gothic" w:eastAsia="MS Gothic" w:hAnsi="MS Gothic" w:hint="eastAsia"/>
                  </w:rPr>
                  <w:t>☐</w:t>
                </w:r>
              </w:p>
            </w:tc>
          </w:sdtContent>
        </w:sdt>
        <w:tc>
          <w:tcPr>
            <w:tcW w:w="5381" w:type="dxa"/>
          </w:tcPr>
          <w:p w14:paraId="75EF24FB" w14:textId="6FA1E544" w:rsidR="004C7E2C" w:rsidRDefault="004C7E2C" w:rsidP="00182F36">
            <w:r>
              <w:t>Buildings table</w:t>
            </w:r>
          </w:p>
        </w:tc>
      </w:tr>
      <w:tr w:rsidR="004C7E2C" w14:paraId="649AF7D4" w14:textId="77777777" w:rsidTr="00DC5FFE">
        <w:tc>
          <w:tcPr>
            <w:tcW w:w="10762" w:type="dxa"/>
            <w:gridSpan w:val="2"/>
          </w:tcPr>
          <w:p w14:paraId="72BD560C" w14:textId="2944EC25" w:rsidR="004C7E2C" w:rsidRPr="00B53C30" w:rsidRDefault="00B53C30" w:rsidP="00182F36">
            <w:pPr>
              <w:rPr>
                <w:b/>
                <w:bCs/>
              </w:rPr>
            </w:pPr>
            <w:r>
              <w:rPr>
                <w:b/>
                <w:bCs/>
              </w:rPr>
              <w:t>Supplying the program with this data</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4D946CD6"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41D5068" w:rsidR="00B53C30" w:rsidRPr="00B53C30" w:rsidRDefault="00B53C30" w:rsidP="00182F36">
            <w:pPr>
              <w:rPr>
                <w:b/>
                <w:bCs/>
              </w:rPr>
            </w:pPr>
            <w:r>
              <w:rPr>
                <w:b/>
                <w:bCs/>
              </w:rPr>
              <w:t>Having a developer window</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2A8A17F7" w:rsidR="00B53C30" w:rsidRDefault="00B53C30" w:rsidP="00182F36">
            <w:r>
              <w:t>Add new entities</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0BD22867" w:rsidR="00B53C30" w:rsidRDefault="00B53C30" w:rsidP="00182F36">
            <w:r>
              <w:t>Delete existing entities</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171BF73C" w:rsidR="00B53C30" w:rsidRDefault="00B53C30" w:rsidP="00182F36">
            <w:r>
              <w:t>Modify the entity values</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440FDB79" w:rsidR="00B53C30" w:rsidRDefault="00B53C30" w:rsidP="00182F36">
            <w:r>
              <w:t>View the entity values</w:t>
            </w:r>
          </w:p>
        </w:tc>
      </w:tr>
    </w:tbl>
    <w:p w14:paraId="069E4B00" w14:textId="77777777" w:rsidR="004A7DE9" w:rsidRDefault="004A7DE9" w:rsidP="004A7DE9"/>
    <w:sectPr w:rsidR="004A7DE9" w:rsidSect="00F76FC2">
      <w:headerReference w:type="default" r:id="rId17"/>
      <w:footerReference w:type="default" r:id="rId18"/>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5277B" w14:textId="77777777" w:rsidR="009E3702" w:rsidRDefault="009E3702" w:rsidP="00CB28A2">
      <w:r>
        <w:separator/>
      </w:r>
    </w:p>
  </w:endnote>
  <w:endnote w:type="continuationSeparator" w:id="0">
    <w:p w14:paraId="41ED170D" w14:textId="77777777" w:rsidR="009E3702" w:rsidRDefault="009E3702"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68BCA" w14:textId="77777777" w:rsidR="009E3702" w:rsidRDefault="009E3702" w:rsidP="00CB28A2">
      <w:r>
        <w:separator/>
      </w:r>
    </w:p>
  </w:footnote>
  <w:footnote w:type="continuationSeparator" w:id="0">
    <w:p w14:paraId="211A2C36" w14:textId="77777777" w:rsidR="009E3702" w:rsidRDefault="009E3702"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60216"/>
    <w:rsid w:val="00160B7C"/>
    <w:rsid w:val="00161763"/>
    <w:rsid w:val="0016466E"/>
    <w:rsid w:val="001667B0"/>
    <w:rsid w:val="00173F60"/>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681D"/>
    <w:rsid w:val="002307AD"/>
    <w:rsid w:val="0023366B"/>
    <w:rsid w:val="00233C3A"/>
    <w:rsid w:val="00237D0B"/>
    <w:rsid w:val="00241061"/>
    <w:rsid w:val="00244BF1"/>
    <w:rsid w:val="00261C52"/>
    <w:rsid w:val="00280D97"/>
    <w:rsid w:val="002838D4"/>
    <w:rsid w:val="00285752"/>
    <w:rsid w:val="00290104"/>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1311"/>
    <w:rsid w:val="00315984"/>
    <w:rsid w:val="00315FDC"/>
    <w:rsid w:val="00320F72"/>
    <w:rsid w:val="003210E7"/>
    <w:rsid w:val="0032471E"/>
    <w:rsid w:val="003325D1"/>
    <w:rsid w:val="0033368C"/>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534A"/>
    <w:rsid w:val="003F03A9"/>
    <w:rsid w:val="003F2EB9"/>
    <w:rsid w:val="003F433F"/>
    <w:rsid w:val="003F485D"/>
    <w:rsid w:val="003F4EAF"/>
    <w:rsid w:val="003F7D47"/>
    <w:rsid w:val="00400A3E"/>
    <w:rsid w:val="00406F65"/>
    <w:rsid w:val="0040758F"/>
    <w:rsid w:val="004228EC"/>
    <w:rsid w:val="00422D40"/>
    <w:rsid w:val="00424682"/>
    <w:rsid w:val="004325A0"/>
    <w:rsid w:val="004422C2"/>
    <w:rsid w:val="00443681"/>
    <w:rsid w:val="004508BB"/>
    <w:rsid w:val="004541EA"/>
    <w:rsid w:val="0045615A"/>
    <w:rsid w:val="0047185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70ACF"/>
    <w:rsid w:val="0067169D"/>
    <w:rsid w:val="006B11D9"/>
    <w:rsid w:val="006B7DB4"/>
    <w:rsid w:val="006C60C7"/>
    <w:rsid w:val="006C675E"/>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604C"/>
    <w:rsid w:val="00733975"/>
    <w:rsid w:val="00734B1C"/>
    <w:rsid w:val="00735C52"/>
    <w:rsid w:val="007375F3"/>
    <w:rsid w:val="00740813"/>
    <w:rsid w:val="00743AB7"/>
    <w:rsid w:val="00744CE6"/>
    <w:rsid w:val="0075332C"/>
    <w:rsid w:val="00754373"/>
    <w:rsid w:val="00756A5D"/>
    <w:rsid w:val="00772CFE"/>
    <w:rsid w:val="00775021"/>
    <w:rsid w:val="00781134"/>
    <w:rsid w:val="007876BD"/>
    <w:rsid w:val="00790891"/>
    <w:rsid w:val="007A15A7"/>
    <w:rsid w:val="007A3299"/>
    <w:rsid w:val="007A78E5"/>
    <w:rsid w:val="007B3D7F"/>
    <w:rsid w:val="007C07FA"/>
    <w:rsid w:val="007C104A"/>
    <w:rsid w:val="007C31AC"/>
    <w:rsid w:val="007D018C"/>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A2E84"/>
    <w:rsid w:val="009A7EC4"/>
    <w:rsid w:val="009B3267"/>
    <w:rsid w:val="009B5371"/>
    <w:rsid w:val="009D00F8"/>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62B1"/>
    <w:rsid w:val="00B12B1B"/>
    <w:rsid w:val="00B22A77"/>
    <w:rsid w:val="00B242E8"/>
    <w:rsid w:val="00B24D61"/>
    <w:rsid w:val="00B32BEC"/>
    <w:rsid w:val="00B35F77"/>
    <w:rsid w:val="00B36056"/>
    <w:rsid w:val="00B40DEB"/>
    <w:rsid w:val="00B4162B"/>
    <w:rsid w:val="00B42A59"/>
    <w:rsid w:val="00B42F6D"/>
    <w:rsid w:val="00B43746"/>
    <w:rsid w:val="00B45F4F"/>
    <w:rsid w:val="00B53C30"/>
    <w:rsid w:val="00B55836"/>
    <w:rsid w:val="00B57C80"/>
    <w:rsid w:val="00B63A05"/>
    <w:rsid w:val="00B73C19"/>
    <w:rsid w:val="00B77A46"/>
    <w:rsid w:val="00B81BAE"/>
    <w:rsid w:val="00B95551"/>
    <w:rsid w:val="00B979E1"/>
    <w:rsid w:val="00BA035A"/>
    <w:rsid w:val="00BA3CCD"/>
    <w:rsid w:val="00BA7382"/>
    <w:rsid w:val="00BB0DA2"/>
    <w:rsid w:val="00BB1BB9"/>
    <w:rsid w:val="00BB254A"/>
    <w:rsid w:val="00BC0AA2"/>
    <w:rsid w:val="00BC2867"/>
    <w:rsid w:val="00BC3E41"/>
    <w:rsid w:val="00BC6AF1"/>
    <w:rsid w:val="00BE219B"/>
    <w:rsid w:val="00BE3DCB"/>
    <w:rsid w:val="00BF148E"/>
    <w:rsid w:val="00BF698E"/>
    <w:rsid w:val="00C009F8"/>
    <w:rsid w:val="00C02529"/>
    <w:rsid w:val="00C0394C"/>
    <w:rsid w:val="00C050E1"/>
    <w:rsid w:val="00C065B9"/>
    <w:rsid w:val="00C07288"/>
    <w:rsid w:val="00C139DC"/>
    <w:rsid w:val="00C217DB"/>
    <w:rsid w:val="00C24C0B"/>
    <w:rsid w:val="00C377D3"/>
    <w:rsid w:val="00C40D89"/>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5D4A"/>
    <w:rsid w:val="00CF1CB6"/>
    <w:rsid w:val="00CF577A"/>
    <w:rsid w:val="00CF67E1"/>
    <w:rsid w:val="00D00F43"/>
    <w:rsid w:val="00D02A81"/>
    <w:rsid w:val="00D13E4D"/>
    <w:rsid w:val="00D156E8"/>
    <w:rsid w:val="00D1781A"/>
    <w:rsid w:val="00D21648"/>
    <w:rsid w:val="00D23322"/>
    <w:rsid w:val="00D306C4"/>
    <w:rsid w:val="00D3079D"/>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5B5B"/>
    <w:rsid w:val="00F20D02"/>
    <w:rsid w:val="00F21939"/>
    <w:rsid w:val="00F21F9C"/>
    <w:rsid w:val="00F36B9B"/>
    <w:rsid w:val="00F453EE"/>
    <w:rsid w:val="00F50333"/>
    <w:rsid w:val="00F52DB1"/>
    <w:rsid w:val="00F52F65"/>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unit/129/-1/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qt.io/qt-6/qtsql-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hyperlink" Target="https://www.aoe2database.com/tech/115/-1/en" TargetMode="External"/><Relationship Id="rId10" Type="http://schemas.openxmlformats.org/officeDocument/2006/relationships/hyperlink" Target="https://www.walletfox.com/course/qtcheckablelist.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oe2database.com/building/7/-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9</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138</cp:revision>
  <dcterms:created xsi:type="dcterms:W3CDTF">2023-09-19T06:36:00Z</dcterms:created>
  <dcterms:modified xsi:type="dcterms:W3CDTF">2023-10-28T17:12:00Z</dcterms:modified>
</cp:coreProperties>
</file>