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Supplying variables with answers the user provides. Was using std::cin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std::cout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1"/>
              <w14:checkedState w14:val="2612" w14:font="MS Gothic"/>
              <w14:uncheckedState w14:val="2610" w14:font="MS Gothic"/>
            </w14:checkbox>
          </w:sdtPr>
          <w:sdtContent>
            <w:tc>
              <w:tcPr>
                <w:tcW w:w="2482" w:type="dxa"/>
              </w:tcPr>
              <w:p w14:paraId="6FC4B6B7" w14:textId="11114A51" w:rsidR="00065519" w:rsidRDefault="00744829" w:rsidP="000F35DB">
                <w:r>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5747916" w:rsidR="00065519" w:rsidRDefault="00065519" w:rsidP="00065519">
            <w:pPr>
              <w:jc w:val="left"/>
            </w:pPr>
            <w:r>
              <w:t>Reference for architecture:</w:t>
            </w:r>
            <w:r>
              <w:br/>
            </w:r>
            <w:r w:rsidRPr="00BC10BC">
              <w:t>https://ageofempires.fandom.com/wiki/Architecture_set_(Age_of_Empires_II)</w:t>
            </w:r>
            <w:r>
              <w:br/>
            </w:r>
            <w:r>
              <w:br/>
              <w:t>(</w:t>
            </w:r>
            <w:r w:rsidR="00744829">
              <w:t>Pretty much</w:t>
            </w:r>
            <w:r>
              <w:t xml:space="preserve"> done)</w:t>
            </w:r>
          </w:p>
        </w:tc>
      </w:tr>
      <w:tr w:rsidR="00065519" w14:paraId="4EF6BAEC" w14:textId="77777777" w:rsidTr="005E56EF">
        <w:trPr>
          <w:trHeight w:val="79"/>
        </w:trPr>
        <w:sdt>
          <w:sdtPr>
            <w:id w:val="-723901866"/>
            <w14:checkbox>
              <w14:checked w14:val="1"/>
              <w14:checkedState w14:val="2612" w14:font="MS Gothic"/>
              <w14:uncheckedState w14:val="2610" w14:font="MS Gothic"/>
            </w14:checkbox>
          </w:sdtPr>
          <w:sdtContent>
            <w:tc>
              <w:tcPr>
                <w:tcW w:w="2482" w:type="dxa"/>
              </w:tcPr>
              <w:p w14:paraId="33FCF331" w14:textId="2166654A" w:rsidR="00065519" w:rsidRDefault="00C84606" w:rsidP="000F35DB">
                <w:r>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E5448" w14:paraId="7FD54C3F" w14:textId="77777777" w:rsidTr="005E56EF">
        <w:trPr>
          <w:trHeight w:val="79"/>
        </w:trPr>
        <w:sdt>
          <w:sdtPr>
            <w:id w:val="1418441754"/>
            <w14:checkbox>
              <w14:checked w14:val="0"/>
              <w14:checkedState w14:val="2612" w14:font="MS Gothic"/>
              <w14:uncheckedState w14:val="2610" w14:font="MS Gothic"/>
            </w14:checkbox>
          </w:sdtPr>
          <w:sdtContent>
            <w:tc>
              <w:tcPr>
                <w:tcW w:w="2482" w:type="dxa"/>
              </w:tcPr>
              <w:p w14:paraId="6F6AE5DA" w14:textId="5284552A" w:rsidR="003E5448" w:rsidRDefault="003E5448" w:rsidP="000F35DB">
                <w:r>
                  <w:rPr>
                    <w:rFonts w:ascii="MS Gothic" w:eastAsia="MS Gothic" w:hAnsi="MS Gothic" w:hint="eastAsia"/>
                  </w:rPr>
                  <w:t>☐</w:t>
                </w:r>
              </w:p>
            </w:tc>
          </w:sdtContent>
        </w:sdt>
        <w:tc>
          <w:tcPr>
            <w:tcW w:w="8280" w:type="dxa"/>
            <w:gridSpan w:val="2"/>
          </w:tcPr>
          <w:p w14:paraId="7300C6BE" w14:textId="70906D2C" w:rsidR="003E5448" w:rsidRPr="00817E55" w:rsidRDefault="003E5448" w:rsidP="00065519">
            <w:r>
              <w:t>Having icons for the units and build</w:t>
            </w:r>
            <w:r w:rsidR="00475936">
              <w:t>ings</w:t>
            </w:r>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lastRenderedPageBreak/>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r w:rsidRPr="00C377D3">
              <w:t>Macchu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1"/>
              <w14:checkedState w14:val="2612" w14:font="MS Gothic"/>
              <w14:uncheckedState w14:val="2610" w14:font="MS Gothic"/>
            </w14:checkbox>
          </w:sdtPr>
          <w:sdtContent>
            <w:tc>
              <w:tcPr>
                <w:tcW w:w="2482" w:type="dxa"/>
              </w:tcPr>
              <w:p w14:paraId="51936E07" w14:textId="2B771EA4" w:rsidR="005E56EF" w:rsidRDefault="00C84606" w:rsidP="00065519">
                <w:r>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r>
            <w:r>
              <w:lastRenderedPageBreak/>
              <w:t>(Problem with standardRoundsCombat function. isRetreating is an empty string for some reason). Should check rules before making this change</w:t>
            </w:r>
          </w:p>
        </w:tc>
      </w:tr>
      <w:tr w:rsidR="00065519" w:rsidRPr="003805A0" w14:paraId="13A525CD" w14:textId="77777777" w:rsidTr="005E56EF">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065519" w:rsidRDefault="00065519" w:rsidP="00065519">
                <w:r w:rsidRPr="00817E55">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1"/>
              <w14:checkedState w14:val="2612" w14:font="MS Gothic"/>
              <w14:uncheckedState w14:val="2610" w14:font="MS Gothic"/>
            </w14:checkbox>
          </w:sdtPr>
          <w:sdtContent>
            <w:tc>
              <w:tcPr>
                <w:tcW w:w="2482" w:type="dxa"/>
              </w:tcPr>
              <w:p w14:paraId="60C77650" w14:textId="582F5EA2" w:rsidR="005E56EF" w:rsidRDefault="00600D92" w:rsidP="00065519">
                <w:r>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Should only ask this question if p1 actually has a assisting monk</w:t>
            </w:r>
          </w:p>
          <w:p w14:paraId="5F12C04A" w14:textId="665C9A38" w:rsidR="005E56EF" w:rsidRDefault="005E56EF" w:rsidP="005E56EF">
            <w:r>
              <w:t>Otherwise it should default to no</w:t>
            </w:r>
          </w:p>
        </w:tc>
      </w:tr>
      <w:tr w:rsidR="005E56EF" w:rsidRPr="003805A0" w14:paraId="6D45B03E" w14:textId="77777777" w:rsidTr="005E56EF">
        <w:trPr>
          <w:trHeight w:val="79"/>
        </w:trPr>
        <w:sdt>
          <w:sdtPr>
            <w:id w:val="187873088"/>
            <w14:checkbox>
              <w14:checked w14:val="0"/>
              <w14:checkedState w14:val="2612" w14:font="MS Gothic"/>
              <w14:uncheckedState w14:val="2610" w14:font="MS Gothic"/>
            </w14:checkbox>
          </w:sdtPr>
          <w:sdtContent>
            <w:tc>
              <w:tcPr>
                <w:tcW w:w="2482" w:type="dxa"/>
              </w:tcPr>
              <w:p w14:paraId="403B00A0" w14:textId="34FA996D" w:rsidR="005E56EF" w:rsidRDefault="005E56EF" w:rsidP="00065519">
                <w:r w:rsidRPr="00817E55">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1"/>
              <w14:checkedState w14:val="2612" w14:font="MS Gothic"/>
              <w14:uncheckedState w14:val="2610" w14:font="MS Gothic"/>
            </w14:checkbox>
          </w:sdtPr>
          <w:sdtContent>
            <w:tc>
              <w:tcPr>
                <w:tcW w:w="2482" w:type="dxa"/>
              </w:tcPr>
              <w:p w14:paraId="25873688" w14:textId="13F334B2" w:rsidR="005E56EF" w:rsidRDefault="008302A7" w:rsidP="00065519">
                <w:r>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0"/>
              <w14:checkedState w14:val="2612" w14:font="MS Gothic"/>
              <w14:uncheckedState w14:val="2610" w14:font="MS Gothic"/>
            </w14:checkbox>
          </w:sdtPr>
          <w:sdtContent>
            <w:tc>
              <w:tcPr>
                <w:tcW w:w="2482" w:type="dxa"/>
              </w:tcPr>
              <w:p w14:paraId="3A3D757F" w14:textId="0B0DDCF6" w:rsidR="005E56EF" w:rsidRDefault="005E56EF" w:rsidP="00065519">
                <w:r w:rsidRPr="00817E55">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1"/>
              <w14:checkedState w14:val="2612" w14:font="MS Gothic"/>
              <w14:uncheckedState w14:val="2610" w14:font="MS Gothic"/>
            </w14:checkbox>
          </w:sdtPr>
          <w:sdtContent>
            <w:tc>
              <w:tcPr>
                <w:tcW w:w="2482" w:type="dxa"/>
              </w:tcPr>
              <w:p w14:paraId="542501D9" w14:textId="78FA8844" w:rsidR="005E56EF" w:rsidRDefault="00C84606" w:rsidP="00065519">
                <w:r>
                  <w:rPr>
                    <w:rFonts w:ascii="MS Gothic" w:eastAsia="MS Gothic" w:hAnsi="MS Gothic" w:hint="eastAsia"/>
                  </w:rPr>
                  <w:t>☒</w:t>
                </w:r>
              </w:p>
            </w:tc>
          </w:sdtContent>
        </w:sdt>
        <w:tc>
          <w:tcPr>
            <w:tcW w:w="8280" w:type="dxa"/>
            <w:gridSpan w:val="2"/>
          </w:tcPr>
          <w:p w14:paraId="33E33EBA" w14:textId="77777777"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p w14:paraId="4425C3A4" w14:textId="77777777" w:rsidR="00C84606" w:rsidRDefault="00C84606" w:rsidP="00065519"/>
          <w:p w14:paraId="66AE60F6" w14:textId="77777777" w:rsidR="00C84606" w:rsidRDefault="00C84606" w:rsidP="00065519"/>
          <w:p w14:paraId="4ACAB27B" w14:textId="77777777" w:rsidR="00C84606" w:rsidRDefault="00C84606" w:rsidP="00C84606">
            <w:pPr>
              <w:spacing w:after="160" w:line="259" w:lineRule="auto"/>
              <w:contextualSpacing w:val="0"/>
              <w:jc w:val="left"/>
            </w:pPr>
            <w:r>
              <w:t>Three possibilities:</w:t>
            </w:r>
          </w:p>
          <w:p w14:paraId="5D2DEEDA" w14:textId="77777777" w:rsidR="00C84606" w:rsidRDefault="00C84606" w:rsidP="00C84606">
            <w:pPr>
              <w:spacing w:after="160" w:line="259" w:lineRule="auto"/>
              <w:contextualSpacing w:val="0"/>
              <w:jc w:val="left"/>
            </w:pPr>
            <w:r>
              <w:tab/>
              <w:t xml:space="preserve"> * Both target monks</w:t>
            </w:r>
          </w:p>
          <w:p w14:paraId="4630F6B0" w14:textId="77777777" w:rsidR="00C84606" w:rsidRDefault="00C84606" w:rsidP="00C84606">
            <w:pPr>
              <w:spacing w:after="160" w:line="259" w:lineRule="auto"/>
              <w:contextualSpacing w:val="0"/>
              <w:jc w:val="left"/>
            </w:pPr>
            <w:r>
              <w:t xml:space="preserve">         * One targets monks, the other doesn't </w:t>
            </w:r>
          </w:p>
          <w:p w14:paraId="5F74A171" w14:textId="77777777" w:rsidR="00C84606" w:rsidRDefault="00C84606" w:rsidP="00C84606">
            <w:pPr>
              <w:spacing w:after="160" w:line="259" w:lineRule="auto"/>
              <w:contextualSpacing w:val="0"/>
              <w:jc w:val="left"/>
            </w:pPr>
          </w:p>
          <w:p w14:paraId="18624E49" w14:textId="77777777" w:rsidR="00C84606" w:rsidRDefault="00C84606" w:rsidP="00C84606">
            <w:pPr>
              <w:spacing w:after="160" w:line="259" w:lineRule="auto"/>
              <w:contextualSpacing w:val="0"/>
              <w:jc w:val="left"/>
            </w:pPr>
            <w:r>
              <w:t xml:space="preserve">Render results of player 1 and 2 calculations for monk, ranged, standard rounds </w:t>
            </w:r>
          </w:p>
          <w:p w14:paraId="0E61FF05" w14:textId="77777777" w:rsidR="00C84606" w:rsidRDefault="00C84606" w:rsidP="00C84606">
            <w:pPr>
              <w:spacing w:after="160" w:line="259" w:lineRule="auto"/>
              <w:contextualSpacing w:val="0"/>
              <w:jc w:val="left"/>
            </w:pPr>
            <w:r>
              <w:t>ineffective under a certain condition</w:t>
            </w:r>
          </w:p>
          <w:p w14:paraId="608114A4" w14:textId="77777777" w:rsidR="00C84606" w:rsidRDefault="00C84606" w:rsidP="00C84606">
            <w:pPr>
              <w:spacing w:after="160" w:line="259" w:lineRule="auto"/>
              <w:contextualSpacing w:val="0"/>
              <w:jc w:val="left"/>
            </w:pPr>
          </w:p>
          <w:p w14:paraId="5301CFC3" w14:textId="77777777" w:rsidR="00C84606" w:rsidRDefault="00C84606" w:rsidP="00C84606">
            <w:pPr>
              <w:spacing w:after="160" w:line="259" w:lineRule="auto"/>
              <w:contextualSpacing w:val="0"/>
              <w:jc w:val="left"/>
            </w:pPr>
            <w:r>
              <w:tab/>
              <w:t>* Both don't target monks</w:t>
            </w:r>
          </w:p>
          <w:p w14:paraId="078C532B" w14:textId="77777777" w:rsidR="00C84606" w:rsidRDefault="00C84606" w:rsidP="00C84606">
            <w:pPr>
              <w:spacing w:after="160" w:line="259" w:lineRule="auto"/>
              <w:contextualSpacing w:val="0"/>
              <w:jc w:val="left"/>
            </w:pPr>
          </w:p>
          <w:p w14:paraId="2D5F5E9B" w14:textId="77777777" w:rsidR="00C84606" w:rsidRDefault="00C84606" w:rsidP="00C84606">
            <w:pPr>
              <w:spacing w:after="160" w:line="259" w:lineRule="auto"/>
              <w:contextualSpacing w:val="0"/>
              <w:jc w:val="left"/>
            </w:pPr>
            <w:r>
              <w:t>Handle both of them</w:t>
            </w:r>
          </w:p>
          <w:p w14:paraId="2AC4B3A8" w14:textId="6FA1B675" w:rsidR="00C84606" w:rsidRDefault="00C84606" w:rsidP="00065519"/>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Testing the QT version of the program 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Seeing if it works on MacOS</w:t>
            </w:r>
          </w:p>
        </w:tc>
      </w:tr>
    </w:tbl>
    <w:p w14:paraId="6023726A" w14:textId="77777777" w:rsidR="005E56EF" w:rsidRDefault="005E56EF" w:rsidP="005936AB">
      <w:pPr>
        <w:pStyle w:val="Heading5"/>
      </w:pPr>
    </w:p>
    <w:p w14:paraId="15B6FC8B" w14:textId="77777777" w:rsidR="00FD0C32" w:rsidRDefault="00FD0C32">
      <w:pPr>
        <w:spacing w:after="160" w:line="259" w:lineRule="auto"/>
        <w:contextualSpacing w:val="0"/>
        <w:jc w:val="left"/>
      </w:pPr>
    </w:p>
    <w:p w14:paraId="2BFEAF93" w14:textId="77777777" w:rsidR="00FD0C32" w:rsidRDefault="00FD0C32">
      <w:pPr>
        <w:spacing w:after="160" w:line="259" w:lineRule="auto"/>
        <w:contextualSpacing w:val="0"/>
        <w:jc w:val="left"/>
      </w:pPr>
    </w:p>
    <w:p w14:paraId="4718C2C8" w14:textId="77777777" w:rsidR="00FD0C32" w:rsidRDefault="00FD0C32">
      <w:pPr>
        <w:spacing w:after="160" w:line="259" w:lineRule="auto"/>
        <w:contextualSpacing w:val="0"/>
        <w:jc w:val="left"/>
      </w:pPr>
    </w:p>
    <w:p w14:paraId="2D4DACC2" w14:textId="77777777" w:rsidR="00FD0C32" w:rsidRDefault="00FD0C32">
      <w:pPr>
        <w:spacing w:after="160" w:line="259" w:lineRule="auto"/>
        <w:contextualSpacing w:val="0"/>
        <w:jc w:val="left"/>
      </w:pPr>
    </w:p>
    <w:p w14:paraId="70C0EFDA" w14:textId="1BF551BE"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7D2ECA">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B4C1" w14:textId="77777777" w:rsidR="007D2ECA" w:rsidRDefault="007D2ECA" w:rsidP="00CB28A2">
      <w:r>
        <w:separator/>
      </w:r>
    </w:p>
  </w:endnote>
  <w:endnote w:type="continuationSeparator" w:id="0">
    <w:p w14:paraId="569A18F6" w14:textId="77777777" w:rsidR="007D2ECA" w:rsidRDefault="007D2ECA"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1846" w14:textId="77777777" w:rsidR="007D2ECA" w:rsidRDefault="007D2ECA" w:rsidP="00CB28A2">
      <w:r>
        <w:separator/>
      </w:r>
    </w:p>
  </w:footnote>
  <w:footnote w:type="continuationSeparator" w:id="0">
    <w:p w14:paraId="50CB5749" w14:textId="77777777" w:rsidR="007D2ECA" w:rsidRDefault="007D2ECA"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AoE ECG – Developer’s wishlist</w:t>
    </w:r>
    <w:r w:rsidR="008D7ADB">
      <w:tab/>
    </w:r>
    <w:r w:rsidR="00964E55">
      <w:t>Written</w:t>
    </w:r>
    <w:r w:rsidR="008D7ADB">
      <w:t xml:space="preserve"> by 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AC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E5448"/>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75936"/>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56EF"/>
    <w:rsid w:val="005E6D07"/>
    <w:rsid w:val="005F2983"/>
    <w:rsid w:val="005F3561"/>
    <w:rsid w:val="005F37F9"/>
    <w:rsid w:val="005F6095"/>
    <w:rsid w:val="005F63AD"/>
    <w:rsid w:val="005F7C11"/>
    <w:rsid w:val="00600D92"/>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829"/>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D2ECA"/>
    <w:rsid w:val="007E0B86"/>
    <w:rsid w:val="007E36BF"/>
    <w:rsid w:val="007E61FD"/>
    <w:rsid w:val="007F2AF7"/>
    <w:rsid w:val="00801E89"/>
    <w:rsid w:val="00805120"/>
    <w:rsid w:val="00805358"/>
    <w:rsid w:val="008161A3"/>
    <w:rsid w:val="00817E55"/>
    <w:rsid w:val="00820ECB"/>
    <w:rsid w:val="00824510"/>
    <w:rsid w:val="008302A7"/>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4348"/>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4606"/>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0C32"/>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181</cp:revision>
  <dcterms:created xsi:type="dcterms:W3CDTF">2023-09-19T06:36:00Z</dcterms:created>
  <dcterms:modified xsi:type="dcterms:W3CDTF">2024-02-21T08:50:00Z</dcterms:modified>
</cp:coreProperties>
</file>