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459C8" w14:textId="77777777" w:rsidR="00573382" w:rsidRDefault="000606D9">
      <w:pPr>
        <w:jc w:val="center"/>
        <w:rPr>
          <w:sz w:val="36"/>
          <w:szCs w:val="36"/>
        </w:rPr>
      </w:pPr>
      <w:r>
        <w:rPr>
          <w:sz w:val="40"/>
          <w:szCs w:val="40"/>
        </w:rPr>
        <w:t>Izvješće</w:t>
      </w:r>
    </w:p>
    <w:p w14:paraId="33F511C4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Uvod</w:t>
      </w:r>
    </w:p>
    <w:p w14:paraId="5BB76A50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Izvješće pokriva opis aktivnosti projektnog zadatka, dobivene rezultate, naše komentare, zaključke te popis izvora.</w:t>
      </w:r>
    </w:p>
    <w:p w14:paraId="26765E4C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projektnog zadatka</w:t>
      </w:r>
    </w:p>
    <w:p w14:paraId="260C5E48" w14:textId="42900F71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Projektni zadatak je bio usporediti točnost </w:t>
      </w:r>
      <w:r w:rsidR="00174EDA" w:rsidRPr="00174EDA">
        <w:rPr>
          <w:sz w:val="28"/>
          <w:szCs w:val="28"/>
        </w:rPr>
        <w:t>arhitekture ResNet-18</w:t>
      </w:r>
      <w:r>
        <w:rPr>
          <w:sz w:val="28"/>
          <w:szCs w:val="28"/>
        </w:rPr>
        <w:t xml:space="preserve"> naspram klasične </w:t>
      </w:r>
      <w:r w:rsidR="00A7028E" w:rsidRPr="00A7028E">
        <w:rPr>
          <w:sz w:val="28"/>
          <w:szCs w:val="28"/>
        </w:rPr>
        <w:t>konvolucijske arhitekture</w:t>
      </w:r>
      <w:r>
        <w:rPr>
          <w:sz w:val="28"/>
          <w:szCs w:val="28"/>
        </w:rPr>
        <w:t xml:space="preserve"> pri treniranju nad CIFAR i MNIST skupom podataka. Glavna razlika između ovih mrežnih arhitektura je postojanje </w:t>
      </w:r>
      <w:r w:rsidR="00A7028E" w:rsidRPr="00A7028E">
        <w:rPr>
          <w:sz w:val="28"/>
          <w:szCs w:val="28"/>
        </w:rPr>
        <w:t>rezidualnih preskočnih veza</w:t>
      </w:r>
      <w:r w:rsidR="00A702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između slojeva. Njihova uloga je da u sljedeći sloj prenose </w:t>
      </w:r>
      <w:r w:rsidR="00666155" w:rsidRPr="00666155">
        <w:rPr>
          <w:sz w:val="28"/>
          <w:szCs w:val="28"/>
        </w:rPr>
        <w:t>ulaz</w:t>
      </w:r>
      <w:r>
        <w:rPr>
          <w:sz w:val="28"/>
          <w:szCs w:val="28"/>
        </w:rPr>
        <w:t xml:space="preserve"> trenutnog sloja, koji nije bio transformiran prolaskom kroz sloj. Proveli smo treniranje </w:t>
      </w:r>
      <w:r w:rsidR="0003653E">
        <w:rPr>
          <w:sz w:val="28"/>
          <w:szCs w:val="28"/>
        </w:rPr>
        <w:t xml:space="preserve">modela </w:t>
      </w:r>
      <w:r>
        <w:rPr>
          <w:sz w:val="28"/>
          <w:szCs w:val="28"/>
        </w:rPr>
        <w:t xml:space="preserve">ResNet-18 </w:t>
      </w:r>
      <w:r w:rsidR="0003653E">
        <w:rPr>
          <w:sz w:val="28"/>
          <w:szCs w:val="28"/>
        </w:rPr>
        <w:t xml:space="preserve">i konvolucijskog modela </w:t>
      </w:r>
      <w:r>
        <w:rPr>
          <w:sz w:val="28"/>
          <w:szCs w:val="28"/>
        </w:rPr>
        <w:t xml:space="preserve">s različitim </w:t>
      </w:r>
      <w:r w:rsidR="00746D1D" w:rsidRPr="00746D1D">
        <w:rPr>
          <w:sz w:val="28"/>
          <w:szCs w:val="28"/>
        </w:rPr>
        <w:t>optimizatorima</w:t>
      </w:r>
      <w:r>
        <w:rPr>
          <w:sz w:val="28"/>
          <w:szCs w:val="28"/>
        </w:rPr>
        <w:t xml:space="preserve"> (adam, </w:t>
      </w:r>
      <w:r w:rsidR="00746D1D" w:rsidRPr="00746D1D">
        <w:rPr>
          <w:sz w:val="28"/>
          <w:szCs w:val="28"/>
        </w:rPr>
        <w:t>stohastički gradijentni skup</w:t>
      </w:r>
      <w:r>
        <w:rPr>
          <w:sz w:val="28"/>
          <w:szCs w:val="28"/>
        </w:rPr>
        <w:t>) te različi</w:t>
      </w:r>
      <w:r w:rsidR="00B67FD7">
        <w:rPr>
          <w:sz w:val="28"/>
          <w:szCs w:val="28"/>
        </w:rPr>
        <w:t>tim</w:t>
      </w:r>
      <w:r>
        <w:rPr>
          <w:sz w:val="28"/>
          <w:szCs w:val="28"/>
        </w:rPr>
        <w:t xml:space="preserve"> </w:t>
      </w:r>
      <w:r w:rsidR="00B67FD7">
        <w:rPr>
          <w:sz w:val="28"/>
          <w:szCs w:val="28"/>
        </w:rPr>
        <w:t>veličinama</w:t>
      </w:r>
      <w:r w:rsidR="003A34D2" w:rsidRPr="003A34D2">
        <w:rPr>
          <w:sz w:val="28"/>
          <w:szCs w:val="28"/>
        </w:rPr>
        <w:t xml:space="preserve"> grupe</w:t>
      </w:r>
      <w:r>
        <w:rPr>
          <w:sz w:val="28"/>
          <w:szCs w:val="28"/>
        </w:rPr>
        <w:t xml:space="preserve"> (128, 512) da saznamo kako ta dva koncepta utječu na njenu točnost. </w:t>
      </w:r>
      <w:r w:rsidR="00C717F7">
        <w:rPr>
          <w:sz w:val="28"/>
          <w:szCs w:val="28"/>
        </w:rPr>
        <w:t>Model smo učili kroz 30 epoha i vrednovali</w:t>
      </w:r>
      <w:r>
        <w:rPr>
          <w:sz w:val="28"/>
          <w:szCs w:val="28"/>
        </w:rPr>
        <w:t xml:space="preserve"> na nezavisnom skupu.</w:t>
      </w:r>
    </w:p>
    <w:p w14:paraId="4389AD5F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Dobiveni rezultati</w:t>
      </w:r>
    </w:p>
    <w:tbl>
      <w:tblPr>
        <w:tblStyle w:val="TableGrid"/>
        <w:tblW w:w="9747" w:type="dxa"/>
        <w:tblInd w:w="-459" w:type="dxa"/>
        <w:tblLook w:val="04A0" w:firstRow="1" w:lastRow="0" w:firstColumn="1" w:lastColumn="0" w:noHBand="0" w:noVBand="1"/>
      </w:tblPr>
      <w:tblGrid>
        <w:gridCol w:w="573"/>
        <w:gridCol w:w="1695"/>
        <w:gridCol w:w="1869"/>
        <w:gridCol w:w="1870"/>
        <w:gridCol w:w="1870"/>
        <w:gridCol w:w="1870"/>
      </w:tblGrid>
      <w:tr w:rsidR="0095453B" w14:paraId="52FAB81F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5CB7F" w14:textId="77777777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left w:val="single" w:sz="4" w:space="0" w:color="auto"/>
              <w:right w:val="nil"/>
            </w:tcBorders>
          </w:tcPr>
          <w:p w14:paraId="13CCFEB7" w14:textId="0DCB1F8B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479" w:type="dxa"/>
            <w:gridSpan w:val="4"/>
          </w:tcPr>
          <w:p w14:paraId="3A5466DB" w14:textId="77777777" w:rsidR="00E84A5B" w:rsidRDefault="00E84A5B">
            <w:pPr>
              <w:tabs>
                <w:tab w:val="left" w:pos="2820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Točnost</w:t>
            </w:r>
          </w:p>
        </w:tc>
      </w:tr>
      <w:tr w:rsidR="0095453B" w14:paraId="3EAF67B3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EA49D" w14:textId="77777777" w:rsidR="00E84A5B" w:rsidRDefault="00E84A5B">
            <w:pPr>
              <w:spacing w:after="0" w:line="240" w:lineRule="auto"/>
              <w:rPr>
                <w:color w:val="2A6099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777671EC" w14:textId="36207B70" w:rsidR="00E84A5B" w:rsidRDefault="00EE64D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optimizator</w:t>
            </w:r>
          </w:p>
        </w:tc>
        <w:tc>
          <w:tcPr>
            <w:tcW w:w="3739" w:type="dxa"/>
            <w:gridSpan w:val="2"/>
            <w:tcBorders>
              <w:top w:val="nil"/>
              <w:right w:val="nil"/>
            </w:tcBorders>
          </w:tcPr>
          <w:p w14:paraId="15FD63D2" w14:textId="542E166A" w:rsidR="00E84A5B" w:rsidRDefault="00E451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45181">
              <w:rPr>
                <w:color w:val="2A6099"/>
                <w:sz w:val="28"/>
                <w:szCs w:val="28"/>
              </w:rPr>
              <w:t>stohastički gradijentni skup</w:t>
            </w:r>
          </w:p>
        </w:tc>
        <w:tc>
          <w:tcPr>
            <w:tcW w:w="3740" w:type="dxa"/>
            <w:gridSpan w:val="2"/>
            <w:tcBorders>
              <w:top w:val="nil"/>
            </w:tcBorders>
          </w:tcPr>
          <w:p w14:paraId="34EB372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 xml:space="preserve">Adam </w:t>
            </w:r>
          </w:p>
        </w:tc>
      </w:tr>
      <w:tr w:rsidR="0095453B" w14:paraId="479C3E91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F1691" w14:textId="77777777" w:rsidR="00E84A5B" w:rsidRDefault="00E84A5B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6A2A0F06" w14:textId="372F8C52" w:rsidR="00E84A5B" w:rsidRDefault="00EE64DE" w:rsidP="001B14B3">
            <w:pPr>
              <w:spacing w:after="0" w:line="240" w:lineRule="auto"/>
              <w:rPr>
                <w:sz w:val="28"/>
                <w:szCs w:val="28"/>
              </w:rPr>
            </w:pPr>
            <w:r w:rsidRPr="00EE64DE">
              <w:rPr>
                <w:color w:val="FF0000"/>
                <w:sz w:val="28"/>
                <w:szCs w:val="28"/>
              </w:rPr>
              <w:t>veličina grupe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6A8F4094" w14:textId="77777777" w:rsidR="00E84A5B" w:rsidRDefault="00E84A5B" w:rsidP="001B14B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14AD611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A722B02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70" w:type="dxa"/>
            <w:tcBorders>
              <w:top w:val="nil"/>
            </w:tcBorders>
          </w:tcPr>
          <w:p w14:paraId="68E8D76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</w:tr>
      <w:tr w:rsidR="0095453B" w14:paraId="02594EE5" w14:textId="77777777" w:rsidTr="0095453B">
        <w:trPr>
          <w:trHeight w:val="361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14:paraId="4EBC6BA5" w14:textId="5F2572D5" w:rsidR="00E84A5B" w:rsidRDefault="00E84A5B" w:rsidP="00E84A5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ResNet-18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50192AB3" w14:textId="37518DDF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train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7087EFB0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94.236%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2A032AE6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94.684%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6918C0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96.804%</w:t>
            </w:r>
          </w:p>
        </w:tc>
        <w:tc>
          <w:tcPr>
            <w:tcW w:w="1870" w:type="dxa"/>
            <w:tcBorders>
              <w:top w:val="nil"/>
            </w:tcBorders>
          </w:tcPr>
          <w:p w14:paraId="28B6A80A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96.666%</w:t>
            </w:r>
          </w:p>
        </w:tc>
      </w:tr>
      <w:tr w:rsidR="0095453B" w14:paraId="3C4D4EE6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CB9B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373450B4" w14:textId="2D7A654B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6D08D4FE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88.820%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06E00FAF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88.010%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CC6665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90.630%</w:t>
            </w:r>
          </w:p>
        </w:tc>
        <w:tc>
          <w:tcPr>
            <w:tcW w:w="1870" w:type="dxa"/>
            <w:tcBorders>
              <w:top w:val="nil"/>
            </w:tcBorders>
          </w:tcPr>
          <w:p w14:paraId="4251198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88.190%</w:t>
            </w:r>
          </w:p>
        </w:tc>
      </w:tr>
      <w:tr w:rsidR="0095453B" w14:paraId="2124DBD3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D5503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7CD894E2" w14:textId="736BDF95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train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1BD49F4F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99.417%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46F06141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99.458%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0ECFE65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99.287%</w:t>
            </w:r>
          </w:p>
        </w:tc>
        <w:tc>
          <w:tcPr>
            <w:tcW w:w="1870" w:type="dxa"/>
            <w:tcBorders>
              <w:top w:val="nil"/>
            </w:tcBorders>
          </w:tcPr>
          <w:p w14:paraId="58C538E7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99.312%</w:t>
            </w:r>
          </w:p>
        </w:tc>
      </w:tr>
      <w:tr w:rsidR="0095453B" w14:paraId="410FCB0F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C0D00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11E254" w14:textId="59630D8F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69" w:type="dxa"/>
            <w:tcBorders>
              <w:top w:val="nil"/>
              <w:bottom w:val="single" w:sz="4" w:space="0" w:color="auto"/>
              <w:right w:val="nil"/>
            </w:tcBorders>
          </w:tcPr>
          <w:p w14:paraId="2F247E9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98.960%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  <w:right w:val="nil"/>
            </w:tcBorders>
          </w:tcPr>
          <w:p w14:paraId="26194B09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98.670%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  <w:right w:val="nil"/>
            </w:tcBorders>
          </w:tcPr>
          <w:p w14:paraId="33606C7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99.260%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</w:tcBorders>
          </w:tcPr>
          <w:p w14:paraId="152ED78C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98.210%</w:t>
            </w:r>
          </w:p>
        </w:tc>
      </w:tr>
      <w:tr w:rsidR="0095453B" w14:paraId="281662FC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1B9A8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915BF" w14:textId="115BA1FA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426F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79ED4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527B3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00BB19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B3F26" w14:paraId="37E4E382" w14:textId="77777777" w:rsidTr="0095453B">
        <w:trPr>
          <w:trHeight w:val="361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14:paraId="6D1B5AC1" w14:textId="0624465A" w:rsidR="002B3F26" w:rsidRDefault="002B3F26" w:rsidP="002B3F26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1C1E4" w14:textId="69442630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train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17F875" w14:textId="64E0B05B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76.556%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A375ED" w14:textId="30A9423B" w:rsidR="002B3F26" w:rsidRDefault="00537D3F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</w:t>
            </w:r>
            <w:r w:rsidR="003B0A9D">
              <w:rPr>
                <w:sz w:val="28"/>
                <w:szCs w:val="28"/>
              </w:rPr>
              <w:t>550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EFBB45" w14:textId="452D3BFD" w:rsidR="002B3F26" w:rsidRDefault="00E417B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74.738%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BF02C6C" w14:textId="49955354" w:rsidR="002B3F26" w:rsidRDefault="0077698D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72.674%</w:t>
            </w:r>
          </w:p>
        </w:tc>
      </w:tr>
      <w:tr w:rsidR="002B3F26" w14:paraId="581B7A09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B9539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EB1E8" w14:textId="7679FD2A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5BD76A" w14:textId="0C89935B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76.710%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63D7F2" w14:textId="5FC8AE0C" w:rsidR="002B3F26" w:rsidRDefault="00537D3F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</w:t>
            </w:r>
            <w:r w:rsidR="003B0A9D">
              <w:rPr>
                <w:sz w:val="28"/>
                <w:szCs w:val="28"/>
              </w:rPr>
              <w:t>920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6041F7" w14:textId="2C9382DE" w:rsidR="002B3F26" w:rsidRDefault="00E417B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73.990%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BCFA5E1" w14:textId="0106F8DF" w:rsidR="002B3F26" w:rsidRDefault="0077698D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72.010%</w:t>
            </w:r>
          </w:p>
        </w:tc>
      </w:tr>
      <w:tr w:rsidR="002B3F26" w14:paraId="7639B892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86E67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17718" w14:textId="40F22C85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train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828E51" w14:textId="37E63C50" w:rsidR="002B3F26" w:rsidRDefault="008F0D1E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98.735%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59A6E8E" w14:textId="06499DE5" w:rsidR="002B3F26" w:rsidRDefault="00B45D2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98.240%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8FE8BF" w14:textId="4BC5AE5A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98.553%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BE0B2D6" w14:textId="39E0F5CD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98.035%</w:t>
            </w:r>
          </w:p>
        </w:tc>
      </w:tr>
      <w:tr w:rsidR="002B3F26" w14:paraId="7C9AC689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1EA90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AC991D" w14:textId="25A2B253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7AA3EF" w14:textId="5CFD54C8" w:rsidR="002B3F26" w:rsidRDefault="008F0D1E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98.420%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EFDCB7" w14:textId="780C3D77" w:rsidR="002B3F26" w:rsidRDefault="00B45D2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98.490%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F350F7" w14:textId="395A01C0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98.510%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975F091" w14:textId="474FFBA0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98.330%</w:t>
            </w:r>
          </w:p>
        </w:tc>
      </w:tr>
    </w:tbl>
    <w:p w14:paraId="15EDD6F1" w14:textId="77777777" w:rsidR="00573382" w:rsidRDefault="00573382">
      <w:pPr>
        <w:rPr>
          <w:sz w:val="28"/>
          <w:szCs w:val="28"/>
        </w:rPr>
      </w:pPr>
    </w:p>
    <w:p w14:paraId="605BA2E2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Komentari rezultata</w:t>
      </w:r>
    </w:p>
    <w:p w14:paraId="36848EF2" w14:textId="142CB408" w:rsidR="00573382" w:rsidRDefault="00022D93">
      <w:pPr>
        <w:rPr>
          <w:sz w:val="28"/>
          <w:szCs w:val="28"/>
        </w:rPr>
      </w:pPr>
      <w:r>
        <w:rPr>
          <w:sz w:val="28"/>
          <w:szCs w:val="28"/>
        </w:rPr>
        <w:t>Uočili smo razlike</w:t>
      </w:r>
      <w:r w:rsidR="000606D9">
        <w:rPr>
          <w:sz w:val="28"/>
          <w:szCs w:val="28"/>
        </w:rPr>
        <w:t xml:space="preserve"> u točnosti mreže ovisno o skupu podataka. Točnost je veća nad skupom MNIST, nego nad skupom CIFAR. Smatramo da svaki skup </w:t>
      </w:r>
      <w:r w:rsidR="000606D9">
        <w:rPr>
          <w:sz w:val="28"/>
          <w:szCs w:val="28"/>
        </w:rPr>
        <w:lastRenderedPageBreak/>
        <w:t xml:space="preserve">podataka daje drugačiji </w:t>
      </w:r>
      <w:r w:rsidRPr="00022D93">
        <w:rPr>
          <w:sz w:val="28"/>
          <w:szCs w:val="28"/>
        </w:rPr>
        <w:t>visokodimenzionalni krajolik gubitka</w:t>
      </w:r>
      <w:r>
        <w:rPr>
          <w:sz w:val="28"/>
          <w:szCs w:val="28"/>
        </w:rPr>
        <w:t xml:space="preserve"> </w:t>
      </w:r>
      <w:r w:rsidR="000606D9">
        <w:rPr>
          <w:sz w:val="28"/>
          <w:szCs w:val="28"/>
        </w:rPr>
        <w:t>koji utječe na traženje globalnog minimuma</w:t>
      </w:r>
      <w:r w:rsidR="00C426D3">
        <w:rPr>
          <w:sz w:val="28"/>
          <w:szCs w:val="28"/>
        </w:rPr>
        <w:t xml:space="preserve"> funkcije</w:t>
      </w:r>
      <w:r w:rsidR="000606D9">
        <w:rPr>
          <w:sz w:val="28"/>
          <w:szCs w:val="28"/>
        </w:rPr>
        <w:t xml:space="preserve">. Pretpostavljamo da skup podataka MNIST daje „pogodniji oblik“ za </w:t>
      </w:r>
      <w:r w:rsidR="005507F9">
        <w:rPr>
          <w:sz w:val="28"/>
          <w:szCs w:val="28"/>
        </w:rPr>
        <w:t>mreže</w:t>
      </w:r>
      <w:r w:rsidR="000606D9">
        <w:rPr>
          <w:sz w:val="28"/>
          <w:szCs w:val="28"/>
        </w:rPr>
        <w:t>.  Također, vidimo golim okom da je MNIST, skup koji prikazuje brojke, puno lakše raspoznati nego što je to u slučaju CIFAR-a koji prikazuje neke složenije objekte.</w:t>
      </w:r>
    </w:p>
    <w:p w14:paraId="166CA166" w14:textId="14F70283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Za skup CIFAR (vrijedi i za SGD i za Adam) primjećujemo malo veću točnost nad test</w:t>
      </w:r>
      <w:r w:rsidR="00380EDF">
        <w:rPr>
          <w:sz w:val="28"/>
          <w:szCs w:val="28"/>
        </w:rPr>
        <w:t>nim skupom kad koristimo veličinu grupe</w:t>
      </w:r>
      <w:r w:rsidR="003C5202">
        <w:rPr>
          <w:sz w:val="28"/>
          <w:szCs w:val="28"/>
        </w:rPr>
        <w:t xml:space="preserve"> 128 u odnosu n</w:t>
      </w:r>
      <w:r w:rsidR="001B14B3">
        <w:rPr>
          <w:sz w:val="28"/>
          <w:szCs w:val="28"/>
        </w:rPr>
        <w:t>a 512 (+0.81 p.b. sa SGD, +2.44</w:t>
      </w:r>
      <w:r w:rsidR="003C5202">
        <w:rPr>
          <w:sz w:val="28"/>
          <w:szCs w:val="28"/>
        </w:rPr>
        <w:t xml:space="preserve"> p.b.</w:t>
      </w:r>
      <w:r>
        <w:rPr>
          <w:sz w:val="28"/>
          <w:szCs w:val="28"/>
        </w:rPr>
        <w:t xml:space="preserve"> s Adam). Za MNIST također primjećujemo bolju točnost na testnom skupu ko</w:t>
      </w:r>
      <w:r w:rsidR="00DD42C8">
        <w:rPr>
          <w:sz w:val="28"/>
          <w:szCs w:val="28"/>
        </w:rPr>
        <w:t xml:space="preserve">rištenjem </w:t>
      </w:r>
      <w:r w:rsidR="00624D11">
        <w:rPr>
          <w:sz w:val="28"/>
          <w:szCs w:val="28"/>
        </w:rPr>
        <w:t>veličine grupe</w:t>
      </w:r>
      <w:r w:rsidR="00DD42C8">
        <w:rPr>
          <w:sz w:val="28"/>
          <w:szCs w:val="28"/>
        </w:rPr>
        <w:t xml:space="preserve"> 128 (+0.29 p.b., +0.95 p.b.</w:t>
      </w:r>
      <w:r>
        <w:rPr>
          <w:sz w:val="28"/>
          <w:szCs w:val="28"/>
        </w:rPr>
        <w:t xml:space="preserve">). Iz priloženog vidimo značajnu razliku, te možemo komentirati da je veća točnost nad podacima koje nismo učili (testni skup) kada koristimo </w:t>
      </w:r>
      <w:r w:rsidR="00052E4C">
        <w:rPr>
          <w:sz w:val="28"/>
          <w:szCs w:val="28"/>
        </w:rPr>
        <w:t>veličinu grupe</w:t>
      </w:r>
      <w:r>
        <w:rPr>
          <w:sz w:val="28"/>
          <w:szCs w:val="28"/>
        </w:rPr>
        <w:t xml:space="preserve"> 128. Razlog leži u tome što </w:t>
      </w:r>
      <w:r>
        <w:rPr>
          <w:color w:val="000000"/>
          <w:sz w:val="28"/>
          <w:szCs w:val="28"/>
        </w:rPr>
        <w:t>m</w:t>
      </w:r>
      <w:r w:rsidR="00165633">
        <w:rPr>
          <w:rFonts w:ascii="Calibri" w:hAnsi="Calibri"/>
          <w:color w:val="000000"/>
          <w:sz w:val="28"/>
          <w:szCs w:val="28"/>
        </w:rPr>
        <w:t>anja grupa</w:t>
      </w:r>
      <w:r>
        <w:rPr>
          <w:rFonts w:ascii="Calibri" w:hAnsi="Calibri"/>
          <w:color w:val="000000"/>
          <w:sz w:val="28"/>
          <w:szCs w:val="28"/>
        </w:rPr>
        <w:t xml:space="preserve"> više šumi i tako ne dozvoljava modelu da se prenauči</w:t>
      </w:r>
      <w:r>
        <w:rPr>
          <w:rFonts w:ascii="Segoe UI Web (East European);Se" w:hAnsi="Segoe UI Web (East European);Se"/>
          <w:color w:val="201F1E"/>
          <w:sz w:val="28"/>
          <w:szCs w:val="28"/>
        </w:rPr>
        <w:t>.</w:t>
      </w:r>
    </w:p>
    <w:p w14:paraId="60788478" w14:textId="563B35B3" w:rsidR="00573382" w:rsidRDefault="000606D9">
      <w:pPr>
        <w:rPr>
          <w:sz w:val="28"/>
          <w:szCs w:val="28"/>
        </w:rPr>
      </w:pPr>
      <w:r>
        <w:rPr>
          <w:rFonts w:ascii="Calibri" w:hAnsi="Calibri"/>
          <w:color w:val="201F1E"/>
          <w:sz w:val="28"/>
          <w:szCs w:val="28"/>
        </w:rPr>
        <w:t xml:space="preserve">Nadalje, </w:t>
      </w:r>
      <w:r w:rsidR="003B0A9D">
        <w:rPr>
          <w:rFonts w:ascii="Calibri" w:hAnsi="Calibri"/>
          <w:color w:val="201F1E"/>
          <w:sz w:val="28"/>
          <w:szCs w:val="28"/>
        </w:rPr>
        <w:t xml:space="preserve">s ResNet-18, </w:t>
      </w:r>
      <w:r>
        <w:rPr>
          <w:rFonts w:ascii="Calibri" w:hAnsi="Calibri"/>
          <w:color w:val="201F1E"/>
          <w:sz w:val="28"/>
          <w:szCs w:val="28"/>
        </w:rPr>
        <w:t>nad oba skupa bolju točnost posti</w:t>
      </w:r>
      <w:r w:rsidR="00412312">
        <w:rPr>
          <w:rFonts w:ascii="Calibri" w:hAnsi="Calibri"/>
          <w:color w:val="201F1E"/>
          <w:sz w:val="28"/>
          <w:szCs w:val="28"/>
        </w:rPr>
        <w:t>žemo korištenjem Adam optimizatora</w:t>
      </w:r>
      <w:r>
        <w:rPr>
          <w:rFonts w:ascii="Calibri" w:hAnsi="Calibri"/>
          <w:color w:val="201F1E"/>
          <w:sz w:val="28"/>
          <w:szCs w:val="28"/>
        </w:rPr>
        <w:t>.</w:t>
      </w:r>
      <w:r w:rsidR="00165633">
        <w:rPr>
          <w:rFonts w:ascii="Calibri" w:hAnsi="Calibri"/>
          <w:color w:val="201F1E"/>
          <w:sz w:val="28"/>
          <w:szCs w:val="28"/>
        </w:rPr>
        <w:t xml:space="preserve"> S druge strane, s konvolucijskom </w:t>
      </w:r>
      <w:r w:rsidR="003B0A9D">
        <w:rPr>
          <w:rFonts w:ascii="Calibri" w:hAnsi="Calibri"/>
          <w:color w:val="201F1E"/>
          <w:sz w:val="28"/>
          <w:szCs w:val="28"/>
        </w:rPr>
        <w:t>arhitekturom, SGD postiže malo bo</w:t>
      </w:r>
      <w:r w:rsidR="00412312">
        <w:rPr>
          <w:rFonts w:ascii="Calibri" w:hAnsi="Calibri"/>
          <w:color w:val="201F1E"/>
          <w:sz w:val="28"/>
          <w:szCs w:val="28"/>
        </w:rPr>
        <w:t>lje rezultata od Adam optimizatora</w:t>
      </w:r>
      <w:r w:rsidR="003B0A9D">
        <w:rPr>
          <w:rFonts w:ascii="Calibri" w:hAnsi="Calibri"/>
          <w:color w:val="201F1E"/>
          <w:sz w:val="28"/>
          <w:szCs w:val="28"/>
        </w:rPr>
        <w:t>.</w:t>
      </w:r>
    </w:p>
    <w:p w14:paraId="441798DC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Zaključak</w:t>
      </w:r>
    </w:p>
    <w:p w14:paraId="5850129A" w14:textId="2C68F2B3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Bolja performansa </w:t>
      </w:r>
      <w:r w:rsidR="007731B8" w:rsidRPr="007731B8">
        <w:rPr>
          <w:sz w:val="28"/>
          <w:szCs w:val="28"/>
        </w:rPr>
        <w:t>rezidualnog modela ResNet-18 u odnosu na klasične modele</w:t>
      </w:r>
      <w:r w:rsidR="007731B8">
        <w:rPr>
          <w:sz w:val="28"/>
          <w:szCs w:val="28"/>
        </w:rPr>
        <w:t xml:space="preserve"> je posljedica postojanja preskočnih veza</w:t>
      </w:r>
      <w:r>
        <w:rPr>
          <w:sz w:val="28"/>
          <w:szCs w:val="28"/>
        </w:rPr>
        <w:t xml:space="preserve">. Njihov učinak na </w:t>
      </w:r>
      <w:r w:rsidR="00A23524">
        <w:rPr>
          <w:sz w:val="28"/>
          <w:szCs w:val="28"/>
        </w:rPr>
        <w:t>krajolik</w:t>
      </w:r>
      <w:r w:rsidR="00A23524" w:rsidRPr="00A23524">
        <w:rPr>
          <w:sz w:val="28"/>
          <w:szCs w:val="28"/>
        </w:rPr>
        <w:t xml:space="preserve"> gubitka</w:t>
      </w:r>
      <w:r w:rsidR="00A23524">
        <w:rPr>
          <w:sz w:val="28"/>
          <w:szCs w:val="28"/>
        </w:rPr>
        <w:t xml:space="preserve"> </w:t>
      </w:r>
      <w:r>
        <w:rPr>
          <w:sz w:val="28"/>
          <w:szCs w:val="28"/>
        </w:rPr>
        <w:t>neuronske mreže je vidljiv na priloženoj slici. Traženje minimuma i optimizacija funkcije gubitka je</w:t>
      </w:r>
      <w:r w:rsidR="00FD6D88">
        <w:rPr>
          <w:sz w:val="28"/>
          <w:szCs w:val="28"/>
        </w:rPr>
        <w:t xml:space="preserve"> manje zahtjevna nad glađim krajolikom gubitka</w:t>
      </w:r>
      <w:r>
        <w:rPr>
          <w:sz w:val="28"/>
          <w:szCs w:val="28"/>
        </w:rPr>
        <w:t xml:space="preserve"> i manja je vjerojatnost da završimo u nekom lokalnom minimumu.</w:t>
      </w:r>
    </w:p>
    <w:p w14:paraId="12E68041" w14:textId="77777777" w:rsidR="00573382" w:rsidRDefault="000606D9">
      <w:pPr>
        <w:jc w:val="center"/>
        <w:rPr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5D9D0170" wp14:editId="6B4D097D">
            <wp:extent cx="3463925" cy="1729740"/>
            <wp:effectExtent l="0" t="0" r="0" b="0"/>
            <wp:docPr id="1" name="Picture 1" descr="C:\Users\Rey\AppData\Local\Microsoft\Windows\INetCache\Content.Word\Screen-Shot-2018-02-26-at-10.50.5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y\AppData\Local\Microsoft\Windows\INetCache\Content.Word\Screen-Shot-2018-02-26-at-10.50.53-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2FD14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Izvori:</w:t>
      </w:r>
    </w:p>
    <w:p w14:paraId="4C43BC56" w14:textId="3B7F4490" w:rsidR="00573382" w:rsidRPr="00F16573" w:rsidRDefault="006457D5" w:rsidP="006457D5">
      <w:pPr>
        <w:rPr>
          <w:sz w:val="28"/>
          <w:szCs w:val="28"/>
        </w:rPr>
      </w:pPr>
      <w:hyperlink r:id="rId6" w:history="1">
        <w:r w:rsidRPr="00F16573">
          <w:rPr>
            <w:rStyle w:val="Hyperlink"/>
            <w:sz w:val="28"/>
            <w:szCs w:val="28"/>
          </w:rPr>
          <w:t>https://arxiv.org/abs/1512.03385</w:t>
        </w:r>
      </w:hyperlink>
    </w:p>
    <w:p w14:paraId="664AF308" w14:textId="64809E9C" w:rsidR="006457D5" w:rsidRPr="00F16573" w:rsidRDefault="006457D5" w:rsidP="006457D5">
      <w:pPr>
        <w:rPr>
          <w:sz w:val="28"/>
          <w:szCs w:val="28"/>
        </w:rPr>
      </w:pPr>
      <w:hyperlink r:id="rId7" w:history="1">
        <w:r w:rsidRPr="00F16573">
          <w:rPr>
            <w:rStyle w:val="Hyperlink"/>
            <w:sz w:val="28"/>
            <w:szCs w:val="28"/>
          </w:rPr>
          <w:t>https://arxiv.org/abs/1603.05027</w:t>
        </w:r>
      </w:hyperlink>
    </w:p>
    <w:p w14:paraId="6D7CBB9D" w14:textId="22ABEC2C" w:rsidR="006457D5" w:rsidRPr="00F16573" w:rsidRDefault="006457D5" w:rsidP="006457D5">
      <w:pPr>
        <w:rPr>
          <w:sz w:val="28"/>
          <w:szCs w:val="28"/>
        </w:rPr>
      </w:pPr>
      <w:hyperlink r:id="rId8" w:history="1">
        <w:r w:rsidRPr="00F16573">
          <w:rPr>
            <w:rStyle w:val="Hyperlink"/>
            <w:sz w:val="28"/>
            <w:szCs w:val="28"/>
          </w:rPr>
          <w:t>https://www.cs.umd.edu/~tomg/projects/landscapes/</w:t>
        </w:r>
      </w:hyperlink>
    </w:p>
    <w:p w14:paraId="12AD2D4C" w14:textId="77777777" w:rsidR="006457D5" w:rsidRDefault="006457D5" w:rsidP="006457D5">
      <w:pPr>
        <w:rPr>
          <w:sz w:val="28"/>
          <w:szCs w:val="28"/>
        </w:rPr>
      </w:pPr>
    </w:p>
    <w:sectPr w:rsidR="006457D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Web (East European);S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82"/>
    <w:rsid w:val="00022D93"/>
    <w:rsid w:val="0003653E"/>
    <w:rsid w:val="00052E4C"/>
    <w:rsid w:val="000606D9"/>
    <w:rsid w:val="00104EA0"/>
    <w:rsid w:val="00165633"/>
    <w:rsid w:val="00174EDA"/>
    <w:rsid w:val="001B14B3"/>
    <w:rsid w:val="002B3F26"/>
    <w:rsid w:val="00380EDF"/>
    <w:rsid w:val="003A34D2"/>
    <w:rsid w:val="003B0A9D"/>
    <w:rsid w:val="003C5202"/>
    <w:rsid w:val="00412312"/>
    <w:rsid w:val="00537D3F"/>
    <w:rsid w:val="005507F9"/>
    <w:rsid w:val="00573382"/>
    <w:rsid w:val="00624D11"/>
    <w:rsid w:val="006457D5"/>
    <w:rsid w:val="00666155"/>
    <w:rsid w:val="00746D1D"/>
    <w:rsid w:val="007731B8"/>
    <w:rsid w:val="0077698D"/>
    <w:rsid w:val="008F0D1E"/>
    <w:rsid w:val="0095453B"/>
    <w:rsid w:val="009B36A0"/>
    <w:rsid w:val="009D0992"/>
    <w:rsid w:val="00A23524"/>
    <w:rsid w:val="00A7028E"/>
    <w:rsid w:val="00B45D2A"/>
    <w:rsid w:val="00B67FD7"/>
    <w:rsid w:val="00C426D3"/>
    <w:rsid w:val="00C717F7"/>
    <w:rsid w:val="00DD42C8"/>
    <w:rsid w:val="00E417BA"/>
    <w:rsid w:val="00E45181"/>
    <w:rsid w:val="00E84A5B"/>
    <w:rsid w:val="00EB700D"/>
    <w:rsid w:val="00EE64DE"/>
    <w:rsid w:val="00F16573"/>
    <w:rsid w:val="00FD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52E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2E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52E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2E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md.edu/~tomg/projects/landsca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603.050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xiv.org/abs/1512.0338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</dc:creator>
  <dc:description/>
  <cp:lastModifiedBy>Rey</cp:lastModifiedBy>
  <cp:revision>59</cp:revision>
  <dcterms:created xsi:type="dcterms:W3CDTF">2021-12-10T10:10:00Z</dcterms:created>
  <dcterms:modified xsi:type="dcterms:W3CDTF">2022-01-19T20:31:00Z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