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b/>
          <w:bCs/>
        </w:rPr>
        <w:t>Documentação da Camada 2.2</w:t>
      </w:r>
    </w:p>
    <w:p>
      <w:pPr>
        <w:pStyle w:val="Subtitle"/>
        <w:jc w:val="center"/>
        <w:rPr/>
      </w:pPr>
      <w:r>
        <w:rPr/>
        <w:t>Template para especificação de informações necessárias aos testes unitários e testes de integração</w:t>
      </w:r>
    </w:p>
    <w:tbl>
      <w:tblPr>
        <w:tblStyle w:val="Table1"/>
        <w:tblW w:w="15250" w:type="dxa"/>
        <w:jc w:val="left"/>
        <w:tblInd w:w="-115" w:type="dxa"/>
        <w:tblLayout w:type="fixed"/>
        <w:tblCellMar>
          <w:top w:w="120" w:type="dxa"/>
          <w:left w:w="108" w:type="dxa"/>
          <w:bottom w:w="120" w:type="dxa"/>
          <w:right w:w="108" w:type="dxa"/>
        </w:tblCellMar>
        <w:tblLook w:val="0400"/>
      </w:tblPr>
      <w:tblGrid>
        <w:gridCol w:w="15250"/>
      </w:tblGrid>
      <w:tr>
        <w:trPr/>
        <w:tc>
          <w:tcPr>
            <w:tcW w:w="15250" w:type="dxa"/>
            <w:tcBorders>
              <w:top w:val="single" w:sz="8" w:space="0" w:color="9ECAE1"/>
              <w:left w:val="single" w:sz="8" w:space="0" w:color="9ECAE1"/>
              <w:bottom w:val="single" w:sz="8" w:space="0" w:color="9ECAE1"/>
              <w:right w:val="single" w:sz="8" w:space="0" w:color="9ECAE1"/>
            </w:tcBorders>
            <w:shd w:fill="EAF3F8" w:val="clear"/>
          </w:tcPr>
          <w:p>
            <w:pPr>
              <w:pStyle w:val="normal1"/>
              <w:rPr/>
            </w:pPr>
            <w:r>
              <w:rPr>
                <w:b/>
                <w:bCs/>
                <w:color w:val="1F4E79"/>
                <w:sz w:val="20"/>
                <w:szCs w:val="20"/>
              </w:rPr>
              <w:t>Objetivo</w:t>
            </w:r>
          </w:p>
          <w:p>
            <w:pPr>
              <w:pStyle w:val="normal1"/>
              <w:spacing w:lineRule="auto" w:line="240" w:before="0" w:after="0"/>
              <w:rPr/>
            </w:pPr>
            <w:r>
              <w:rPr>
                <w:sz w:val="19"/>
                <w:szCs w:val="19"/>
              </w:rPr>
              <w:t>Padronizar as informações de cada camada para que seja possível planejar, implementar e validar testes unitários e testes de integração,</w:t>
            </w:r>
            <w:r>
              <w:rPr/>
              <w:t xml:space="preserve"> </w:t>
            </w:r>
            <w:r>
              <w:rPr>
                <w:sz w:val="19"/>
                <w:szCs w:val="19"/>
              </w:rPr>
              <w:t>apoiando a validação ponta a ponta do sistema.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1"/>
        <w:spacing w:lineRule="auto" w:line="240" w:before="160" w:after="80"/>
        <w:rPr/>
      </w:pPr>
      <w:r>
        <w:rPr/>
        <w:t>Orientação geral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Para organizarmos a integração entre as camadas do sistema, pedimos que cada equipe responsável por uma camada preencha este modelo com as informações da sua parte.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As informações preenchidas serão usadas para dois objetivos: testar cada camada isoladamente, por meio de testes unitários, e testar a comunicação entre camadas, por meio de testes de integração.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Por isso, é importante especificar funções, entradas, saídas, formatos de dados, endpoints, dependências, cenários de sucesso, cenários de erro e critérios de verificação.</w:t>
      </w:r>
    </w:p>
    <w:p>
      <w:pPr>
        <w:pStyle w:val="Heading1"/>
        <w:spacing w:lineRule="auto" w:line="240" w:before="160" w:after="80"/>
        <w:rPr/>
      </w:pPr>
      <w:r>
        <w:rPr/>
        <w:t>1. Identificação da camada</w:t>
      </w:r>
    </w:p>
    <w:tbl>
      <w:tblPr>
        <w:tblStyle w:val="Table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7625"/>
        <w:gridCol w:w="7624"/>
      </w:tblGrid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Preenchimento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Nome da camada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Atuadores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Equipe responsável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Arthur Vieira Silva, Leonardo Patias Johansson, Diogo Augusto Martins Honorato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Repositório / pasta / link relacionado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https://github.com/Projeto-Guarda-Chuva/T2.2</w:t>
            </w:r>
          </w:p>
        </w:tc>
      </w:tr>
      <w:tr>
        <w:trPr/>
        <w:tc>
          <w:tcPr>
            <w:tcW w:w="7625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Breve descrição da camada</w:t>
            </w:r>
          </w:p>
        </w:tc>
        <w:tc>
          <w:tcPr>
            <w:tcW w:w="7624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Camada responsável por atuar sobre os periféricos por software, depois permitir uma interface para comando a partir da camada superior.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2. Responsabilidades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Liste as principais responsabilidades que esta camada executa dentro do sistema. Essas informações ajudam a definir o que precisa ser testado isoladamente.</w:t>
      </w:r>
    </w:p>
    <w:tbl>
      <w:tblPr>
        <w:tblStyle w:val="Table3"/>
        <w:tblW w:w="15248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812"/>
        <w:gridCol w:w="3812"/>
        <w:gridCol w:w="3812"/>
        <w:gridCol w:w="3811"/>
      </w:tblGrid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Responsabilidade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 usadas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geradas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Executar comandos de atuação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das camadas superiores e executa ações físicas nos dispositivos.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atuação, parâmetros.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Ação executada ou erro.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gráfico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Atuar sobre a tela enviando cores ou padrões gráficos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exibição, cores e padrões.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Atualização visual da tela.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motor móvel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Atuar sobre o motor móvel enviando ações como por exemplo: Subir / Descer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movimento e velocidade.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PWM e direção para o BTS7960.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sz w:val="17"/>
                <w:szCs w:val="17"/>
              </w:rPr>
              <w:t>Atuador de áudio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Aciona ou desativa o amplificador e as caixas de som conforme comandos recebidos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áudio.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para o amplificador.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de iluminação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Aciona LEDs ou sistemas de iluminação conectados ao sistema.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iluminação.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para LEDs.</w:t>
            </w:r>
          </w:p>
        </w:tc>
      </w:tr>
      <w:tr>
        <w:trPr/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motor fixo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sz w:val="17"/>
                <w:szCs w:val="17"/>
              </w:rPr>
              <w:t>Atuar sobre o motor fixo enviando sinais para Abrir/Fechar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abertura, fechamento e parada.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Requisições HTTP enviadas pela rede.</w:t>
            </w:r>
          </w:p>
        </w:tc>
      </w:tr>
      <w:tr>
        <w:trPr>
          <w:trHeight w:val="588" w:hRule="atLeast"/>
        </w:trPr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Gerenciar o roteamento de comandos entre atuadores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Identifica qual atuador deve executar cada comando recebido.</w:t>
            </w:r>
          </w:p>
        </w:tc>
        <w:tc>
          <w:tcPr>
            <w:tcW w:w="381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recebidos das camadas superiores.</w:t>
            </w:r>
          </w:p>
        </w:tc>
        <w:tc>
          <w:tcPr>
            <w:tcW w:w="381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encaminhado ao atuador correspondente.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3. Funções, métodos, classes e arquivos principais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Preencha esta seção com os elementos internos que precisam ser conhecidos para construir testes unitários. Inclua funções, métodos, classes, rotas, arquivos ou módulos importantes.</w:t>
      </w:r>
    </w:p>
    <w:tbl>
      <w:tblPr>
        <w:tblStyle w:val="Table4"/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542"/>
        <w:gridCol w:w="2541"/>
        <w:gridCol w:w="2543"/>
        <w:gridCol w:w="2542"/>
        <w:gridCol w:w="2541"/>
        <w:gridCol w:w="2542"/>
      </w:tblGrid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Nome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Arquivo / módulo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 que faz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/ retorno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handle_command()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Processa comandos recebidos via HTTP POST e altera o estado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recebido pela requisição HTTP.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Resposta HTTP e alteração do estado interno.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 informações de status do dispositivo.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Requisição HTTP GET.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contendo RSSI, heap e uptime.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open_gate()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Simula acionamento de abertura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dos pinos e do estado do portão.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close_gate()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Simula acionamento de fechamento do portão.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dos pinos e do estado do portão.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stop_gate()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Interrompe o movimento do portão.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Estado alterado para parado.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connect_wifi()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Conecta o dispositivo à rede Wi-Fi.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SSID configurado.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Conexão estabelecida ou tentativa de reconexão.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display_init()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o display JD9365, LVGL e tarefas de atualização gráfica.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Inicialização do hardware e interface gráfica.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display_set_bg_color()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 a cor de fundo exibida na tela.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(r, g, b)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visual do display.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display_lock()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Obtém acesso exclusivo aos recursos do LVGL.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Tempo limite em ms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true ou false.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process_command_json()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protocol.c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Processa comandos recebidos em formato JSON e executa ações na tela.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String JSON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Alteração do estado visual da tela.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start_web_server()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o servidor HTTP responsável por receber comandos.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Servidor HTTP em execução.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comando_post_handler()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Recebe comandos HTTP POST e encaminha para processamento.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Requisição HTTP contendo JSON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Resposta HTTP e acionamento do processamento.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wifi_init_simple()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Style w:val="Cdigo-fonte"/>
              </w:rPr>
              <w:t>wifi_manager.c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e conecta a placa à rede Wi-Fi configurada.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SSID e senha definidos no código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Conexão Wi-Fi estabelecida.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lighting_init()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Inicializa GPIOs da iluminação.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Sistema de iluminação pronto para operação.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lighting_set_intensity()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Ajusta intensidade.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(0-100%)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luminosa alterada.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lighting_blink()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Executa modo piscante.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Frequência e duração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Efeito luminoso executado.</w:t>
            </w:r>
          </w:p>
        </w:tc>
      </w:tr>
      <w:tr>
        <w:trPr>
          <w:trHeight w:val="657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</w:t>
            </w:r>
            <w:r>
              <w:rPr/>
              <w:t>set_color()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a cor exibida pelo sistema de iluminação RGB.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Valores (r, g, b)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Atualização visual do sistema de iluminação para a cor especificada.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4. Entradas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Descreva quais dados, comandos, mensagens ou requisições esta camada recebe.</w:t>
      </w:r>
    </w:p>
    <w:tbl>
      <w:tblPr>
        <w:tblStyle w:val="Table5"/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542"/>
        <w:gridCol w:w="2541"/>
        <w:gridCol w:w="2543"/>
        <w:gridCol w:w="2542"/>
        <w:gridCol w:w="2541"/>
        <w:gridCol w:w="2542"/>
      </w:tblGrid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Origem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Validação esperada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>
          <w:trHeight w:val="493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Camada superior / Processadora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JSON válido contendo campo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id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Solicita a execução de uma ação em um atuador.</w:t>
            </w:r>
          </w:p>
        </w:tc>
      </w:tr>
      <w:tr>
        <w:trPr/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ID do comando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Inteiro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Deve corresponder a um comando conhecido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qual ação será executada pelo atuador.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Valor (r, g, b)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Inteiro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Valores </w:t>
            </w:r>
            <w:r>
              <w:rPr/>
              <w:t xml:space="preserve">RGB entre </w:t>
            </w:r>
            <w:r>
              <w:rPr/>
              <w:t>0 e 255</w:t>
            </w:r>
          </w:p>
        </w:tc>
        <w:tc>
          <w:tcPr>
            <w:tcW w:w="2542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Utilizado para definir uma cor personalizada na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Requisição HTTP POST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Rede Wi-Fi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+ JSON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 e JSON bem formado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Meio utilizado para envio dos comandos ao atuador de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Conexão Wi-Fi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Rede local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SSID e senha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Credenciais válidas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Permite que o dispositivo receba comandos pela rede.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da tela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Camada superior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Deve conter um ID de comando válido e, quando necessário, parâmetros RGB válidos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alteração da cor ou exibição de padrões gráficos na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da tela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estado do componente de tela.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motor móvel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  <w:softHyphen/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suportado pelo controlador BTS7960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movimentação, parada ou alteração de velocidade do motor móvel.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do motor móvel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  <w:softHyphen/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estado do motor móvel.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motor fixo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A, F, FA ou FF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abertura, fechamento ou parada do motor fixo.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Consulta de status do motor fixo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informações de monitoramento do motor fixo.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ou padrão válido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alteração do estado dos LEDs de iluminação.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cor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Valores </w:t>
            </w:r>
            <w:r>
              <w:rPr/>
              <w:t xml:space="preserve">RGB entre </w:t>
            </w:r>
            <w:r>
              <w:rPr/>
              <w:t>0 e 255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Define a cor exibida pelos LEDs.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intensidade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Intensidade dentro da faixa permitida (ex.: 0–100% ou 0–255)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Ajusta o brilho da iluminação.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piscagem da iluminação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Frequência e duração válidas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Faz a iluminação piscar conforme os parâmetros recebidos.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padrão luminoso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Padrão suportado pelo sistema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Executa um efeito luminoso pré-definido (alerta, operação normal, erro, etc.).</w:t>
            </w:r>
          </w:p>
        </w:tc>
      </w:tr>
      <w:tr>
        <w:trPr>
          <w:trHeight w:val="511" w:hRule="atLeast"/>
        </w:trPr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de atuação do áudio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Camada superior</w:t>
            </w:r>
          </w:p>
        </w:tc>
        <w:tc>
          <w:tcPr>
            <w:tcW w:w="2543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Comando suportado pelo módulo de áudio</w:t>
            </w:r>
          </w:p>
        </w:tc>
        <w:tc>
          <w:tcPr>
            <w:tcW w:w="2542" w:type="dxa"/>
            <w:tcBorders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>Solicita ativação ou configuração da saída de áudio.</w:t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5. Saídas da camada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Descreva quais dados, comandos, mensagens ou respostas esta camada envia para outras camadas ou componentes.</w:t>
      </w:r>
    </w:p>
    <w:tbl>
      <w:tblPr>
        <w:tblStyle w:val="Table6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Destino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é gerada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status_operacao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 / controle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string / JSON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Após processar um comando.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 o estado atual da operação.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6 Formato dos dados enviados para outras camadas</w:t>
      </w:r>
    </w:p>
    <w:p>
      <w:pPr>
        <w:pStyle w:val="normal1"/>
        <w:spacing w:lineRule="auto" w:line="240" w:before="0" w:after="60"/>
        <w:rPr/>
      </w:pPr>
      <w:r>
        <w:rPr/>
        <w:t>Para cada camada que recebe dados desta camada, repita o bloco abaixo. O objetivo é deixar claro o payload, os campos e os valores aceitos.</w:t>
      </w:r>
    </w:p>
    <w:p>
      <w:pPr>
        <w:pStyle w:val="Heading2"/>
        <w:spacing w:lineRule="auto" w:line="240" w:before="120" w:after="80"/>
        <w:rPr/>
      </w:pPr>
      <w:r>
        <w:rPr/>
        <w:t>6.1 Dados enviados para a camada [nome da camada]</w:t>
      </w:r>
    </w:p>
    <w:p>
      <w:pPr>
        <w:pStyle w:val="normal1"/>
        <w:spacing w:lineRule="auto" w:line="240" w:before="0" w:after="60"/>
        <w:rPr/>
      </w:pPr>
      <w:r>
        <w:rPr/>
        <w:t>Formato utilizado: ______________________________________________</w:t>
      </w:r>
    </w:p>
    <w:p>
      <w:pPr>
        <w:pStyle w:val="normal1"/>
        <w:spacing w:lineRule="auto" w:line="240" w:before="0" w:after="60"/>
        <w:rPr/>
      </w:pPr>
      <w:r>
        <w:rPr/>
        <w:t>Exemplos: JSON, XML, texto puro, bytes, comando serial, payload MQTT etc.</w:t>
      </w:r>
    </w:p>
    <w:p>
      <w:pPr>
        <w:pStyle w:val="normal1"/>
        <w:spacing w:lineRule="auto" w:line="240" w:before="0" w:after="60"/>
        <w:rPr/>
      </w:pPr>
      <w:r>
        <w:rPr/>
        <w:t>Exemplo de envio:</w:t>
      </w:r>
    </w:p>
    <w:tbl>
      <w:tblPr>
        <w:tblStyle w:val="Table7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 "comando": "abrir",</w:t>
              <w:br/>
              <w:t xml:space="preserve">  "origem": "interface_web",</w:t>
              <w:br/>
              <w:t xml:space="preserve">  "timestamp": "2026-05-29T10:30:00"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comando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abrir, fechar, parar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Define a ação solicitada.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origem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interface_web, api, controle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Indica quem enviou o comando.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timestamp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Data/hora ISO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Momento em que o comando foi gerado.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1"/>
        <w:spacing w:lineRule="auto" w:line="240" w:before="0" w:after="60"/>
        <w:rPr/>
      </w:pPr>
      <w:r>
        <w:rPr/>
        <w:t>Caso o formato não seja JSON, descreva o padrão utilizado, incluindo estrutura, separadores, comandos, tamanho dos campos e exemplos de mensagem.</w:t>
      </w:r>
    </w:p>
    <w:p>
      <w:pPr>
        <w:pStyle w:val="Heading1"/>
        <w:spacing w:lineRule="auto" w:line="240" w:before="160" w:after="80"/>
        <w:rPr/>
      </w:pPr>
      <w:r>
        <w:rPr/>
        <w:t>7. Formato dos dados recebidos de outras camadas</w:t>
      </w:r>
    </w:p>
    <w:p>
      <w:pPr>
        <w:pStyle w:val="normal1"/>
        <w:spacing w:lineRule="auto" w:line="240" w:before="0" w:after="60"/>
        <w:rPr/>
      </w:pPr>
      <w:r>
        <w:rPr/>
        <w:t>Para cada camada da qual esta camada recebe dados, repita o bloco abaixo. O objetivo é documentar o que deve ser recebido e como isso será validado nos testes.</w:t>
      </w:r>
    </w:p>
    <w:p>
      <w:pPr>
        <w:pStyle w:val="Heading2"/>
        <w:spacing w:lineRule="auto" w:line="240" w:before="120" w:after="80"/>
        <w:rPr/>
      </w:pPr>
      <w:bookmarkStart w:id="0" w:name="_heading=h.jc69ry63wz8i"/>
      <w:bookmarkEnd w:id="0"/>
      <w:r>
        <w:rPr/>
        <w:t>7.1 Dados recebidos da camada [nome da camada]</w:t>
      </w:r>
    </w:p>
    <w:p>
      <w:pPr>
        <w:pStyle w:val="normal1"/>
        <w:spacing w:lineRule="auto" w:line="240" w:before="0" w:after="60"/>
        <w:rPr/>
      </w:pPr>
      <w:r>
        <w:rPr/>
        <w:t>Formato utilizado: ______________________________________________</w:t>
      </w:r>
    </w:p>
    <w:p>
      <w:pPr>
        <w:pStyle w:val="normal1"/>
        <w:spacing w:lineRule="auto" w:line="240" w:before="0" w:after="60"/>
        <w:rPr/>
      </w:pPr>
      <w:r>
        <w:rPr/>
        <w:t>Exemplo de recebimento:</w:t>
      </w:r>
    </w:p>
    <w:tbl>
      <w:tblPr>
        <w:tblStyle w:val="Table8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15250" w:type="dxa"/>
            <w:gridSpan w:val="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4F4F4" w:val="clear"/>
          </w:tcPr>
          <w:p>
            <w:pPr>
              <w:pStyle w:val="normal1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</w:t>
              <w:br/>
              <w:t xml:space="preserve">  "status": "executado",</w:t>
              <w:br/>
              <w:t xml:space="preserve">  "mensagem": "Comando realizado com sucesso",</w:t>
              <w:br/>
              <w:t xml:space="preserve">  "codigo": 200</w:t>
              <w:br/>
              <w:t>}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executado, erro, pendente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Indica o estado da operação.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mensagem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Texto livre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Mensagem explicativa.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codigo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200, 400, 500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sz w:val="17"/>
                <w:szCs w:val="17"/>
              </w:rPr>
              <w:t>Código de retorno.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tcMar>
              <w:top w:w="80" w:type="dxa"/>
              <w:bottom w:w="80" w:type="dxa"/>
            </w:tcMar>
            <w:vAlign w:val="center"/>
          </w:tcPr>
          <w:p>
            <w:pPr>
              <w:pStyle w:val="normal1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1"/>
        <w:spacing w:lineRule="auto" w:line="240" w:before="0" w:after="60"/>
        <w:rPr>
          <w:b w:val="false"/>
          <w:bCs w:val="false"/>
        </w:rPr>
      </w:pPr>
      <w:r>
        <w:rPr/>
        <w:t>Caso o formato não seja JSON, descreva o padrão recebido, incluindo estrutura, separadores, comandos, tamanho dos campos e exemplos de mensagem.</w:t>
      </w:r>
    </w:p>
    <w:p>
      <w:pPr>
        <w:pStyle w:val="Heading1"/>
        <w:spacing w:lineRule="auto" w:line="240" w:before="160" w:after="80"/>
        <w:rPr/>
      </w:pPr>
      <w:r>
        <w:rPr/>
        <w:t>8. Comunicação com outras camadas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Informe com quais camadas ou módulos esta camada se comunica. Esta seção será usada principalmente para planejar testes de integração.</w:t>
      </w:r>
    </w:p>
    <w:tbl>
      <w:tblPr>
        <w:tblStyle w:val="Table9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origem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destino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Sentido da comunicação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Objetivo da comunicação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ocorre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Aplicação web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Web -&gt; API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Enviar comandos do usuário.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Quando o usuário executa uma ação.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9. Endpoints, rotas ou canais de comunicação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Caso a camada utilize endpoints, rotas, tópicos ou canais específicos, preencha a tabela abaixo.</w:t>
      </w:r>
    </w:p>
    <w:tbl>
      <w:tblPr>
        <w:tblStyle w:val="Table10"/>
        <w:tblW w:w="15253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179"/>
        <w:gridCol w:w="2178"/>
        <w:gridCol w:w="2180"/>
        <w:gridCol w:w="2178"/>
        <w:gridCol w:w="2180"/>
        <w:gridCol w:w="2178"/>
        <w:gridCol w:w="2179"/>
      </w:tblGrid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Endpoint / canal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Função / método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Método / protocolo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envia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recebe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Formato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/comandos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mandarJson()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POST / HTTP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Web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 comando para execução.</w:t>
            </w:r>
          </w:p>
        </w:tc>
      </w:tr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/status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consultarStatus()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GET / HTTP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Web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Consulta o estado atual.</w:t>
            </w:r>
          </w:p>
        </w:tc>
      </w:tr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topico/status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publicarStatus()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MQTT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Controle</w:t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Aplicação</w:t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ou texto</w:t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 atualização de status.</w:t>
            </w:r>
          </w:p>
        </w:tc>
      </w:tr>
      <w:tr>
        <w:trPr/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8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2179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10. Casos de erro e respostas esperadas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Documente os principais erros previstos para que os testes consigam validar o comportamento esperado em falhas.</w:t>
      </w:r>
    </w:p>
    <w:tbl>
      <w:tblPr>
        <w:tblStyle w:val="Table11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Situação de erro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Causa provável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Resposta esperada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Código / mensagem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Observações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JSON inválido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Corpo da requisição mal formatado.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Rejeitar a requisição.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400 - formato inválido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Validar se o sistema não executa ação.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falha de conexão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Outra camada indisponível.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Registrar erro e informar falha.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500 ou timeout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Validar tratamento de indisponibilidade.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</w:tbl>
    <w:p>
      <w:pPr>
        <w:pStyle w:val="Heading1"/>
        <w:spacing w:lineRule="auto" w:line="240" w:before="160" w:after="80"/>
        <w:rPr/>
      </w:pPr>
      <w:r>
        <w:rPr/>
        <w:t>11. Dependências para execução dos testes</w:t>
      </w:r>
    </w:p>
    <w:p>
      <w:pPr>
        <w:pStyle w:val="normal1"/>
        <w:spacing w:lineRule="auto" w:line="240" w:before="0" w:after="60"/>
        <w:rPr/>
      </w:pPr>
      <w:r>
        <w:rPr>
          <w:sz w:val="19"/>
          <w:szCs w:val="19"/>
        </w:rPr>
        <w:t>Informe bibliotecas, serviços, bancos de dados, placas, sensores, APIs ou outras dependências necessárias para executar os testes.</w:t>
      </w:r>
    </w:p>
    <w:tbl>
      <w:tblPr>
        <w:tblStyle w:val="Table1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Dependência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unitário?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de integração?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1F4E79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Como configurar ou simular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Banco de dados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Serviço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Não, pode ser mockado.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Informar URL, credenciais de teste ou banco local.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API externa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Serviço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Não, usar mock.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Depende do fluxo.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Informar endpoint de homologação ou simulador.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Placa / sensor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Hardware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Não, usar stub.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Sim, se o teste envolver hardware.</w:t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Informar modelo, porta, alimentação e estado inicial.</w:t>
            </w:r>
          </w:p>
        </w:tc>
      </w:tr>
      <w:tr>
        <w:trPr/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shd w:fill="F8FBFD" w:val="clear"/>
            <w:vAlign w:val="center"/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</w:tbl>
    <w:p>
      <w:pPr>
        <w:pStyle w:val="normal1"/>
        <w:spacing w:lineRule="auto" w:line="240" w:before="0" w:after="2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792" w:right="792" w:gutter="0" w:header="0" w:top="720" w:footer="720" w:bottom="777"/>
      <w:pgNumType w:start="1" w:fmt="decimal"/>
      <w:formProt w:val="false"/>
      <w:textDirection w:val="lrTb"/>
      <w:docGrid w:type="default" w:linePitch="100" w:charSpace="1003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fill="auto" w:val="clear"/>
        <w:vertAlign w:val="baseline"/>
      </w:rPr>
      <w:t>Template de documentação da camada - testes unitários e testes de integração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fill="auto" w:val="clear"/>
        <w:vertAlign w:val="baseline"/>
      </w:rPr>
      <w:t>Template de documentação da camada - testes unitários e testes de integração</w:t>
    </w:r>
  </w:p>
</w:ft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19"/>
        <w:szCs w:val="19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1F4E79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2F75B5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F4E79"/>
      <w:sz w:val="40"/>
      <w:szCs w:val="40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666666"/>
      <w:sz w:val="22"/>
      <w:szCs w:val="22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8e6CaiVufmGkgiki0hq7FD+2KNQ==">CgMxLjAyDmguamM2OXJ5NjN3ejhpOAByITFLOVBWUkV1WjRqUThLdElSOWVCNGlMR1BVb0hBSjRWQQ==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8</Pages>
  <Words>1773</Words>
  <Characters>10443</Characters>
  <CharactersWithSpaces>11801</CharactersWithSpaces>
  <Paragraphs>423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2026-06-17T21:18:44Z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