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 xml:space="preserve">Protocolo de IDs V2.0 - Jellyfish</w:t>
      </w:r>
      <w:r/>
    </w:p>
    <w:p>
      <w:pPr>
        <w:pBdr/>
        <w:spacing w:before="0" w:line="276" w:lineRule="auto"/>
        <w:ind/>
        <w:jc w:val="both"/>
        <w:rPr/>
      </w:pPr>
      <w:r>
        <w:rPr>
          <w:rFonts w:ascii="Arial" w:hAnsi="Arial" w:eastAsia="Arial" w:cs="Arial"/>
          <w:color w:val="666666"/>
          <w:sz w:val="20"/>
          <w:szCs w:val="20"/>
        </w:rPr>
        <w:t xml:space="preserve">ESP32-P4 / Jetson — Controle via JSON sobre HTTP</w:t>
      </w:r>
      <w:r/>
    </w:p>
    <w:p>
      <w:pPr>
        <w:pBdr>
          <w:bottom w:val="single" w:color="cccccc" w:sz="4" w:space="0"/>
        </w:pBdr>
        <w:spacing w:before="120" w:line="276" w:lineRule="auto"/>
        <w:ind/>
        <w:jc w:val="both"/>
        <w:rPr/>
      </w:pPr>
      <w:r/>
      <w:r/>
    </w:p>
    <w:p>
      <w:pPr>
        <w:pStyle w:val="721"/>
        <w:pBdr/>
        <w:spacing w:after="0" w:before="320" w:line="276" w:lineRule="auto"/>
        <w:ind w:firstLine="0" w:left="0"/>
        <w:jc w:val="both"/>
        <w:rPr/>
      </w:pPr>
      <w:r>
        <w:rPr>
          <w:rFonts w:ascii="Arial" w:hAnsi="Arial" w:eastAsia="Arial" w:cs="Arial"/>
          <w:b/>
          <w:bCs/>
          <w:color w:val="1a1a1a"/>
          <w:sz w:val="28"/>
          <w:szCs w:val="28"/>
          <w:lang w:val="pt-BR"/>
        </w:rPr>
        <w:t xml:space="preserve">1.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Conceito</w:t>
      </w:r>
      <w:r/>
    </w:p>
    <w:p>
      <w:pPr>
        <w:pBdr/>
        <w:spacing w:before="80" w:line="276" w:lineRule="auto"/>
        <w:ind/>
        <w:jc w:val="both"/>
        <w:rPr>
          <w:b/>
          <w:bCs/>
          <w:u w:val="single"/>
        </w:rPr>
      </w:pPr>
      <w:r>
        <w:rPr>
          <w:rFonts w:ascii="Arial" w:hAnsi="Arial" w:eastAsia="Arial" w:cs="Arial"/>
          <w:sz w:val="20"/>
          <w:szCs w:val="20"/>
        </w:rPr>
        <w:t xml:space="preserve">Os comandos são transmitidos como objetos JSON via HTTP POST para o endpoint do dispositivo. Cada ação é identificada por um número de ID fixo, organizado por família</w:t>
      </w:r>
      <w:r>
        <w:rPr>
          <w:rFonts w:ascii="Arial" w:hAnsi="Arial" w:eastAsia="Arial" w:cs="Arial"/>
          <w:sz w:val="20"/>
          <w:szCs w:val="20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0"/>
          <w:szCs w:val="20"/>
          <w:u w:val="single"/>
          <w:lang w:val="pt-BR"/>
        </w:rPr>
        <w:t xml:space="preserve">obs.: arquivo de protocolos sujeito a alteraç</w:t>
      </w:r>
      <w:r>
        <w:rPr>
          <w:rFonts w:ascii="Arial" w:hAnsi="Arial" w:eastAsia="Arial" w:cs="Arial"/>
          <w:b/>
          <w:bCs/>
          <w:sz w:val="20"/>
          <w:szCs w:val="20"/>
          <w:u w:val="single"/>
          <w:lang w:val="pt-BR"/>
        </w:rPr>
        <w:t xml:space="preserve">ões</w:t>
      </w: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:</w:t>
      </w:r>
      <w:r>
        <w:rPr>
          <w:b/>
          <w:bCs/>
          <w:u w:val="single"/>
        </w:rPr>
      </w:r>
    </w:p>
    <w:p>
      <w:pPr>
        <w:pBdr/>
        <w:spacing w:before="80" w:line="276" w:lineRule="auto"/>
        <w:ind/>
        <w:jc w:val="both"/>
        <w:rPr>
          <w:rFonts w:ascii="Arial" w:hAnsi="Arial" w:eastAsia="Arial" w:cs="Arial"/>
          <w:color w:val="aaaaaa"/>
          <w:sz w:val="20"/>
          <w:szCs w:val="20"/>
        </w:rPr>
      </w:pPr>
      <w:r>
        <w:rPr>
          <w:rFonts w:ascii="Courier New" w:hAnsi="Courier New" w:eastAsia="Courier New" w:cs="Courier New"/>
          <w:b/>
          <w:bCs/>
          <w:color w:val="00bfff"/>
          <w:sz w:val="20"/>
          <w:szCs w:val="20"/>
        </w:rPr>
        <w:t xml:space="preserve"> Família 10</w:t>
      </w:r>
      <w:r>
        <w:rPr>
          <w:rFonts w:ascii="Arial" w:hAnsi="Arial" w:eastAsia="Arial" w:cs="Arial"/>
          <w:sz w:val="20"/>
          <w:szCs w:val="20"/>
        </w:rPr>
        <w:t xml:space="preserve"> — Interface Visual (Display / LED)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</w:t>
      </w:r>
      <w:r/>
    </w:p>
    <w:p w14:paraId="0F717118">
      <w:pPr>
        <w:pBdr/>
        <w:spacing w:before="80" w:line="276" w:lineRule="auto"/>
        <w:ind/>
        <w:jc w:val="both"/>
        <w:rPr>
          <w:rFonts w:ascii="Arial" w:hAnsi="Arial" w:eastAsia="Arial" w:cs="Arial"/>
          <w:color w:val="aaaaaa"/>
          <w:sz w:val="20"/>
          <w:szCs w:val="20"/>
        </w:rPr>
      </w:pPr>
      <w:r>
        <w:rPr>
          <w:rFonts w:ascii="Arial" w:hAnsi="Arial" w:eastAsia="Arial" w:cs="Arial"/>
          <w:color w:val="aaaaaa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b/>
          <w:bCs/>
          <w:color w:val="00bfff"/>
          <w:sz w:val="20"/>
          <w:szCs w:val="20"/>
        </w:rPr>
        <w:t xml:space="preserve">Família 20</w:t>
      </w:r>
      <w:r>
        <w:rPr>
          <w:rFonts w:ascii="Arial" w:hAnsi="Arial" w:eastAsia="Arial" w:cs="Arial"/>
          <w:sz w:val="20"/>
          <w:szCs w:val="20"/>
        </w:rPr>
        <w:t xml:space="preserve"> — Motor Fixo</w:t>
      </w:r>
      <w:r>
        <w:rPr>
          <w:rFonts w:ascii="Arial" w:hAnsi="Arial" w:eastAsia="Arial" w:cs="Arial"/>
          <w:color w:val="aaaaaa"/>
          <w:sz w:val="20"/>
          <w:szCs w:val="20"/>
        </w:rPr>
      </w:r>
      <w:r/>
    </w:p>
    <w:p w14:paraId="5B371676">
      <w:pPr>
        <w:pBdr/>
        <w:spacing w:before="80" w:line="276" w:lineRule="auto"/>
        <w:ind/>
        <w:jc w:val="both"/>
        <w:rPr>
          <w:rFonts w:ascii="Arial" w:hAnsi="Arial" w:eastAsia="Arial" w:cs="Arial"/>
          <w:color w:val="aaaaaa"/>
          <w:sz w:val="20"/>
          <w:szCs w:val="20"/>
        </w:rPr>
      </w:pPr>
      <w:r>
        <w:rPr>
          <w:rFonts w:ascii="Arial" w:hAnsi="Arial" w:eastAsia="Arial" w:cs="Arial"/>
          <w:color w:val="aaaaaa"/>
          <w:sz w:val="20"/>
          <w:szCs w:val="20"/>
          <w:lang w:val="pt-BR"/>
        </w:rPr>
        <w:t xml:space="preserve"> 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b/>
          <w:bCs/>
          <w:color w:val="00bfff"/>
          <w:sz w:val="20"/>
          <w:szCs w:val="20"/>
        </w:rPr>
        <w:t xml:space="preserve">Família 30</w:t>
      </w:r>
      <w:r>
        <w:rPr>
          <w:rFonts w:ascii="Arial" w:hAnsi="Arial" w:eastAsia="Arial" w:cs="Arial"/>
          <w:sz w:val="20"/>
          <w:szCs w:val="20"/>
        </w:rPr>
        <w:t xml:space="preserve"> — Motor Móvel</w:t>
      </w:r>
      <w:r>
        <w:rPr>
          <w:rFonts w:ascii="Arial" w:hAnsi="Arial" w:eastAsia="Arial" w:cs="Arial"/>
          <w:color w:val="aaaaaa"/>
          <w:sz w:val="20"/>
          <w:szCs w:val="20"/>
        </w:rPr>
      </w:r>
      <w:r/>
    </w:p>
    <w:p w14:paraId="6D835B73">
      <w:pPr>
        <w:pBdr/>
        <w:spacing w:before="80" w:line="276" w:lineRule="auto"/>
        <w:ind/>
        <w:jc w:val="both"/>
        <w:rPr/>
      </w:pPr>
      <w:r>
        <w:rPr>
          <w:rFonts w:ascii="Arial" w:hAnsi="Arial" w:eastAsia="Arial" w:cs="Arial"/>
          <w:color w:val="aaaaaa"/>
          <w:sz w:val="20"/>
          <w:szCs w:val="20"/>
          <w:lang w:val="pt-BR"/>
        </w:rPr>
        <w:t xml:space="preserve"> </w:t>
      </w:r>
      <w:r>
        <w:rPr>
          <w:rFonts w:ascii="Arial" w:hAnsi="Arial" w:eastAsia="Arial" w:cs="Arial"/>
          <w:color w:val="aaaaaa"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b/>
          <w:bCs/>
          <w:color w:val="00bfff"/>
          <w:sz w:val="20"/>
          <w:szCs w:val="20"/>
        </w:rPr>
        <w:t xml:space="preserve">Família 40</w:t>
      </w:r>
      <w:r>
        <w:rPr>
          <w:rFonts w:ascii="Arial" w:hAnsi="Arial" w:eastAsia="Arial" w:cs="Arial"/>
          <w:sz w:val="20"/>
          <w:szCs w:val="20"/>
        </w:rPr>
        <w:t xml:space="preserve"> — Áudio</w:t>
      </w:r>
      <w:r/>
      <w:r/>
    </w:p>
    <w:p>
      <w:pPr>
        <w:pBdr/>
        <w:spacing w:before="80" w:line="276" w:lineRule="auto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IDs simples enviam apenas { "id": N }. IDs com parâmetros exigem campos adicionais no mesmo objeto JSON.</w:t>
      </w:r>
      <w:r/>
    </w:p>
    <w:p>
      <w:pPr>
        <w:pBdr>
          <w:bottom w:val="single" w:color="cccccc" w:sz="4" w:space="0"/>
        </w:pBdr>
        <w:spacing w:before="120" w:line="276" w:lineRule="auto"/>
        <w:ind/>
        <w:jc w:val="both"/>
        <w:rPr/>
      </w:pPr>
      <w:r/>
      <w:r/>
    </w:p>
    <w:p>
      <w:pPr>
        <w:pStyle w:val="721"/>
        <w:pBdr/>
        <w:spacing w:after="0" w:before="32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1a1a1a"/>
          <w:sz w:val="28"/>
          <w:szCs w:val="28"/>
          <w:lang w:val="pt-BR"/>
        </w:rPr>
        <w:t xml:space="preserve">2.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Endpoint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Content-Type: application/json</w:t>
      </w:r>
      <w:r/>
    </w:p>
    <w:p w14:paraId="60831595">
      <w:pPr>
        <w:pStyle w:val="721"/>
        <w:pBdr/>
        <w:spacing w:after="0" w:before="320" w:line="276" w:lineRule="auto"/>
        <w:ind/>
        <w:jc w:val="both"/>
        <w:rPr/>
      </w:pPr>
      <w:r/>
      <w:r/>
      <w:r/>
    </w:p>
    <w:p w14:paraId="5F004FC3">
      <w:pPr>
        <w:pStyle w:val="721"/>
        <w:pBdr/>
        <w:spacing w:after="0" w:before="32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  <w:lang w:val="pt-BR"/>
        </w:rPr>
        <w:t xml:space="preserve">3. Protocolos</w:t>
      </w: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r>
    </w:p>
    <w:p>
      <w:pPr>
        <w:pStyle w:val="721"/>
        <w:pBdr/>
        <w:spacing w:after="0" w:before="320" w:line="276" w:lineRule="auto"/>
        <w:ind/>
        <w:jc w:val="both"/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Grupo 10 — Controle de Display / Cores</w:t>
      </w:r>
      <w:r/>
    </w:p>
    <w:tbl>
      <w:tblPr>
        <w:tblW w:w="94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200"/>
        <w:gridCol w:w="5060"/>
      </w:tblGrid>
      <w:tr>
        <w:trPr/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JSON / Parâmetros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Cor Customizada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10, "r": 0-255, "g": 0-255, "b": 0-255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11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Vermelho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11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12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Verde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12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13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Azul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13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14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Preto (Limpar)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14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15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Branco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15</w:t>
            </w:r>
            <w:r/>
          </w:p>
        </w:tc>
      </w:tr>
    </w:tbl>
    <w:p>
      <w:pPr>
        <w:pBdr/>
        <w:spacing w:before="0" w:line="276" w:lineRule="auto"/>
        <w:ind/>
        <w:jc w:val="both"/>
        <w:rPr/>
      </w:pPr>
      <w:r/>
      <w:r/>
    </w:p>
    <w:p>
      <w:pPr>
        <w:pStyle w:val="721"/>
        <w:pBdr/>
        <w:spacing w:after="0" w:before="32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Grupo 20 — Motor Fixo (Trava / Compartimento)</w:t>
      </w:r>
      <w:r/>
    </w:p>
    <w:tbl>
      <w:tblPr>
        <w:tblW w:w="94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200"/>
        <w:gridCol w:w="5060"/>
      </w:tblGrid>
      <w:tr>
        <w:trPr/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PARAR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Interrompe qualquer movimento (Ponte H: 0, 0).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21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ABRIR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Comando de abertura d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o motor fixo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  <w:lang w:val="pt-BR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22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FECHAR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Comando de fechamento d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o motor fixo</w:t>
            </w:r>
            <w:r/>
          </w:p>
        </w:tc>
      </w:tr>
    </w:tbl>
    <w:p w14:paraId="177B2951">
      <w:pPr>
        <w:pStyle w:val="721"/>
        <w:pBdr/>
        <w:spacing w:after="0" w:before="320" w:line="276" w:lineRule="auto"/>
        <w:ind/>
        <w:jc w:val="both"/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r>
    </w:p>
    <w:p>
      <w:pPr>
        <w:pStyle w:val="721"/>
        <w:pBdr/>
        <w:spacing w:after="0" w:before="320" w:line="276" w:lineRule="auto"/>
        <w:ind/>
        <w:jc w:val="both"/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Grupo 30 — Motor Móvel (Ascensão / Descida)</w:t>
      </w:r>
      <w:r/>
    </w:p>
    <w:tbl>
      <w:tblPr>
        <w:tblW w:w="94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200"/>
        <w:gridCol w:w="5060"/>
      </w:tblGrid>
      <w:tr>
        <w:trPr/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Descrição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30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PARAR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Interrompe qualquer movimento (Ponte H: 0, 0).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31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SUBIR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Movimento ascendente (Ponte H: 1, 0).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32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DESCER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Movimento descendente (Ponte H: 0, 1).</w:t>
            </w:r>
            <w:r/>
          </w:p>
        </w:tc>
      </w:tr>
    </w:tbl>
    <w:p>
      <w:pPr>
        <w:pBdr/>
        <w:spacing w:before="0" w:line="276" w:lineRule="auto"/>
        <w:ind/>
        <w:jc w:val="both"/>
        <w:rPr/>
      </w:pPr>
      <w:r/>
      <w:r/>
    </w:p>
    <w:p>
      <w:pPr>
        <w:pStyle w:val="721"/>
        <w:pBdr/>
        <w:spacing w:after="0" w:before="32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Grupo 40 — Áudio</w:t>
      </w:r>
      <w:r/>
    </w:p>
    <w:tbl>
      <w:tblPr>
        <w:tblW w:w="94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3200"/>
        <w:gridCol w:w="5060"/>
      </w:tblGrid>
      <w:tr>
        <w:trPr/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  <w:tc>
          <w:tcPr>
            <w:shd w:val="clear" w:color="auto" w:fill="2d2d2d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JSON / Parâmetros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40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PARAR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40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41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REPRODUZIR</w:t>
            </w:r>
            <w:r/>
          </w:p>
        </w:tc>
        <w:tc>
          <w:tcPr>
            <w:shd w:val="clear" w:color="auto" w:fill="f2f2f2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41, "file": "nome_do_arquivo.mp3"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42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DEFINIR VOLUME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60" w:type="dxa"/>
          </w:tcPr>
          <w:p>
            <w:pPr>
              <w:pBdr/>
              <w:spacing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0"/>
                <w:szCs w:val="20"/>
              </w:rPr>
              <w:t xml:space="preserve">"id": 42, "volume": 0-100</w:t>
            </w:r>
            <w:r/>
          </w:p>
        </w:tc>
      </w:tr>
    </w:tbl>
    <w:p w14:paraId="1CDEED2F">
      <w:pPr>
        <w:pStyle w:val="721"/>
        <w:pBdr/>
        <w:spacing w:after="0" w:before="320" w:line="276" w:lineRule="auto"/>
        <w:ind/>
        <w:jc w:val="both"/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r>
    </w:p>
    <w:p>
      <w:pPr>
        <w:pStyle w:val="721"/>
        <w:pBdr/>
        <w:spacing w:after="0" w:before="320" w:line="276" w:lineRule="auto"/>
        <w:ind/>
        <w:jc w:val="both"/>
        <w:rPr>
          <w:rFonts w:ascii="Arial" w:hAnsi="Arial" w:eastAsia="Arial" w:cs="Arial"/>
          <w:b/>
          <w:bCs/>
          <w:color w:val="1a1a1a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1a"/>
          <w:sz w:val="28"/>
          <w:szCs w:val="28"/>
          <w:lang w:val="pt-BR"/>
        </w:rPr>
        <w:t xml:space="preserve">4.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Exemplos de Uso</w:t>
      </w:r>
      <w:r/>
    </w:p>
    <w:p w14:paraId="333C6D51">
      <w:pPr>
        <w:pStyle w:val="721"/>
        <w:pBdr/>
        <w:spacing w:after="0" w:before="320" w:line="276" w:lineRule="auto"/>
        <w:ind w:firstLine="0"/>
        <w:jc w:val="both"/>
        <w:rPr>
          <w:sz w:val="26"/>
          <w:szCs w:val="26"/>
        </w:rPr>
      </w:pPr>
      <w:r>
        <w:rPr>
          <w:rFonts w:ascii="Arial" w:hAnsi="Arial" w:eastAsia="Arial" w:cs="Arial"/>
          <w:b/>
          <w:bCs/>
          <w:color w:val="1a1a1a"/>
          <w:sz w:val="26"/>
          <w:szCs w:val="26"/>
          <w:highlight w:val="none"/>
          <w:lang w:val="pt-BR"/>
        </w:rPr>
        <w:t xml:space="preserve">4.1 Cor</w:t>
      </w:r>
      <w:r>
        <w:rPr>
          <w:rFonts w:ascii="Arial" w:hAnsi="Arial" w:eastAsia="Arial" w:cs="Arial"/>
          <w:b/>
          <w:bCs/>
          <w:color w:val="1a1a1a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1a1a1a"/>
          <w:sz w:val="26"/>
          <w:szCs w:val="26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Cor Customizada (ID 10)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10, "r": 255, "g": 128, "b": 0 }</w:t>
      </w:r>
      <w:r/>
    </w:p>
    <w:p w14:paraId="5EB95922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Cor Padrão — Vermelho (ID 11)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11 }</w:t>
      </w:r>
      <w:r/>
    </w:p>
    <w:p w14:paraId="2FE16B33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Cor Padrão — Verde (ID 12)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12 }</w:t>
      </w:r>
      <w:r/>
    </w:p>
    <w:p w14:paraId="08625624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Cor Padrão — Azul (ID 13)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13 }</w:t>
      </w:r>
      <w:r/>
    </w:p>
    <w:p w14:paraId="734559A9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 w14:paraId="22B2F2B3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Limpar Display / Preto (ID 14)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14 }</w:t>
      </w:r>
      <w:r/>
    </w:p>
    <w:p w14:paraId="51011001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Branco (ID 15)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15 }</w:t>
      </w:r>
      <w:r/>
    </w:p>
    <w:p w14:paraId="2ED0D864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6"/>
          <w:szCs w:val="26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6"/>
          <w:szCs w:val="26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6"/>
          <w:szCs w:val="26"/>
          <w:highlight w:val="none"/>
          <w:lang w:val="pt-BR"/>
        </w:rPr>
      </w:r>
    </w:p>
    <w:p w14:paraId="2C6FEC05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6"/>
          <w:szCs w:val="26"/>
          <w:highlight w:val="none"/>
          <w:lang w:val="pt-BR"/>
        </w:rPr>
      </w:pPr>
      <w:r>
        <w:rPr>
          <w:rFonts w:ascii="Arial" w:hAnsi="Arial" w:eastAsia="Arial" w:cs="Arial"/>
          <w:b/>
          <w:bCs/>
          <w:color w:val="333333"/>
          <w:sz w:val="26"/>
          <w:szCs w:val="26"/>
          <w:highlight w:val="none"/>
          <w:lang w:val="pt-BR"/>
        </w:rPr>
        <w:t xml:space="preserve">4.2 Motor Fixo</w:t>
      </w:r>
      <w:r>
        <w:rPr>
          <w:rFonts w:ascii="Arial" w:hAnsi="Arial" w:eastAsia="Arial" w:cs="Arial"/>
          <w:b/>
          <w:bCs/>
          <w:color w:val="333333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6"/>
          <w:szCs w:val="26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Motor Fixo — Parar (ID 20)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20 }</w:t>
      </w:r>
      <w:r/>
    </w:p>
    <w:p w14:paraId="0D82F5FC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Motor Fixo — Abrir (ID 21)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21 }</w:t>
      </w:r>
      <w:r/>
    </w:p>
    <w:p w14:paraId="1C06CF81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Motor Fixo — Fechar (ID 22)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22 }</w:t>
      </w:r>
      <w:r/>
    </w:p>
    <w:p w14:paraId="343BAE49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</w:p>
    <w:p w14:paraId="391771B5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  <w:t xml:space="preserve">4.3 Motor M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  <w:t xml:space="preserve">ó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  <w:t xml:space="preserve">vel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Motor Móvel — Parar (ID 30)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30 }</w:t>
      </w:r>
      <w:r/>
    </w:p>
    <w:p w14:paraId="712F6FC1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Motor Móvel — Subir (ID 31)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31 }</w:t>
      </w:r>
      <w:r/>
    </w:p>
    <w:p w14:paraId="5D401060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Motor Móvel — Descer (ID 32)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32 }</w:t>
      </w:r>
      <w:r/>
    </w:p>
    <w:p w14:paraId="27E9A4DE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</w:p>
    <w:p w14:paraId="2E685004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</w:p>
    <w:p w14:paraId="7717F208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r>
    </w:p>
    <w:p w14:paraId="4B8D727A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  <w:t xml:space="preserve">4.4 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  <w:t xml:space="preserve">Á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  <w:lang w:val="pt-BR"/>
        </w:rPr>
        <w:t xml:space="preserve">udio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Áudio — Parar (ID 40)</w:t>
      </w:r>
      <w:r>
        <w:rPr>
          <w:sz w:val="24"/>
          <w:szCs w:val="24"/>
        </w:rPr>
      </w:r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40 }</w:t>
      </w:r>
      <w:r/>
    </w:p>
    <w:p w14:paraId="5B8DE905">
      <w:pPr>
        <w:pStyle w:val="722"/>
        <w:pBdr/>
        <w:spacing w:after="0" w:before="200" w:line="276" w:lineRule="auto"/>
        <w:ind/>
        <w:jc w:val="both"/>
        <w:rPr/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Áudio — Reproduzir (ID 41)</w:t>
      </w:r>
      <w:r/>
    </w:p>
    <w:p>
      <w:pPr>
        <w:pBdr/>
        <w:spacing w:before="80" w:line="276" w:lineRule="auto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Enviar o nome do arquivo de áudio armazenado no dispositivo.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41, "file": "alerta.mp3" }</w:t>
      </w:r>
      <w:r/>
    </w:p>
    <w:p w14:paraId="6061C199"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Style w:val="722"/>
        <w:pBdr/>
        <w:spacing w:after="0" w:before="200" w:line="276" w:lineRule="auto"/>
        <w:ind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</w:rPr>
        <w:t xml:space="preserve">Áudio — Definir Volume (ID 42)</w:t>
      </w:r>
      <w:r/>
    </w:p>
    <w:p>
      <w:pPr>
        <w:pBdr/>
        <w:spacing w:before="80" w:line="276" w:lineRule="auto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O valor de volume deve estar entre 0 (mudo) e 100 (máximo).</w:t>
      </w:r>
      <w:r/>
    </w:p>
    <w:p>
      <w:pPr>
        <w:pBdr>
          <w:left w:val="single" w:color="00bfff" w:sz="6" w:space="0"/>
        </w:pBdr>
        <w:shd w:val="clear" w:color="auto" w:fill="1e1e1e"/>
        <w:spacing w:before="60" w:line="276" w:lineRule="auto"/>
        <w:ind w:left="360"/>
        <w:jc w:val="left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POST http://{Jetson_IP}/cmd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br/>
        <w:t xml:space="preserve">{ "id": 42, "volume": 75 }</w:t>
      </w:r>
      <w:r/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7520E4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qFormat/>
    <w:pPr>
      <w:pBdr/>
      <w:spacing w:after="120" w:before="320"/>
      <w:ind/>
      <w:outlineLvl w:val="0"/>
    </w:pPr>
    <w:rPr>
      <w:rFonts w:ascii="Arial" w:hAnsi="Arial" w:eastAsia="Arial" w:cs="Arial"/>
      <w:b/>
      <w:bCs/>
      <w:color w:val="1a1a1a"/>
      <w:sz w:val="28"/>
      <w:szCs w:val="28"/>
    </w:rPr>
  </w:style>
  <w:style w:type="paragraph" w:styleId="722">
    <w:name w:val="Heading 2"/>
    <w:qFormat/>
    <w:pPr>
      <w:pBdr/>
      <w:spacing w:after="80" w:before="200"/>
      <w:ind/>
      <w:outlineLvl w:val="1"/>
    </w:pPr>
    <w:rPr>
      <w:rFonts w:ascii="Arial" w:hAnsi="Arial" w:eastAsia="Arial" w:cs="Arial"/>
      <w:b/>
      <w:bCs/>
      <w:color w:val="333333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2026-06-19T13:13:41Z</dcterms:created>
  <dcterms:modified xsi:type="dcterms:W3CDTF">2026-06-19T14:46:19Z</dcterms:modified>
</cp:coreProperties>
</file>