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Ana Claudia Santana da Silva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Gabrielli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Virgílio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da Silva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Geana Mossal Nunes de Almeida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Joshua de Rezende Aguilar Simionato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Luana Gabriela Marinho de Oliveira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 Souza Ribeiro da Silva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Pierre Aparecido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Cidades e Comunidades Sustentáveis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Ana Claudia Santana da Silva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Gabrielli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Virgílio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da Silva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Geana Mossal Nunes de Almeida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Joshua de Rezende Aguilar Simionato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Luana Gabriela Marinho de Oliveira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 Souza Ribeiro da Silva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Pierre Aparecido de Souza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Cidades e Comunidades Sustentáveis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-108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 (Long)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Identificador único do 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-108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-108.0" w:type="dxa"/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cVOD2v5trYXzovKBSUpnqd09w==">CgMxLjA4AHIhMTJZQzBKZENCVHM1MGFVRklKYTFyU0ZPVS1HWFVtR1ZJ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