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Requisitos Funcionais e Não Funcionais</w:t>
      </w:r>
    </w:p>
    <w:p>
      <w:pPr>
        <w:spacing w:after="300"/>
        <w:jc w:val="center"/>
      </w:pPr>
      <w:r>
        <w:rPr>
          <w:b/>
          <w:bCs/>
          <w:color w:val="2F5496"/>
          <w:sz w:val="28"/>
          <w:szCs w:val="28"/>
        </w:rPr>
        <w:t xml:space="preserve">Projeto Nivela — Versão 3 (ajustada)</w:t>
      </w:r>
    </w:p>
    <w:p>
      <w:pPr>
        <w:spacing w:after="160"/>
      </w:pPr>
      <w:r>
        <w:t xml:space="preserve">Este documento apresenta a versão 3 dos Requisitos Funcionais (RF) e Requisitos Não Funcionais (RNF) do projeto Nivela, revisando a versão 2 a partir do confronto com o Termo de Abertura do Projeto (TAP) v1. Itens novos ou ajustados estão destacados em verde e sinalizados com (NOVO) ou (AJUSTADO).</w:t>
      </w:r>
    </w:p>
    <w:p>
      <w:pPr>
        <w:spacing w:after="160"/>
      </w:pPr>
      <w:r>
        <w:t xml:space="preserve">Resumo quantitativo: 51 Requisitos Funcionais (46 da v2 + 5 novos), 31 Requisitos Não Funcionais (com 3 ajustes de redação/meta) e 6 Critérios de Aceite.</w:t>
      </w:r>
    </w:p>
    <w:p>
      <w:pPr>
        <w:pStyle w:val="Heading1"/>
        <w:spacing w:after="150" w:before="300"/>
      </w:pPr>
      <w:r>
        <w:t xml:space="preserve">1. Requisitos Funcionais (RF)</w:t>
      </w:r>
    </w:p>
    <w:p>
      <w:pPr>
        <w:pStyle w:val="Heading2"/>
        <w:spacing w:after="120" w:before="240"/>
      </w:pPr>
      <w:r>
        <w:t xml:space="preserve">1.1 Autenticação e Gestão de Perfis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7696"/>
      </w:tblGrid>
      <w:tr>
        <w:trPr>
          <w:tblHeader/>
        </w:trPr>
        <w:tc>
          <w:tcPr>
            <w:tcW w:type="dxa" w:w="1664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696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RF01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o cadastro de novos usuários (estudante, professor e administrador), com validação dos dados informados.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RF02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o login por e-mail e senha, de forma segura.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RF03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controlar o acesso às funcionalidades com base em perfis de usuário (RBAC): estudante, professor e administrador.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RF04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a recuperação e redefinição de senha.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RF05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que o usuário edite os dados do próprio perfil.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RF06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que o usuário faça upload e atualize sua foto de perfil.</w:t>
            </w:r>
          </w:p>
        </w:tc>
      </w:tr>
      <w:tr>
        <w:tc>
          <w:tcPr>
            <w:tcW w:type="dxa" w:w="1664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RF07 (AJUSTADO)</w:t>
            </w:r>
          </w:p>
        </w:tc>
        <w:tc>
          <w:tcPr>
            <w:tcW w:type="dxa" w:w="7696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implementar autenticação de dois fatores (2FA) para os usuários. Prioridade rebaixada para desejável — candidato a postergação para uma versão futura, caso o cronograma da disciplina não comporte o esforço de implementação.</w:t>
            </w:r>
          </w:p>
        </w:tc>
      </w:tr>
      <w:tr>
        <w:tc>
          <w:tcPr>
            <w:tcW w:type="dxa" w:w="1664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RF08 (AJUSTADO)</w:t>
            </w:r>
          </w:p>
        </w:tc>
        <w:tc>
          <w:tcPr>
            <w:tcW w:type="dxa" w:w="7696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Caso o 2FA (RF07) seja implementado, o sistema deve validar o segundo fator somente após a validação bem-sucedida da autenticação primária (e-mail e senha).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RF09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invalidar a sessão do usuário ao realizar logout.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RF10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exigir o aceite explícito dos Termos de Uso e da Política de Privacidade no momento do cadastro.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RF11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que o usuário solicite a exclusão da própria conta e dos dados pessoais associados.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RF12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que o usuário exporte seus dados pessoais em formato legível (portabilidade de dados, conforme LGPD).</w:t>
            </w:r>
          </w:p>
        </w:tc>
      </w:tr>
    </w:tbl>
    <w:p>
      <w:pPr>
        <w:pStyle w:val="Heading2"/>
        <w:spacing w:after="120" w:before="240"/>
      </w:pPr>
      <w:r>
        <w:t xml:space="preserve">1.2 Diagnóstico e Nivelamento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7696"/>
      </w:tblGrid>
      <w:tr>
        <w:trPr>
          <w:tblHeader/>
        </w:trPr>
        <w:tc>
          <w:tcPr>
            <w:tcW w:type="dxa" w:w="1664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696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RF13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aplicar um teste de diagnóstico inicial ao estudante recém-cadastrado.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RF14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classificar automaticamente o nível de conhecimento do estudante a partir do resultado do diagnóstico.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RF15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a reaplicação periódica do diagnóstico, para acompanhar a evolução do estudante ao longo do tempo.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RF16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apresentar ao professor um panorama consolidado do nivelamento de toda a turma.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RF17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que o administrador configure e ajuste os critérios de classificação do diagnóstico.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RF18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a exportação do relatório de diagnóstico do estudante ou da turma em formato PDF.</w:t>
            </w:r>
          </w:p>
        </w:tc>
      </w:tr>
    </w:tbl>
    <w:p>
      <w:pPr>
        <w:pStyle w:val="Heading2"/>
        <w:spacing w:after="120" w:before="240"/>
      </w:pPr>
      <w:r>
        <w:t xml:space="preserve">1.3 Módulo Pedagógico (Trilhas, Atividades e Gamificação)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7696"/>
      </w:tblGrid>
      <w:tr>
        <w:trPr>
          <w:tblHeader/>
        </w:trPr>
        <w:tc>
          <w:tcPr>
            <w:tcW w:type="dxa" w:w="1664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696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RF19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recomendar trilhas de aprendizagem personalizadas de acordo com o nível identificado do estudante.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RF20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disponibilizar conteúdos de microaprendizagem e exercícios práticos vinculados às trilhas.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RF21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registrar e exibir o progresso do estudante em cada trilha e atividade.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RF22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atribuir pontuações e conquistas de gamificação conforme o desempenho e o engajamento do estudante.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RF23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exibir ao estudante um dashboard pessoal com seu progresso e pontuação.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RF24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que o professor ou administrador configure novas conquistas e regras de pontuação.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RF25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que o estudante envie feedback sobre uma atividade ou trilha concluída.</w:t>
            </w:r>
          </w:p>
        </w:tc>
      </w:tr>
      <w:tr>
        <w:tc>
          <w:tcPr>
            <w:tcW w:type="dxa" w:w="1664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RF47 (NOVO)</w:t>
            </w:r>
          </w:p>
        </w:tc>
        <w:tc>
          <w:tcPr>
            <w:tcW w:type="dxa" w:w="7696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que o estudante submeta respostas a atividades práticas vinculadas a uma trilha (texto, arquivo ou resposta objetiva, conforme o tipo de atividade).</w:t>
            </w:r>
          </w:p>
        </w:tc>
      </w:tr>
      <w:tr>
        <w:tc>
          <w:tcPr>
            <w:tcW w:type="dxa" w:w="1664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RF48 (NOVO)</w:t>
            </w:r>
          </w:p>
        </w:tc>
        <w:tc>
          <w:tcPr>
            <w:tcW w:type="dxa" w:w="7696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que o professor visualize, corrija e avalie as atividades práticas submetidas pelos estudantes, registrando nota ou parecer.</w:t>
            </w:r>
          </w:p>
        </w:tc>
      </w:tr>
    </w:tbl>
    <w:p>
      <w:pPr>
        <w:pStyle w:val="Heading2"/>
        <w:spacing w:after="120" w:before="240"/>
      </w:pPr>
      <w:r>
        <w:t xml:space="preserve">1.4 Grupos e Monitoria entre Pares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7696"/>
      </w:tblGrid>
      <w:tr>
        <w:trPr>
          <w:tblHeader/>
        </w:trPr>
        <w:tc>
          <w:tcPr>
            <w:tcW w:type="dxa" w:w="1664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696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RF26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sugerir a formação de grupos de estudo equilibrados, com base nos níveis de conhecimento diagnosticados.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RF27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que estudantes solicitem ou ofereçam monitoria entre pares.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RF28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que o professor supervisione e medie os grupos formados e as monitorias em andamento.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RF29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que o estudante participe de grupos sugeridos pela plataforma.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RF30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que os estudantes avaliem a monitoria recebida ao final da sessão.</w:t>
            </w:r>
          </w:p>
        </w:tc>
      </w:tr>
      <w:tr>
        <w:tc>
          <w:tcPr>
            <w:tcW w:type="dxa" w:w="1664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RF49 (NOVO)</w:t>
            </w:r>
          </w:p>
        </w:tc>
        <w:tc>
          <w:tcPr>
            <w:tcW w:type="dxa" w:w="7696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identificar e sugerir, de forma proativa, estudantes aptos a atuar como monitores em um tema, com base no desempenho diagnosticado, permitindo que sejam convidados pelo professor ou pelos colegas.</w:t>
            </w:r>
          </w:p>
        </w:tc>
      </w:tr>
    </w:tbl>
    <w:p>
      <w:pPr>
        <w:pStyle w:val="Heading2"/>
        <w:spacing w:after="120" w:before="240"/>
      </w:pPr>
      <w:r>
        <w:t xml:space="preserve">1.5 Comunicação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7696"/>
      </w:tblGrid>
      <w:tr>
        <w:trPr>
          <w:tblHeader/>
        </w:trPr>
        <w:tc>
          <w:tcPr>
            <w:tcW w:type="dxa" w:w="1664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696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RF31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disponibilizar um chat integrado para comunicação entre estudantes e professores.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RF32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notificar os usuários, dentro da plataforma, sobre eventos relevantes (nova trilha liberada, convite de grupo, nova mensagem, etc.).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RF33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enviar notificações por e-mail para eventos configurados como críticos (ex.: redefinição de senha, convite de monitoria).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RF34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a consulta ao histórico de mensagens trocadas no chat.</w:t>
            </w:r>
          </w:p>
        </w:tc>
      </w:tr>
    </w:tbl>
    <w:p>
      <w:pPr>
        <w:pStyle w:val="Heading2"/>
        <w:spacing w:after="120" w:before="240"/>
      </w:pPr>
      <w:r>
        <w:t xml:space="preserve">1.6 Gestão do Professor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7696"/>
      </w:tblGrid>
      <w:tr>
        <w:trPr>
          <w:tblHeader/>
        </w:trPr>
        <w:tc>
          <w:tcPr>
            <w:tcW w:type="dxa" w:w="1664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696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RF35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que o professor crie e gerencie suas turmas.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RF36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que o professor crie e edite atividades e trilhas de aprendizagem.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RF37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exibir ao professor um dashboard analítico com os resultados dos diagnósticos e a evolução da turma.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RF38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identificar automaticamente dificuldades recorrentes apresentadas pela turma.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RF39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a exportação de relatórios de turma em formato PDF ou planilha (Excel/CSV).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RF40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que o professor reutilize e organize um banco próprio de questões e atividades.</w:t>
            </w:r>
          </w:p>
        </w:tc>
      </w:tr>
    </w:tbl>
    <w:p>
      <w:pPr>
        <w:pStyle w:val="Heading2"/>
        <w:spacing w:after="120" w:before="240"/>
      </w:pPr>
      <w:r>
        <w:t xml:space="preserve">1.7 Administração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7696"/>
      </w:tblGrid>
      <w:tr>
        <w:trPr>
          <w:tblHeader/>
        </w:trPr>
        <w:tc>
          <w:tcPr>
            <w:tcW w:type="dxa" w:w="1664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696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RF41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que o administrador gerencie globalmente usuários e perfis de acesso.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RF42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que o administrador realize a manutenção e parametrização geral da plataforma.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RF43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registrar logs de auditoria das ações administrativas realizadas (quem, o quê, quando).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RF44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que o administrador configure a política de retenção e descarte de dados da plataforma.</w:t>
            </w:r>
          </w:p>
        </w:tc>
      </w:tr>
    </w:tbl>
    <w:p>
      <w:pPr>
        <w:pStyle w:val="Heading2"/>
        <w:spacing w:after="120" w:before="240"/>
      </w:pPr>
      <w:r>
        <w:t xml:space="preserve">1.8 Onboarding e Acessibilidade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7696"/>
      </w:tblGrid>
      <w:tr>
        <w:trPr>
          <w:tblHeader/>
        </w:trPr>
        <w:tc>
          <w:tcPr>
            <w:tcW w:type="dxa" w:w="1664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696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RF45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apresentar um tutorial guiado de onboarding no primeiro acesso do usuário.</w:t>
            </w:r>
          </w:p>
        </w:tc>
      </w:tr>
      <w:tr>
        <w:tc>
          <w:tcPr>
            <w:tcW w:type="dxa" w:w="16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RF46</w:t>
            </w:r>
          </w:p>
        </w:tc>
        <w:tc>
          <w:tcPr>
            <w:tcW w:type="dxa" w:w="769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oferecer opções de acessibilidade configuráveis pelo usuário (alto contraste e ajuste de tamanho de fonte).</w:t>
            </w:r>
          </w:p>
        </w:tc>
      </w:tr>
    </w:tbl>
    <w:p>
      <w:pPr>
        <w:pStyle w:val="Heading2"/>
        <w:spacing w:after="120" w:before="240"/>
      </w:pPr>
      <w:r>
        <w:t xml:space="preserve">1.9 Consentimento e Acompanhamento por Responsáveis Legais (NOVO)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7696"/>
      </w:tblGrid>
      <w:tr>
        <w:trPr>
          <w:tblHeader/>
        </w:trPr>
        <w:tc>
          <w:tcPr>
            <w:tcW w:type="dxa" w:w="1664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696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664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RF50 (NOVO)</w:t>
            </w:r>
          </w:p>
        </w:tc>
        <w:tc>
          <w:tcPr>
            <w:tcW w:type="dxa" w:w="7696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Para estudantes menores de idade, o sistema deve coletar o consentimento específico de um responsável legal antes de tratar os dados pessoais do menor, conforme art. 14 da LGPD.</w:t>
            </w:r>
          </w:p>
        </w:tc>
      </w:tr>
      <w:tr>
        <w:tc>
          <w:tcPr>
            <w:tcW w:type="dxa" w:w="1664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RF51 (NOVO — desejável)</w:t>
            </w:r>
          </w:p>
        </w:tc>
        <w:tc>
          <w:tcPr>
            <w:tcW w:type="dxa" w:w="7696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permitir que um responsável legal tenha acesso de leitura ao progresso e à evolução do estudante menor sob sua responsabilidade. Requisito desejável, podendo ser postergado para uma versão futura caso o prazo do MVP não comporte.</w:t>
            </w:r>
          </w:p>
        </w:tc>
      </w:tr>
    </w:tbl>
    <w:p>
      <w:pPr>
        <w:pStyle w:val="Heading1"/>
        <w:spacing w:after="150" w:before="300"/>
      </w:pPr>
      <w:r>
        <w:t xml:space="preserve">2. Requisitos Não Funcionais (RNF)</w:t>
      </w:r>
    </w:p>
    <w:p>
      <w:pPr>
        <w:pStyle w:val="Heading2"/>
        <w:spacing w:after="120" w:before="240"/>
      </w:pPr>
      <w:r>
        <w:t xml:space="preserve">2.1 Usabilidade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8"/>
        <w:gridCol w:w="7592"/>
      </w:tblGrid>
      <w:tr>
        <w:trPr>
          <w:tblHeader/>
        </w:trPr>
        <w:tc>
          <w:tcPr>
            <w:tcW w:type="dxa" w:w="1768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592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RNF01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interface deve ser responsiva, funcionando corretamente em navegadores desktop e dispositivos móveis.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RNF02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interface deve ser intuitiva e amigável, validada por meio de testes de usabilidade com usuários beta.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RNF03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interface deve estar em conformidade com as diretrizes de acessibilidade WCAG 2.1, nível AA.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RNF04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idioma padrão da interface deve ser o Português do Brasil (pt-BR).</w:t>
            </w:r>
          </w:p>
        </w:tc>
      </w:tr>
    </w:tbl>
    <w:p>
      <w:pPr>
        <w:pStyle w:val="Heading2"/>
        <w:spacing w:after="120" w:before="240"/>
      </w:pPr>
      <w:r>
        <w:t xml:space="preserve">2.2 Segurança e Privacidade (LGPD)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8"/>
        <w:gridCol w:w="7592"/>
      </w:tblGrid>
      <w:tr>
        <w:trPr>
          <w:tblHeader/>
        </w:trPr>
        <w:tc>
          <w:tcPr>
            <w:tcW w:type="dxa" w:w="1768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592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RNF05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Dados sensíveis devem ser criptografados em trânsito (HTTPS/TLS) e em repouso.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RNF06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controle de acesso deve seguir o modelo RBAC (Role-Based Access Control).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RNF07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estar em conformidade com a LGPD: consentimento explícito no cadastro, anonimização de dados para fins estatísticos e aplicação dos princípios de finalidade, adequação e necessidade.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RNF08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Por tratar dados de estudantes menores de idade, o sistema deve adotar controles adicionais de proteção de dados (Privacy by Design), incluindo o consentimento do responsável legal previsto no RF50.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RNF09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ter uma política de retenção e descarte de dados definida e documentada, incluindo prazos por tipo de dado.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RNF10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senhas dos usuários devem ser armazenadas utilizando hash criptográfico seguro (Argon2, bcrypt ou PBKDF2), nunca em texto plano.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RNF11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Os parâmetros de custo do algoritmo de hash (ex.: número de iterações, memória, paralelismo) devem ser configurados adequadamente e justificados tecnicamente.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RNF12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Cada senha deve ser protegida por um salt criptográfico único por usuário.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RNF13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hash da senha e o respectivo salt devem ser armazenados de forma correta e segura no banco de dados.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RNF14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sessões de usuário devem possuir tempo de expiração definido.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RNF15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implementar proteção contra ataques de força bruta no login, por meio de rate limiting, bloqueio temporário de conta e/ou atraso progressivo entre tentativas.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RNF16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registrar logs de eventos de autenticação (login, logout e tentativas de acesso malsucedidas).</w:t>
            </w:r>
          </w:p>
        </w:tc>
      </w:tr>
    </w:tbl>
    <w:p>
      <w:pPr>
        <w:pStyle w:val="Heading2"/>
        <w:spacing w:after="120" w:before="240"/>
      </w:pPr>
      <w:r>
        <w:t xml:space="preserve">2.3 Desempenho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8"/>
        <w:gridCol w:w="7592"/>
      </w:tblGrid>
      <w:tr>
        <w:trPr>
          <w:tblHeader/>
        </w:trPr>
        <w:tc>
          <w:tcPr>
            <w:tcW w:type="dxa" w:w="1768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592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RNF17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funcionalidades principais (login, dashboard, chat) devem responder em até 2 segundos para 95% das requisições em condições normais de uso.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RNF18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suportar, no mínimo, 40 usuários simultâneos de uma mesma turma sem degradação perceptível de desempenho.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RNF19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arquitetura deve permitir escalabilidade horizontal para suportar o crescimento do número de turmas e usuários concorrentes, na medida do viável dentro do free tier utilizado (ver RNF29–RNF31).</w:t>
            </w:r>
          </w:p>
        </w:tc>
      </w:tr>
    </w:tbl>
    <w:p>
      <w:pPr>
        <w:pStyle w:val="Heading2"/>
        <w:spacing w:after="120" w:before="240"/>
      </w:pPr>
      <w:r>
        <w:t xml:space="preserve">2.4 Confiabilidade e Disponibilidade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8"/>
        <w:gridCol w:w="7592"/>
      </w:tblGrid>
      <w:tr>
        <w:trPr>
          <w:tblHeader/>
        </w:trPr>
        <w:tc>
          <w:tcPr>
            <w:tcW w:type="dxa" w:w="1768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592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768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RNF20 (AJUSTADO)</w:t>
            </w:r>
          </w:p>
        </w:tc>
        <w:tc>
          <w:tcPr>
            <w:tcW w:type="dxa" w:w="7592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manter um esforço de disponibilidade compatível com a infraestrutura gratuita utilizada, sem interrupções não planejadas superiores a algumas horas durante o período letivo. A meta anterior de 99% foi removida por ser incompatível com a restrição orçamentária do projeto (RNF29).</w:t>
            </w:r>
          </w:p>
        </w:tc>
      </w:tr>
      <w:tr>
        <w:tc>
          <w:tcPr>
            <w:tcW w:type="dxa" w:w="1768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RNF21 (AJUSTADO)</w:t>
            </w:r>
          </w:p>
        </w:tc>
        <w:tc>
          <w:tcPr>
            <w:tcW w:type="dxa" w:w="7592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realizar backup do banco de dados ao menos semanalmente, de forma manual ou automatizada, compatível com o orçamento nulo do projeto.</w:t>
            </w:r>
          </w:p>
        </w:tc>
      </w:tr>
      <w:tr>
        <w:tc>
          <w:tcPr>
            <w:tcW w:type="dxa" w:w="1768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RNF22 (AJUSTADO)</w:t>
            </w:r>
          </w:p>
        </w:tc>
        <w:tc>
          <w:tcPr>
            <w:tcW w:type="dxa" w:w="7592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procedimento de restauração do backup (RNF21) deve estar documentado, dispensando metas formais de RTO/RPO nível empresarial, incompatíveis com o escopo de MVP acadêmico.</w:t>
            </w:r>
          </w:p>
        </w:tc>
      </w:tr>
    </w:tbl>
    <w:p>
      <w:pPr>
        <w:pStyle w:val="Heading2"/>
        <w:spacing w:after="120" w:before="240"/>
      </w:pPr>
      <w:r>
        <w:t xml:space="preserve">2.5 Compatibilidade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8"/>
        <w:gridCol w:w="7592"/>
      </w:tblGrid>
      <w:tr>
        <w:trPr>
          <w:tblHeader/>
        </w:trPr>
        <w:tc>
          <w:tcPr>
            <w:tcW w:type="dxa" w:w="1768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592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RNF23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ser compatível com as duas últimas versões estáveis dos principais navegadores web (Chrome, Firefox, Edge e Safari).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RNF24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suportar corretamente resoluções de tela móveis a partir de 360px de largura.</w:t>
            </w:r>
          </w:p>
        </w:tc>
      </w:tr>
    </w:tbl>
    <w:p>
      <w:pPr>
        <w:pStyle w:val="Heading2"/>
        <w:spacing w:after="120" w:before="240"/>
      </w:pPr>
      <w:r>
        <w:t xml:space="preserve">2.6 Manutenibilidade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8"/>
        <w:gridCol w:w="7592"/>
      </w:tblGrid>
      <w:tr>
        <w:trPr>
          <w:tblHeader/>
        </w:trPr>
        <w:tc>
          <w:tcPr>
            <w:tcW w:type="dxa" w:w="1768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592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RNF25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código-fonte deve ser documentado e seguir boas práticas de engenharia de software.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RNF26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arquitetura do sistema deve ser modular, permitindo a evolução e inclusão de novos módulos no futuro.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RNF27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possuir cobertura mínima de testes automatizados para os módulos críticos (autenticação, diagnóstico e segurança).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RNF28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projeto deve utilizar controle de versão (Git) e um pipeline de integração contínua (CI) para build e testes.</w:t>
            </w:r>
          </w:p>
        </w:tc>
      </w:tr>
    </w:tbl>
    <w:p>
      <w:pPr>
        <w:pStyle w:val="Heading2"/>
        <w:spacing w:after="120" w:before="240"/>
      </w:pPr>
      <w:r>
        <w:t xml:space="preserve">2.7 Custo e Infraestrutura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8"/>
        <w:gridCol w:w="7592"/>
      </w:tblGrid>
      <w:tr>
        <w:trPr>
          <w:tblHeader/>
        </w:trPr>
        <w:tc>
          <w:tcPr>
            <w:tcW w:type="dxa" w:w="1768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592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RNF29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desenvolvimento deve utilizar ferramentas, frameworks e serviços gratuitos ou open-source, em razão do orçamento nulo/limitado do projeto.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RNF30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Serviços de nuvem utilizados devem se manter dentro de camadas gratuitas (free tier) ou de baixíssimo custo.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RNF31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sistema deve monitorar o consumo dos serviços em nuvem e alertar a equipe quando o uso se aproximar dos limites do free tier.</w:t>
            </w:r>
          </w:p>
        </w:tc>
      </w:tr>
    </w:tbl>
    <w:p>
      <w:pPr>
        <w:pStyle w:val="Heading1"/>
        <w:spacing w:after="150" w:before="300"/>
      </w:pPr>
      <w:r>
        <w:t xml:space="preserve">3. Critérios de Aceite e Documentação</w:t>
      </w:r>
    </w:p>
    <w:p>
      <w:pPr>
        <w:spacing w:after="160"/>
      </w:pPr>
      <w:r>
        <w:t xml:space="preserve">Os itens abaixo não descrevem comportamento do sistema (RF) nem atributo de qualidade (RNF), mas sim evidências e documentação que a equipe deve produzir para comprovar o atendimento a requisitos sensíveis de segurança, diagnóstico e infraestrutura.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8"/>
        <w:gridCol w:w="7592"/>
      </w:tblGrid>
      <w:tr>
        <w:trPr>
          <w:tblHeader/>
        </w:trPr>
        <w:tc>
          <w:tcPr>
            <w:tcW w:type="dxa" w:w="1768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592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ACE01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fluxo de autenticação (incluindo 2FA, se implementado) deve estar documentado.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ACE02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Devem ser apresentadas evidências funcionais da autenticação (prints de tela, logs de sistema ou testes automatizados).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ACE03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justificativas técnicas das escolhas de segurança (algoritmo de hash, parâmetros de custo, estratégia de 2FA, etc.) devem estar documentadas.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ACE04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critério/algoritmo de classificação do diagnóstico (RF14, RF17) deve estar documentado e ser auditável.</w:t>
            </w:r>
          </w:p>
        </w:tc>
      </w:tr>
      <w:tr>
        <w:tc>
          <w:tcPr>
            <w:tcW w:type="dxa" w:w="17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ACE05</w:t>
            </w:r>
          </w:p>
        </w:tc>
        <w:tc>
          <w:tcPr>
            <w:tcW w:type="dxa" w:w="75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Devem ser apresentadas evidências de testes de desempenho que comprovem o atendimento aos RNF17–RNF19 (ex.: relatório de teste de carga).</w:t>
            </w:r>
          </w:p>
        </w:tc>
      </w:tr>
      <w:tr>
        <w:tc>
          <w:tcPr>
            <w:tcW w:type="dxa" w:w="1768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ACE06 (AJUSTADO)</w:t>
            </w:r>
          </w:p>
        </w:tc>
        <w:tc>
          <w:tcPr>
            <w:tcW w:type="dxa" w:w="7592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 procedimento de backup e restauração (RNF21–RNF22) deve estar documentado.</w:t>
            </w:r>
          </w:p>
        </w:tc>
      </w:tr>
    </w:tbl>
    <w:p>
      <w:pPr>
        <w:pStyle w:val="Heading1"/>
        <w:spacing w:after="150" w:before="300"/>
      </w:pPr>
      <w:r>
        <w:t xml:space="preserve">4. O que mudou em relação à Versão 2</w:t>
      </w:r>
    </w:p>
    <w:p>
      <w:pPr>
        <w:spacing w:after="120"/>
      </w:pPr>
      <w:r>
        <w:rPr>
          <w:b/>
          <w:bCs/>
        </w:rPr>
        <w:t xml:space="preserve">Requisitos funcionais adicionados: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RF47 e RF48 — submissão de atividades práticas pelo estudante e correção/avaliação pelo professor, cobrindo a dor "desconexão entre teoria e prática" citada no TAP e antes sem RF correspondente.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RF49 — sugestão proativa de monitores pelo sistema, atendendo ao objetivo específico "Potencializar a colaboração" e ao trecho do TAP que prevê alunos "convidados" a monitorar (não só quem se oferece).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RF50 — consentimento específico do responsável legal para tratamento de dados de estudantes menores, exigência do art. 14 da LGPD, alinhando o documento ao stakeholder "Responsáveis (Pais)" citado no TAP.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RF51 (desejável) — acesso de leitura do responsável legal ao progresso do estudante menor, dando alguma funcionalidade ao stakeholder "Responsáveis", que antes não tinha nenhuma no RF/RNF.</w:t>
      </w:r>
    </w:p>
    <w:p>
      <w:pPr>
        <w:spacing w:after="120"/>
      </w:pPr>
      <w:r>
        <w:rPr>
          <w:b/>
          <w:bCs/>
        </w:rPr>
        <w:t xml:space="preserve">Requisitos ajustados: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RF07/RF08 — 2FA rebaixado de obrigatório para desejável, por não constar no TAP e representar risco de esforço frente ao prazo da equipe de 3 integrantes.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RNF20 — meta de 99% de disponibilidade suavizada, por ser incompatível com a restrição de orçamento nulo declarada no próprio TAP (RNF29).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RNF21/RNF22 — política de backup e disaster recovery simplificada de nível empresarial (RTO/RPO) para algo proporcional a um MVP acadêmico.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ACE06 — critério de aceite ajustado para refletir a simplificação de RNF21/RNF22.</w:t>
      </w:r>
    </w:p>
    <w:p>
      <w:pPr>
        <w:spacing w:after="120"/>
      </w:pPr>
      <w:r>
        <w:rPr>
          <w:b/>
          <w:bCs/>
        </w:rPr>
        <w:t xml:space="preserve">Observação de rastreabilidade:</w:t>
      </w:r>
    </w:p>
    <w:p>
      <w:pPr>
        <w:spacing w:after="160"/>
      </w:pPr>
      <w:r>
        <w:t xml:space="preserve">Todos os itens novos foram derivados diretamente de trechos do TAP v1 (seção 3 — Definição do Problema; seção 6 — Descrição da Solução; seção 13 — Stakeholders) que ainda não tinham requisito funcional correspondente na v2.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2026-08-24T01:06:42.109Z</dcterms:created>
  <dcterms:modified xsi:type="dcterms:W3CDTF">2026-08-24T01:06:42.122Z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