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SÃO PAULO TECH SCHOOL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CURSO DE TECNOLOGIA EM ANÁLISE E DESENVOLVIMENTO DE SISTEMAS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DIOGO NUNES</w:t>
        <w:br/>
        <w:t xml:space="preserve">eNDRYL FIOROTTI</w:t>
        <w:br/>
        <w:t xml:space="preserve">FELIPE ESTEVES</w:t>
        <w:br/>
        <w:t xml:space="preserve">rAFAEL SAMPAIO</w:t>
        <w:br/>
        <w:t xml:space="preserve">RICARDO SOUSA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PROJETO DE PESQUISA E INOVAÇÃO</w:t>
        <w:br/>
        <w:t xml:space="preserve">COMPROD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5711" w:hanging="1175"/>
        <w:jc w:val="both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SÃO PAULO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2022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Sumário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VISÃO DO PROJETO</w:t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APRESENTAÇÃO DO GRUPO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CONTEXTO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Problema / justificativa do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objetivo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diagrama dE Visão de negócio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PLANEJAMENTO DO PROJETO</w:t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Definição da Equipe do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E FERRAMENTA DE GESTÃO DE PROJETOS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Gestão dos Riscos do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PRODUCT BACKLOG e requisitos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Sprints / sprint backlog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7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  <w:t xml:space="preserve">desenvolvimento do projeto</w:t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DIAGRAMA DE Solução Técnica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Banco de Dados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Protótipo das telas, lógica e usabilidade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MÉTRICAS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9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implantação do projeto</w:t>
        <w:tab/>
        <w:t xml:space="preserve">11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Manual de Instalação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Atendimento e Suporte / FERRAMENTA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11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CONCLUSÕES</w:t>
        <w:tab/>
        <w:t xml:space="preserve">13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resultados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aprendizado com o projeto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left" w:pos="851" w:leader="none"/>
          <w:tab w:val="left" w:pos="601" w:leader="none"/>
          <w:tab w:val="right" w:pos="9072" w:leader="dot"/>
        </w:tabs>
        <w:spacing w:before="0" w:after="120" w:line="240"/>
        <w:ind w:right="284" w:left="601" w:hanging="60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5.3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Considerações finais sobre A evolução da solução</w:t>
      </w:r>
      <w:r>
        <w:rPr>
          <w:rFonts w:ascii="Arial" w:hAnsi="Arial" w:cs="Arial" w:eastAsia="Arial"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13</w:t>
      </w:r>
    </w:p>
    <w:p>
      <w:pPr>
        <w:tabs>
          <w:tab w:val="left" w:pos="851" w:leader="none"/>
          <w:tab w:val="right" w:pos="9072" w:leader="dot"/>
        </w:tabs>
        <w:spacing w:before="0" w:after="120" w:line="240"/>
        <w:ind w:right="284" w:left="397" w:hanging="39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ReferÊncias</w:t>
        <w:tab/>
        <w:t xml:space="preserve">14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1320" w:hanging="13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12000" w:after="0" w:line="360"/>
        <w:ind w:right="567" w:left="0" w:firstLine="0"/>
        <w:jc w:val="righ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1</w:t>
        <w:tab/>
        <w:t xml:space="preserve">VISÃO DO PROJETO</w:t>
      </w:r>
    </w:p>
    <w:p>
      <w:pPr>
        <w:keepNext w:val="true"/>
        <w:pageBreakBefore w:val="true"/>
        <w:numPr>
          <w:ilvl w:val="0"/>
          <w:numId w:val="22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VISÃO DO PROJETO</w:t>
      </w:r>
    </w:p>
    <w:p>
      <w:pPr>
        <w:keepNext w:val="true"/>
        <w:numPr>
          <w:ilvl w:val="0"/>
          <w:numId w:val="22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ab/>
        <w:t xml:space="preserve">APRESENTAÇÃO DO GRUPO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Grupo 11 de pesquisa e inovação, Comprod.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grupo é composto por:</w:t>
        <w:tab/>
      </w:r>
    </w:p>
    <w:p>
      <w:pPr>
        <w:numPr>
          <w:ilvl w:val="0"/>
          <w:numId w:val="26"/>
        </w:numPr>
        <w:tabs>
          <w:tab w:val="left" w:pos="851" w:leader="none"/>
        </w:tabs>
        <w:spacing w:before="0" w:after="0" w:line="36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Diogo Nunes;</w:t>
      </w:r>
    </w:p>
    <w:p>
      <w:pPr>
        <w:numPr>
          <w:ilvl w:val="0"/>
          <w:numId w:val="26"/>
        </w:numPr>
        <w:tabs>
          <w:tab w:val="left" w:pos="851" w:leader="none"/>
        </w:tabs>
        <w:spacing w:before="0" w:after="0" w:line="36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Endryl Fiorotti;</w:t>
      </w:r>
    </w:p>
    <w:p>
      <w:pPr>
        <w:numPr>
          <w:ilvl w:val="0"/>
          <w:numId w:val="26"/>
        </w:numPr>
        <w:tabs>
          <w:tab w:val="left" w:pos="851" w:leader="none"/>
        </w:tabs>
        <w:spacing w:before="0" w:after="0" w:line="36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Felipe Esteves;</w:t>
      </w:r>
    </w:p>
    <w:p>
      <w:pPr>
        <w:numPr>
          <w:ilvl w:val="0"/>
          <w:numId w:val="26"/>
        </w:numPr>
        <w:tabs>
          <w:tab w:val="left" w:pos="851" w:leader="none"/>
        </w:tabs>
        <w:spacing w:before="0" w:after="0" w:line="36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Rafael Sampaio;</w:t>
      </w:r>
    </w:p>
    <w:p>
      <w:pPr>
        <w:numPr>
          <w:ilvl w:val="0"/>
          <w:numId w:val="26"/>
        </w:numPr>
        <w:tabs>
          <w:tab w:val="left" w:pos="851" w:leader="none"/>
        </w:tabs>
        <w:spacing w:before="0" w:after="0" w:line="36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Ricardo Sousa.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2894" w:dyaOrig="2865">
          <v:rect xmlns:o="urn:schemas-microsoft-com:office:office" xmlns:v="urn:schemas-microsoft-com:vml" id="rectole0000000000" style="width:144.700000pt;height:14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Logomarca da Comprod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Temos maior foco no meio corporativo empresarial com o objetivo de melhorar a eficiência e a produtividade dos funcinonários da empresa contratante, faremos isso proporcionando um ambiente mais confortável para se trabalhar.</w:t>
      </w:r>
    </w:p>
    <w:p>
      <w:pPr>
        <w:keepNext w:val="true"/>
        <w:numPr>
          <w:ilvl w:val="0"/>
          <w:numId w:val="30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CONTEXTO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 Comprod é uma empresa de tecnologia especializada em transformar o local de trabalho em um ambiente mais saudável e confortável, através de soluções tecnológicas como sensores de temperatura e luminosidade. Com projetos planejados e personalizados para o meio corporativo, somos capazes de aumentar a disposição e produtividade dos funcionários.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 falta de conforto nas instalações físicas do escritório afeta o ânimo e, consequentemente, derrubam a produtividade. A temperatura influencia, e muito, na produtividade. Já se sabe que o rendimento é maior quando a temperatura está entre 20º e 25º Celsius. A mesma importância deve ser dispensada à iluminação: quanto mais luz natural incidindo no ambiente de trabalho, mais saudável será esse ambiente.</w:t>
      </w:r>
    </w:p>
    <w:p>
      <w:pPr>
        <w:keepNext w:val="true"/>
        <w:numPr>
          <w:ilvl w:val="0"/>
          <w:numId w:val="32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Problema / justificativa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</w:t>
        <w:tab/>
        <w:t xml:space="preserve">Tendo em vista que o mau uso do ar-condicionado abaixa a imunidade, é claro o impacto gerado pelo uso desregulado deste equipamento na saúde dos usuários. O mesmo é responsável por nos deixar suscetíveis a doenças respiratórias como gripe, resfriado, pneumonia, bronquite, entre outras. Uma climatização adequada é de extrema importância, ajudando a prevenir a chamada “Síndrome do Edifício Doente”.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3" w:firstLine="0"/>
        <w:jc w:val="righ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“Essa síndrome, que começou a ser estudada na década de 1970, está frequentemente relacionada ao sistema de refrigeração ou de aquecimento dos edifícios... Fatores como temperatura inadequada, velocidade do ar e umidade abaixo ou acima do recomendável também estão relacionados à síndrome, de acordo com o médico Clovis Chechinel”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 g1.globo.</w:t>
      </w:r>
    </w:p>
    <w:p>
      <w:pPr>
        <w:tabs>
          <w:tab w:val="left" w:pos="851" w:leader="none"/>
        </w:tabs>
        <w:spacing w:before="0" w:after="0" w:line="360"/>
        <w:ind w:right="0" w:left="3" w:firstLine="0"/>
        <w:jc w:val="righ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Segundo o site O Globo historicamente, 1 a cada 4 funcionários (25%) entrega ao menos um atestado por mês e cerca de 51% dos atestados entregues em janeiro de 2021 foram por doenças respiratórias, logo o uso inadequado do ar-condicionado é responsável por grande parte do índice de absenteísmo no meio corporativo, além da diminuição de sua produtividade no serviço.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 NR (norma regulamentadora do ministério do trabalho) de nº 17, estipula que a temperatura deve ser mantida entre 20°C e 23°C, velocidade do ar em 0,75 m/s e umidade relativa mínima de 40%.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Já a iluminação não adequada do ambiente pode causar irritação nos olhos, cansaço visual, problemas de pele, baixa atenção, aumento no número de acidentes (por falta de atenção) diminuindo a produtividade dos funcionários. A má iluminação pode ser caracterizada por alguns fatores, como níveis muito altos ou muito baixos de luz, distribuição incorreta da intensidade luminosa, cor inadequada da luz que dificulta a visão e impacta o estado emocional, mal direcionamento da luz e da sombra, lâmpadas, refletores e demais objetos de iluminação em mau funcionamento.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Segundo pesquisas feitas pela UFRJ algumas restrições devem ser seguidas dentro do ambiente de trabalho: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ambiente de trabalho deve apresentar, no mínimo, 500 luxes, o que é fiscalizado pelo Ministério do Trabalho;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excesso da luz solar deve ser controlado com cortinas, persianas e janelas com vidro com insulfilme. Há uma tendência em se aproveitar a luz natural, sempre complementando-a com a iluminação artificial;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computador nunca deve receber a luz natural da janela diretamente na tela. O ofuscamento prejudica a concentração e a saúde;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Utilizar cores claras no ambiente de trabalho e estudo, melhoram a iluminação do local e você se sentirá mais confortável e disposto no seu local de trabalho.</w:t>
      </w:r>
    </w:p>
    <w:p>
      <w:pPr>
        <w:keepNext w:val="true"/>
        <w:numPr>
          <w:ilvl w:val="0"/>
          <w:numId w:val="36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objetivo da solução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Através de soluções tecnológicas com o uso de sensores de temperatura e luminosidade, os sensores irão fazer a captura de dados do ambiente e irá envia-los para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uma dashboard que o gestor ou gerente do setor terá acesso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para visualiza-los em tempo real, e caso a temperatura ou a luminosidade do local esteja fora da adequada, a dashboard enviará alertas para que o usuário possa fazer a regulagem, realizando essa regulagem o funcionário se sentirá mais confortável para trabalhar e terá um maior rendimento, além de garantir a saúde do funcionário.</w:t>
      </w:r>
    </w:p>
    <w:p>
      <w:pPr>
        <w:keepNext w:val="true"/>
        <w:numPr>
          <w:ilvl w:val="0"/>
          <w:numId w:val="38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diagrama dE Visão de negócio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11759">
          <v:rect xmlns:o="urn:schemas-microsoft-com:office:office" xmlns:v="urn:schemas-microsoft-com:vml" id="rectole0000000001" style="width:415.500000pt;height:58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12000" w:after="0" w:line="360"/>
        <w:ind w:right="567" w:left="0" w:firstLine="0"/>
        <w:jc w:val="righ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2</w:t>
        <w:tab/>
        <w:t xml:space="preserve">PLANEJAMENTO DO PROJETO</w:t>
      </w:r>
    </w:p>
    <w:p>
      <w:pPr>
        <w:keepNext w:val="true"/>
        <w:pageBreakBefore w:val="true"/>
        <w:numPr>
          <w:ilvl w:val="0"/>
          <w:numId w:val="42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PLANEJAMENTO DO PROJETO</w:t>
      </w:r>
    </w:p>
    <w:p>
      <w:pPr>
        <w:keepNext w:val="true"/>
        <w:numPr>
          <w:ilvl w:val="0"/>
          <w:numId w:val="42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Definição da Equipe do projeto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Descrever a equipe e seus papéis no projeto, mencionar os papéis de acordo com a metodologia ágil adotada. Ex. Scrum Master, Product Owner, Time de Desenvolvimento, etc. Deixar claro quem fez o quê no projeto, um integrante pode ter mais de um papel no projeto.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numPr>
          <w:ilvl w:val="0"/>
          <w:numId w:val="45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E FERRAMENTA DE GESTÃO DE PROJETOS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Descrever o processo de gestão e seus benefícios: Divisão das tarefas, evidências das Daily Meetings (exemplo de Ata de reunião); Prints da ferramenta de gestão de atividades utilizada.</w:t>
      </w:r>
    </w:p>
    <w:p>
      <w:pPr>
        <w:keepNext w:val="true"/>
        <w:numPr>
          <w:ilvl w:val="0"/>
          <w:numId w:val="47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Gestão dos Riscos do Projeto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Apresentar os principais riscos levantados, sua classificação e plano de resposta (somente para turmas que tiveram essa aula e exercício).</w:t>
      </w:r>
    </w:p>
    <w:p>
      <w:pPr>
        <w:keepNext w:val="true"/>
        <w:numPr>
          <w:ilvl w:val="0"/>
          <w:numId w:val="49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PRODUCT BACKLOG e requisitos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Apresentar o Product Backlog e a lista dos requisitos, com a classificação de prioridade.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1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Sprints / sprint backlog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Apresentar o(s) Sprint Backlog(s)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 que do Product Backlog foi endere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çado no(s) Sprint(s)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12000" w:after="0" w:line="360"/>
        <w:ind w:right="567" w:left="0" w:firstLine="0"/>
        <w:jc w:val="righ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3</w:t>
        <w:tab/>
        <w:t xml:space="preserve">desenvolvimento do projeto</w:t>
      </w:r>
    </w:p>
    <w:p>
      <w:pPr>
        <w:keepNext w:val="true"/>
        <w:pageBreakBefore w:val="true"/>
        <w:numPr>
          <w:ilvl w:val="0"/>
          <w:numId w:val="54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000000"/>
          <w:spacing w:val="0"/>
          <w:position w:val="0"/>
          <w:sz w:val="24"/>
          <w:shd w:fill="auto" w:val="clear"/>
        </w:rPr>
        <w:t xml:space="preserve">desenvolvimento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6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DIAGRAMA DE Solução Técnica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Descrição da solução, detalhamento dos componentes utilizados, diagramas de arquitetura, etc.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0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Banco de Dados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Modelo Lógico e Físico (SCRIPT) do Banco de Dados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4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Protótipo das telas, lógica e usabilidade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Apresentar as telas construídas e sua lógica de navegação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8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MÉTRICAS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Apresentar as métricas definidas para o disparo dos alarmes. Explicar o conceito adotado, limites, cores, etc.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12000" w:after="0" w:line="360"/>
        <w:ind w:right="567" w:left="0" w:firstLine="0"/>
        <w:jc w:val="righ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4</w:t>
        <w:tab/>
        <w:t xml:space="preserve">implantação do projeto</w:t>
      </w:r>
    </w:p>
    <w:p>
      <w:pPr>
        <w:keepNext w:val="true"/>
        <w:pageBreakBefore w:val="true"/>
        <w:numPr>
          <w:ilvl w:val="0"/>
          <w:numId w:val="73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implantação do projeto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75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Manual de Instalação da solução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Descritivo básico da instalação da solução e principais cuidados. Guia de instalação e uso.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79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Atendimento e Suporte / FERRAMENTA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Desenho e apresentação do Processo de Suporte (Fluxo);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Apresentação e detalhamento da ferramenta utilizada para Help Desk/Suporte;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Canais de atendimento (telefone,e-meil, chat), níveis de suporte, base de conhecimento na ferramenta selecionada.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12000" w:after="0" w:line="360"/>
        <w:ind w:right="567" w:left="0" w:firstLine="0"/>
        <w:jc w:val="righ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5</w:t>
        <w:tab/>
        <w:t xml:space="preserve">CONCLUSÕES</w:t>
      </w:r>
    </w:p>
    <w:p>
      <w:pPr>
        <w:keepNext w:val="true"/>
        <w:pageBreakBefore w:val="true"/>
        <w:numPr>
          <w:ilvl w:val="0"/>
          <w:numId w:val="84"/>
        </w:numPr>
        <w:tabs>
          <w:tab w:val="left" w:pos="851" w:leader="none"/>
        </w:tabs>
        <w:spacing w:before="0" w:after="480" w:line="240"/>
        <w:ind w:right="0" w:left="432" w:hanging="432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CONCLUSÕES</w:t>
      </w:r>
    </w:p>
    <w:p>
      <w:pPr>
        <w:keepNext w:val="true"/>
        <w:numPr>
          <w:ilvl w:val="0"/>
          <w:numId w:val="84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resultados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Cumprimento dos requisitos, performance, usabilidade.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89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Processo de aprendizado com o projeto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Detalhamento e visão do grupo em relação ao aprendizado durante o desenvolvimento do projeto.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93"/>
        </w:numPr>
        <w:tabs>
          <w:tab w:val="left" w:pos="851" w:leader="none"/>
        </w:tabs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Considerações finais sobre A evolução da solução 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Qual a visão do grupo em relação à evolução deste projeto. Caso haja mais tempo e dedicação no projeto em versões futuras, como ele seria ofertado/apresentado.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ReferÊncias</w:t>
      </w:r>
    </w:p>
    <w:p>
      <w:pPr>
        <w:tabs>
          <w:tab w:val="left" w:pos="851" w:leader="none"/>
        </w:tabs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Ambiente de trabalho: 8 problemas que mais afetam a produtividade.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Neotriad.com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14 de setembro de 2021. Disponivel em: &lt;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https://gestaodeequipes.com.br/ambiente-de-trabalho-os-8-problemas-que-mais-afetam-a-produtividade/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&gt;.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AHMAD, C. S.  et al. Mechanical properties of soft tissue femoral fixation devices for anterior cruciate ligament reconstruction.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Am J Sports Med,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v. 32, n. 3, p. 635-40, Apr-May 2004. ISSN 0363-5465 (Print). Disponível em: &lt; 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http://www.ncbi.nlm.nih.gov/entrez/query.fcgi?cmd=Retrieve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db=PubMed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dopt=Citation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"http://www.ncbi.nlm.nih.gov/entrez/query.fcgi?cmd=Retrieve&amp;db=PubMed&amp;dopt=Citation&amp;list_uids=15090378"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list_uids=15090378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&gt;.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Journal of biomechanical engineering,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v. 123, p. 162,  2001.  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ENDO, V. T.  et al.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Investigação de Métodos de Fixação de Ligamentos e Tendões em Ensaios de Tração Uniaxial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Primeiro Encontro de Engenharia Biomecânica (ENEBI)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Petrópolis UFSC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p. 2007.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GOODSHIP, A.; BIRCH, H. Cross sectional area measurement of tendon and ligament in vitro: a simple, rapid, non-destructive technique.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Journal of biomechanics,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v. 38, n. 3, p. 605-608,  2005.  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NOYES, F.  et al.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Biomechanical analysis of human ligament grafts used in knee-ligament repairs and reconstructions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JBJS. 66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344-352 p. 1984.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NOYES, F. R.  et al. Intra-articular cruciate reconstruction. I: Perspectives on graft strength, vascularization, and immediate motion after replacement.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Clin Orthop Relat Res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n. 172, p. 71-7, Jan-Feb 1983. ISSN 0009-921X (Print). Disponível em: &lt; 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http://www.ncbi.nlm.nih.gov/entrez/query.fcgi?cmd=Retrieve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db=PubMed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dopt=Citation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"http://www.ncbi.nlm.nih.gov/entrez/query.fcgi?cmd=Retrieve&amp;db=PubMed&amp;dopt=Citation&amp;list_uids=6337002"</w:t>
        </w:r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list_uids=6337002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&gt;. </w:t>
      </w:r>
    </w:p>
    <w:p>
      <w:pPr>
        <w:tabs>
          <w:tab w:val="left" w:pos="851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0" w:line="240"/>
        <w:ind w:right="0" w:left="720" w:hanging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51" w:leader="none"/>
        </w:tabs>
        <w:spacing w:before="0" w:after="24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851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b/>
          <w:caps w:val="true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2">
    <w:abstractNumId w:val="126"/>
  </w:num>
  <w:num w:numId="26">
    <w:abstractNumId w:val="120"/>
  </w:num>
  <w:num w:numId="30">
    <w:abstractNumId w:val="114"/>
  </w:num>
  <w:num w:numId="32">
    <w:abstractNumId w:val="108"/>
  </w:num>
  <w:num w:numId="36">
    <w:abstractNumId w:val="102"/>
  </w:num>
  <w:num w:numId="38">
    <w:abstractNumId w:val="96"/>
  </w:num>
  <w:num w:numId="42">
    <w:abstractNumId w:val="90"/>
  </w:num>
  <w:num w:numId="45">
    <w:abstractNumId w:val="84"/>
  </w:num>
  <w:num w:numId="47">
    <w:abstractNumId w:val="78"/>
  </w:num>
  <w:num w:numId="49">
    <w:abstractNumId w:val="72"/>
  </w:num>
  <w:num w:numId="51">
    <w:abstractNumId w:val="66"/>
  </w:num>
  <w:num w:numId="54">
    <w:abstractNumId w:val="60"/>
  </w:num>
  <w:num w:numId="56">
    <w:abstractNumId w:val="54"/>
  </w:num>
  <w:num w:numId="60">
    <w:abstractNumId w:val="48"/>
  </w:num>
  <w:num w:numId="64">
    <w:abstractNumId w:val="42"/>
  </w:num>
  <w:num w:numId="68">
    <w:abstractNumId w:val="36"/>
  </w:num>
  <w:num w:numId="73">
    <w:abstractNumId w:val="30"/>
  </w:num>
  <w:num w:numId="75">
    <w:abstractNumId w:val="24"/>
  </w:num>
  <w:num w:numId="79">
    <w:abstractNumId w:val="18"/>
  </w:num>
  <w:num w:numId="84">
    <w:abstractNumId w:val="12"/>
  </w:num>
  <w:num w:numId="89">
    <w:abstractNumId w:val="6"/>
  </w:num>
  <w:num w:numId="9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gestaodeequipes.com.br/ambiente-de-trabalho-os-8-problemas-que-mais-afetam-a-produtividade/" Id="docRId4" Type="http://schemas.openxmlformats.org/officeDocument/2006/relationships/hyperlink" /><Relationship TargetMode="External" Target="http://www.ncbi.nlm.nih.gov/entrez/query.fcgi?cmd=Retrieve&amp;db=PubMed&amp;dopt=Citation&amp;list_uids=6337002" Id="docRId6" Type="http://schemas.openxmlformats.org/officeDocument/2006/relationships/hyperlink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Mode="External" Target="http://www.ncbi.nlm.nih.gov/entrez/query.fcgi?cmd=Retrieve&amp;db=PubMed&amp;dopt=Citation&amp;list_uids=15090378" Id="docRId5" Type="http://schemas.openxmlformats.org/officeDocument/2006/relationships/hyperlink" /></Relationships>
</file>