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08A7F" w14:textId="77777777" w:rsidR="00126301" w:rsidRPr="008B0B9D" w:rsidRDefault="00543659" w:rsidP="00B25B75">
      <w:pPr>
        <w:spacing w:before="1800"/>
        <w:jc w:val="center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b/>
          <w:bCs/>
          <w:color w:val="000000" w:themeColor="text1"/>
        </w:rPr>
        <w:t>ESPM · MARKETING ESTRATÉGICO</w:t>
      </w:r>
    </w:p>
    <w:p w14:paraId="45FDFCC8" w14:textId="77777777" w:rsidR="00126301" w:rsidRPr="008B0B9D" w:rsidRDefault="00543659" w:rsidP="00B25B75">
      <w:pPr>
        <w:spacing w:before="1400" w:after="200"/>
        <w:jc w:val="center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Diagnóstico Estratégico de Competitividade da QSOFT</w:t>
      </w:r>
    </w:p>
    <w:p w14:paraId="3BD76BE8" w14:textId="77777777" w:rsidR="00126301" w:rsidRPr="008B0B9D" w:rsidRDefault="00543659" w:rsidP="00B25B75">
      <w:pPr>
        <w:spacing w:after="1600"/>
        <w:jc w:val="center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  <w:sz w:val="24"/>
          <w:szCs w:val="24"/>
        </w:rPr>
        <w:t>Projeto de Marketing Estratégico — 1ª Entrega</w:t>
      </w:r>
    </w:p>
    <w:p w14:paraId="525388A9" w14:textId="77777777" w:rsidR="00126301" w:rsidRPr="008B0B9D" w:rsidRDefault="00543659" w:rsidP="00B25B75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  <w:sz w:val="21"/>
          <w:szCs w:val="21"/>
        </w:rPr>
        <w:t>Gustavo Carvalho – 311941</w:t>
      </w:r>
    </w:p>
    <w:p w14:paraId="69AE8C04" w14:textId="77777777" w:rsidR="00126301" w:rsidRPr="008B0B9D" w:rsidRDefault="00543659" w:rsidP="00B25B75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  <w:sz w:val="21"/>
          <w:szCs w:val="21"/>
        </w:rPr>
        <w:t>Julia Egute – 309092</w:t>
      </w:r>
    </w:p>
    <w:p w14:paraId="683E6060" w14:textId="77777777" w:rsidR="00126301" w:rsidRPr="008B0B9D" w:rsidRDefault="00543659" w:rsidP="00B25B75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  <w:sz w:val="21"/>
          <w:szCs w:val="21"/>
        </w:rPr>
        <w:t>Pablo Perez – 227536</w:t>
      </w:r>
    </w:p>
    <w:p w14:paraId="3C04246F" w14:textId="77777777" w:rsidR="00126301" w:rsidRPr="008B0B9D" w:rsidRDefault="00543659" w:rsidP="00B25B75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  <w:sz w:val="21"/>
          <w:szCs w:val="21"/>
        </w:rPr>
        <w:t>Pedro Perroni – 238701</w:t>
      </w:r>
    </w:p>
    <w:p w14:paraId="05F67CD6" w14:textId="77777777" w:rsidR="00126301" w:rsidRPr="008B0B9D" w:rsidRDefault="00543659" w:rsidP="00B25B75">
      <w:pPr>
        <w:spacing w:before="1400"/>
        <w:jc w:val="center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ESPM · São Paulo · setembro de 2026</w:t>
      </w:r>
    </w:p>
    <w:p w14:paraId="5C1FCE4B" w14:textId="77777777" w:rsidR="00126301" w:rsidRPr="008B0B9D" w:rsidRDefault="00543659" w:rsidP="00B25B75">
      <w:pPr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br w:type="page"/>
      </w:r>
    </w:p>
    <w:p w14:paraId="4B3A080F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b/>
          <w:bCs/>
          <w:color w:val="000000" w:themeColor="text1"/>
          <w:szCs w:val="28"/>
        </w:rPr>
        <w:lastRenderedPageBreak/>
        <w:t>Sumário</w:t>
      </w:r>
    </w:p>
    <w:p w14:paraId="0C54081C" w14:textId="77777777" w:rsidR="00126301" w:rsidRPr="008B0B9D" w:rsidRDefault="00543659" w:rsidP="00B25B75">
      <w:pPr>
        <w:tabs>
          <w:tab w:val="right" w:leader="dot" w:pos="9638"/>
        </w:tabs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Resumo executivo</w:t>
      </w:r>
      <w:r w:rsidRPr="008B0B9D">
        <w:rPr>
          <w:rFonts w:ascii="Times New Roman" w:hAnsi="Times New Roman" w:cs="Times New Roman"/>
          <w:color w:val="000000" w:themeColor="text1"/>
        </w:rPr>
        <w:tab/>
        <w:t>3</w:t>
      </w:r>
    </w:p>
    <w:p w14:paraId="0EC7D9CA" w14:textId="77777777" w:rsidR="00126301" w:rsidRPr="008B0B9D" w:rsidRDefault="00543659" w:rsidP="00B25B75">
      <w:pPr>
        <w:tabs>
          <w:tab w:val="right" w:leader="dot" w:pos="9638"/>
        </w:tabs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1. Análise do macroambiente (PESTEL)</w:t>
      </w:r>
      <w:r w:rsidRPr="008B0B9D">
        <w:rPr>
          <w:rFonts w:ascii="Times New Roman" w:hAnsi="Times New Roman" w:cs="Times New Roman"/>
          <w:color w:val="000000" w:themeColor="text1"/>
        </w:rPr>
        <w:tab/>
        <w:t>4</w:t>
      </w:r>
    </w:p>
    <w:p w14:paraId="23FAD607" w14:textId="77777777" w:rsidR="00126301" w:rsidRPr="008B0B9D" w:rsidRDefault="00543659" w:rsidP="00B25B75">
      <w:pPr>
        <w:tabs>
          <w:tab w:val="right" w:leader="dot" w:pos="9638"/>
        </w:tabs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2. Análise do microambiente e da competitividade</w:t>
      </w:r>
      <w:r w:rsidRPr="008B0B9D">
        <w:rPr>
          <w:rFonts w:ascii="Times New Roman" w:hAnsi="Times New Roman" w:cs="Times New Roman"/>
          <w:color w:val="000000" w:themeColor="text1"/>
        </w:rPr>
        <w:tab/>
        <w:t>7</w:t>
      </w:r>
    </w:p>
    <w:p w14:paraId="68F1947F" w14:textId="77777777" w:rsidR="00126301" w:rsidRPr="008B0B9D" w:rsidRDefault="00543659" w:rsidP="00B25B75">
      <w:pPr>
        <w:tabs>
          <w:tab w:val="right" w:leader="dot" w:pos="9638"/>
        </w:tabs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3. Cinco Forças Competitivas de Porter</w:t>
      </w:r>
      <w:r w:rsidRPr="008B0B9D">
        <w:rPr>
          <w:rFonts w:ascii="Times New Roman" w:hAnsi="Times New Roman" w:cs="Times New Roman"/>
          <w:color w:val="000000" w:themeColor="text1"/>
        </w:rPr>
        <w:tab/>
        <w:t>13</w:t>
      </w:r>
    </w:p>
    <w:p w14:paraId="16DAB0B1" w14:textId="77777777" w:rsidR="00126301" w:rsidRPr="008B0B9D" w:rsidRDefault="00543659" w:rsidP="00B25B75">
      <w:pPr>
        <w:tabs>
          <w:tab w:val="right" w:leader="dot" w:pos="9638"/>
        </w:tabs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4. Análise dos clientes – 6W + 1W</w:t>
      </w:r>
      <w:r w:rsidRPr="008B0B9D">
        <w:rPr>
          <w:rFonts w:ascii="Times New Roman" w:hAnsi="Times New Roman" w:cs="Times New Roman"/>
          <w:color w:val="000000" w:themeColor="text1"/>
        </w:rPr>
        <w:tab/>
        <w:t>14</w:t>
      </w:r>
    </w:p>
    <w:p w14:paraId="5EB946FF" w14:textId="77777777" w:rsidR="00126301" w:rsidRPr="008B0B9D" w:rsidRDefault="00543659" w:rsidP="00B25B75">
      <w:pPr>
        <w:tabs>
          <w:tab w:val="right" w:leader="dot" w:pos="9638"/>
        </w:tabs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5. Fornecedores e parceiros da cadeia</w:t>
      </w:r>
      <w:r w:rsidRPr="008B0B9D">
        <w:rPr>
          <w:rFonts w:ascii="Times New Roman" w:hAnsi="Times New Roman" w:cs="Times New Roman"/>
          <w:color w:val="000000" w:themeColor="text1"/>
        </w:rPr>
        <w:tab/>
        <w:t>15</w:t>
      </w:r>
    </w:p>
    <w:p w14:paraId="04E59688" w14:textId="77777777" w:rsidR="00126301" w:rsidRPr="008B0B9D" w:rsidRDefault="00543659" w:rsidP="00B25B75">
      <w:pPr>
        <w:tabs>
          <w:tab w:val="right" w:leader="dot" w:pos="9638"/>
        </w:tabs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6. Análise do ambiente interno</w:t>
      </w:r>
      <w:r w:rsidRPr="008B0B9D">
        <w:rPr>
          <w:rFonts w:ascii="Times New Roman" w:hAnsi="Times New Roman" w:cs="Times New Roman"/>
          <w:color w:val="000000" w:themeColor="text1"/>
        </w:rPr>
        <w:tab/>
        <w:t>17</w:t>
      </w:r>
    </w:p>
    <w:p w14:paraId="76CC967A" w14:textId="77777777" w:rsidR="00126301" w:rsidRPr="008B0B9D" w:rsidRDefault="00543659" w:rsidP="00B25B75">
      <w:pPr>
        <w:tabs>
          <w:tab w:val="right" w:leader="dot" w:pos="9638"/>
        </w:tabs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7. SWOT ponderada – consolidação do diagnóstico</w:t>
      </w:r>
      <w:r w:rsidRPr="008B0B9D">
        <w:rPr>
          <w:rFonts w:ascii="Times New Roman" w:hAnsi="Times New Roman" w:cs="Times New Roman"/>
          <w:color w:val="000000" w:themeColor="text1"/>
        </w:rPr>
        <w:tab/>
        <w:t>20</w:t>
      </w:r>
    </w:p>
    <w:p w14:paraId="21B5B391" w14:textId="77777777" w:rsidR="00126301" w:rsidRPr="008B0B9D" w:rsidRDefault="00543659" w:rsidP="00B25B75">
      <w:pPr>
        <w:tabs>
          <w:tab w:val="right" w:leader="dot" w:pos="9638"/>
        </w:tabs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8. SWOT cruzada</w:t>
      </w:r>
      <w:r w:rsidRPr="008B0B9D">
        <w:rPr>
          <w:rFonts w:ascii="Times New Roman" w:hAnsi="Times New Roman" w:cs="Times New Roman"/>
          <w:color w:val="000000" w:themeColor="text1"/>
        </w:rPr>
        <w:tab/>
        <w:t>20</w:t>
      </w:r>
    </w:p>
    <w:p w14:paraId="52B69538" w14:textId="77777777" w:rsidR="00126301" w:rsidRPr="008B0B9D" w:rsidRDefault="00543659" w:rsidP="00B25B75">
      <w:pPr>
        <w:tabs>
          <w:tab w:val="right" w:leader="dot" w:pos="9638"/>
        </w:tabs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9. Estratégia genérica de Porter</w:t>
      </w:r>
      <w:r w:rsidRPr="008B0B9D">
        <w:rPr>
          <w:rFonts w:ascii="Times New Roman" w:hAnsi="Times New Roman" w:cs="Times New Roman"/>
          <w:color w:val="000000" w:themeColor="text1"/>
        </w:rPr>
        <w:tab/>
        <w:t>22</w:t>
      </w:r>
    </w:p>
    <w:p w14:paraId="4187737D" w14:textId="77777777" w:rsidR="00126301" w:rsidRPr="008B0B9D" w:rsidRDefault="00543659" w:rsidP="00B25B75">
      <w:pPr>
        <w:tabs>
          <w:tab w:val="right" w:leader="dot" w:pos="9638"/>
        </w:tabs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10. Matriz final de prioridades para o Plano de Marketing</w:t>
      </w:r>
      <w:r w:rsidRPr="008B0B9D">
        <w:rPr>
          <w:rFonts w:ascii="Times New Roman" w:hAnsi="Times New Roman" w:cs="Times New Roman"/>
          <w:color w:val="000000" w:themeColor="text1"/>
        </w:rPr>
        <w:tab/>
        <w:t>24</w:t>
      </w:r>
    </w:p>
    <w:p w14:paraId="04665CB4" w14:textId="77777777" w:rsidR="00126301" w:rsidRPr="008B0B9D" w:rsidRDefault="00543659" w:rsidP="00B25B75">
      <w:pPr>
        <w:tabs>
          <w:tab w:val="right" w:leader="dot" w:pos="9638"/>
        </w:tabs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11. Conclusão – tese de competitividade</w:t>
      </w:r>
      <w:r w:rsidRPr="008B0B9D">
        <w:rPr>
          <w:rFonts w:ascii="Times New Roman" w:hAnsi="Times New Roman" w:cs="Times New Roman"/>
          <w:color w:val="000000" w:themeColor="text1"/>
        </w:rPr>
        <w:tab/>
        <w:t>24</w:t>
      </w:r>
    </w:p>
    <w:p w14:paraId="65FF1425" w14:textId="77777777" w:rsidR="00126301" w:rsidRPr="008B0B9D" w:rsidRDefault="00543659" w:rsidP="00B25B75">
      <w:pPr>
        <w:tabs>
          <w:tab w:val="right" w:leader="dot" w:pos="9638"/>
        </w:tabs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Fontes</w:t>
      </w:r>
      <w:r w:rsidRPr="008B0B9D">
        <w:rPr>
          <w:rFonts w:ascii="Times New Roman" w:hAnsi="Times New Roman" w:cs="Times New Roman"/>
          <w:color w:val="000000" w:themeColor="text1"/>
        </w:rPr>
        <w:tab/>
        <w:t>25</w:t>
      </w:r>
    </w:p>
    <w:p w14:paraId="05B4B679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br w:type="page"/>
      </w:r>
    </w:p>
    <w:p w14:paraId="00C8EA12" w14:textId="77777777" w:rsidR="00126301" w:rsidRPr="008B0B9D" w:rsidRDefault="00543659" w:rsidP="00B25B75">
      <w:pPr>
        <w:pStyle w:val="Ttulo11"/>
        <w:spacing w:before="280" w:after="14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lastRenderedPageBreak/>
        <w:t>Resumo executivo</w:t>
      </w:r>
    </w:p>
    <w:p w14:paraId="36C86B2A" w14:textId="77777777" w:rsidR="00126301" w:rsidRPr="008B0B9D" w:rsidRDefault="00543659" w:rsidP="00B25B75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b/>
          <w:bCs/>
          <w:color w:val="000000" w:themeColor="text1"/>
        </w:rPr>
        <w:t xml:space="preserve">Pergunta central: </w:t>
      </w:r>
      <w:r w:rsidRPr="008B0B9D">
        <w:rPr>
          <w:rFonts w:ascii="Times New Roman" w:hAnsi="Times New Roman" w:cs="Times New Roman"/>
          <w:color w:val="000000" w:themeColor="text1"/>
        </w:rPr>
        <w:t>diante do mercado, da concorrência, dos clientes, da cadeia e das capacidades internas, qual é a situação competitiva da QSOFT e qual estratégia genérica oferece a base mais coerente para construir vantagem?</w:t>
      </w:r>
    </w:p>
    <w:p w14:paraId="41C3EDB2" w14:textId="77777777" w:rsidR="00126301" w:rsidRPr="008B0B9D" w:rsidRDefault="00543659" w:rsidP="00B25B75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Situação competitiva. A CPM apresenta informação incompleta e não sustenta ranking geral. A QSOFT tem relacionamento plurianual e referência em saúde documentados, mas precisa delimitar a oferta de governança do uso de IA e sistematizar prova de valor.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Indicium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e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Keyrus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já descrevem ofertas nessa frente. A direção recomendada é validar uma proposta específica para saúde na base atual.</w:t>
      </w:r>
    </w:p>
    <w:p w14:paraId="148296E4" w14:textId="77777777" w:rsidR="00126301" w:rsidRPr="008B0B9D" w:rsidRDefault="00543659" w:rsidP="00B25B75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Estratégia recomendada. Enfoque em diferenciação para organizações de saúde com operações complexas. Conhecimento do processo, governança aplicável e benefícios mensuráveis formam a proposta. A escolha decorre da aderência de recursos e referências ao segmento; não há evidência de liderança em custos ou de superioridade geral sobre concorrentes.</w:t>
      </w:r>
    </w:p>
    <w:p w14:paraId="70E35868" w14:textId="77777777" w:rsidR="00126301" w:rsidRPr="008B0B9D" w:rsidRDefault="00543659" w:rsidP="00B25B75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Prioridades para o Plano de Marketing: PR1 delimitar e validar oferta de governança ia (27.47%); PR2 padronizar prova de valor e mensuração (27.47%); PR3 proteger continuidade e conhecimento (17.58%); PR4 desenvolver capacidade e marca empregadora (17.58%); PR5 validar treinamento como entrada b2b (9.89%). Seguros permanece como exploração futura condicionada.</w:t>
      </w:r>
    </w:p>
    <w:p w14:paraId="6ADA909B" w14:textId="77777777" w:rsidR="00C622B6" w:rsidRDefault="00C622B6" w:rsidP="00B25B75">
      <w:pPr>
        <w:pStyle w:val="Ttulo21"/>
        <w:spacing w:before="200" w:after="100"/>
        <w:rPr>
          <w:rFonts w:ascii="Times New Roman" w:hAnsi="Times New Roman" w:cs="Times New Roman"/>
          <w:color w:val="000000" w:themeColor="text1"/>
        </w:rPr>
      </w:pPr>
    </w:p>
    <w:p w14:paraId="5CC374BB" w14:textId="6B104957" w:rsidR="00126301" w:rsidRPr="008B0B9D" w:rsidRDefault="00543659" w:rsidP="00B25B75">
      <w:pPr>
        <w:pStyle w:val="Ttulo21"/>
        <w:spacing w:before="2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Nota metodológica</w:t>
      </w:r>
    </w:p>
    <w:p w14:paraId="516219F3" w14:textId="77777777" w:rsidR="00126301" w:rsidRPr="008B0B9D" w:rsidRDefault="00543659" w:rsidP="00B25B75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Método. Pesos e notas expressam julgamento analítico do grupo, não pesquisa representativa. Escalas de impacto/intensidade/importância vão de 1 (marginal) a 5 (decisivo), com justificativas por quadro. Fontes externas são identificadas por E01–E21; trechos da entrevista por Q01–Q08. Declarações internas e cases públicos não foram auditados. A planilha preserva fórmulas e pressupostos editáveis.</w:t>
      </w:r>
    </w:p>
    <w:p w14:paraId="3B8A6E52" w14:textId="77777777" w:rsidR="00126301" w:rsidRPr="008B0B9D" w:rsidRDefault="00543659" w:rsidP="00B25B75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Rastreabilidade. P = PESTEL; M = mercado; F = CPM; FP = Porter; C = clientes; V = cadeia; R = VRIO; I = interno; S/W/O/T = SWOT; X = cruzamento; PR = recomendação. NV significa não verificado, nunca desempenho neutro. A data de referência externa é 30/09/2026. A transcrição não registra a data exata da entrevista e contém erros automáticos; usam-se apenas trechos com sentido claro. Nenhuma alegação depende de um briefing não disponível para conferência.</w:t>
      </w:r>
    </w:p>
    <w:p w14:paraId="48B720F9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br w:type="page"/>
      </w:r>
    </w:p>
    <w:p w14:paraId="3478BA7D" w14:textId="77777777" w:rsidR="00126301" w:rsidRPr="008B0B9D" w:rsidRDefault="00543659" w:rsidP="00B25B75">
      <w:pPr>
        <w:pStyle w:val="Ttulo11"/>
        <w:spacing w:before="280" w:after="14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lastRenderedPageBreak/>
        <w:t>1. Análise do macroambiente (PESTEL)</w:t>
      </w:r>
    </w:p>
    <w:p w14:paraId="16971292" w14:textId="77777777" w:rsidR="00126301" w:rsidRPr="008B0B9D" w:rsidRDefault="00543659" w:rsidP="00B25B75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Dez fatores foram selecionados por aderência ao negócio, magnitude e horizonte de 1–3 anos. A análise contempla todas as dimensões PESTEL. Fatores como Selic não foram priorizados separadamente neste recorte, o que não significa neutralidade: seus efeitos sobre orçamento e retorno podem aparecer em P3.</w:t>
      </w:r>
    </w:p>
    <w:p w14:paraId="3CB0379E" w14:textId="77777777" w:rsidR="00126301" w:rsidRPr="008B0B9D" w:rsidRDefault="00543659" w:rsidP="00B25B75">
      <w:pPr>
        <w:keepNext/>
        <w:spacing w:before="1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b/>
          <w:bCs/>
          <w:color w:val="000000" w:themeColor="text1"/>
          <w:szCs w:val="17"/>
        </w:rPr>
        <w:t>Tabela 1.1 – Cadeia de análise por fator: evidência → tendência → impacto no mercado → impacto na QSOFT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7"/>
        <w:gridCol w:w="1607"/>
        <w:gridCol w:w="1606"/>
        <w:gridCol w:w="1606"/>
        <w:gridCol w:w="1606"/>
        <w:gridCol w:w="1606"/>
      </w:tblGrid>
      <w:tr w:rsidR="00126301" w:rsidRPr="008B0B9D" w14:paraId="4D50B379" w14:textId="77777777" w:rsidTr="00945734">
        <w:trPr>
          <w:cantSplit/>
          <w:tblHeader/>
        </w:trPr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52744D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Cód.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4487E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Fator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1DE81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Evidência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5E291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Tendência / mudança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5AB2D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Impacto no mercado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8CB6E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Impacto na QSOFT</w:t>
            </w:r>
          </w:p>
        </w:tc>
      </w:tr>
      <w:tr w:rsidR="00126301" w:rsidRPr="008B0B9D" w14:paraId="54EC608C" w14:textId="77777777">
        <w:trPr>
          <w:cantSplit/>
        </w:trPr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020BB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P1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882E6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Uso corporativo de IA e risco residual de Shadow AI (Social/Tecnológico)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68940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E02: na base brasileira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Netskope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, uso pessoal caiu de 81% para 52% e gerenciado subiu de 29% para 70%; Q06 relata uso não autorizado.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03F1B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Avanço do controle com risco residual e uso misto.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5CC82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Demanda potencial por adoção segura e integração.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7775B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Validar dor, orçamento e controles dos clientes; oferta ainda a delimitar.</w:t>
            </w:r>
          </w:p>
        </w:tc>
      </w:tr>
      <w:tr w:rsidR="00126301" w:rsidRPr="008B0B9D" w14:paraId="7B0230E0" w14:textId="77777777">
        <w:trPr>
          <w:cantSplit/>
        </w:trPr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40BDF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P2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C578A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Governança e regulação de dados e IA (Legal)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B2DED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E06–E08: LGPD vigente e PL 2338 em tramitação; E03 projeta US$ 492 mi globais em plataformas em 2026.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1C743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Governança ganha atenção; projeto de lei não cria obrigação vigente.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A42B9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Controle e rastreabilidade podem ganhar peso na compra.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291B1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Articular TI e jurídico; não prometer conformidade jurídica.</w:t>
            </w:r>
          </w:p>
        </w:tc>
      </w:tr>
      <w:tr w:rsidR="00126301" w:rsidRPr="008B0B9D" w14:paraId="04592B88" w14:textId="77777777">
        <w:trPr>
          <w:cantSplit/>
        </w:trPr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19FF8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P3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6DBFE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Crescimento de TI mais seletivo e prova de retorno (Econômico)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68E30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E01: US$ 58,6 bi (2024), US$ 67,8 bi (2025); taxa divulgada 18,5%, mas variação aritmética 15,7%; projeção 2026 +5,3%. Q03: ROI exige premissas.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DA6E0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Investimento segue crescendo com maior seletividade.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BB6D9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Propostas precisam demonstrar benefícios e custos.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670C8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Padronizar prova de valor, sem converter horas liberadas automaticamente em economia.</w:t>
            </w:r>
          </w:p>
        </w:tc>
      </w:tr>
      <w:tr w:rsidR="00126301" w:rsidRPr="008B0B9D" w14:paraId="0491AD58" w14:textId="77777777">
        <w:trPr>
          <w:cantSplit/>
        </w:trPr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E7BD9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P4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6265F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Investimento bancário em dados e cloud (Econômico)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EE691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E04: bancos preveem R$ 50 bi em TI, incluindo R$ 3 bi em IA/dados e R$ 3,9 bi em cloud em 2026.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43095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Continuidade do investimento bancário.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CB762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Sinal de demanda em bancos; não mede mercado de seguros.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816F2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Explorar financeiro somente após validar requisitos e referências em seguros (Q07).</w:t>
            </w:r>
          </w:p>
        </w:tc>
      </w:tr>
      <w:tr w:rsidR="00126301" w:rsidRPr="008B0B9D" w14:paraId="4D42E0F9" w14:textId="77777777">
        <w:trPr>
          <w:cantSplit/>
        </w:trPr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B3C6B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P5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DB015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Política de desenvolvimento de IA e infraestrutura de dados (Político/Tecnológico)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D0576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E11: PBIA prevê R$ 23 bi até 2028. E01 destaca integração da IA às operações.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B5E59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Incentivo à formação e à adoção de IA.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365E5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Pode ampliar projetos de dados; execução e acesso aos recursos não garantidos.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CD690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Conectar IA à engenharia e governança; avaliar oportunidades aderentes.</w:t>
            </w:r>
          </w:p>
        </w:tc>
      </w:tr>
      <w:tr w:rsidR="00126301" w:rsidRPr="008B0B9D" w14:paraId="4A5FC81F" w14:textId="77777777">
        <w:trPr>
          <w:cantSplit/>
        </w:trPr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BD898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P6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52989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Commoditização e atualização tecnológica (Tecnológico)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B41BA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Q06: IA disponível nas plataformas; QSOFT usa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stack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do cliente. E02: uso direto e embarcado coexistem.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952D0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Mais funcionalidades incorporadas e alternativas.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EE610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Serviços padronizados podem sofrer substituição.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0E304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Diferenciar aplicação e resultado; plataformas não são tecnicamente idênticas.</w:t>
            </w:r>
          </w:p>
        </w:tc>
      </w:tr>
      <w:tr w:rsidR="00126301" w:rsidRPr="008B0B9D" w14:paraId="6EE2C75A" w14:textId="77777777">
        <w:trPr>
          <w:cantSplit/>
        </w:trPr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8D386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P7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B9E43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Disputa por talentos especializados (Sociocultural)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75FF0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E05: descasamento histórico de 30,2% (2018–2023); Q02: folha 60–70%, formação interna e disputa de agenda.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C5ADF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Oferta de competências precisa acompanhar demanda.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AF073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Pressão de contratação e atualização, sem quantificar déficit atual.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B57F5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Alinhar crescimento comercial à disponibilidade; desenvolver talentos.</w:t>
            </w:r>
          </w:p>
        </w:tc>
      </w:tr>
      <w:tr w:rsidR="00126301" w:rsidRPr="008B0B9D" w14:paraId="1AFE2195" w14:textId="77777777">
        <w:trPr>
          <w:cantSplit/>
        </w:trPr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06C1F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lastRenderedPageBreak/>
              <w:t>P8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4C7E7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Necessidade de capacitação em dados e IA (Sociocultural)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9BA11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Q06 relata uso inadequado de IA; Q04 estima conversão de treinamento. E04: R$ 29,4 mi previstos em capacitação IA (+31%).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80131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Adoção demanda aprendizado e gestão da mudança.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68955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Potencial de treinamento corporativo e serviços posteriores.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35475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Validar conversão e capacidade; integrar literacia à proposta.</w:t>
            </w:r>
          </w:p>
        </w:tc>
      </w:tr>
      <w:tr w:rsidR="00126301" w:rsidRPr="008B0B9D" w14:paraId="688BC352" w14:textId="77777777">
        <w:trPr>
          <w:cantSplit/>
        </w:trPr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5B103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P9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8A0BF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Transição tributária do consumo (Político/Legal)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F8B6A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E09: testes em 2026, CBS em 2027, transição IBS 2029–2033; Q02: predominância de folha.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82FA0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Adaptação gradual do sistema tributário.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BFD47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Efeito sobre preços depende de regime, créditos e contratos.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458F0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Simular efeito contábil; reforçar valor e revisar condições contratuais.</w:t>
            </w:r>
          </w:p>
        </w:tc>
      </w:tr>
      <w:tr w:rsidR="00126301" w:rsidRPr="008B0B9D" w14:paraId="32A3DB03" w14:textId="77777777">
        <w:trPr>
          <w:cantSplit/>
        </w:trPr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D1163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P10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4D949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Energia e eficiência da infraestrutura digital (Ambiental)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496A0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E10 acompanha expansão das cargas de data centers. Não há evidência de exigência ambiental na compra dos clientes QSOFT.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76337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Maior atenção à capacidade e eficiência energética.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A02AC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Oportunidade indireta de otimização, não demanda comprovada.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96CF8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Validar requisitos ambientais; não equiparar economia financeira a redução de emissões.</w:t>
            </w:r>
          </w:p>
        </w:tc>
      </w:tr>
    </w:tbl>
    <w:p w14:paraId="5315D6AF" w14:textId="77777777" w:rsidR="00126301" w:rsidRPr="008B0B9D" w:rsidRDefault="00543659" w:rsidP="00B25B75">
      <w:pPr>
        <w:spacing w:before="4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Fontes e limitações por fator: E01–E11 e Q01–Q08, conforme registro de evidências ao final.</w:t>
      </w:r>
    </w:p>
    <w:p w14:paraId="07D9D430" w14:textId="77777777" w:rsidR="00126301" w:rsidRPr="008B0B9D" w:rsidRDefault="00543659" w:rsidP="00B25B75">
      <w:pPr>
        <w:pStyle w:val="Ttulo21"/>
        <w:spacing w:before="2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Quadro-síntese obrigatório – Macroambiente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"/>
        <w:gridCol w:w="1700"/>
        <w:gridCol w:w="1701"/>
        <w:gridCol w:w="539"/>
        <w:gridCol w:w="539"/>
        <w:gridCol w:w="539"/>
        <w:gridCol w:w="680"/>
        <w:gridCol w:w="1701"/>
        <w:gridCol w:w="1701"/>
      </w:tblGrid>
      <w:tr w:rsidR="00126301" w:rsidRPr="008B0B9D" w14:paraId="014B55B2" w14:textId="77777777" w:rsidTr="00B25B75">
        <w:trPr>
          <w:cantSplit/>
          <w:tblHeader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ADFC65" w14:textId="77777777" w:rsidR="00126301" w:rsidRPr="00B25B75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B25B75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Cód.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B8890F" w14:textId="77777777" w:rsidR="00126301" w:rsidRPr="00B25B75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B25B75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Fator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6EBA2C" w14:textId="77777777" w:rsidR="00126301" w:rsidRPr="00B25B75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B25B75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Evidência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E90CE3" w14:textId="77777777" w:rsidR="00126301" w:rsidRPr="00B25B75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B25B75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O/A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A057AD" w14:textId="77777777" w:rsidR="00126301" w:rsidRPr="00B25B75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B25B75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Impacto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506162" w14:textId="77777777" w:rsidR="00126301" w:rsidRPr="00B25B75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B25B75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Peso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B4EF21" w14:textId="77777777" w:rsidR="00126301" w:rsidRPr="00B25B75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B25B75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Prioridade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4688A6" w14:textId="77777777" w:rsidR="00126301" w:rsidRPr="00B25B75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B25B75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Implicação para Marketing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F522F8" w14:textId="77777777" w:rsidR="00126301" w:rsidRPr="00B25B75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B25B75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Recomendação</w:t>
            </w:r>
          </w:p>
        </w:tc>
      </w:tr>
      <w:tr w:rsidR="00126301" w:rsidRPr="008B0B9D" w14:paraId="22B94F3D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2339B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P1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6A408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Uso corporativo de IA e risco residual de Shadow AI (Social/Tecnológico)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3B5E6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E02: na base brasileira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Netskope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, uso pessoal caiu de 81% para 52% e gerenciado subiu de 29% para 70%; Q06 relata uso não autorizado.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A2697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B3F8F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63825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16%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8CE0B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0,80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955F1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Validar dor, orçamento e controles dos clientes; oferta ainda a delimitar.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6CC47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Delimitar oferta de governança de IA para saúde.</w:t>
            </w:r>
          </w:p>
        </w:tc>
      </w:tr>
      <w:tr w:rsidR="00126301" w:rsidRPr="008B0B9D" w14:paraId="6DB48332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219A8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P3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31C57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Crescimento de TI mais seletivo e prova de retorno (Econômico)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716EA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E01: US$ 58,6 bi (2024), US$ 67,8 bi (2025); taxa divulgada 18,5%, mas variação aritmética 15,7%; projeção 2026 +5,3%. Q03: ROI exige premissas.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AFB3C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906CF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B26A1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14%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9C230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0,70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F9CD3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Padronizar prova de valor, sem converter horas liberadas automaticamente em economia.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429E0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Método de prova de valor e ROI.</w:t>
            </w:r>
          </w:p>
        </w:tc>
      </w:tr>
      <w:tr w:rsidR="00126301" w:rsidRPr="008B0B9D" w14:paraId="5BC2B413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1A188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P2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2B437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Governança e regulação de dados e IA (Legal)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C7F8F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E06–E08: LGPD vigente e PL 2338 em tramitação; E03 projeta US$ 492 mi globais em plataformas em 2026.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A6A8D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A8382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7E969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12%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65079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0,48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DFE2D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Articular TI e jurídico; não prometer conformidade jurídica.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0D856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Comunicar redução de risco operacional.</w:t>
            </w:r>
          </w:p>
        </w:tc>
      </w:tr>
      <w:tr w:rsidR="00126301" w:rsidRPr="008B0B9D" w14:paraId="3FB5B6F9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8334F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P7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92CB9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Disputa por talentos especializados (Sociocultural)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98D84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E05: descasamento histórico de 30,2% (2018–2023); Q02: folha 60–70%, formação interna e disputa de agenda.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AE5B7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F789C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6D247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12%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1D5B5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0,48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45546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Alinhar crescimento comercial à disponibilidade; desenvolver talentos.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C481D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Formação, retenção e marca empregadora.</w:t>
            </w:r>
          </w:p>
        </w:tc>
      </w:tr>
      <w:tr w:rsidR="00126301" w:rsidRPr="008B0B9D" w14:paraId="2AED4A82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394C3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P4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2CD68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Investimento bancário em dados e cloud (Econômico)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2FEED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E04: bancos preveem R$ 50 bi em TI, incluindo R$ 3 bi em IA/dados e R$ 3,9 bi em cloud em 2026.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EB4FA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5AA7F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E94A8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DBDFB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0,40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21AFA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Explorar financeiro somente após validar requisitos e referências em seguros (Q07).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5C09B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Validar oportunidade em seguros antes da expansão.</w:t>
            </w:r>
          </w:p>
        </w:tc>
      </w:tr>
      <w:tr w:rsidR="00126301" w:rsidRPr="008B0B9D" w14:paraId="55808728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502A5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lastRenderedPageBreak/>
              <w:t>P5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74AED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Política de desenvolvimento de IA e infraestrutura de dados (Político/Tecnológico)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6404C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E11: PBIA prevê R$ 23 bi até 2028. E01 destaca integração da IA às operações.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19547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CA15D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B4FDA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739EA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0,40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9A1BD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Conectar IA à engenharia e governança; avaliar oportunidades aderentes.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2C247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Comunicar IA apoiada em dados governados.</w:t>
            </w:r>
          </w:p>
        </w:tc>
      </w:tr>
      <w:tr w:rsidR="00126301" w:rsidRPr="008B0B9D" w14:paraId="1BE20473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CDE8C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P6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677BD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Commoditização e atualização tecnológica (Tecnológico)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07FD9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Q06: IA disponível nas plataformas; QSOFT usa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stack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do cliente. E02: uso direto e embarcado coexistem.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98732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859AB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8C731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8%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28C7D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0,24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879F0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Diferenciar aplicação e resultado; plataformas não são tecnicamente idênticas.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ECCF8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Comunicar método e resultados.</w:t>
            </w:r>
          </w:p>
        </w:tc>
      </w:tr>
      <w:tr w:rsidR="00126301" w:rsidRPr="008B0B9D" w14:paraId="02596302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D16F2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P8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A291B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Necessidade de capacitação em dados e IA (Sociocultural)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BD3C8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Q06 relata uso inadequado de IA; Q04 estima conversão de treinamento. E04: R$ 29,4 mi previstos em capacitação IA (+31%).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C7C41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BB417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CA224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8%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92E22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0,24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FAC78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Validar conversão e capacidade; integrar literacia à proposta.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C4C22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Trilhas corporativas e mensuração de conversão.</w:t>
            </w:r>
          </w:p>
        </w:tc>
      </w:tr>
      <w:tr w:rsidR="00126301" w:rsidRPr="008B0B9D" w14:paraId="7031CF8E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37FB7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P9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B7303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Transição tributária do consumo (Político/Legal)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C0B37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E09: testes em 2026, CBS em 2027, transição IBS 2029–2033; Q02: predominância de folha.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B2037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3BFC9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57141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6%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A97B6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0,18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F03D9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Simular efeito contábil; reforçar valor e revisar condições contratuais.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76B60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Simulação tributária e valor percebido.</w:t>
            </w:r>
          </w:p>
        </w:tc>
      </w:tr>
      <w:tr w:rsidR="00126301" w:rsidRPr="008B0B9D" w14:paraId="3808A42F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F4707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P10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8ABAF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Energia e eficiência da infraestrutura digital (Ambiental)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33E26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E10 acompanha expansão das cargas de data centers. Não há evidência de exigência ambiental na compra dos clientes QSOFT.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829F7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2C0AE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AAC07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A5936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0,08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13D26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Validar requisitos ambientais; não equiparar economia financeira a redução de emissões.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7B44B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Validar eficiência como benefício complementar.</w:t>
            </w:r>
          </w:p>
        </w:tc>
      </w:tr>
      <w:tr w:rsidR="00126301" w:rsidRPr="008B0B9D" w14:paraId="1B426DB7" w14:textId="77777777" w:rsidTr="00B25B75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8F686E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A6172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Total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D23EA7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BA7B8F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23168F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253E4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100%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D3B4F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4,00</w:t>
            </w: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D31D69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1C1445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5E77C65E" w14:textId="77777777" w:rsidR="00126301" w:rsidRPr="008B0B9D" w:rsidRDefault="00543659" w:rsidP="00B25B75">
      <w:pPr>
        <w:spacing w:before="4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Prioridade = impacto × peso. Oportunidades selecionadas somam 2,40 e ameaças 1,60. A diferença não é probabilidade, saldo econômico ou comprovação de atratividade.</w:t>
      </w:r>
    </w:p>
    <w:p w14:paraId="3401E987" w14:textId="77777777" w:rsidR="00126301" w:rsidRPr="008B0B9D" w:rsidRDefault="00543659" w:rsidP="00B25B75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Ponderação. P1 (16%) e P3 (14%) recebem maior peso pela ligação direta com demanda e aprovação da compra. P2/P7 (12% cada) afetam risco e entrega. P4/P5 (10%) indicam expansão condicionada; P6/P8 (8%) mudam diferenciação e adoção; P9 (6%) exige simulação; P10 (4%) tem efeito indireto ainda não comprovado na compra. Impacto 1=marginal, 2=indireto, 3=moderado, 4=alto, 5=decisivo. As notas 5 de P1/P3 decorrem de sua relação com problema e decisão comercial relatados, não de demanda medida.</w:t>
      </w:r>
    </w:p>
    <w:p w14:paraId="4868B0AA" w14:textId="77777777" w:rsidR="00126301" w:rsidRPr="008B0B9D" w:rsidRDefault="00543659" w:rsidP="00B25B75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Prioridades. P1/P3 orientam a oferta e a prova de valor. P2/P7 condicionam segurança e capacidade. Governança IA já tem concorrentes com ofertas delimitadas (E15/E19), portanto a oportunidade exige foco e validação. P10 permanece secundário porque não há requisito ambiental confirmado nos clientes.</w:t>
      </w:r>
    </w:p>
    <w:p w14:paraId="734E54AD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br w:type="page"/>
      </w:r>
    </w:p>
    <w:p w14:paraId="1F1378C5" w14:textId="77777777" w:rsidR="00126301" w:rsidRPr="008B0B9D" w:rsidRDefault="00543659" w:rsidP="00B25B75">
      <w:pPr>
        <w:pStyle w:val="Ttulo11"/>
        <w:spacing w:before="280" w:after="14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lastRenderedPageBreak/>
        <w:t>2. Análise do microambiente e da competitividade</w:t>
      </w:r>
    </w:p>
    <w:p w14:paraId="490CE439" w14:textId="77777777" w:rsidR="00126301" w:rsidRPr="008B0B9D" w:rsidRDefault="00543659" w:rsidP="00B25B75">
      <w:pPr>
        <w:pStyle w:val="Ttulo21"/>
        <w:spacing w:before="2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2.1 Mercado e setor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126301" w:rsidRPr="008B0B9D" w14:paraId="631F1CB9" w14:textId="77777777" w:rsidTr="00012DB2">
        <w:trPr>
          <w:cantSplit/>
          <w:tblHeader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9C4390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Aspecto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D8B18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Caracterização</w:t>
            </w:r>
          </w:p>
        </w:tc>
      </w:tr>
      <w:tr w:rsidR="00126301" w:rsidRPr="008B0B9D" w14:paraId="2B6389DD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9DC42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Recorte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7A783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Consultoria B2B de dados, BI, IA, cloud e governança. TI agregado é contexto de mercado, não tamanho do nicho. Fontes E01/E03 e entrevista.</w:t>
            </w:r>
          </w:p>
        </w:tc>
      </w:tr>
      <w:tr w:rsidR="00126301" w:rsidRPr="008B0B9D" w14:paraId="080468C1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ACA4A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Tamanho e evolução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34509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E01: US$ 58,6 bi em 2024 e US$ 67,8 bi em 2025. Taxa divulgada 18,5%, diferente dos 15,7% calculados. Projeção +5,3% em 2026; US$ 71,4 bi é cenário aritmético do grupo, não valor oficial.</w:t>
            </w:r>
          </w:p>
        </w:tc>
      </w:tr>
      <w:tr w:rsidR="00126301" w:rsidRPr="008B0B9D" w14:paraId="5D4B1539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337AE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Segmentos (vertical)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FF7C2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Saúde é o foco mais aderente segundo Q01; sete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Unimeds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citadas, sem ranking independente. Indústria, varejo e educação também aparecem. Seguros é intenção de expansão (Q07).</w:t>
            </w:r>
          </w:p>
        </w:tc>
      </w:tr>
      <w:tr w:rsidR="00126301" w:rsidRPr="008B0B9D" w14:paraId="3FB72DA9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7A0DD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Segmentos (oferta)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72AF2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Alocação/times sob demanda concentra a maior receita e o maior número de pessoas; projetos; suporte e sustentação; treinamento (menor ticket, porta de entrada); licenças e produtos. Público-alvo: médias e grandes empresas.</w:t>
            </w:r>
          </w:p>
        </w:tc>
      </w:tr>
      <w:tr w:rsidR="00126301" w:rsidRPr="008B0B9D" w14:paraId="73E4EA60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5F7DD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Tendências estruturais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6B8BF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Compra orientada a eficiência e governança; IA exige dados organizados; plataformas embutem IA; regulação de dados e IA avança.</w:t>
            </w:r>
          </w:p>
        </w:tc>
      </w:tr>
      <w:tr w:rsidR="00126301" w:rsidRPr="008B0B9D" w14:paraId="3A4BEF33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0063E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Comportamento competitivo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04841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Coopetição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: concorrentes viram parceiros e trocam serviços; em clientes com consultoria incumbente, a entrada ocorre por uma nova tecnologia ou por treinamento; fabricantes exigem certificações e metas de venda.</w:t>
            </w:r>
          </w:p>
        </w:tc>
      </w:tr>
      <w:tr w:rsidR="00126301" w:rsidRPr="008B0B9D" w14:paraId="5FC8E162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243BA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Modelos de negócio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10BA5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Serviços recorrentes, projetos, treinamento e licenças; contratos de 12–36 meses relatados (Q05). Produto de governança de IA é direção proposta, não receita comprovada.</w:t>
            </w:r>
          </w:p>
        </w:tc>
      </w:tr>
      <w:tr w:rsidR="00126301" w:rsidRPr="008B0B9D" w14:paraId="48C88629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7B67A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Cadeia de valor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43956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Fabricantes de plataformas → consultoria certificada → cliente. Talentos são o principal insumo (60–70% do custo). Dentro de cada cliente há de 3 a 15 'clientes internos' (áreas), o que permite expansão por áreas.</w:t>
            </w:r>
          </w:p>
        </w:tc>
      </w:tr>
    </w:tbl>
    <w:p w14:paraId="4FCFADA2" w14:textId="77777777" w:rsidR="00126301" w:rsidRPr="008B0B9D" w:rsidRDefault="00543659" w:rsidP="00B25B75">
      <w:pPr>
        <w:keepNext/>
        <w:spacing w:before="1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b/>
          <w:bCs/>
          <w:color w:val="000000" w:themeColor="text1"/>
          <w:szCs w:val="17"/>
        </w:rPr>
        <w:t>Tabela 2.1 – Série histórica do mercado de TI no Brasil (US$ bilhões)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126301" w:rsidRPr="008B0B9D" w14:paraId="3A527BD2" w14:textId="77777777" w:rsidTr="00012DB2">
        <w:trPr>
          <w:cantSplit/>
          <w:tblHeader/>
        </w:trPr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44F86A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Ano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FAEF2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TI Brasil (US$ bi)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B63DC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Crescimento informado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6CF07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Fonte / observação</w:t>
            </w:r>
          </w:p>
        </w:tc>
      </w:tr>
      <w:tr w:rsidR="00126301" w:rsidRPr="008B0B9D" w14:paraId="4EDF7C72" w14:textId="77777777">
        <w:trPr>
          <w:cantSplit/>
        </w:trPr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64F8A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2024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A44F4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58,6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820F2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—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8BA25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ABES/IDC</w:t>
            </w:r>
          </w:p>
        </w:tc>
      </w:tr>
      <w:tr w:rsidR="00126301" w:rsidRPr="008B0B9D" w14:paraId="13E2C20B" w14:textId="77777777">
        <w:trPr>
          <w:cantSplit/>
        </w:trPr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B5F05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2025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D1112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67,8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8C6BD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18,5%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132E4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E01: taxa divulgada; valores em dólar implicam 15,7%, sem causa conciliada.</w:t>
            </w:r>
          </w:p>
        </w:tc>
      </w:tr>
      <w:tr w:rsidR="00126301" w:rsidRPr="008B0B9D" w14:paraId="00532EF9" w14:textId="77777777">
        <w:trPr>
          <w:cantSplit/>
        </w:trPr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3AE3A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2026P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3C7EB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71,4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D5446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5,3%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AE508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Cenário do grupo: 67,8 × 1,053 = 71,3934; não estimativa oficial em US$.</w:t>
            </w:r>
          </w:p>
        </w:tc>
      </w:tr>
    </w:tbl>
    <w:p w14:paraId="123DAC4D" w14:textId="77777777" w:rsidR="00126301" w:rsidRPr="008B0B9D" w:rsidRDefault="00543659" w:rsidP="00B25B75">
      <w:pPr>
        <w:spacing w:before="4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A taxa calculada dos valores em dólar é 15,7%; a notícia ABES informa 18,5%. A causa da diferença não foi conciliada. O cenário de 2026 aplica +5,3% à base de US$ 67,8 bi e não deve ser apresentado como tamanho oficial do mercado. TI agregado e plataformas globais não equivalem ao nicho da QSOFT.</w:t>
      </w:r>
    </w:p>
    <w:p w14:paraId="6307AF08" w14:textId="77777777" w:rsidR="00126301" w:rsidRPr="008B0B9D" w:rsidRDefault="00543659" w:rsidP="00B25B75">
      <w:pPr>
        <w:pStyle w:val="Ttulo21"/>
        <w:spacing w:before="2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Quadro-síntese – Mercado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"/>
        <w:gridCol w:w="1576"/>
        <w:gridCol w:w="1576"/>
        <w:gridCol w:w="1576"/>
        <w:gridCol w:w="539"/>
        <w:gridCol w:w="680"/>
        <w:gridCol w:w="1576"/>
        <w:gridCol w:w="1576"/>
      </w:tblGrid>
      <w:tr w:rsidR="00126301" w:rsidRPr="008B0B9D" w14:paraId="3078AF9B" w14:textId="77777777" w:rsidTr="00012DB2">
        <w:trPr>
          <w:cantSplit/>
          <w:tblHeader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D2C2CB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Cód.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87BF9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Fator estrutural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CDAF2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Evidência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C5B7A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Impacto (1–5)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23298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Peso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FD122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Prioridade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AE7AF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Implicação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AF7DC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Recomendação para Marketing</w:t>
            </w:r>
          </w:p>
        </w:tc>
      </w:tr>
      <w:tr w:rsidR="00126301" w:rsidRPr="008B0B9D" w14:paraId="21E961E1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F59A4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M1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2BC4B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Compra orientada a eficiência e ROI (maturidade)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26B28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ABES: +5,3% em 2026 e 'fase de maturidade'; QSOFT: ROI calculado por premissas (tempos e movimentos), difícil de comprovar.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9B4C7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D15B4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25%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A6A74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1,25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6C208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Sem prova econômica, a proposta vira comparação de preço.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292E7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Método padrão de ROI e cases quantificados.</w:t>
            </w:r>
          </w:p>
        </w:tc>
      </w:tr>
      <w:tr w:rsidR="00126301" w:rsidRPr="008B0B9D" w14:paraId="7AC14A7F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5CC0D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lastRenderedPageBreak/>
              <w:t>M2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5FCD1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Governança de dados e IA como novo vetor de demanda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4C511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E03: previsão global de plataformas de governança; E02: uso pessoal residual na base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Netskope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; Q06: dor relatada.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CF8F6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BC8CF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25%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7A102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1,25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CA187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Demanda potencial em ambiente já disputado; validar compra no segmento.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182E9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Delimitar a oferta e ocupar o tema com prova.</w:t>
            </w:r>
          </w:p>
        </w:tc>
      </w:tr>
      <w:tr w:rsidR="00126301" w:rsidRPr="008B0B9D" w14:paraId="081EC6D1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53E7F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M3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F5E17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Recorrência: alocação, sustentação e contratos longos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D8698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Q05: permanência estimada de 8–10 anos e contratos 12–36 meses; Q03: alocação concentra receita.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562AB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B11C2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20%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90BE3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0,80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DDD52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Valor está na continuidade e na expansão por áreas.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46906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Comunicar continuidade e evolução do contrato.</w:t>
            </w:r>
          </w:p>
        </w:tc>
      </w:tr>
      <w:tr w:rsidR="00126301" w:rsidRPr="008B0B9D" w14:paraId="3369FB07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BDFC0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M4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7A193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Compra B2B complexa e ciclo longo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26452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Alocação ~6 meses (casos de até 2 anos); negócio tem orçamento, mas TI precisa ser convencida.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387BE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F7363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18%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E7FD9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0,72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F8CF1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Cada decisor exige uma prova diferente.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2C9C0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Argumentos por papel (negócio, TI, finanças).</w:t>
            </w:r>
          </w:p>
        </w:tc>
      </w:tr>
      <w:tr w:rsidR="00126301" w:rsidRPr="008B0B9D" w14:paraId="1BCB7400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D0109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M5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192A8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Commoditização tecnológica e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coopetição</w:t>
            </w:r>
            <w:proofErr w:type="spellEnd"/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8237D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Q06: múltiplas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stacks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e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coopetição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; funcionalidades embarcadas ampliam alternativas, sem equivalência técnica.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A4298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DA5A1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12%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BEFEB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0,36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3EB4E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Diferenciação por ferramenta é frágil.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AFF15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Diferenciar por método, relacionamento e resultado.</w:t>
            </w:r>
          </w:p>
        </w:tc>
      </w:tr>
      <w:tr w:rsidR="00126301" w:rsidRPr="008B0B9D" w14:paraId="50F0F129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2DD72D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A4B58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Total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D4261A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C6802B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2FF1D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100%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5CFD6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4,38</w:t>
            </w: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72126A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7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39369C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660A0B7" w14:textId="77777777" w:rsidR="00126301" w:rsidRPr="008B0B9D" w:rsidRDefault="00543659" w:rsidP="00B25B75">
      <w:pPr>
        <w:spacing w:before="120"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Ponderação do mercado. M1/M2 recebem 25% por condicionarem compra e proposta; M3 20% pelo modelo recorrente; M4 18% pelo ciclo/centro de compras; M5 12% pela substituição de etapas. Impactos 5 em M1/M2 refletem prioridade analítica. A expansão do nicho não foi medida; a hipótese é de demanda seletiva por governança e retorno.</w:t>
      </w:r>
    </w:p>
    <w:p w14:paraId="040258C3" w14:textId="77777777" w:rsidR="00126301" w:rsidRPr="008B0B9D" w:rsidRDefault="00543659" w:rsidP="00B25B75">
      <w:pPr>
        <w:pStyle w:val="Ttulo21"/>
        <w:spacing w:before="2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2.2 Análise da concorrência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126301" w:rsidRPr="008B0B9D" w14:paraId="50FC8FDB" w14:textId="77777777" w:rsidTr="00012DB2">
        <w:trPr>
          <w:cantSplit/>
          <w:tblHeader/>
        </w:trPr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13E0DE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Categoria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A68F0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Atores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CA968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Leitura competitiva</w:t>
            </w:r>
          </w:p>
        </w:tc>
      </w:tr>
      <w:tr w:rsidR="00126301" w:rsidRPr="008B0B9D" w14:paraId="40B5D4AA" w14:textId="77777777">
        <w:trPr>
          <w:cantSplit/>
        </w:trPr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2798D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Diretos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1FCA4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RED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Innovations</w:t>
            </w:r>
            <w:proofErr w:type="spellEnd"/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A09D0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Citada pela QSOFT como concorrente. Consultoria, treinamento e suporte em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analytics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, BI e IA; cases qualitativos.</w:t>
            </w:r>
          </w:p>
        </w:tc>
      </w:tr>
      <w:tr w:rsidR="00126301" w:rsidRPr="008B0B9D" w14:paraId="482A80D5" w14:textId="77777777">
        <w:trPr>
          <w:cantSplit/>
        </w:trPr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AC488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Diretos (comparáveis)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67943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Indicium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AI;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Keyrus</w:t>
            </w:r>
            <w:proofErr w:type="spellEnd"/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AF24F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Comparáveis pela sobreposição de serviços; escala global divulgada não prova disponibilidade no Brasil (E15/E18–E21).</w:t>
            </w:r>
          </w:p>
        </w:tc>
      </w:tr>
      <w:tr w:rsidR="00126301" w:rsidRPr="008B0B9D" w14:paraId="174CCE6A" w14:textId="77777777">
        <w:trPr>
          <w:cantSplit/>
        </w:trPr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9D487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Indiretos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F0E17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Big Four e consultorias globais; revendas das mesmas marcas; boutiques por unidade de negócio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06072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Disputam o mesmo orçamento conforme a unidade de negócio (ensino, alocação,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Databricks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, IA). Algumas viram parceiras.</w:t>
            </w:r>
          </w:p>
        </w:tc>
      </w:tr>
      <w:tr w:rsidR="00126301" w:rsidRPr="008B0B9D" w14:paraId="53D80E90" w14:textId="77777777">
        <w:trPr>
          <w:cantSplit/>
        </w:trPr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97864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Substitutos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0766D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Time interno, open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source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, IA embutida (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Copilot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, Gemini), self-service BI; cursos online e treinamentos dos fabricantes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00916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Substituem etapas padronizadas; não substituem integração complexa e governança.</w:t>
            </w:r>
          </w:p>
        </w:tc>
      </w:tr>
      <w:tr w:rsidR="00126301" w:rsidRPr="008B0B9D" w14:paraId="059327FF" w14:textId="77777777">
        <w:trPr>
          <w:cantSplit/>
        </w:trPr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B38FD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Novos entrantes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A209A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Boutiques de IA; fornecedores de plataformas de governança de IA (SaaS); serviços profissionais dos fabricantes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59A17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Barreira tecnológica baixa; barreiras reais são cases, relacionamento e certificação.</w:t>
            </w:r>
          </w:p>
        </w:tc>
      </w:tr>
      <w:tr w:rsidR="00126301" w:rsidRPr="008B0B9D" w14:paraId="28852D5A" w14:textId="77777777">
        <w:trPr>
          <w:cantSplit/>
        </w:trPr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72211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Modelos emergentes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6CB68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Governança de IA por assinatura/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white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label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; pacotes de horas gerenciados; agentes de IA como serviço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A2B84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Podem deslocar valor de projetos para recorrência de produto.</w:t>
            </w:r>
          </w:p>
        </w:tc>
      </w:tr>
    </w:tbl>
    <w:p w14:paraId="1829A532" w14:textId="77777777" w:rsidR="00126301" w:rsidRPr="008B0B9D" w:rsidRDefault="00543659" w:rsidP="00B25B75">
      <w:pPr>
        <w:spacing w:before="120"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Comparação adaptada ao B2B: proposta, portfólio, resultados documentados, governança, alianças e capacidade local. Preço e custo-benefício não foram comparados sem propostas equivalentes. Sites institucionais mostram capacidade declarada; não comprovam desempenho de execução.</w:t>
      </w:r>
    </w:p>
    <w:p w14:paraId="10B33E4B" w14:textId="77777777" w:rsidR="00126301" w:rsidRPr="008B0B9D" w:rsidRDefault="00543659" w:rsidP="00B25B75">
      <w:pPr>
        <w:keepNext/>
        <w:spacing w:before="1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b/>
          <w:bCs/>
          <w:color w:val="000000" w:themeColor="text1"/>
          <w:szCs w:val="17"/>
        </w:rPr>
        <w:lastRenderedPageBreak/>
        <w:t>Tabela 2.2 – Comparação dos concorrentes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1927"/>
        <w:gridCol w:w="1928"/>
        <w:gridCol w:w="1928"/>
        <w:gridCol w:w="1928"/>
      </w:tblGrid>
      <w:tr w:rsidR="00126301" w:rsidRPr="008B0B9D" w14:paraId="7193A341" w14:textId="77777777" w:rsidTr="00DD6F2B">
        <w:trPr>
          <w:cantSplit/>
          <w:tblHeader/>
        </w:trPr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696F87" w14:textId="77777777" w:rsidR="00126301" w:rsidRPr="008B0B9D" w:rsidRDefault="00543659" w:rsidP="00DD6F2B">
            <w:pPr>
              <w:keepNext/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Critério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E8754C" w14:textId="77777777" w:rsidR="00126301" w:rsidRPr="008B0B9D" w:rsidRDefault="00543659" w:rsidP="00DD6F2B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QSOFT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E8A3A0" w14:textId="77777777" w:rsidR="00126301" w:rsidRPr="008B0B9D" w:rsidRDefault="00543659" w:rsidP="00DD6F2B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RED </w:t>
            </w:r>
            <w:proofErr w:type="spellStart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Innovations</w:t>
            </w:r>
            <w:proofErr w:type="spellEnd"/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DA01BF" w14:textId="77777777" w:rsidR="00126301" w:rsidRPr="008B0B9D" w:rsidRDefault="00543659" w:rsidP="00DD6F2B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Indicium</w:t>
            </w:r>
            <w:proofErr w:type="spellEnd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 AI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81E74F" w14:textId="77777777" w:rsidR="00126301" w:rsidRPr="008B0B9D" w:rsidRDefault="00543659" w:rsidP="00DD6F2B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Keyrus</w:t>
            </w:r>
            <w:proofErr w:type="spellEnd"/>
          </w:p>
        </w:tc>
      </w:tr>
      <w:tr w:rsidR="00126301" w:rsidRPr="008B0B9D" w14:paraId="151605D2" w14:textId="77777777">
        <w:trPr>
          <w:cantSplit/>
        </w:trPr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EAE1A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Proposta de valor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DEE8C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Acelerar decisões e reduzir custos com dados e IA; parceria de longo prazo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950DD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Especialista em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analytics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e BI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4081A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Consultoria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enterprise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AI-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first</w:t>
            </w:r>
            <w:proofErr w:type="spellEnd"/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BB361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Dados, digital e consultoria de gestão</w:t>
            </w:r>
          </w:p>
        </w:tc>
      </w:tr>
      <w:tr w:rsidR="00126301" w:rsidRPr="008B0B9D" w14:paraId="40EAAC5D" w14:textId="77777777">
        <w:trPr>
          <w:cantSplit/>
        </w:trPr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E9F30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Portfólio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1D0DB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Times, sustentação, treinamento, projetos e produtos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A2F0F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Consultoria, treinamento, suporte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03911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Estratégia, construção, literacia e operação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E128E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Gestão, dados, digital</w:t>
            </w:r>
          </w:p>
        </w:tc>
      </w:tr>
      <w:tr w:rsidR="00126301" w:rsidRPr="008B0B9D" w14:paraId="3B6CA02C" w14:textId="77777777">
        <w:trPr>
          <w:cantSplit/>
        </w:trPr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E3371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Alcance e capacidade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C535E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Atuação nacional; capacidade disponível não divulgada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B118B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Atuação nacional; disponibilidade não verificada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0DD07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Atuação internacional; capacidade no Brasil não isolada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03309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Atuação internacional; capacidade no Brasil não isolada</w:t>
            </w:r>
          </w:p>
        </w:tc>
      </w:tr>
      <w:tr w:rsidR="00126301" w:rsidRPr="008B0B9D" w14:paraId="64D989B9" w14:textId="77777777">
        <w:trPr>
          <w:cantSplit/>
        </w:trPr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49871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Prova pública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D10FD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Unimed: fechamento 25 para 5 dias e −25% em custos de armazenamento (E12)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58AC2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Cases e depoimentos qualitativos (E14)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D21FB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Copa Energia e Aura Minerals: resultados quantificados declarados (E16/E17)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17F33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Power Platform: resultados declarados; clientes sem identificação nominal (E20)</w:t>
            </w:r>
          </w:p>
        </w:tc>
      </w:tr>
      <w:tr w:rsidR="00126301" w:rsidRPr="008B0B9D" w14:paraId="32C4337B" w14:textId="77777777">
        <w:trPr>
          <w:cantSplit/>
        </w:trPr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855FC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Governança e IA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B7A8B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Dados demonstrados; oferta IA a delimitar (E12/Q06)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D0250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Evidência específica insuficiente nesta coleta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2998B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Governança integrada à oferta e casos (E15–E17)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D4AB8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Dados e IA com escopo descrito no site brasileiro (E18/E19)</w:t>
            </w:r>
          </w:p>
        </w:tc>
      </w:tr>
    </w:tbl>
    <w:p w14:paraId="2BF7B154" w14:textId="77777777" w:rsidR="00126301" w:rsidRPr="008B0B9D" w:rsidRDefault="00543659" w:rsidP="00B25B75">
      <w:pPr>
        <w:spacing w:before="4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Fontes: E12–E21 e Q01–Q08. Escala global e número de projetos não determinam as notas da CPM.</w:t>
      </w:r>
    </w:p>
    <w:p w14:paraId="585AAD78" w14:textId="77777777" w:rsidR="00126301" w:rsidRPr="008B0B9D" w:rsidRDefault="00543659" w:rsidP="00B25B75">
      <w:pPr>
        <w:pStyle w:val="Ttulo21"/>
        <w:spacing w:before="2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2.3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Competitive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Profile Matrix (CPM)</w:t>
      </w:r>
    </w:p>
    <w:p w14:paraId="29BDB926" w14:textId="77777777" w:rsidR="00126301" w:rsidRPr="008B0B9D" w:rsidRDefault="00543659" w:rsidP="00B25B75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CPM. Mantêm-se oito fatores críticos e pesos de 100%. F1/F2/F3 têm 15% cada por reduzirem risco de compra; F6 13% por condicionar compromisso; F4 12% por integrar a jornada; F5/F7/F8 10% cada por habilitarem execução, contratação e inovação. As notas avaliam critérios documentados com rubricas, não desempenho auditado. Sem base comparável, a célula recebe NV.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88"/>
        <w:gridCol w:w="538"/>
        <w:gridCol w:w="539"/>
        <w:gridCol w:w="539"/>
        <w:gridCol w:w="539"/>
        <w:gridCol w:w="539"/>
        <w:gridCol w:w="539"/>
        <w:gridCol w:w="539"/>
        <w:gridCol w:w="539"/>
        <w:gridCol w:w="539"/>
      </w:tblGrid>
      <w:tr w:rsidR="00126301" w:rsidRPr="008B0B9D" w14:paraId="23E562A3" w14:textId="77777777" w:rsidTr="00B25B75">
        <w:trPr>
          <w:cantSplit/>
          <w:tblHeader/>
        </w:trPr>
        <w:tc>
          <w:tcPr>
            <w:tcW w:w="479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74B780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Fator crítico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B09B6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Peso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4628C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QSOFT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96AE1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Pond</w:t>
            </w:r>
            <w:proofErr w:type="spellEnd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.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A1556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RED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55972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Pond</w:t>
            </w:r>
            <w:proofErr w:type="spellEnd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.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95558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Indicium</w:t>
            </w:r>
            <w:proofErr w:type="spellEnd"/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FE7D5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Pond</w:t>
            </w:r>
            <w:proofErr w:type="spellEnd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.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1AA0D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Keyrus</w:t>
            </w:r>
            <w:proofErr w:type="spellEnd"/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99EB5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Pond</w:t>
            </w:r>
            <w:proofErr w:type="spellEnd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.</w:t>
            </w:r>
          </w:p>
        </w:tc>
      </w:tr>
      <w:tr w:rsidR="00126301" w:rsidRPr="008B0B9D" w14:paraId="3CF5780E" w14:textId="77777777">
        <w:trPr>
          <w:cantSplit/>
        </w:trPr>
        <w:tc>
          <w:tcPr>
            <w:tcW w:w="479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05C36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F1 Resultado comprovado e cases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255AF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15%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1FCA2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9B809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0,60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A0870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68181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0,45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71055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E5E1E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0,60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17F67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58139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0,60</w:t>
            </w:r>
          </w:p>
        </w:tc>
      </w:tr>
      <w:tr w:rsidR="00126301" w:rsidRPr="008B0B9D" w14:paraId="2245FCAA" w14:textId="77777777">
        <w:trPr>
          <w:cantSplit/>
        </w:trPr>
        <w:tc>
          <w:tcPr>
            <w:tcW w:w="479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0B7AE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F2 Relacionamento e continuidade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76537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15%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6C155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7C0ED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0,60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520C3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ABB06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9C885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2736B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69E9E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3F5FA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</w:tr>
      <w:tr w:rsidR="00126301" w:rsidRPr="008B0B9D" w14:paraId="43149F87" w14:textId="77777777">
        <w:trPr>
          <w:cantSplit/>
        </w:trPr>
        <w:tc>
          <w:tcPr>
            <w:tcW w:w="479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FABB8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F3 Governança de dados e IA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FA207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15%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BC1BA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7E4FE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0,45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CD2B0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F7EBD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1FFB4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F716E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0,60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3756F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11206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0,60</w:t>
            </w:r>
          </w:p>
        </w:tc>
      </w:tr>
      <w:tr w:rsidR="00126301" w:rsidRPr="008B0B9D" w14:paraId="790FF5A5" w14:textId="77777777">
        <w:trPr>
          <w:cantSplit/>
        </w:trPr>
        <w:tc>
          <w:tcPr>
            <w:tcW w:w="479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38D9E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F4 Portfólio integrado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0C7E4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12%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558AA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B574E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0,60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53616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CD1DF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0,48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043DC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C24D4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0,60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1BD57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DA12C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0,60</w:t>
            </w:r>
          </w:p>
        </w:tc>
      </w:tr>
      <w:tr w:rsidR="00126301" w:rsidRPr="008B0B9D" w14:paraId="7396FE7B" w14:textId="77777777">
        <w:trPr>
          <w:cantSplit/>
        </w:trPr>
        <w:tc>
          <w:tcPr>
            <w:tcW w:w="479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4FBD8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F5 Alianças tecnológicas aplicadas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27480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03EA6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431B9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0,40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85A0C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76E6D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827E1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2B930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0,40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B4D54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67CFA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0,40</w:t>
            </w:r>
          </w:p>
        </w:tc>
      </w:tr>
      <w:tr w:rsidR="00126301" w:rsidRPr="008B0B9D" w14:paraId="38824670" w14:textId="77777777">
        <w:trPr>
          <w:cantSplit/>
        </w:trPr>
        <w:tc>
          <w:tcPr>
            <w:tcW w:w="479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AD9E5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F6 Capacidade disponível para entrega no Brasil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A0013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13%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5B68C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CEB9C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BA2FA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C31F7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9BE7F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1F85C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5B742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843F6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</w:tr>
      <w:tr w:rsidR="00126301" w:rsidRPr="008B0B9D" w14:paraId="718D25D4" w14:textId="77777777">
        <w:trPr>
          <w:cantSplit/>
        </w:trPr>
        <w:tc>
          <w:tcPr>
            <w:tcW w:w="479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D50A9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F7 Flexibilidade de contratação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04C6E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50849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FB261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0,40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F111C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44D05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F8B46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2CB7D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96963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0CA7C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</w:tr>
      <w:tr w:rsidR="00126301" w:rsidRPr="008B0B9D" w14:paraId="01124E82" w14:textId="77777777">
        <w:trPr>
          <w:cantSplit/>
        </w:trPr>
        <w:tc>
          <w:tcPr>
            <w:tcW w:w="479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F11A1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F8 Inovação aplicada e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produtização</w:t>
            </w:r>
            <w:proofErr w:type="spellEnd"/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83E48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E259D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9D8EA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0,30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769F0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C044F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0,30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2159C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7E99D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0,40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E07F7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8687B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0,40</w:t>
            </w:r>
          </w:p>
        </w:tc>
      </w:tr>
      <w:tr w:rsidR="00126301" w:rsidRPr="008B0B9D" w14:paraId="79631A89" w14:textId="77777777">
        <w:trPr>
          <w:cantSplit/>
        </w:trPr>
        <w:tc>
          <w:tcPr>
            <w:tcW w:w="479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5A737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Total completo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0C9CC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100%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E88AD0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2230B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B2DC0E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B0D25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82117F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E6107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12DBE8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8B26F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</w:tr>
    </w:tbl>
    <w:p w14:paraId="69FDF22D" w14:textId="77777777" w:rsidR="00126301" w:rsidRPr="008B0B9D" w:rsidRDefault="00543659" w:rsidP="00B25B75">
      <w:pPr>
        <w:spacing w:before="4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Ponderado = peso × nota. Total completo só existe se todos os fatores forem pontuados. Os limites inferior/superior atribuem 1/5 apenas às células NV para testar sensibilidade; não são notas imputadas nem intervalos estatísticos. Como as faixas se sobrepõem, não se declara vencedor geral.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126301" w:rsidRPr="008B0B9D" w14:paraId="730FF467" w14:textId="77777777" w:rsidTr="00B25B75">
        <w:trPr>
          <w:cantSplit/>
          <w:tblHeader/>
        </w:trPr>
        <w:tc>
          <w:tcPr>
            <w:tcW w:w="1928" w:type="dxa"/>
            <w:tcBorders>
              <w:bottom w:val="single" w:sz="4" w:space="0" w:color="auto"/>
            </w:tcBorders>
            <w:vAlign w:val="center"/>
          </w:tcPr>
          <w:p w14:paraId="4E40A4A7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Empresa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vAlign w:val="center"/>
          </w:tcPr>
          <w:p w14:paraId="20F9819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Peso avaliado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vAlign w:val="center"/>
          </w:tcPr>
          <w:p w14:paraId="1EEE7A4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Soma avaliada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vAlign w:val="center"/>
          </w:tcPr>
          <w:p w14:paraId="3DD563D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Limite inferior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vAlign w:val="center"/>
          </w:tcPr>
          <w:p w14:paraId="3E62E5A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Limite superior</w:t>
            </w:r>
          </w:p>
        </w:tc>
      </w:tr>
      <w:tr w:rsidR="00126301" w:rsidRPr="008B0B9D" w14:paraId="1A79098D" w14:textId="77777777" w:rsidTr="00B25B75">
        <w:trPr>
          <w:cantSplit/>
        </w:trPr>
        <w:tc>
          <w:tcPr>
            <w:tcW w:w="1928" w:type="dxa"/>
            <w:tcBorders>
              <w:top w:val="single" w:sz="4" w:space="0" w:color="auto"/>
            </w:tcBorders>
            <w:vAlign w:val="center"/>
          </w:tcPr>
          <w:p w14:paraId="462005F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QSOFT</w:t>
            </w:r>
          </w:p>
        </w:tc>
        <w:tc>
          <w:tcPr>
            <w:tcW w:w="1928" w:type="dxa"/>
            <w:tcBorders>
              <w:top w:val="single" w:sz="4" w:space="0" w:color="auto"/>
            </w:tcBorders>
            <w:vAlign w:val="center"/>
          </w:tcPr>
          <w:p w14:paraId="5592640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87%</w:t>
            </w:r>
          </w:p>
        </w:tc>
        <w:tc>
          <w:tcPr>
            <w:tcW w:w="1928" w:type="dxa"/>
            <w:tcBorders>
              <w:top w:val="single" w:sz="4" w:space="0" w:color="auto"/>
            </w:tcBorders>
            <w:vAlign w:val="center"/>
          </w:tcPr>
          <w:p w14:paraId="6C14EF7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3.35</w:t>
            </w:r>
          </w:p>
        </w:tc>
        <w:tc>
          <w:tcPr>
            <w:tcW w:w="1928" w:type="dxa"/>
            <w:tcBorders>
              <w:top w:val="single" w:sz="4" w:space="0" w:color="auto"/>
            </w:tcBorders>
            <w:vAlign w:val="center"/>
          </w:tcPr>
          <w:p w14:paraId="7A343AB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3.48</w:t>
            </w:r>
          </w:p>
        </w:tc>
        <w:tc>
          <w:tcPr>
            <w:tcW w:w="1928" w:type="dxa"/>
            <w:tcBorders>
              <w:top w:val="single" w:sz="4" w:space="0" w:color="auto"/>
            </w:tcBorders>
            <w:vAlign w:val="center"/>
          </w:tcPr>
          <w:p w14:paraId="40BC7FA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4.00</w:t>
            </w:r>
          </w:p>
        </w:tc>
      </w:tr>
      <w:tr w:rsidR="00126301" w:rsidRPr="008B0B9D" w14:paraId="68B8FCAB" w14:textId="77777777">
        <w:trPr>
          <w:cantSplit/>
        </w:trPr>
        <w:tc>
          <w:tcPr>
            <w:tcW w:w="1928" w:type="dxa"/>
            <w:vAlign w:val="center"/>
          </w:tcPr>
          <w:p w14:paraId="3070135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RED</w:t>
            </w:r>
          </w:p>
        </w:tc>
        <w:tc>
          <w:tcPr>
            <w:tcW w:w="1928" w:type="dxa"/>
            <w:vAlign w:val="center"/>
          </w:tcPr>
          <w:p w14:paraId="56A264B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37%</w:t>
            </w:r>
          </w:p>
        </w:tc>
        <w:tc>
          <w:tcPr>
            <w:tcW w:w="1928" w:type="dxa"/>
            <w:vAlign w:val="center"/>
          </w:tcPr>
          <w:p w14:paraId="2EFDB8B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1.23</w:t>
            </w:r>
          </w:p>
        </w:tc>
        <w:tc>
          <w:tcPr>
            <w:tcW w:w="1928" w:type="dxa"/>
            <w:vAlign w:val="center"/>
          </w:tcPr>
          <w:p w14:paraId="56A3F2D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1.86</w:t>
            </w:r>
          </w:p>
        </w:tc>
        <w:tc>
          <w:tcPr>
            <w:tcW w:w="1928" w:type="dxa"/>
            <w:vAlign w:val="center"/>
          </w:tcPr>
          <w:p w14:paraId="6AA8CC7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4.38</w:t>
            </w:r>
          </w:p>
        </w:tc>
      </w:tr>
      <w:tr w:rsidR="00126301" w:rsidRPr="008B0B9D" w14:paraId="2AE34320" w14:textId="77777777">
        <w:trPr>
          <w:cantSplit/>
        </w:trPr>
        <w:tc>
          <w:tcPr>
            <w:tcW w:w="1928" w:type="dxa"/>
            <w:vAlign w:val="center"/>
          </w:tcPr>
          <w:p w14:paraId="1BC22D9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Indicium</w:t>
            </w:r>
            <w:proofErr w:type="spellEnd"/>
          </w:p>
        </w:tc>
        <w:tc>
          <w:tcPr>
            <w:tcW w:w="1928" w:type="dxa"/>
            <w:vAlign w:val="center"/>
          </w:tcPr>
          <w:p w14:paraId="035C1BA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62%</w:t>
            </w:r>
          </w:p>
        </w:tc>
        <w:tc>
          <w:tcPr>
            <w:tcW w:w="1928" w:type="dxa"/>
            <w:vAlign w:val="center"/>
          </w:tcPr>
          <w:p w14:paraId="7F9CA92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2.60</w:t>
            </w:r>
          </w:p>
        </w:tc>
        <w:tc>
          <w:tcPr>
            <w:tcW w:w="1928" w:type="dxa"/>
            <w:vAlign w:val="center"/>
          </w:tcPr>
          <w:p w14:paraId="381344A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2.98</w:t>
            </w:r>
          </w:p>
        </w:tc>
        <w:tc>
          <w:tcPr>
            <w:tcW w:w="1928" w:type="dxa"/>
            <w:vAlign w:val="center"/>
          </w:tcPr>
          <w:p w14:paraId="563E30C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4.50</w:t>
            </w:r>
          </w:p>
        </w:tc>
      </w:tr>
      <w:tr w:rsidR="00126301" w:rsidRPr="008B0B9D" w14:paraId="2B4D0F3D" w14:textId="77777777">
        <w:trPr>
          <w:cantSplit/>
        </w:trPr>
        <w:tc>
          <w:tcPr>
            <w:tcW w:w="1928" w:type="dxa"/>
            <w:vAlign w:val="center"/>
          </w:tcPr>
          <w:p w14:paraId="6B92F8D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Keyrus</w:t>
            </w:r>
            <w:proofErr w:type="spellEnd"/>
          </w:p>
        </w:tc>
        <w:tc>
          <w:tcPr>
            <w:tcW w:w="1928" w:type="dxa"/>
            <w:vAlign w:val="center"/>
          </w:tcPr>
          <w:p w14:paraId="0062391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62%</w:t>
            </w:r>
          </w:p>
        </w:tc>
        <w:tc>
          <w:tcPr>
            <w:tcW w:w="1928" w:type="dxa"/>
            <w:vAlign w:val="center"/>
          </w:tcPr>
          <w:p w14:paraId="5335C6B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2.60</w:t>
            </w:r>
          </w:p>
        </w:tc>
        <w:tc>
          <w:tcPr>
            <w:tcW w:w="1928" w:type="dxa"/>
            <w:vAlign w:val="center"/>
          </w:tcPr>
          <w:p w14:paraId="5114D7E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2.98</w:t>
            </w:r>
          </w:p>
        </w:tc>
        <w:tc>
          <w:tcPr>
            <w:tcW w:w="1928" w:type="dxa"/>
            <w:vAlign w:val="center"/>
          </w:tcPr>
          <w:p w14:paraId="27ACCD4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4.50</w:t>
            </w:r>
          </w:p>
        </w:tc>
      </w:tr>
    </w:tbl>
    <w:p w14:paraId="464E7233" w14:textId="77777777" w:rsidR="00126301" w:rsidRPr="008B0B9D" w:rsidRDefault="00543659" w:rsidP="00B25B75">
      <w:pPr>
        <w:pStyle w:val="Ttulo31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Rubricas da CPM</w:t>
      </w:r>
    </w:p>
    <w:p w14:paraId="4A7FDC9A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F1. 1: falhas documentadas; 2: benefício genérico; 3: case qualitativo; 4: resultado quantificado; 5: resultados repetidos com período e validação do cliente. Número de projetos não basta.</w:t>
      </w:r>
    </w:p>
    <w:p w14:paraId="263EE420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lastRenderedPageBreak/>
        <w:t>F2. 1: ruptura recorrente documentada; 2: relação pontual; 3: suporte/renovação documentados; 4: relação plurianual com cliente identificável; 5: retenção de carteira mensurada. Não inferir pelo porte.</w:t>
      </w:r>
    </w:p>
    <w:p w14:paraId="55C273D8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F3. 1: falha de controle comprovada; 2: prática pontual; 3: governança de dados demonstrada, IA em desenvolvimento; 4: dados e IA com escopo/controles descritos; 5: programa operacional com indicadores verificados.</w:t>
      </w:r>
    </w:p>
    <w:p w14:paraId="1FE3059B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F4. 1 a 5: número de frentes documentadas entre estratégia/projeto, equipe, operação/sustentação, capacitação e soluções/produtos. Frentes relacionadas não são contadas duas vezes.</w:t>
      </w:r>
    </w:p>
    <w:p w14:paraId="635AC081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F5. 1: integração problemática comprovada; 2: competência restrita; 3: aplicação de uma plataforma; 4: alianças nomeadas e aplicação em projetos; 5: certificados e metas atuais verificados. Não usar contagem global.</w:t>
      </w:r>
    </w:p>
    <w:p w14:paraId="2B9813B8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F6. 1: atraso/capacidade insuficiente comprovados; 2: disponibilidade muito restrita; 3: disponibilidade atual compatível; 4: expansão comprovada com SLA; 5: escala local com resultados consistentes. Sem disponibilidade/SLA: NV.</w:t>
      </w:r>
    </w:p>
    <w:p w14:paraId="0439412E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F7. 1: rigidez impeditiva comprovada; 2: condição única; 3: duas modalidades; 4: pacotes/escopo adaptáveis documentados; 5: flexibilidade e vantagem econômica em propostas equivalentes. Preço/hora isolado não mede custo-benefício.</w:t>
      </w:r>
    </w:p>
    <w:p w14:paraId="23863231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F8. 1: solução obsoleta documentada; 2: piloto; 3: aplicação customizada/produto em concepção; 4: acelerador/framework reutilizável em entrega; 5: adoção e resultados repetidos mensurados.</w:t>
      </w:r>
    </w:p>
    <w:p w14:paraId="6E404948" w14:textId="77777777" w:rsidR="00126301" w:rsidRPr="008B0B9D" w:rsidRDefault="00543659" w:rsidP="00B25B75">
      <w:pPr>
        <w:keepNext/>
        <w:spacing w:before="1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b/>
          <w:bCs/>
          <w:color w:val="000000" w:themeColor="text1"/>
          <w:szCs w:val="17"/>
        </w:rPr>
        <w:t>Tabela 2.3 – Evidências que justificam as notas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126301" w:rsidRPr="008B0B9D" w14:paraId="552D43FF" w14:textId="77777777" w:rsidTr="00B25B75">
        <w:trPr>
          <w:cantSplit/>
          <w:tblHeader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4833F0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Fator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FD3D8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Justificativa por empresa e fonte</w:t>
            </w:r>
          </w:p>
        </w:tc>
      </w:tr>
      <w:tr w:rsidR="00126301" w:rsidRPr="008B0B9D" w14:paraId="428A2CCA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96681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F1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2383F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QSOFT 4: E12, Unimed. RED 3: E14, cases qualitativos.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Indicium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4: E16/E17.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Keyrus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4: E20, indicadores publicados, clientes não nomeados. Todas são declarações institucionais.</w:t>
            </w:r>
          </w:p>
        </w:tc>
      </w:tr>
      <w:tr w:rsidR="00126301" w:rsidRPr="008B0B9D" w14:paraId="62B57033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E5129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F2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079A4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QSOFT 4: E12, depoimento de cinco anos; Q05, permanência estimada. RED/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Indicium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/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Keyrus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NV: duração/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retensão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de carteira não comparável nesta base. Não comprova superioridade QSOFT.</w:t>
            </w:r>
          </w:p>
        </w:tc>
      </w:tr>
      <w:tr w:rsidR="00126301" w:rsidRPr="008B0B9D" w14:paraId="56CECA50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9E448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F3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B8778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QSOFT 3: E12/Q06, </w:t>
            </w:r>
            <w:proofErr w:type="gram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dados e necessidade IA</w:t>
            </w:r>
            <w:proofErr w:type="gram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. RED NV: escopo não confirmado.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Indicium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4: E15–E17, controles e responsabilidades.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Keyrus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4: E18/E19. ISO isolada não pontua governança IA.</w:t>
            </w:r>
          </w:p>
        </w:tc>
      </w:tr>
      <w:tr w:rsidR="00126301" w:rsidRPr="008B0B9D" w14:paraId="32FB4656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344F7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F4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D900A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QSOFT 5: E13, cinco frentes. RED 4: E14, consultoria, soluções aplicadas, treinamento e suporte.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Indicium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5: E15/E17, estratégia,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squads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, operação, adoção e aceleradores.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Keyrus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5: E20, diagnóstico, projetos, fábrica/equipe, capacitação e sustentação.</w:t>
            </w:r>
          </w:p>
        </w:tc>
      </w:tr>
      <w:tr w:rsidR="00126301" w:rsidRPr="008B0B9D" w14:paraId="79BCF1B2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C61D2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F5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58EE5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QSOFT 4: E12/E13, plataformas nomeadas e aplicação. RED NV: alianças aplicadas não confirmadas.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Indicium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4: E16/E17,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Databricks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/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dbt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.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Keyrus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4: E20/E21, Microsoft e ecossistema. Quantidade de certificados locais não verificada.</w:t>
            </w:r>
          </w:p>
        </w:tc>
      </w:tr>
      <w:tr w:rsidR="00126301" w:rsidRPr="008B0B9D" w14:paraId="1B746698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91354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F6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B6735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Todas NV: não há quadro comparável de disponibilidade de equipe e SLA no Brasil. Porte global não substitui essa informação. Q02 descreve restrição de agenda, sem medida para pontuação.</w:t>
            </w:r>
          </w:p>
        </w:tc>
      </w:tr>
      <w:tr w:rsidR="00126301" w:rsidRPr="008B0B9D" w14:paraId="6A154CF9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90845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F7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322DD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QSOFT 4: Q05 e trecho final da entrevista, pacotes de 20/40/80/160h e contratos longos. RED/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Indicium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/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Keyrus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NV: propostas equivalentes não obtidas. Custo-benefício não foi pontuado.</w:t>
            </w:r>
          </w:p>
        </w:tc>
      </w:tr>
      <w:tr w:rsidR="00126301" w:rsidRPr="008B0B9D" w14:paraId="7A5E1138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36CB5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F8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22BA9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QSOFT 3: E13, soluções customizadas; produto IA não validado. RED 3: E14, cases aplicados.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Indicium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4: E17, agente de migração reutilizável.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Keyrus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4: E20, frameworks proprietários e fábrica.</w:t>
            </w:r>
          </w:p>
        </w:tc>
      </w:tr>
    </w:tbl>
    <w:p w14:paraId="05C778AC" w14:textId="77777777" w:rsidR="00126301" w:rsidRPr="008B0B9D" w:rsidRDefault="00543659" w:rsidP="00B25B75">
      <w:pPr>
        <w:keepNext/>
        <w:spacing w:before="1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b/>
          <w:bCs/>
          <w:color w:val="000000" w:themeColor="text1"/>
          <w:szCs w:val="17"/>
        </w:rPr>
        <w:t>Interpretação da CPM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126301" w:rsidRPr="008B0B9D" w14:paraId="0A7AD9E9" w14:textId="77777777" w:rsidTr="00B25B75">
        <w:trPr>
          <w:cantSplit/>
          <w:tblHeader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6D248B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Pergunta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1FBBF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Interpretação com evidências disponíveis</w:t>
            </w:r>
          </w:p>
        </w:tc>
      </w:tr>
      <w:tr w:rsidR="00126301" w:rsidRPr="008B0B9D" w14:paraId="39CB0E8B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0677B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Posição mais forte?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2A960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Não há ranking geral defensável: os intervalos de sensibilidade se sobrepõem.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Indicium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e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Keyrus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têm ofertas IA documentadas mais delimitadas que a QSOFT.</w:t>
            </w:r>
          </w:p>
        </w:tc>
      </w:tr>
      <w:tr w:rsidR="00126301" w:rsidRPr="008B0B9D" w14:paraId="2C4F3E00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F9CF9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Onde QSOFT supera?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9D158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Nenhuma superioridade geral comprovada. Relacionamento plurianual e flexibilidade são pontos fortes documentados, mas faltam dados equivalentes dos rivais.</w:t>
            </w:r>
          </w:p>
        </w:tc>
      </w:tr>
      <w:tr w:rsidR="00126301" w:rsidRPr="008B0B9D" w14:paraId="5E2514A9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0A3FB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lastRenderedPageBreak/>
              <w:t>Principais gaps?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3A644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Oferta IA delimitada (F3); sistematização de provas (F1); produto reutilizável (F8). Capacidade local (F6) precisa ser medida antes de ampliar vendas.</w:t>
            </w:r>
          </w:p>
        </w:tc>
      </w:tr>
      <w:tr w:rsidR="00126301" w:rsidRPr="008B0B9D" w14:paraId="1B68C464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968BA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Fatores mais importantes?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798ED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F1/F2/F3 têm 15% cada. Prova, continuidade e governança reduzem risco na compra B2B (Q03/Q05/Q06).</w:t>
            </w:r>
          </w:p>
        </w:tc>
      </w:tr>
      <w:tr w:rsidR="00126301" w:rsidRPr="008B0B9D" w14:paraId="0E951B87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42E95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Prioridades de Marketing?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FEDDF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PR1 oferta e posicionamento; PR2 prova de valor; PR3 continuidade. Disponibilidade é condicionante operacional de PR4.</w:t>
            </w:r>
          </w:p>
        </w:tc>
      </w:tr>
    </w:tbl>
    <w:p w14:paraId="094DCDA2" w14:textId="77777777" w:rsidR="00126301" w:rsidRPr="008B0B9D" w:rsidRDefault="00543659" w:rsidP="00B25B75">
      <w:pPr>
        <w:pStyle w:val="Ttulo21"/>
        <w:spacing w:before="2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Quadro-síntese – Concorrência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6"/>
        <w:gridCol w:w="539"/>
        <w:gridCol w:w="539"/>
        <w:gridCol w:w="2005"/>
        <w:gridCol w:w="539"/>
        <w:gridCol w:w="2005"/>
        <w:gridCol w:w="2005"/>
      </w:tblGrid>
      <w:tr w:rsidR="00126301" w:rsidRPr="008B0B9D" w14:paraId="48FB15C5" w14:textId="77777777" w:rsidTr="00B25B75">
        <w:trPr>
          <w:cantSplit/>
          <w:tblHeader/>
        </w:trPr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D66D30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Fator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2779CB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Peso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7832CA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QSOFT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416B9C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Melhor nota documentada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CA462A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Gap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F2BB43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Gap </w:t>
            </w:r>
            <w:proofErr w:type="spellStart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pond</w:t>
            </w:r>
            <w:proofErr w:type="spellEnd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.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06B283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Recomendação</w:t>
            </w:r>
          </w:p>
        </w:tc>
      </w:tr>
      <w:tr w:rsidR="00126301" w:rsidRPr="008B0B9D" w14:paraId="2CF882EF" w14:textId="77777777">
        <w:trPr>
          <w:cantSplit/>
        </w:trPr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7EF9A9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F3 Governança de dados e IA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3CB318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15%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AF6C5F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DD4B63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A1C466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-1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F82FB4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-0,15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4B0480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Delimitar oferta (PR1)</w:t>
            </w:r>
          </w:p>
        </w:tc>
      </w:tr>
      <w:tr w:rsidR="00126301" w:rsidRPr="008B0B9D" w14:paraId="5EF81100" w14:textId="77777777">
        <w:trPr>
          <w:cantSplit/>
        </w:trPr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C3DBE5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F8 Inovação aplicada e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produtização</w:t>
            </w:r>
            <w:proofErr w:type="spellEnd"/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D7CE8F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1C3325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E2DB32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FFF550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-1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72EA7C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-0,10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9A6A98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Validar produto (PR1)</w:t>
            </w:r>
          </w:p>
        </w:tc>
      </w:tr>
      <w:tr w:rsidR="00126301" w:rsidRPr="008B0B9D" w14:paraId="17702396" w14:textId="77777777">
        <w:trPr>
          <w:cantSplit/>
        </w:trPr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B10749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F1 Resultado comprovado e cases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717701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15%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EF2208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F93705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C07170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CCBF7C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0,00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DAE42A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Prova de valor (PR2)</w:t>
            </w:r>
          </w:p>
        </w:tc>
      </w:tr>
      <w:tr w:rsidR="00126301" w:rsidRPr="008B0B9D" w14:paraId="5C21FDEF" w14:textId="77777777">
        <w:trPr>
          <w:cantSplit/>
        </w:trPr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11DC93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F6 Capacidade disponível para entrega no Brasil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47DE3F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13%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2617D6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6D5DD0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B4ABC9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2F12D6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F28D43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Medir disponibilidade (PR4)</w:t>
            </w:r>
          </w:p>
        </w:tc>
      </w:tr>
      <w:tr w:rsidR="00126301" w:rsidRPr="008B0B9D" w14:paraId="2FC99CA9" w14:textId="77777777">
        <w:trPr>
          <w:cantSplit/>
        </w:trPr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179550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F5 Alianças tecnológicas aplicadas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C7EF95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3F18F3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ACD261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0FC49B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F64154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0,00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35173F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Aplicar alianças à demanda</w:t>
            </w:r>
          </w:p>
        </w:tc>
      </w:tr>
      <w:tr w:rsidR="00126301" w:rsidRPr="008B0B9D" w14:paraId="3F7250DD" w14:textId="77777777">
        <w:trPr>
          <w:cantSplit/>
        </w:trPr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8BD1E4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F4 Portfólio integrado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FFF124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12%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D2DFB4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DCA5E7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D55A85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FE84B8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0,00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366FF8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Comunicar jornada integrada</w:t>
            </w:r>
          </w:p>
        </w:tc>
      </w:tr>
      <w:tr w:rsidR="00126301" w:rsidRPr="008B0B9D" w14:paraId="42FF632F" w14:textId="77777777">
        <w:trPr>
          <w:cantSplit/>
        </w:trPr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950AF9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F7 Flexibilidade de contratação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D2C062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2B45D8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234BEF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24C8D8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39E912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AF593D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Preservar flexibilidade</w:t>
            </w:r>
          </w:p>
        </w:tc>
      </w:tr>
      <w:tr w:rsidR="00126301" w:rsidRPr="008B0B9D" w14:paraId="6807DBC1" w14:textId="77777777">
        <w:trPr>
          <w:cantSplit/>
        </w:trPr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8CDCB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F2 Relacionamento e continuidade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FD104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15%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65866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E1C96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F83FC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B4449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20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B8E3C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Proteger continuidade (PR3)</w:t>
            </w:r>
          </w:p>
        </w:tc>
      </w:tr>
    </w:tbl>
    <w:p w14:paraId="10866271" w14:textId="77777777" w:rsidR="00126301" w:rsidRPr="008B0B9D" w:rsidRDefault="00543659" w:rsidP="00B25B75">
      <w:pPr>
        <w:spacing w:before="4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Gap = nota QSOFT − maior nota documentada dos rivais. NV impede cálculo comparável. Igualdade significa mesma faixa da rubrica, não mesma qualidade real. F1 permanece prioridade interna apesar de gap zero: um case não substitui prova padronizada em todo o funil.</w:t>
      </w:r>
    </w:p>
    <w:p w14:paraId="0E7B4F0A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br w:type="page"/>
      </w:r>
    </w:p>
    <w:p w14:paraId="2B93D8C6" w14:textId="77777777" w:rsidR="00126301" w:rsidRPr="008B0B9D" w:rsidRDefault="00543659" w:rsidP="00B25B75">
      <w:pPr>
        <w:pStyle w:val="Ttulo11"/>
        <w:spacing w:before="280" w:after="14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lastRenderedPageBreak/>
        <w:t>3. Cinco Forças Competitivas de Porter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3"/>
        <w:gridCol w:w="1684"/>
        <w:gridCol w:w="1684"/>
        <w:gridCol w:w="539"/>
        <w:gridCol w:w="680"/>
        <w:gridCol w:w="1684"/>
        <w:gridCol w:w="1684"/>
      </w:tblGrid>
      <w:tr w:rsidR="00126301" w:rsidRPr="008B0B9D" w14:paraId="135D33E5" w14:textId="77777777" w:rsidTr="00B25B75">
        <w:trPr>
          <w:cantSplit/>
          <w:tblHeader/>
        </w:trPr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EFE8DD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Força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C5445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Evidências / fatores estruturais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DAD60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Intensidade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52AFE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Peso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32079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Prioridade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59A57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Impacto sobre a competitividade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2E757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Recomendação para Marketing</w:t>
            </w:r>
          </w:p>
        </w:tc>
      </w:tr>
      <w:tr w:rsidR="00126301" w:rsidRPr="008B0B9D" w14:paraId="693F6153" w14:textId="77777777">
        <w:trPr>
          <w:cantSplit/>
        </w:trPr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9C8D9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FP1 Rivalidade entre concorrentes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F1AD6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Q03/Q05/Q06 e E14–E21: concorrentes por unidade de negócio, ofertas sobrepostas e objeções de preço relatadas; permanência estimada de 8–10 anos atenua a pressão na base.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97364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Alta (5)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0AB33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30%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8A01E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1,50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77A1F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Pressão sobre preço e diferenciação; propostas genéricas viram leilão.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8CFFD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Diferenciar por conhecimento do cliente, integração e resultado comprovado.</w:t>
            </w:r>
          </w:p>
        </w:tc>
      </w:tr>
      <w:tr w:rsidR="00126301" w:rsidRPr="008B0B9D" w14:paraId="598BE944" w14:textId="77777777">
        <w:trPr>
          <w:cantSplit/>
        </w:trPr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8589E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FP2 Poder dos compradores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08AAE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Q03/Q05: vários decisores, negociação e exigência de ROI. Conhecimento acumulado e dependências técnicas podem elevar custos de troca, sem medida comparável.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91320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Médio-alto (4)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39867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25%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E890E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1,00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0C73B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Negociação e ciclo longo; a continuidade pode reduzir a pressão depois da entrada, hipótese a validar.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C0265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Provas por papel e expansão dentro da conta.</w:t>
            </w:r>
          </w:p>
        </w:tc>
      </w:tr>
      <w:tr w:rsidR="00126301" w:rsidRPr="008B0B9D" w14:paraId="0564ABE6" w14:textId="77777777">
        <w:trPr>
          <w:cantSplit/>
        </w:trPr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80CAB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FP3 Poder dos fornecedores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EEAA3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Q02/Q06: conhecimento especializado, certificações e plataformas; substituição exige capacitação e integração. Folha interna é estrutura de custo, não fornecedor externo.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05265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Médio (3)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9BFAE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18%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F5EF2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0,54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E36BB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Acesso externo a competências e plataformas condiciona execução; folha e agenda são restrições internas relacionadas.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A894E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Marca empregadora e parcerias seletivas.</w:t>
            </w:r>
          </w:p>
        </w:tc>
      </w:tr>
      <w:tr w:rsidR="00126301" w:rsidRPr="008B0B9D" w14:paraId="3BB9D3E2" w14:textId="77777777">
        <w:trPr>
          <w:cantSplit/>
        </w:trPr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234B7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FP4 Ameaça de novos entrantes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12842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Q05 e E14–E21: tecnologias amplamente disponíveis; referências, qualificação e ciclo de venda relatado de cerca de seis meses dificultam entrada. Barreiras não quantificadas.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63711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Média (3)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F5F89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15%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4F6B8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0,45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DD521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Pressão em serviços padronizados (dashboards, treinamentos simples).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A2343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Proteger cases, método e relacionamento.</w:t>
            </w:r>
          </w:p>
        </w:tc>
      </w:tr>
      <w:tr w:rsidR="00126301" w:rsidRPr="008B0B9D" w14:paraId="47D31278" w14:textId="77777777">
        <w:trPr>
          <w:cantSplit/>
        </w:trPr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025E0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FP5 Ameaça de substitutos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DE96C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Q06/entrevista: equipe interna, open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source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, IA embarcada, BI self-service e cursos online podem substituir etapas simples, sem equivalência para projetos complexos.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4B0E6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Média (3)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749BF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12%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8F8FE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0,36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901D2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Compressão de serviços simples e de treinamentos pontuais.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BA6C2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Focar integração e governança complexas.</w:t>
            </w:r>
          </w:p>
        </w:tc>
      </w:tr>
      <w:tr w:rsidR="00126301" w:rsidRPr="008B0B9D" w14:paraId="10990832" w14:textId="77777777">
        <w:trPr>
          <w:cantSplit/>
        </w:trPr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784F5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Pressão total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87F2CD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7A7F88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7B752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100%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4B00F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3,85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71A1E1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5C28E0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59DC3271" w14:textId="77777777" w:rsidR="00126301" w:rsidRPr="008B0B9D" w:rsidRDefault="00543659" w:rsidP="00B25B75">
      <w:pPr>
        <w:spacing w:before="4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Prioridade = intensidade × peso; pressão ponderada varia de 1 a 5. Rivalidade 30% e compradores 25% afetam preço e entrada; fornecedores 18% afetam acesso a conhecimento e tecnologia; entrantes 15% e substitutos 12% pressionam etapas padronizadas. Intensidades: 1 baixa, 2 moderada-baixa, </w:t>
      </w:r>
      <w:proofErr w:type="gramStart"/>
      <w:r w:rsidRPr="008B0B9D">
        <w:rPr>
          <w:rFonts w:ascii="Times New Roman" w:hAnsi="Times New Roman" w:cs="Times New Roman"/>
          <w:color w:val="000000" w:themeColor="text1"/>
        </w:rPr>
        <w:t>3 média</w:t>
      </w:r>
      <w:proofErr w:type="gramEnd"/>
      <w:r w:rsidRPr="008B0B9D">
        <w:rPr>
          <w:rFonts w:ascii="Times New Roman" w:hAnsi="Times New Roman" w:cs="Times New Roman"/>
          <w:color w:val="000000" w:themeColor="text1"/>
        </w:rPr>
        <w:t xml:space="preserve">, 4 médio-alta, </w:t>
      </w:r>
      <w:proofErr w:type="gramStart"/>
      <w:r w:rsidRPr="008B0B9D">
        <w:rPr>
          <w:rFonts w:ascii="Times New Roman" w:hAnsi="Times New Roman" w:cs="Times New Roman"/>
          <w:color w:val="000000" w:themeColor="text1"/>
        </w:rPr>
        <w:t>5 alta</w:t>
      </w:r>
      <w:proofErr w:type="gramEnd"/>
      <w:r w:rsidRPr="008B0B9D">
        <w:rPr>
          <w:rFonts w:ascii="Times New Roman" w:hAnsi="Times New Roman" w:cs="Times New Roman"/>
          <w:color w:val="000000" w:themeColor="text1"/>
        </w:rPr>
        <w:t>. As notas refletem os fatores da tabela, não rentabilidade medida.</w:t>
      </w:r>
    </w:p>
    <w:p w14:paraId="6F87EF71" w14:textId="77777777" w:rsidR="00126301" w:rsidRPr="008B0B9D" w:rsidRDefault="00543659" w:rsidP="00B25B75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Atratividade. A pressão ponderada é 3,85/5, sob os julgamentos adotados. O mercado pode ser atrativo para uma oferta específica com prova e continuidade, mas não há margem setorial mensurada. Q05 atribui retenção ao conhecimento acumulado; dependências técnicas também podem existir e não foram medidas. A defesa consiste em entrada fundamentada e gestão da relação.</w:t>
      </w:r>
    </w:p>
    <w:p w14:paraId="4CF9AC73" w14:textId="77777777" w:rsidR="00126301" w:rsidRPr="008B0B9D" w:rsidRDefault="00543659" w:rsidP="00B25B75">
      <w:pPr>
        <w:pStyle w:val="Ttulo11"/>
        <w:spacing w:before="280" w:after="14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lastRenderedPageBreak/>
        <w:t>4. Análise dos clientes – 6W + 1W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126301" w:rsidRPr="008B0B9D" w14:paraId="5EA4A3DD" w14:textId="77777777">
        <w:trPr>
          <w:cantSplit/>
          <w:tblHeader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0B3C4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598EEC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Questão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0B3C4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CCB0B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Análise</w:t>
            </w:r>
          </w:p>
        </w:tc>
      </w:tr>
      <w:tr w:rsidR="00126301" w:rsidRPr="008B0B9D" w14:paraId="6D3A63B8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2F3C6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Who — Quem compra?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2C796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Empresas médias e grandes; foco proposto em organizações de saúde com operação de dados complexa, especialmente a base atual. Negócio, TI, finanças e patrocinador participam da decisão (Q01/Q03/Q05).</w:t>
            </w:r>
          </w:p>
        </w:tc>
      </w:tr>
      <w:tr w:rsidR="00126301" w:rsidRPr="008B0B9D" w14:paraId="526C6816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107AF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What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— O que compra e que valor busca?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4AFA2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Alocação de times (maior receita), projetos, sustentação, treinamentos (Tableau como principal; Google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Workspace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crescendo) e licenças. Busca eficiência, decisão mais rápida, segurança e continuidade.</w:t>
            </w:r>
          </w:p>
        </w:tc>
      </w:tr>
      <w:tr w:rsidR="00126301" w:rsidRPr="008B0B9D" w14:paraId="0E7808DD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E208B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Why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— Por que compra?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75C7A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Falta de equipe ou competência interna; modernização (ex.: Unimed saiu do SAS para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Databricks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e reduziu o fechamento de 25 para 5 dias); necessidade de controlar o uso de IA; capacitação de equipes.</w:t>
            </w:r>
          </w:p>
        </w:tc>
      </w:tr>
      <w:tr w:rsidR="00126301" w:rsidRPr="008B0B9D" w14:paraId="435B629C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F8C18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When — Quando compra?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26321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Em migrações, novas tecnologias, orçamento anual ou dor aguda. Ciclo: alocação ~6 meses (até 2 anos); software e treinamento em 1–2 semanas. Depois da entrada, contratos de 12–36 meses.</w:t>
            </w:r>
          </w:p>
        </w:tc>
      </w:tr>
      <w:tr w:rsidR="00126301" w:rsidRPr="008B0B9D" w14:paraId="442050CD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E2C98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Where — Onde compra?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58EA4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Site/SEO (principal fonte de contatos), eventos de terceiros patrocinados com ativação, palestras em faculdades, SDR e relacionamento direto da diretoria.</w:t>
            </w:r>
          </w:p>
        </w:tc>
      </w:tr>
      <w:tr w:rsidR="00126301" w:rsidRPr="008B0B9D" w14:paraId="4BBC7B09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C8AC5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How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— Como compra (jornada)?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88D76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Descoberta por site/evento/treinamento; nutrição; reuniões; premissas de valor; proposta; contrato; implantação e expansão por áreas. Q04 estima dois em dez treinamentos como entrada, sem série de conversão.</w:t>
            </w:r>
          </w:p>
        </w:tc>
      </w:tr>
      <w:tr w:rsidR="00126301" w:rsidRPr="008B0B9D" w14:paraId="127A686D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C8E26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Why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Not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— Por que não compra?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A29D5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Q03/Q05/Q07: preço/valor percebido, ROI incerto, fornecedor incumbente, TI não convencida, solução interna e referências específicas não demonstradas. Não há frequência mensurada das razões.</w:t>
            </w:r>
          </w:p>
        </w:tc>
      </w:tr>
    </w:tbl>
    <w:p w14:paraId="7D04C708" w14:textId="77777777" w:rsidR="00126301" w:rsidRPr="008B0B9D" w:rsidRDefault="00543659" w:rsidP="00B25B75">
      <w:pPr>
        <w:spacing w:before="120"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8B0B9D">
        <w:rPr>
          <w:rFonts w:ascii="Times New Roman" w:hAnsi="Times New Roman" w:cs="Times New Roman"/>
          <w:color w:val="000000" w:themeColor="text1"/>
        </w:rPr>
        <w:t>Why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Not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>. Q03/Q05 sugerem que parte das objeções de preço decorre de valor pouco demonstrado. Não há registro de frequência para afirmar que preço raramente importa. Incumbência, orçamento, TI e alternativas internas também dificultam a compra. Registrar perdas permitirá distinguir causas e ajustar W2, T1 e a proposta.</w:t>
      </w:r>
    </w:p>
    <w:p w14:paraId="3B5468E8" w14:textId="77777777" w:rsidR="00126301" w:rsidRPr="008B0B9D" w:rsidRDefault="00543659" w:rsidP="00B25B75">
      <w:pPr>
        <w:pStyle w:val="Ttulo21"/>
        <w:spacing w:before="2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Quadro-síntese – Clientes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"/>
        <w:gridCol w:w="1861"/>
        <w:gridCol w:w="1861"/>
        <w:gridCol w:w="680"/>
        <w:gridCol w:w="539"/>
        <w:gridCol w:w="539"/>
        <w:gridCol w:w="539"/>
        <w:gridCol w:w="539"/>
        <w:gridCol w:w="680"/>
        <w:gridCol w:w="1861"/>
      </w:tblGrid>
      <w:tr w:rsidR="00126301" w:rsidRPr="008B0B9D" w14:paraId="3EB3BC9C" w14:textId="77777777" w:rsidTr="00012DB2">
        <w:trPr>
          <w:cantSplit/>
          <w:tblHeader/>
        </w:trPr>
        <w:tc>
          <w:tcPr>
            <w:tcW w:w="539" w:type="dxa"/>
            <w:shd w:val="clear" w:color="auto" w:fill="0B3C49"/>
            <w:vAlign w:val="center"/>
          </w:tcPr>
          <w:p w14:paraId="30494E72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Cód.</w:t>
            </w:r>
          </w:p>
        </w:tc>
        <w:tc>
          <w:tcPr>
            <w:tcW w:w="1861" w:type="dxa"/>
            <w:vAlign w:val="center"/>
          </w:tcPr>
          <w:p w14:paraId="07532DC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Insight</w:t>
            </w:r>
          </w:p>
        </w:tc>
        <w:tc>
          <w:tcPr>
            <w:tcW w:w="1861" w:type="dxa"/>
            <w:vAlign w:val="center"/>
          </w:tcPr>
          <w:p w14:paraId="1D10E8C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Evidência</w:t>
            </w:r>
          </w:p>
        </w:tc>
        <w:tc>
          <w:tcPr>
            <w:tcW w:w="680" w:type="dxa"/>
            <w:vAlign w:val="center"/>
          </w:tcPr>
          <w:p w14:paraId="2CBE722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Importância</w:t>
            </w:r>
          </w:p>
        </w:tc>
        <w:tc>
          <w:tcPr>
            <w:tcW w:w="539" w:type="dxa"/>
            <w:vAlign w:val="center"/>
          </w:tcPr>
          <w:p w14:paraId="212D4E6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Peso</w:t>
            </w:r>
          </w:p>
        </w:tc>
        <w:tc>
          <w:tcPr>
            <w:tcW w:w="539" w:type="dxa"/>
            <w:vAlign w:val="center"/>
          </w:tcPr>
          <w:p w14:paraId="6225AD4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Esperado</w:t>
            </w:r>
          </w:p>
        </w:tc>
        <w:tc>
          <w:tcPr>
            <w:tcW w:w="539" w:type="dxa"/>
            <w:vAlign w:val="center"/>
          </w:tcPr>
          <w:p w14:paraId="5A75007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Atual</w:t>
            </w:r>
          </w:p>
        </w:tc>
        <w:tc>
          <w:tcPr>
            <w:tcW w:w="539" w:type="dxa"/>
            <w:vAlign w:val="center"/>
          </w:tcPr>
          <w:p w14:paraId="559FAB3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Gap</w:t>
            </w:r>
          </w:p>
        </w:tc>
        <w:tc>
          <w:tcPr>
            <w:tcW w:w="680" w:type="dxa"/>
            <w:vAlign w:val="center"/>
          </w:tcPr>
          <w:p w14:paraId="69797DC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Prioridade</w:t>
            </w:r>
          </w:p>
        </w:tc>
        <w:tc>
          <w:tcPr>
            <w:tcW w:w="1861" w:type="dxa"/>
            <w:vAlign w:val="center"/>
          </w:tcPr>
          <w:p w14:paraId="74DC339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Recomendação</w:t>
            </w:r>
          </w:p>
        </w:tc>
      </w:tr>
      <w:tr w:rsidR="00126301" w:rsidRPr="008B0B9D" w14:paraId="6CAA82BD" w14:textId="77777777">
        <w:trPr>
          <w:cantSplit/>
        </w:trPr>
        <w:tc>
          <w:tcPr>
            <w:tcW w:w="539" w:type="dxa"/>
            <w:vAlign w:val="center"/>
          </w:tcPr>
          <w:p w14:paraId="105792A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C1</w:t>
            </w:r>
          </w:p>
        </w:tc>
        <w:tc>
          <w:tcPr>
            <w:tcW w:w="1861" w:type="dxa"/>
            <w:vAlign w:val="center"/>
          </w:tcPr>
          <w:p w14:paraId="0AA1CC5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Resultado e ROI</w:t>
            </w:r>
          </w:p>
        </w:tc>
        <w:tc>
          <w:tcPr>
            <w:tcW w:w="1861" w:type="dxa"/>
            <w:vAlign w:val="center"/>
          </w:tcPr>
          <w:p w14:paraId="7C27E30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Q03/E12: case e dificuldade de ROI</w:t>
            </w:r>
          </w:p>
        </w:tc>
        <w:tc>
          <w:tcPr>
            <w:tcW w:w="680" w:type="dxa"/>
            <w:vAlign w:val="center"/>
          </w:tcPr>
          <w:p w14:paraId="213CF50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539" w:type="dxa"/>
            <w:vAlign w:val="center"/>
          </w:tcPr>
          <w:p w14:paraId="3A901E9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25%</w:t>
            </w:r>
          </w:p>
        </w:tc>
        <w:tc>
          <w:tcPr>
            <w:tcW w:w="539" w:type="dxa"/>
            <w:vAlign w:val="center"/>
          </w:tcPr>
          <w:p w14:paraId="45F1C6D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539" w:type="dxa"/>
            <w:vAlign w:val="center"/>
          </w:tcPr>
          <w:p w14:paraId="676707D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</w:t>
            </w:r>
          </w:p>
        </w:tc>
        <w:tc>
          <w:tcPr>
            <w:tcW w:w="539" w:type="dxa"/>
            <w:vAlign w:val="center"/>
          </w:tcPr>
          <w:p w14:paraId="76A4B11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</w:t>
            </w:r>
          </w:p>
        </w:tc>
        <w:tc>
          <w:tcPr>
            <w:tcW w:w="680" w:type="dxa"/>
            <w:vAlign w:val="center"/>
          </w:tcPr>
          <w:p w14:paraId="272AFEC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0,50</w:t>
            </w:r>
          </w:p>
        </w:tc>
        <w:tc>
          <w:tcPr>
            <w:tcW w:w="1861" w:type="dxa"/>
            <w:vAlign w:val="center"/>
          </w:tcPr>
          <w:p w14:paraId="377DB58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Padronizar linha de base e benefícios</w:t>
            </w:r>
          </w:p>
        </w:tc>
      </w:tr>
      <w:tr w:rsidR="00126301" w:rsidRPr="008B0B9D" w14:paraId="793CBE80" w14:textId="77777777">
        <w:trPr>
          <w:cantSplit/>
        </w:trPr>
        <w:tc>
          <w:tcPr>
            <w:tcW w:w="539" w:type="dxa"/>
            <w:vAlign w:val="center"/>
          </w:tcPr>
          <w:p w14:paraId="6466866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C2</w:t>
            </w:r>
          </w:p>
        </w:tc>
        <w:tc>
          <w:tcPr>
            <w:tcW w:w="1861" w:type="dxa"/>
            <w:vAlign w:val="center"/>
          </w:tcPr>
          <w:p w14:paraId="4C3F972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Confiança e continuidade</w:t>
            </w:r>
          </w:p>
        </w:tc>
        <w:tc>
          <w:tcPr>
            <w:tcW w:w="1861" w:type="dxa"/>
            <w:vAlign w:val="center"/>
          </w:tcPr>
          <w:p w14:paraId="3E969CA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Q05/E12: vínculo plurianual</w:t>
            </w:r>
          </w:p>
        </w:tc>
        <w:tc>
          <w:tcPr>
            <w:tcW w:w="680" w:type="dxa"/>
            <w:vAlign w:val="center"/>
          </w:tcPr>
          <w:p w14:paraId="33051C5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539" w:type="dxa"/>
            <w:vAlign w:val="center"/>
          </w:tcPr>
          <w:p w14:paraId="661E309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20%</w:t>
            </w:r>
          </w:p>
        </w:tc>
        <w:tc>
          <w:tcPr>
            <w:tcW w:w="539" w:type="dxa"/>
            <w:vAlign w:val="center"/>
          </w:tcPr>
          <w:p w14:paraId="2F3B070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vAlign w:val="center"/>
          </w:tcPr>
          <w:p w14:paraId="06890F7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vAlign w:val="center"/>
          </w:tcPr>
          <w:p w14:paraId="5322974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</w:t>
            </w:r>
          </w:p>
        </w:tc>
        <w:tc>
          <w:tcPr>
            <w:tcW w:w="680" w:type="dxa"/>
            <w:vAlign w:val="center"/>
          </w:tcPr>
          <w:p w14:paraId="71134DB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0,00</w:t>
            </w:r>
          </w:p>
        </w:tc>
        <w:tc>
          <w:tcPr>
            <w:tcW w:w="1861" w:type="dxa"/>
            <w:vAlign w:val="center"/>
          </w:tcPr>
          <w:p w14:paraId="0C99898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Proteger gestão de contas</w:t>
            </w:r>
          </w:p>
        </w:tc>
      </w:tr>
      <w:tr w:rsidR="00126301" w:rsidRPr="008B0B9D" w14:paraId="1C472FC8" w14:textId="77777777">
        <w:trPr>
          <w:cantSplit/>
        </w:trPr>
        <w:tc>
          <w:tcPr>
            <w:tcW w:w="539" w:type="dxa"/>
            <w:vAlign w:val="center"/>
          </w:tcPr>
          <w:p w14:paraId="2A652DE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C3</w:t>
            </w:r>
          </w:p>
        </w:tc>
        <w:tc>
          <w:tcPr>
            <w:tcW w:w="1861" w:type="dxa"/>
            <w:vAlign w:val="center"/>
          </w:tcPr>
          <w:p w14:paraId="069E1AD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Governança de IA</w:t>
            </w:r>
          </w:p>
        </w:tc>
        <w:tc>
          <w:tcPr>
            <w:tcW w:w="1861" w:type="dxa"/>
            <w:vAlign w:val="center"/>
          </w:tcPr>
          <w:p w14:paraId="7A782E2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Q06/E02: risco residual</w:t>
            </w:r>
          </w:p>
        </w:tc>
        <w:tc>
          <w:tcPr>
            <w:tcW w:w="680" w:type="dxa"/>
            <w:vAlign w:val="center"/>
          </w:tcPr>
          <w:p w14:paraId="6F8F60A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539" w:type="dxa"/>
            <w:vAlign w:val="center"/>
          </w:tcPr>
          <w:p w14:paraId="6A7C332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18%</w:t>
            </w:r>
          </w:p>
        </w:tc>
        <w:tc>
          <w:tcPr>
            <w:tcW w:w="539" w:type="dxa"/>
            <w:vAlign w:val="center"/>
          </w:tcPr>
          <w:p w14:paraId="39C3071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539" w:type="dxa"/>
            <w:vAlign w:val="center"/>
          </w:tcPr>
          <w:p w14:paraId="09F4698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</w:t>
            </w:r>
          </w:p>
        </w:tc>
        <w:tc>
          <w:tcPr>
            <w:tcW w:w="539" w:type="dxa"/>
            <w:vAlign w:val="center"/>
          </w:tcPr>
          <w:p w14:paraId="00814E4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</w:t>
            </w:r>
          </w:p>
        </w:tc>
        <w:tc>
          <w:tcPr>
            <w:tcW w:w="680" w:type="dxa"/>
            <w:vAlign w:val="center"/>
          </w:tcPr>
          <w:p w14:paraId="7BA4419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0,36</w:t>
            </w:r>
          </w:p>
        </w:tc>
        <w:tc>
          <w:tcPr>
            <w:tcW w:w="1861" w:type="dxa"/>
            <w:vAlign w:val="center"/>
          </w:tcPr>
          <w:p w14:paraId="67755B9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Delimitar controles e indicadores</w:t>
            </w:r>
          </w:p>
        </w:tc>
      </w:tr>
      <w:tr w:rsidR="00126301" w:rsidRPr="008B0B9D" w14:paraId="2BA93454" w14:textId="77777777">
        <w:trPr>
          <w:cantSplit/>
        </w:trPr>
        <w:tc>
          <w:tcPr>
            <w:tcW w:w="539" w:type="dxa"/>
            <w:vAlign w:val="center"/>
          </w:tcPr>
          <w:p w14:paraId="7200DE8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C4</w:t>
            </w:r>
          </w:p>
        </w:tc>
        <w:tc>
          <w:tcPr>
            <w:tcW w:w="1861" w:type="dxa"/>
            <w:vAlign w:val="center"/>
          </w:tcPr>
          <w:p w14:paraId="2665B6D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Argumentação aos decisores</w:t>
            </w:r>
          </w:p>
        </w:tc>
        <w:tc>
          <w:tcPr>
            <w:tcW w:w="1861" w:type="dxa"/>
            <w:vAlign w:val="center"/>
          </w:tcPr>
          <w:p w14:paraId="272408D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Q03/Q05: negócio e TI</w:t>
            </w:r>
          </w:p>
        </w:tc>
        <w:tc>
          <w:tcPr>
            <w:tcW w:w="680" w:type="dxa"/>
            <w:vAlign w:val="center"/>
          </w:tcPr>
          <w:p w14:paraId="2C73AC1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vAlign w:val="center"/>
          </w:tcPr>
          <w:p w14:paraId="6C9DF0F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15%</w:t>
            </w:r>
          </w:p>
        </w:tc>
        <w:tc>
          <w:tcPr>
            <w:tcW w:w="539" w:type="dxa"/>
            <w:vAlign w:val="center"/>
          </w:tcPr>
          <w:p w14:paraId="0231B17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vAlign w:val="center"/>
          </w:tcPr>
          <w:p w14:paraId="4772AAC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</w:t>
            </w:r>
          </w:p>
        </w:tc>
        <w:tc>
          <w:tcPr>
            <w:tcW w:w="539" w:type="dxa"/>
            <w:vAlign w:val="center"/>
          </w:tcPr>
          <w:p w14:paraId="150F62A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</w:t>
            </w:r>
          </w:p>
        </w:tc>
        <w:tc>
          <w:tcPr>
            <w:tcW w:w="680" w:type="dxa"/>
            <w:vAlign w:val="center"/>
          </w:tcPr>
          <w:p w14:paraId="0A47710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0,15</w:t>
            </w:r>
          </w:p>
        </w:tc>
        <w:tc>
          <w:tcPr>
            <w:tcW w:w="1861" w:type="dxa"/>
            <w:vAlign w:val="center"/>
          </w:tcPr>
          <w:p w14:paraId="71C8491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Materiais por decisor</w:t>
            </w:r>
          </w:p>
        </w:tc>
      </w:tr>
      <w:tr w:rsidR="00126301" w:rsidRPr="008B0B9D" w14:paraId="68FFCEA1" w14:textId="77777777">
        <w:trPr>
          <w:cantSplit/>
        </w:trPr>
        <w:tc>
          <w:tcPr>
            <w:tcW w:w="539" w:type="dxa"/>
            <w:vAlign w:val="center"/>
          </w:tcPr>
          <w:p w14:paraId="154931E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C5</w:t>
            </w:r>
          </w:p>
        </w:tc>
        <w:tc>
          <w:tcPr>
            <w:tcW w:w="1861" w:type="dxa"/>
            <w:vAlign w:val="center"/>
          </w:tcPr>
          <w:p w14:paraId="340BB43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Flexibilidade</w:t>
            </w:r>
          </w:p>
        </w:tc>
        <w:tc>
          <w:tcPr>
            <w:tcW w:w="1861" w:type="dxa"/>
            <w:vAlign w:val="center"/>
          </w:tcPr>
          <w:p w14:paraId="400DB19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Q05: pacotes de horas</w:t>
            </w:r>
          </w:p>
        </w:tc>
        <w:tc>
          <w:tcPr>
            <w:tcW w:w="680" w:type="dxa"/>
            <w:vAlign w:val="center"/>
          </w:tcPr>
          <w:p w14:paraId="6863DC1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vAlign w:val="center"/>
          </w:tcPr>
          <w:p w14:paraId="59FFCC4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12%</w:t>
            </w:r>
          </w:p>
        </w:tc>
        <w:tc>
          <w:tcPr>
            <w:tcW w:w="539" w:type="dxa"/>
            <w:vAlign w:val="center"/>
          </w:tcPr>
          <w:p w14:paraId="454BA84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vAlign w:val="center"/>
          </w:tcPr>
          <w:p w14:paraId="0283EE1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vAlign w:val="center"/>
          </w:tcPr>
          <w:p w14:paraId="1A51753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</w:t>
            </w:r>
          </w:p>
        </w:tc>
        <w:tc>
          <w:tcPr>
            <w:tcW w:w="680" w:type="dxa"/>
            <w:vAlign w:val="center"/>
          </w:tcPr>
          <w:p w14:paraId="420BAEA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0,00</w:t>
            </w:r>
          </w:p>
        </w:tc>
        <w:tc>
          <w:tcPr>
            <w:tcW w:w="1861" w:type="dxa"/>
            <w:vAlign w:val="center"/>
          </w:tcPr>
          <w:p w14:paraId="5538396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Proteger flexibilidade e margem</w:t>
            </w:r>
          </w:p>
        </w:tc>
      </w:tr>
      <w:tr w:rsidR="00126301" w:rsidRPr="008B0B9D" w14:paraId="5D37A536" w14:textId="77777777">
        <w:trPr>
          <w:cantSplit/>
        </w:trPr>
        <w:tc>
          <w:tcPr>
            <w:tcW w:w="539" w:type="dxa"/>
            <w:vAlign w:val="center"/>
          </w:tcPr>
          <w:p w14:paraId="38A6F3F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C6</w:t>
            </w:r>
          </w:p>
        </w:tc>
        <w:tc>
          <w:tcPr>
            <w:tcW w:w="1861" w:type="dxa"/>
            <w:vAlign w:val="center"/>
          </w:tcPr>
          <w:p w14:paraId="77EB3AA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Capacitação corporativa</w:t>
            </w:r>
          </w:p>
        </w:tc>
        <w:tc>
          <w:tcPr>
            <w:tcW w:w="1861" w:type="dxa"/>
            <w:vAlign w:val="center"/>
          </w:tcPr>
          <w:p w14:paraId="163506C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Q04/Q08: treinamento e trilhas</w:t>
            </w:r>
          </w:p>
        </w:tc>
        <w:tc>
          <w:tcPr>
            <w:tcW w:w="680" w:type="dxa"/>
            <w:vAlign w:val="center"/>
          </w:tcPr>
          <w:p w14:paraId="0B520DD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vAlign w:val="center"/>
          </w:tcPr>
          <w:p w14:paraId="65E982C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10%</w:t>
            </w:r>
          </w:p>
        </w:tc>
        <w:tc>
          <w:tcPr>
            <w:tcW w:w="539" w:type="dxa"/>
            <w:vAlign w:val="center"/>
          </w:tcPr>
          <w:p w14:paraId="4A4B542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vAlign w:val="center"/>
          </w:tcPr>
          <w:p w14:paraId="46E73A2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</w:t>
            </w:r>
          </w:p>
        </w:tc>
        <w:tc>
          <w:tcPr>
            <w:tcW w:w="539" w:type="dxa"/>
            <w:vAlign w:val="center"/>
          </w:tcPr>
          <w:p w14:paraId="2FAF8F1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</w:t>
            </w:r>
          </w:p>
        </w:tc>
        <w:tc>
          <w:tcPr>
            <w:tcW w:w="680" w:type="dxa"/>
            <w:vAlign w:val="center"/>
          </w:tcPr>
          <w:p w14:paraId="7D1033E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0,10</w:t>
            </w:r>
          </w:p>
        </w:tc>
        <w:tc>
          <w:tcPr>
            <w:tcW w:w="1861" w:type="dxa"/>
            <w:vAlign w:val="center"/>
          </w:tcPr>
          <w:p w14:paraId="71A4E02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Medir conversão e agenda</w:t>
            </w:r>
          </w:p>
        </w:tc>
      </w:tr>
      <w:tr w:rsidR="00126301" w:rsidRPr="008B0B9D" w14:paraId="325F23C4" w14:textId="77777777">
        <w:trPr>
          <w:cantSplit/>
        </w:trPr>
        <w:tc>
          <w:tcPr>
            <w:tcW w:w="539" w:type="dxa"/>
            <w:vAlign w:val="center"/>
          </w:tcPr>
          <w:p w14:paraId="3AC9E441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61" w:type="dxa"/>
            <w:vAlign w:val="center"/>
          </w:tcPr>
          <w:p w14:paraId="6E46711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Total</w:t>
            </w:r>
          </w:p>
        </w:tc>
        <w:tc>
          <w:tcPr>
            <w:tcW w:w="1861" w:type="dxa"/>
            <w:vAlign w:val="center"/>
          </w:tcPr>
          <w:p w14:paraId="1F6CA91E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80" w:type="dxa"/>
            <w:vAlign w:val="center"/>
          </w:tcPr>
          <w:p w14:paraId="26A094D4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39" w:type="dxa"/>
            <w:vAlign w:val="center"/>
          </w:tcPr>
          <w:p w14:paraId="797A53F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100%</w:t>
            </w:r>
          </w:p>
        </w:tc>
        <w:tc>
          <w:tcPr>
            <w:tcW w:w="539" w:type="dxa"/>
            <w:vAlign w:val="center"/>
          </w:tcPr>
          <w:p w14:paraId="64F336F7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39" w:type="dxa"/>
            <w:vAlign w:val="center"/>
          </w:tcPr>
          <w:p w14:paraId="619089A7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39" w:type="dxa"/>
            <w:vAlign w:val="center"/>
          </w:tcPr>
          <w:p w14:paraId="00FDC967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80" w:type="dxa"/>
            <w:vAlign w:val="center"/>
          </w:tcPr>
          <w:p w14:paraId="23241FF4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61" w:type="dxa"/>
            <w:vAlign w:val="center"/>
          </w:tcPr>
          <w:p w14:paraId="3BEA9B93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06EBF1C5" w14:textId="77777777" w:rsidR="00126301" w:rsidRPr="008B0B9D" w:rsidRDefault="00543659" w:rsidP="00B25B75">
      <w:pPr>
        <w:spacing w:before="4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Gap = </w:t>
      </w:r>
      <w:proofErr w:type="gramStart"/>
      <w:r w:rsidRPr="008B0B9D">
        <w:rPr>
          <w:rFonts w:ascii="Times New Roman" w:hAnsi="Times New Roman" w:cs="Times New Roman"/>
          <w:color w:val="000000" w:themeColor="text1"/>
        </w:rPr>
        <w:t>MAX(</w:t>
      </w:r>
      <w:proofErr w:type="gramEnd"/>
      <w:r w:rsidRPr="008B0B9D">
        <w:rPr>
          <w:rFonts w:ascii="Times New Roman" w:hAnsi="Times New Roman" w:cs="Times New Roman"/>
          <w:color w:val="000000" w:themeColor="text1"/>
        </w:rPr>
        <w:t>0, desempenho esperado − atual); prioridade corretiva = peso × gap. Esperado e atual são avaliações exploratórias do grupo: 1=incipiente, 2=pontual, 3=parcial, 4=consistente no relato, 5=sistematizado e mensurado. Não são resultados de pesquisa com clientes. C1/C3 têm meta 5 por exigirem métricas e controles; demais meta 4. Importância é separada do desempenho. Pesos 25/20/18% destacam resultado, confiança e segurança; 15/12/10% cobrem decisão, contratação e capacitação.</w:t>
      </w:r>
    </w:p>
    <w:p w14:paraId="24A6C4B2" w14:textId="77777777" w:rsidR="00126301" w:rsidRPr="008B0B9D" w:rsidRDefault="00543659" w:rsidP="00B25B75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Valor ao cliente. C1/C3 têm os maiores gaps corretivos (0,50 e 0,36); C2 tem gap zero na meta exploratória e precisa de proteção. O relacionamento é documentado, mas não avaliado como perfeição ou superioridade frente aos rivais. Validação com compradores pode alterar notas e prioridades.</w:t>
      </w:r>
    </w:p>
    <w:p w14:paraId="2CD4A7FF" w14:textId="77777777" w:rsidR="00126301" w:rsidRPr="008B0B9D" w:rsidRDefault="00543659" w:rsidP="00B25B75">
      <w:pPr>
        <w:pStyle w:val="Ttulo11"/>
        <w:spacing w:before="280" w:after="14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lastRenderedPageBreak/>
        <w:t>5. Fornecedores e parceiros da cadeia</w:t>
      </w:r>
    </w:p>
    <w:p w14:paraId="753DB87A" w14:textId="77777777" w:rsidR="00126301" w:rsidRPr="008B0B9D" w:rsidRDefault="00543659" w:rsidP="00B25B75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A montante estão plataformas, serviços cloud e o ecossistema externo de formação/contratação. Empregados são recursos internos; acesso a competências é uma dependência externa. A jusante, a QSOFT combina canais próprios com fabricantes, parceiros de serviço e instituições de ensino. Canais próprios não são atores externos.</w:t>
      </w:r>
    </w:p>
    <w:p w14:paraId="5BDB0E2A" w14:textId="77777777" w:rsidR="00126301" w:rsidRPr="008B0B9D" w:rsidRDefault="00543659" w:rsidP="00B25B75">
      <w:pPr>
        <w:keepNext/>
        <w:spacing w:before="1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b/>
          <w:bCs/>
          <w:color w:val="000000" w:themeColor="text1"/>
          <w:szCs w:val="17"/>
        </w:rPr>
        <w:t>Tabela 5.1 – Avaliação dos fornecedores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126301" w:rsidRPr="008B0B9D" w14:paraId="5AC008D6" w14:textId="77777777" w:rsidTr="00012DB2">
        <w:trPr>
          <w:cantSplit/>
          <w:tblHeader/>
        </w:trPr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auto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BB462F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Critério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auto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806C9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Plataformas (</w:t>
            </w:r>
            <w:proofErr w:type="spellStart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Databricks</w:t>
            </w:r>
            <w:proofErr w:type="spellEnd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Snowflake</w:t>
            </w:r>
            <w:proofErr w:type="spellEnd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, Google Cloud, </w:t>
            </w:r>
            <w:proofErr w:type="spellStart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Salesforce</w:t>
            </w:r>
            <w:proofErr w:type="spellEnd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/Tableau, Microsoft, </w:t>
            </w:r>
            <w:proofErr w:type="spellStart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Anthropic</w:t>
            </w:r>
            <w:proofErr w:type="spellEnd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)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auto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D3A07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Ecossistema externo de profissionais e formação</w:t>
            </w:r>
          </w:p>
        </w:tc>
      </w:tr>
      <w:tr w:rsidR="00126301" w:rsidRPr="008B0B9D" w14:paraId="74E53BE3" w14:textId="77777777" w:rsidTr="00012DB2">
        <w:trPr>
          <w:cantSplit/>
        </w:trPr>
        <w:tc>
          <w:tcPr>
            <w:tcW w:w="3213" w:type="dxa"/>
            <w:tcBorders>
              <w:top w:val="single" w:sz="4" w:space="0" w:color="auto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1FF38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Importância estratégica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CD55B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Alta: base técnica da entrega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5DE34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Alta: formação e contratação complementam o recurso humano interno (Q02).</w:t>
            </w:r>
          </w:p>
        </w:tc>
      </w:tr>
      <w:tr w:rsidR="00126301" w:rsidRPr="008B0B9D" w14:paraId="50B3AEC3" w14:textId="77777777">
        <w:trPr>
          <w:cantSplit/>
        </w:trPr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37618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Dependência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A5982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Dependência varia pela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stack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instalada; atuação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multistack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amplia alternativas, sem eliminar custos de troca.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CB637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Alta</w:t>
            </w:r>
          </w:p>
        </w:tc>
      </w:tr>
      <w:tr w:rsidR="00126301" w:rsidRPr="008B0B9D" w14:paraId="4A3E0866" w14:textId="77777777">
        <w:trPr>
          <w:cantSplit/>
        </w:trPr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44434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Concentração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D6163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Várias plataformas, mas concentração por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stack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instalada; número de marcas não elimina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lock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-in.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1E4B5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Mercado disputado</w:t>
            </w:r>
          </w:p>
        </w:tc>
      </w:tr>
      <w:tr w:rsidR="00126301" w:rsidRPr="008B0B9D" w14:paraId="028F3338" w14:textId="77777777">
        <w:trPr>
          <w:cantSplit/>
        </w:trPr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D5142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Alternativas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7434D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Alternativas tecnológicas existentes; equivalência funcional e migração precisam ser avaliadas por projeto.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1B761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Formação interna (preferência) e contratação lateral (exceção)</w:t>
            </w:r>
          </w:p>
        </w:tc>
      </w:tr>
      <w:tr w:rsidR="00126301" w:rsidRPr="008B0B9D" w14:paraId="1050F7F5" w14:textId="77777777">
        <w:trPr>
          <w:cantSplit/>
        </w:trPr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ACA86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Custo de substituição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C59F6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Migração pode exigir requalificação, certificação e integração; custo não quantificado.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8152C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Alto: tempo de formação</w:t>
            </w:r>
          </w:p>
        </w:tc>
      </w:tr>
      <w:tr w:rsidR="00126301" w:rsidRPr="008B0B9D" w14:paraId="2494B512" w14:textId="77777777">
        <w:trPr>
          <w:cantSplit/>
        </w:trPr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4521D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Inovação / qualidade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2ED7B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Atualização contínua relatada; qualidade e resultados dependem da implementação, não aferidos comparativamente.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1584C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Depende de capacitação contínua</w:t>
            </w:r>
          </w:p>
        </w:tc>
      </w:tr>
      <w:tr w:rsidR="00126301" w:rsidRPr="008B0B9D" w14:paraId="59AFFC22" w14:textId="77777777">
        <w:trPr>
          <w:cantSplit/>
        </w:trPr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F32C0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Confiabilidade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ED2D7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SLAs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e desempenho não avaliados nesta base; não atribuir confiabilidade máxima.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F5D9C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Disponibilidade e retenção não medidas; risco de saída é hipótese estrutural.</w:t>
            </w:r>
          </w:p>
        </w:tc>
      </w:tr>
      <w:tr w:rsidR="00126301" w:rsidRPr="008B0B9D" w14:paraId="4D6D2190" w14:textId="77777777">
        <w:trPr>
          <w:cantSplit/>
        </w:trPr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688C9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Risco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E5D6A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Metas de venda e certificações para manter status; obsolescência</w:t>
            </w:r>
          </w:p>
        </w:tc>
        <w:tc>
          <w:tcPr>
            <w:tcW w:w="32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68395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Formação e contratação podem limitar a meta de crescimento declarada de 40%, que não é resultado realizado.</w:t>
            </w:r>
          </w:p>
        </w:tc>
      </w:tr>
    </w:tbl>
    <w:p w14:paraId="6EAD726B" w14:textId="77777777" w:rsidR="00126301" w:rsidRPr="008B0B9D" w:rsidRDefault="00543659" w:rsidP="00B25B75">
      <w:pPr>
        <w:keepNext/>
        <w:spacing w:before="1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b/>
          <w:bCs/>
          <w:color w:val="000000" w:themeColor="text1"/>
          <w:szCs w:val="17"/>
        </w:rPr>
        <w:t>Tabela 5.2 – Avaliação dos parceiros de acesso ao mercado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126301" w:rsidRPr="008B0B9D" w14:paraId="5C26763C" w14:textId="77777777" w:rsidTr="00012DB2">
        <w:trPr>
          <w:cantSplit/>
          <w:tblHeader/>
        </w:trPr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0B5C4C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Critério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E098F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Venda direta (site/SEO, eventos, SDR, diretoria)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590EE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Parceiros tecnológicos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9D7F3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Concorrentes-parceiros e instituições de ensino</w:t>
            </w:r>
          </w:p>
        </w:tc>
      </w:tr>
      <w:tr w:rsidR="00126301" w:rsidRPr="008B0B9D" w14:paraId="5176C219" w14:textId="77777777">
        <w:trPr>
          <w:cantSplit/>
        </w:trPr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92D56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Acesso ao mercado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11C90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Principal canal próprio; não é parceiro externo (Q04).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5AE28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Credibilidade e acesso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AFF5D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Complementar</w:t>
            </w:r>
          </w:p>
        </w:tc>
      </w:tr>
      <w:tr w:rsidR="00126301" w:rsidRPr="008B0B9D" w14:paraId="65FA36FF" w14:textId="77777777">
        <w:trPr>
          <w:cantSplit/>
        </w:trPr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010B2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Cobertura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14C6D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Nacional; presencial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1D9F8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Nacional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7E652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Pontual</w:t>
            </w:r>
          </w:p>
        </w:tc>
      </w:tr>
      <w:tr w:rsidR="00126301" w:rsidRPr="008B0B9D" w14:paraId="449BE6C0" w14:textId="77777777">
        <w:trPr>
          <w:cantSplit/>
        </w:trPr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1CB23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Poder de negociação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EE098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Da QSOFT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F04B3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Alto do fabricante (metas)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819E1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Equilibrado</w:t>
            </w:r>
          </w:p>
        </w:tc>
      </w:tr>
      <w:tr w:rsidR="00126301" w:rsidRPr="008B0B9D" w14:paraId="6863E604" w14:textId="77777777">
        <w:trPr>
          <w:cantSplit/>
        </w:trPr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F0254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Dependência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D2B9E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Alta do site e dos eventos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31E99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Média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DA510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Baixa</w:t>
            </w:r>
          </w:p>
        </w:tc>
      </w:tr>
      <w:tr w:rsidR="00126301" w:rsidRPr="008B0B9D" w14:paraId="76E596A2" w14:textId="77777777">
        <w:trPr>
          <w:cantSplit/>
        </w:trPr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7C0B2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Geração de demanda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C5DAD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Relevância declarada; receita por canal e CAC não mensurados.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69895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Contribuição atribuída não mensurada.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C634D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Indicações e relevância</w:t>
            </w:r>
          </w:p>
        </w:tc>
      </w:tr>
      <w:tr w:rsidR="00126301" w:rsidRPr="008B0B9D" w14:paraId="2AAAF4B6" w14:textId="77777777">
        <w:trPr>
          <w:cantSplit/>
        </w:trPr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D0C68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Informação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5DF93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CRM próprio: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Pipedrive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em uso e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Salesforce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em avaliação (Q08).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2FC08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Limitado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FAB2D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Troca de serviços</w:t>
            </w:r>
          </w:p>
        </w:tc>
      </w:tr>
      <w:tr w:rsidR="00126301" w:rsidRPr="008B0B9D" w14:paraId="0B3E8F9A" w14:textId="77777777">
        <w:trPr>
          <w:cantSplit/>
        </w:trPr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7ABC7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Experiência da marca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9CEC9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Controlada pela QSOFT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2DEC5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Associação a marcas fortes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CFE2D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Relevância (palestras)</w:t>
            </w:r>
          </w:p>
        </w:tc>
      </w:tr>
      <w:tr w:rsidR="00126301" w:rsidRPr="008B0B9D" w14:paraId="503D3F5F" w14:textId="77777777">
        <w:trPr>
          <w:cantSplit/>
        </w:trPr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17C89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Conflito / desintermediação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76DA7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Não se aplica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A7D51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Fabricante pode vender direto</w:t>
            </w:r>
          </w:p>
        </w:tc>
        <w:tc>
          <w:tcPr>
            <w:tcW w:w="240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A655F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Parceiro pode virar concorrente</w:t>
            </w:r>
          </w:p>
        </w:tc>
      </w:tr>
    </w:tbl>
    <w:p w14:paraId="58B4FA66" w14:textId="77777777" w:rsidR="00126301" w:rsidRPr="008B0B9D" w:rsidRDefault="00543659" w:rsidP="00B25B75">
      <w:pPr>
        <w:pStyle w:val="Ttulo21"/>
        <w:spacing w:before="2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lastRenderedPageBreak/>
        <w:t>Quadro-síntese – Cadeia de valor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3"/>
        <w:gridCol w:w="1684"/>
        <w:gridCol w:w="1684"/>
        <w:gridCol w:w="539"/>
        <w:gridCol w:w="680"/>
        <w:gridCol w:w="1684"/>
        <w:gridCol w:w="1684"/>
      </w:tblGrid>
      <w:tr w:rsidR="00126301" w:rsidRPr="008B0B9D" w14:paraId="6499020B" w14:textId="77777777" w:rsidTr="00B25B75">
        <w:trPr>
          <w:cantSplit/>
          <w:tblHeader/>
        </w:trPr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F7018F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Fator / parceiro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03910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Importância estratégica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DECD3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Dependência / risco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72DE7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Peso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CE4DC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Prioridade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89D7F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Implicação competitiva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2F889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Recomendação para Marketing</w:t>
            </w:r>
          </w:p>
        </w:tc>
      </w:tr>
      <w:tr w:rsidR="00126301" w:rsidRPr="008B0B9D" w14:paraId="2E5F010B" w14:textId="77777777">
        <w:trPr>
          <w:cantSplit/>
        </w:trPr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F0485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V1 Formação e acesso a talentos externos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153F5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Muito alta: sustenta conhecimento e capacidade (5)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2B32B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Mercado disputado; formação leva tempo; agenda interna é restrição complementar (5)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44541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30%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5BD5F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1,50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2D5BF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Capacidade limita quanto Marketing pode prometer e vender.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2E2C1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Marca empregadora; comunicar equipe formada e certificada.</w:t>
            </w:r>
          </w:p>
        </w:tc>
      </w:tr>
      <w:tr w:rsidR="00126301" w:rsidRPr="008B0B9D" w14:paraId="12DCDB1E" w14:textId="77777777">
        <w:trPr>
          <w:cantSplit/>
        </w:trPr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B7D8C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V2 Plataformas e alianças tecnológicas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04966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Alta: credibilidade técnica e acesso a inovação (4)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0A98C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Certificação, arquitetura, integração e venda direta do fabricante (3)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94D0D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25%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1C457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0,88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A2722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Parceria é requisito, não diferencial.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02F0C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Concentrar parcerias onde há demanda (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Databricks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,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Salesforce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, Microsoft,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Anthropic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).</w:t>
            </w:r>
          </w:p>
        </w:tc>
      </w:tr>
      <w:tr w:rsidR="00126301" w:rsidRPr="008B0B9D" w14:paraId="4CC197D1" w14:textId="77777777">
        <w:trPr>
          <w:cantSplit/>
        </w:trPr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CEBDE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V3 Canais próprios de demanda (site/SEO, eventos, SDR)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59177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Alta: origem da maior parte dos contatos (4)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E73A4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Sem métrica de origem e conversão por canal (3)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B3992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20%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071B1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0,70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A7752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Não se sabe quais canais geram receita.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47638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Medir origem, conversão e ciclo por canal no CRM.</w:t>
            </w:r>
          </w:p>
        </w:tc>
      </w:tr>
      <w:tr w:rsidR="00126301" w:rsidRPr="008B0B9D" w14:paraId="039278B9" w14:textId="77777777">
        <w:trPr>
          <w:cantSplit/>
        </w:trPr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EA171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V4 Treinamento como canal de entrada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8502A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Potencial moderado: estimativa declarada de dois em dez treinamentos (3)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C4BCE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Agenda dos instrutores; aluno PF não retido (2)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90C9A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15%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94172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0,38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49220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Porta de entrada potencial; custo de aquisição não calculado.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AC930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Trilhas corporativas e nutrição pós-curso.</w:t>
            </w:r>
          </w:p>
        </w:tc>
      </w:tr>
      <w:tr w:rsidR="00126301" w:rsidRPr="008B0B9D" w14:paraId="593F6A99" w14:textId="77777777">
        <w:trPr>
          <w:cantSplit/>
        </w:trPr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2E15C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V5 Concorrentes-parceiros e instituições de ensino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05E1C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Complementar: indicações e relevância (2)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B2BC5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Parceiro pode virar concorrente (2)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F0795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6B3A9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0,20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B2CF9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Indicações e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coopetição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; custo e retorno não mensurados.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D220C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Formalizar papéis e referências conjuntas.</w:t>
            </w:r>
          </w:p>
        </w:tc>
      </w:tr>
      <w:tr w:rsidR="00126301" w:rsidRPr="008B0B9D" w14:paraId="39A9AD40" w14:textId="77777777">
        <w:trPr>
          <w:cantSplit/>
        </w:trPr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E94B4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Total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FA62AC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A84603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92BFA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100%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CF25FC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F116DB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068F05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3D684299" w14:textId="77777777" w:rsidR="00126301" w:rsidRPr="008B0B9D" w:rsidRDefault="00543659" w:rsidP="00B25B75">
      <w:pPr>
        <w:spacing w:before="4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Prioridade da cadeia = peso × média de importância e risco. V1 tem 30% pela criticidade do conhecimento; V2 25% pela integração/arquitetura; V3 20% pelo acesso comercial sem atribuição; V4 15% pelo potencial de entrada; V5 10% pelo alcance complementar. Escalas 1–5 expressam julgamento, com evidências na tabela. Nota alta indica criticidade, não eficácia comprovada.</w:t>
      </w:r>
    </w:p>
    <w:p w14:paraId="63CFB2F5" w14:textId="77777777" w:rsidR="00126301" w:rsidRPr="008B0B9D" w:rsidRDefault="00543659" w:rsidP="00B25B75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A cadeia exige proteger acesso a talentos e controlar dependência tecnológica. A atuação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multistack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amplia alternativas, mas não elimina custos de integração e troca. Treinamento e indicações são oportunidades a medir; não há CAC ou retorno por canal para classificá-los como baratos.</w:t>
      </w:r>
    </w:p>
    <w:p w14:paraId="321156DE" w14:textId="77777777" w:rsidR="00126301" w:rsidRPr="008B0B9D" w:rsidRDefault="00543659" w:rsidP="00B25B75">
      <w:pPr>
        <w:pStyle w:val="Ttulo11"/>
        <w:spacing w:before="280" w:after="14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6. Análise do ambiente interno</w:t>
      </w:r>
    </w:p>
    <w:p w14:paraId="5E3E51C5" w14:textId="77777777" w:rsidR="00126301" w:rsidRPr="008B0B9D" w:rsidRDefault="00543659" w:rsidP="00B25B75">
      <w:pPr>
        <w:pStyle w:val="Ttulo21"/>
        <w:spacing w:before="2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6.1 Recursos e competências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126301" w:rsidRPr="008B0B9D" w14:paraId="250CE50C" w14:textId="77777777" w:rsidTr="00B25B75">
        <w:trPr>
          <w:cantSplit/>
          <w:tblHeader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D3EB94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Tipo de recurso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014DA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Mapeamento</w:t>
            </w:r>
          </w:p>
        </w:tc>
      </w:tr>
      <w:tr w:rsidR="00126301" w:rsidRPr="008B0B9D" w14:paraId="73694A70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BBCDF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Físicos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DA011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Escritório/equipamentos não detalhados; contribuição competitiva não avaliada, sem inferir irrelevância.</w:t>
            </w:r>
          </w:p>
        </w:tc>
      </w:tr>
      <w:tr w:rsidR="00126301" w:rsidRPr="008B0B9D" w14:paraId="61258DAB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599E8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Financeiros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2373F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Receitas e margens não divulgadas. Meta atingida e regra de divisão de lucro são relatos, sem auditoria (entrevista).</w:t>
            </w:r>
          </w:p>
        </w:tc>
      </w:tr>
      <w:tr w:rsidR="00126301" w:rsidRPr="008B0B9D" w14:paraId="49BBFD30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B8D48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Humanos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BE1F1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Especialistas em BI, engenharia e ciência de dados; preferência por formar talentos; poucos PJ; bônus por certificação (prova paga + bônus); profissionais seniores setoriais (ex.: 30+ anos em saúde).</w:t>
            </w:r>
          </w:p>
        </w:tc>
      </w:tr>
      <w:tr w:rsidR="00126301" w:rsidRPr="008B0B9D" w14:paraId="1688013E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ED04F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Tecnológicos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E51CA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Competência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multistack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; mudança de CRM em avaliação segundo Q08.</w:t>
            </w:r>
          </w:p>
        </w:tc>
      </w:tr>
      <w:tr w:rsidR="00126301" w:rsidRPr="008B0B9D" w14:paraId="4B748705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A4563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Organizacionais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8BE8F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Metodologias abertas (DAMA, CRISP-DM);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onboarding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de ~2 semanas; bonificação de vendas em 5 etapas; avaliação anual; participação nos lucros.</w:t>
            </w:r>
          </w:p>
        </w:tc>
      </w:tr>
      <w:tr w:rsidR="00126301" w:rsidRPr="008B0B9D" w14:paraId="61601A65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6CB55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Relacionais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7695D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Q05/E12: permanência estimada de 8–10 anos e vínculo plurianual público. Q01: sete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Unimeds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relatadas, sem comprovação de ranking.</w:t>
            </w:r>
          </w:p>
        </w:tc>
      </w:tr>
      <w:tr w:rsidR="00126301" w:rsidRPr="008B0B9D" w14:paraId="3E200CAC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E1901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Reputacionais / marca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61EF2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Cases públicos e referências em saúde (E12/E13). Tempo de mercado não comprova qualidade superior.</w:t>
            </w:r>
          </w:p>
        </w:tc>
      </w:tr>
      <w:tr w:rsidR="00126301" w:rsidRPr="008B0B9D" w14:paraId="6AE6A8E2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92FF2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lastRenderedPageBreak/>
              <w:t>Outros intangíveis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5408E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Conhecimento acumulado da operação de cada cliente; cultura de 'usar o que vende'.</w:t>
            </w:r>
          </w:p>
        </w:tc>
      </w:tr>
    </w:tbl>
    <w:p w14:paraId="2DE9E8EE" w14:textId="77777777" w:rsidR="00126301" w:rsidRPr="008B0B9D" w:rsidRDefault="00543659" w:rsidP="00B25B75">
      <w:pPr>
        <w:pStyle w:val="Ttulo21"/>
        <w:spacing w:before="2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6.2 VRIO</w:t>
      </w:r>
    </w:p>
    <w:p w14:paraId="0199ABA3" w14:textId="77777777" w:rsidR="00126301" w:rsidRPr="008B0B9D" w:rsidRDefault="00543659" w:rsidP="00B25B75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O VRIO separa valor, raridade, dificuldade de imitação e organização. R1/R2 podem sustentar diferenciação no foco escolhido, mas a comparação não comprova raridade ou sustentabilidade. R11 foi retirado como recurso: a insuficiência de mensuração aparece em I7/W2. A oferta de governança IA é capacidade a desenvolver, distinta da governança de dados existente (R10).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2314"/>
        <w:gridCol w:w="539"/>
        <w:gridCol w:w="539"/>
        <w:gridCol w:w="539"/>
        <w:gridCol w:w="539"/>
        <w:gridCol w:w="2314"/>
        <w:gridCol w:w="2314"/>
      </w:tblGrid>
      <w:tr w:rsidR="00126301" w:rsidRPr="008B0B9D" w14:paraId="64183723" w14:textId="77777777" w:rsidTr="00DD6F2B">
        <w:trPr>
          <w:cantSplit/>
          <w:tblHeader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auto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5A3007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Cód.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F1760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Recurso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48D44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05D3A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R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94CE2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B4D7E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O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CC765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Resultado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E3C56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Evidência</w:t>
            </w:r>
          </w:p>
        </w:tc>
      </w:tr>
      <w:tr w:rsidR="00126301" w:rsidRPr="008B0B9D" w14:paraId="240B1FCE" w14:textId="77777777" w:rsidTr="00DD6F2B">
        <w:trPr>
          <w:cantSplit/>
        </w:trPr>
        <w:tc>
          <w:tcPr>
            <w:tcW w:w="539" w:type="dxa"/>
            <w:tcBorders>
              <w:top w:val="single" w:sz="4" w:space="0" w:color="auto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08213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R1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EE28B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Relacionamento e conhecimento do cliente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9D057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Sim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E7924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E384C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69E86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Parcial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06ED3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Potencial de diferenciação; sustentabilidade não confirmada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C78A2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Q05/E12: vínculo plurianual. Falta comparar raridade e institucionalizar conhecimento.</w:t>
            </w:r>
          </w:p>
        </w:tc>
      </w:tr>
      <w:tr w:rsidR="00126301" w:rsidRPr="008B0B9D" w14:paraId="7D741649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CFF96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R2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A0B16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Especialização e referências em saúde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C277F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Sim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81E7E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AA24D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5528F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Parcial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11A78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Potencial de diferenciação; sustentabilidade não confirmada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53F1E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Q01/E12: referências no segmento. Exclusividade e dificuldade de replicação não comprovadas.</w:t>
            </w:r>
          </w:p>
        </w:tc>
      </w:tr>
      <w:tr w:rsidR="00126301" w:rsidRPr="008B0B9D" w14:paraId="1B43E64C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87F9E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R3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8A4D9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Método e aprendizagem acumulada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D032D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Sim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3B1B6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97FCC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Não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C9A34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Parcial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89C91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Paridade provável; raridade não comprovada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F4393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Q08: métodos abertos e aprendizagem. Documentação e rotinas ainda em desenvolvimento.</w:t>
            </w:r>
          </w:p>
        </w:tc>
      </w:tr>
      <w:tr w:rsidR="00126301" w:rsidRPr="008B0B9D" w14:paraId="0C4798DC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E6B9F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R4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7A0A9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Experimentação interna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F4D0A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Sim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F50D9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17A79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Não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85DD4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Parcial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86727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Paridade provável; raridade não comprovada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E2F7C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Q06: uso e teste interno relatados. Sem comparação com rivais.</w:t>
            </w:r>
          </w:p>
        </w:tc>
      </w:tr>
      <w:tr w:rsidR="00126301" w:rsidRPr="008B0B9D" w14:paraId="65F8F779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BFD90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R5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F6E39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Personalização e flexibilidade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85510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Sim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83209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Não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86E60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Não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34515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Sim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2187E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Paridade competitiva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67176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Q05: pacotes e adaptação. A entrevista reconhece prática semelhante em boutiques.</w:t>
            </w:r>
          </w:p>
        </w:tc>
      </w:tr>
      <w:tr w:rsidR="00126301" w:rsidRPr="008B0B9D" w14:paraId="5DACBCD1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3ACAE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R6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85DF1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Equipe formada e certificada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CD89B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Sim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2A23E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NV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B1162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Não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AB0AD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Parcial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CCAB6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Paridade provável; raridade não comprovada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D9916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Q02/Q08: formação e incentivo. Competências individuais contratáveis; trilhas em estruturação.</w:t>
            </w:r>
          </w:p>
        </w:tc>
      </w:tr>
      <w:tr w:rsidR="00126301" w:rsidRPr="008B0B9D" w14:paraId="5FC7EC83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D47CE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R7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C9C2F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Reputação e cases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48D43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Sim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02506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Não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D3FE2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Não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CACE0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Parcial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4DD2E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Paridade competitiva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A0E04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E12/E16/E20: rivais também publicam resultados. Sistematizar provas da QSOFT.</w:t>
            </w:r>
          </w:p>
        </w:tc>
      </w:tr>
      <w:tr w:rsidR="00126301" w:rsidRPr="008B0B9D" w14:paraId="4DF14246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C941B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R8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EA16E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Alianças tecnológicas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7DF34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Sim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EA2C8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Não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BB132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Não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D9BBE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Sim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0A110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Paridade competitiva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3C861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E13/E16/E21 e Q06: tecnologias acessíveis e alianças não exclusivas.</w:t>
            </w:r>
          </w:p>
        </w:tc>
      </w:tr>
      <w:tr w:rsidR="00126301" w:rsidRPr="008B0B9D" w14:paraId="29BF1640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88656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R9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A7D2F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Competência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multistack</w:t>
            </w:r>
            <w:proofErr w:type="spellEnd"/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5491A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Sim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6400A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Não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79790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Não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24FF7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Sim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6A91F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Paridade competitiva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6D861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E13/E15/E18: atuação multitecnologia também nos concorrentes.</w:t>
            </w:r>
          </w:p>
        </w:tc>
      </w:tr>
      <w:tr w:rsidR="00126301" w:rsidRPr="008B0B9D" w14:paraId="753FDC1B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C5579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R10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BCFFA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Governança de dados existente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A7DF4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Sim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2CFF6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Não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4E17C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Não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F2606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Parcial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69B4C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Paridade com necessidade de desenvolvimento</w:t>
            </w:r>
          </w:p>
        </w:tc>
        <w:tc>
          <w:tcPr>
            <w:tcW w:w="2315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48E9D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E12/Q06: prática em dados; governança do uso IA requer oferta e controles definidos.</w:t>
            </w:r>
          </w:p>
        </w:tc>
      </w:tr>
    </w:tbl>
    <w:p w14:paraId="2DEBF371" w14:textId="77777777" w:rsidR="00126301" w:rsidRPr="008B0B9D" w:rsidRDefault="00543659" w:rsidP="00B25B75">
      <w:pPr>
        <w:spacing w:before="4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NV = evidência insuficiente; </w:t>
      </w:r>
      <w:proofErr w:type="gramStart"/>
      <w:r w:rsidRPr="008B0B9D">
        <w:rPr>
          <w:rFonts w:ascii="Times New Roman" w:hAnsi="Times New Roman" w:cs="Times New Roman"/>
          <w:color w:val="000000" w:themeColor="text1"/>
        </w:rPr>
        <w:t>Parcial</w:t>
      </w:r>
      <w:proofErr w:type="gramEnd"/>
      <w:r w:rsidRPr="008B0B9D">
        <w:rPr>
          <w:rFonts w:ascii="Times New Roman" w:hAnsi="Times New Roman" w:cs="Times New Roman"/>
          <w:color w:val="000000" w:themeColor="text1"/>
        </w:rPr>
        <w:t xml:space="preserve"> em O = organização incompleta relatada. Valor sem raridade sustenta paridade;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valor+raridade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confirmada com imitação possível pode gerar vantagem temporária; V/R/I/O confirmados sustentam hipótese de vantagem sustentável. Nesta base não se comprova vantagem temporária ou sustentável. Isso é limite da evidência, não prova de ausência de potencial.</w:t>
      </w:r>
    </w:p>
    <w:p w14:paraId="4FE704CD" w14:textId="77777777" w:rsidR="00126301" w:rsidRPr="008B0B9D" w:rsidRDefault="00543659" w:rsidP="00B25B75">
      <w:pPr>
        <w:pStyle w:val="Ttulo21"/>
        <w:spacing w:before="2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6.3 Capacidades dinâmicas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1927"/>
        <w:gridCol w:w="1928"/>
        <w:gridCol w:w="1928"/>
        <w:gridCol w:w="1928"/>
      </w:tblGrid>
      <w:tr w:rsidR="00126301" w:rsidRPr="008B0B9D" w14:paraId="030E0EDC" w14:textId="77777777" w:rsidTr="00DD6F2B">
        <w:trPr>
          <w:cantSplit/>
          <w:tblHeader/>
        </w:trPr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B002A3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Capacidade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62231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Avaliação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E84D1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Evidência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E3611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Limite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10D6D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Direção</w:t>
            </w:r>
          </w:p>
        </w:tc>
      </w:tr>
      <w:tr w:rsidR="00126301" w:rsidRPr="008B0B9D" w14:paraId="3722B660" w14:textId="77777777">
        <w:trPr>
          <w:cantSplit/>
        </w:trPr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5CB5D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Sensing</w:t>
            </w:r>
            <w:proofErr w:type="spellEnd"/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B98BA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Presente, pouco formalizado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2F17C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Q05/Q06: escuta do cliente e percepção de Shadow AI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B0EBD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Sem série de propostas perdidas ou rotina comparativa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536A5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Monitorar mercado e motivos de perda</w:t>
            </w:r>
          </w:p>
        </w:tc>
      </w:tr>
      <w:tr w:rsidR="00126301" w:rsidRPr="008B0B9D" w14:paraId="263DE8F2" w14:textId="77777777">
        <w:trPr>
          <w:cantSplit/>
        </w:trPr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BB564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lastRenderedPageBreak/>
              <w:t>Seizing</w:t>
            </w:r>
            <w:proofErr w:type="spellEnd"/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EA57C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Em desenvolvimento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367A0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Q04/Q06: treinamento e parcerias; contratação relatada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F37D3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Oferta IA e piloto não comprovados; intenção não é captura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175C5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Converter aprendizado em oferta validada</w:t>
            </w:r>
          </w:p>
        </w:tc>
      </w:tr>
      <w:tr w:rsidR="00126301" w:rsidRPr="008B0B9D" w14:paraId="6FCF76F3" w14:textId="77777777">
        <w:trPr>
          <w:cantSplit/>
        </w:trPr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1E4B0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Transforming</w:t>
            </w:r>
            <w:proofErr w:type="spellEnd"/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303CF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Presente, ainda parcial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9F437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Q08: avaliação de CRM, formação e reorganização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EB27F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Conhecimento depende de pessoas; trilhas em estruturação</w:t>
            </w:r>
          </w:p>
        </w:tc>
        <w:tc>
          <w:tcPr>
            <w:tcW w:w="192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69B19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Documentar e transferir conhecimento</w:t>
            </w:r>
          </w:p>
        </w:tc>
      </w:tr>
    </w:tbl>
    <w:p w14:paraId="05133AD9" w14:textId="77777777" w:rsidR="00126301" w:rsidRPr="008B0B9D" w:rsidRDefault="00543659" w:rsidP="00B25B75">
      <w:pPr>
        <w:pStyle w:val="Ttulo21"/>
        <w:spacing w:before="2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Quadro-síntese – Ambiente interno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1548"/>
        <w:gridCol w:w="1548"/>
        <w:gridCol w:w="680"/>
        <w:gridCol w:w="539"/>
        <w:gridCol w:w="680"/>
        <w:gridCol w:w="1548"/>
        <w:gridCol w:w="1548"/>
      </w:tblGrid>
      <w:tr w:rsidR="00126301" w:rsidRPr="008B0B9D" w14:paraId="12344803" w14:textId="77777777" w:rsidTr="00DD6F2B">
        <w:trPr>
          <w:cantSplit/>
          <w:tblHeader/>
        </w:trPr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C53FF8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Recurso / capacidade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33DC3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Evidência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9422F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Resultado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0F2B2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Importância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F7A94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Peso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25B30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Prioridade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52E4A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Força/Fraqueza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1A6F7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Recomendação</w:t>
            </w:r>
          </w:p>
        </w:tc>
      </w:tr>
      <w:tr w:rsidR="00126301" w:rsidRPr="008B0B9D" w14:paraId="3226AC48" w14:textId="77777777">
        <w:trPr>
          <w:cantSplit/>
        </w:trPr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BB4BB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I1 Relacionamento e conhecimento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54A74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Q05/E12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A191E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Potencial não confirmado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6624C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9EB1E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17%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1CA8B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0,85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804EB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Força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598A9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Proteger e institucionalizar</w:t>
            </w:r>
          </w:p>
        </w:tc>
      </w:tr>
      <w:tr w:rsidR="00126301" w:rsidRPr="008B0B9D" w14:paraId="1DBEAA7A" w14:textId="77777777">
        <w:trPr>
          <w:cantSplit/>
        </w:trPr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AC0F7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I2 Referências em saúde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D907E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Q01/E12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10854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Potencial não confirmado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D4D6C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401A5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11%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3F15C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0,44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32760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Força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E6365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Potencializar</w:t>
            </w:r>
          </w:p>
        </w:tc>
      </w:tr>
      <w:tr w:rsidR="00126301" w:rsidRPr="008B0B9D" w14:paraId="1297A964" w14:textId="77777777">
        <w:trPr>
          <w:cantSplit/>
        </w:trPr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9ED71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I3 Portfólio e flexibilidade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AFA11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E13/Q05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C2FD1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Paridade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74351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26B0F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5FD13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0,40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EB056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Força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3A032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Integrar proposta</w:t>
            </w:r>
          </w:p>
        </w:tc>
      </w:tr>
      <w:tr w:rsidR="00126301" w:rsidRPr="008B0B9D" w14:paraId="34347FD4" w14:textId="77777777">
        <w:trPr>
          <w:cantSplit/>
        </w:trPr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4A1A0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I4 Capacidade e formação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D62B7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Q02/Q08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4DECF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Capacidade sob restrição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8881D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E910B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14%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32CB2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0,70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A8FB2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Força com vulnerabilidade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B8BCE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Desenvolver equipe</w:t>
            </w:r>
          </w:p>
        </w:tc>
      </w:tr>
      <w:tr w:rsidR="00126301" w:rsidRPr="008B0B9D" w14:paraId="0500B3BD" w14:textId="77777777">
        <w:trPr>
          <w:cantSplit/>
        </w:trPr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18B69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I5 Método e experimentação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2293A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Q06/Q08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86653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Paridade provável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E61E7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2B7E2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7%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93184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0,28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178B9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Força em desenvolvimento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52653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Documentar método</w:t>
            </w:r>
          </w:p>
        </w:tc>
      </w:tr>
      <w:tr w:rsidR="00126301" w:rsidRPr="008B0B9D" w14:paraId="32B05D26" w14:textId="77777777">
        <w:trPr>
          <w:cantSplit/>
        </w:trPr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FC103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I6 Oferta de governança IA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06A41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Q06/F3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D1A9E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Oferta a delimitar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6EAD9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069B6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13%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84899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0,65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9E870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Fraqueza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ADC01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Desenvolver oferta</w:t>
            </w:r>
          </w:p>
        </w:tc>
      </w:tr>
      <w:tr w:rsidR="00126301" w:rsidRPr="008B0B9D" w14:paraId="128DDF04" w14:textId="77777777">
        <w:trPr>
          <w:cantSplit/>
        </w:trPr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F2464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I7 Prova de ROI e funil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7E287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Q03/Q04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E2686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Capacidade insuficiente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CCA3E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B8458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514FB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0,50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6C3EB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Fraqueza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AE58B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Desenvolver mensuração</w:t>
            </w:r>
          </w:p>
        </w:tc>
      </w:tr>
      <w:tr w:rsidR="00126301" w:rsidRPr="008B0B9D" w14:paraId="21BFDFE3" w14:textId="77777777">
        <w:trPr>
          <w:cantSplit/>
        </w:trPr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B145F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I8 Referências em novos públicos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D5E05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Q07/Q04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0C014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Referências não verificadas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9A104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6F6DE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D8F9C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0,12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F3620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Fraqueza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04370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Validar seguros; delimitar PF</w:t>
            </w:r>
          </w:p>
        </w:tc>
      </w:tr>
      <w:tr w:rsidR="00126301" w:rsidRPr="008B0B9D" w14:paraId="29573AB2" w14:textId="77777777">
        <w:trPr>
          <w:cantSplit/>
        </w:trPr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FCC0D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I9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Sensing</w:t>
            </w:r>
            <w:proofErr w:type="spellEnd"/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7F970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Q05/Q06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D0EE7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Escuta pouco formalizada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58EA5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225A9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FAB33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0,16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B9325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Capacidade parcial</w:t>
            </w:r>
          </w:p>
        </w:tc>
        <w:tc>
          <w:tcPr>
            <w:tcW w:w="154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CD483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Monitorar e registrar</w:t>
            </w:r>
          </w:p>
        </w:tc>
      </w:tr>
      <w:tr w:rsidR="00126301" w:rsidRPr="008B0B9D" w14:paraId="42D7DC51" w14:textId="77777777">
        <w:trPr>
          <w:cantSplit/>
        </w:trPr>
        <w:tc>
          <w:tcPr>
            <w:tcW w:w="1548" w:type="dxa"/>
            <w:vAlign w:val="center"/>
          </w:tcPr>
          <w:p w14:paraId="12738FA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I10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Seizing</w:t>
            </w:r>
            <w:proofErr w:type="spellEnd"/>
          </w:p>
        </w:tc>
        <w:tc>
          <w:tcPr>
            <w:tcW w:w="1548" w:type="dxa"/>
            <w:vAlign w:val="center"/>
          </w:tcPr>
          <w:p w14:paraId="765B2DC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Q04/Q06</w:t>
            </w:r>
          </w:p>
        </w:tc>
        <w:tc>
          <w:tcPr>
            <w:tcW w:w="1548" w:type="dxa"/>
            <w:vAlign w:val="center"/>
          </w:tcPr>
          <w:p w14:paraId="22F8B81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Captura em desenvolvimento</w:t>
            </w:r>
          </w:p>
        </w:tc>
        <w:tc>
          <w:tcPr>
            <w:tcW w:w="680" w:type="dxa"/>
            <w:vAlign w:val="center"/>
          </w:tcPr>
          <w:p w14:paraId="3ABA064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539" w:type="dxa"/>
            <w:vAlign w:val="center"/>
          </w:tcPr>
          <w:p w14:paraId="0D8F515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6%</w:t>
            </w:r>
          </w:p>
        </w:tc>
        <w:tc>
          <w:tcPr>
            <w:tcW w:w="680" w:type="dxa"/>
            <w:vAlign w:val="center"/>
          </w:tcPr>
          <w:p w14:paraId="4E30735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0,30</w:t>
            </w:r>
          </w:p>
        </w:tc>
        <w:tc>
          <w:tcPr>
            <w:tcW w:w="1548" w:type="dxa"/>
            <w:vAlign w:val="center"/>
          </w:tcPr>
          <w:p w14:paraId="33C67AD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Capacidade parcial</w:t>
            </w:r>
          </w:p>
        </w:tc>
        <w:tc>
          <w:tcPr>
            <w:tcW w:w="1548" w:type="dxa"/>
            <w:vAlign w:val="center"/>
          </w:tcPr>
          <w:p w14:paraId="6062A16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Validar oferta e piloto</w:t>
            </w:r>
          </w:p>
        </w:tc>
      </w:tr>
      <w:tr w:rsidR="00126301" w:rsidRPr="008B0B9D" w14:paraId="0E464B06" w14:textId="77777777">
        <w:trPr>
          <w:cantSplit/>
        </w:trPr>
        <w:tc>
          <w:tcPr>
            <w:tcW w:w="1548" w:type="dxa"/>
            <w:vAlign w:val="center"/>
          </w:tcPr>
          <w:p w14:paraId="6E2BE3B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I11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Transforming</w:t>
            </w:r>
            <w:proofErr w:type="spellEnd"/>
          </w:p>
        </w:tc>
        <w:tc>
          <w:tcPr>
            <w:tcW w:w="1548" w:type="dxa"/>
            <w:vAlign w:val="center"/>
          </w:tcPr>
          <w:p w14:paraId="24CBF0F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Q08</w:t>
            </w:r>
          </w:p>
        </w:tc>
        <w:tc>
          <w:tcPr>
            <w:tcW w:w="1548" w:type="dxa"/>
            <w:vAlign w:val="center"/>
          </w:tcPr>
          <w:p w14:paraId="3EE74B5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Reconfiguração parcial</w:t>
            </w:r>
          </w:p>
        </w:tc>
        <w:tc>
          <w:tcPr>
            <w:tcW w:w="680" w:type="dxa"/>
            <w:vAlign w:val="center"/>
          </w:tcPr>
          <w:p w14:paraId="4A42BAE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vAlign w:val="center"/>
          </w:tcPr>
          <w:p w14:paraId="7D09D9E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4%</w:t>
            </w:r>
          </w:p>
        </w:tc>
        <w:tc>
          <w:tcPr>
            <w:tcW w:w="680" w:type="dxa"/>
            <w:vAlign w:val="center"/>
          </w:tcPr>
          <w:p w14:paraId="7DF981E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0,16</w:t>
            </w:r>
          </w:p>
        </w:tc>
        <w:tc>
          <w:tcPr>
            <w:tcW w:w="1548" w:type="dxa"/>
            <w:vAlign w:val="center"/>
          </w:tcPr>
          <w:p w14:paraId="67F8847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Capacidade parcial</w:t>
            </w:r>
          </w:p>
        </w:tc>
        <w:tc>
          <w:tcPr>
            <w:tcW w:w="1548" w:type="dxa"/>
            <w:vAlign w:val="center"/>
          </w:tcPr>
          <w:p w14:paraId="43FE4FC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Padronizar transferência</w:t>
            </w:r>
          </w:p>
        </w:tc>
      </w:tr>
      <w:tr w:rsidR="00126301" w:rsidRPr="008B0B9D" w14:paraId="5E83A463" w14:textId="77777777">
        <w:trPr>
          <w:cantSplit/>
        </w:trPr>
        <w:tc>
          <w:tcPr>
            <w:tcW w:w="1548" w:type="dxa"/>
            <w:vAlign w:val="center"/>
          </w:tcPr>
          <w:p w14:paraId="39B8E99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Total</w:t>
            </w:r>
          </w:p>
        </w:tc>
        <w:tc>
          <w:tcPr>
            <w:tcW w:w="1548" w:type="dxa"/>
            <w:vAlign w:val="center"/>
          </w:tcPr>
          <w:p w14:paraId="05E6197B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48" w:type="dxa"/>
            <w:vAlign w:val="center"/>
          </w:tcPr>
          <w:p w14:paraId="676C2C11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80" w:type="dxa"/>
            <w:vAlign w:val="center"/>
          </w:tcPr>
          <w:p w14:paraId="3BE384B5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39" w:type="dxa"/>
            <w:vAlign w:val="center"/>
          </w:tcPr>
          <w:p w14:paraId="2266E94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100%</w:t>
            </w:r>
          </w:p>
        </w:tc>
        <w:tc>
          <w:tcPr>
            <w:tcW w:w="680" w:type="dxa"/>
            <w:vAlign w:val="center"/>
          </w:tcPr>
          <w:p w14:paraId="610EF964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48" w:type="dxa"/>
            <w:vAlign w:val="center"/>
          </w:tcPr>
          <w:p w14:paraId="16825390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48" w:type="dxa"/>
            <w:vAlign w:val="center"/>
          </w:tcPr>
          <w:p w14:paraId="20CC73D0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B466226" w14:textId="77777777" w:rsidR="00126301" w:rsidRPr="008B0B9D" w:rsidRDefault="00543659" w:rsidP="00B25B75">
      <w:pPr>
        <w:spacing w:before="4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Prioridade = importância × peso. Relacionamento, saúde, capacidade, oferta e métricas mantêm maior relevância. Redistribuíram-se os pesos anteriores para reservar 14% às rotinas dinâmicas (I9–I11), reduzindo pesos dos recursos associados. Essas rotinas avaliam monitoramento, captura e reconfiguração, e não repetem o valor do recurso. Em SWOT, convergem para fatores existentes sem dupla contagem.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126301" w:rsidRPr="008B0B9D" w14:paraId="660D409D" w14:textId="77777777" w:rsidTr="00DD6F2B">
        <w:trPr>
          <w:cantSplit/>
          <w:tblHeader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303321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Ação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26656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Recursos e capacidades</w:t>
            </w:r>
          </w:p>
        </w:tc>
      </w:tr>
      <w:tr w:rsidR="00126301" w:rsidRPr="008B0B9D" w14:paraId="6D41DD49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74AE3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Proteger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4C2C0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I1 relacionamento; registrar conhecimento e continuidade.</w:t>
            </w:r>
          </w:p>
        </w:tc>
      </w:tr>
      <w:tr w:rsidR="00126301" w:rsidRPr="008B0B9D" w14:paraId="3FD9A978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D3241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Potencializar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1B856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I2 saúde; I3 proposta integrada.</w:t>
            </w:r>
          </w:p>
        </w:tc>
      </w:tr>
      <w:tr w:rsidR="00126301" w:rsidRPr="008B0B9D" w14:paraId="6FDA680C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472D6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Desenvolver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A55C7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I4 capacidade; I5 método; I6 oferta; I7 métricas; I9/I10/I11 rotinas dinâmicas.</w:t>
            </w:r>
          </w:p>
        </w:tc>
      </w:tr>
      <w:tr w:rsidR="00126301" w:rsidRPr="008B0B9D" w14:paraId="797061CE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D6949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Adquirir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0E2A0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I8 referências e competências de seguros, somente após validação do segmento.</w:t>
            </w:r>
          </w:p>
        </w:tc>
      </w:tr>
    </w:tbl>
    <w:p w14:paraId="67650C4D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br w:type="page"/>
      </w:r>
    </w:p>
    <w:p w14:paraId="2A95D88A" w14:textId="77777777" w:rsidR="00126301" w:rsidRPr="008B0B9D" w:rsidRDefault="00543659" w:rsidP="00B25B75">
      <w:pPr>
        <w:pStyle w:val="Ttulo11"/>
        <w:spacing w:before="280" w:after="14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lastRenderedPageBreak/>
        <w:t>7. SWOT ponderada – consolidação do diagnóstico</w:t>
      </w:r>
    </w:p>
    <w:p w14:paraId="51A0F58E" w14:textId="77777777" w:rsidR="00126301" w:rsidRPr="008B0B9D" w:rsidRDefault="00543659" w:rsidP="00B25B75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SWOT. Pesos globais somam 100% e expressam relevância consolidada, não uma nova medida de impacto. Cada problema/oportunidade aparece uma vez: fontes repetidas não multiplicam peso. A prioridade de origem orienta a seleção e o julgamento considera demanda, margem, capacidade e foco; a justificativa por fator consta da planilha e do quadro complementar.</w:t>
      </w:r>
    </w:p>
    <w:p w14:paraId="26F9371B" w14:textId="77777777" w:rsidR="00126301" w:rsidRPr="008B0B9D" w:rsidRDefault="00543659" w:rsidP="00B25B75">
      <w:pPr>
        <w:pStyle w:val="Ttulo31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Justificativas de relevância na SWOT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1606"/>
        <w:gridCol w:w="1607"/>
        <w:gridCol w:w="3213"/>
      </w:tblGrid>
      <w:tr w:rsidR="00126301" w:rsidRPr="008B0B9D" w14:paraId="101B7688" w14:textId="77777777" w:rsidTr="00DD6F2B">
        <w:trPr>
          <w:cantSplit/>
          <w:tblHeader/>
        </w:trPr>
        <w:tc>
          <w:tcPr>
            <w:tcW w:w="3213" w:type="dxa"/>
            <w:vAlign w:val="center"/>
          </w:tcPr>
          <w:p w14:paraId="41C3DD93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Fator</w:t>
            </w:r>
          </w:p>
        </w:tc>
        <w:tc>
          <w:tcPr>
            <w:tcW w:w="3213" w:type="dxa"/>
            <w:gridSpan w:val="2"/>
            <w:vAlign w:val="center"/>
          </w:tcPr>
          <w:p w14:paraId="1218374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Peso</w:t>
            </w:r>
          </w:p>
        </w:tc>
        <w:tc>
          <w:tcPr>
            <w:tcW w:w="3213" w:type="dxa"/>
            <w:vAlign w:val="center"/>
          </w:tcPr>
          <w:p w14:paraId="460D87B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Justificativa</w:t>
            </w:r>
          </w:p>
        </w:tc>
      </w:tr>
      <w:tr w:rsidR="00126301" w:rsidRPr="008B0B9D" w14:paraId="14D2232E" w14:textId="77777777">
        <w:trPr>
          <w:cantSplit/>
        </w:trPr>
        <w:tc>
          <w:tcPr>
            <w:tcW w:w="3213" w:type="dxa"/>
            <w:vAlign w:val="center"/>
          </w:tcPr>
          <w:p w14:paraId="089F021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S1</w:t>
            </w:r>
          </w:p>
        </w:tc>
        <w:tc>
          <w:tcPr>
            <w:tcW w:w="3213" w:type="dxa"/>
            <w:gridSpan w:val="2"/>
            <w:vAlign w:val="center"/>
          </w:tcPr>
          <w:p w14:paraId="57201F8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9%</w:t>
            </w:r>
          </w:p>
        </w:tc>
        <w:tc>
          <w:tcPr>
            <w:tcW w:w="3213" w:type="dxa"/>
            <w:vAlign w:val="center"/>
          </w:tcPr>
          <w:p w14:paraId="0666122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Defende receita recorrente; raridade relativa não comprovada.</w:t>
            </w:r>
          </w:p>
        </w:tc>
      </w:tr>
      <w:tr w:rsidR="00126301" w:rsidRPr="008B0B9D" w14:paraId="445BF756" w14:textId="77777777">
        <w:trPr>
          <w:cantSplit/>
        </w:trPr>
        <w:tc>
          <w:tcPr>
            <w:tcW w:w="3213" w:type="dxa"/>
            <w:vAlign w:val="center"/>
          </w:tcPr>
          <w:p w14:paraId="5C9C4F1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S2</w:t>
            </w:r>
          </w:p>
        </w:tc>
        <w:tc>
          <w:tcPr>
            <w:tcW w:w="3213" w:type="dxa"/>
            <w:gridSpan w:val="2"/>
            <w:vAlign w:val="center"/>
          </w:tcPr>
          <w:p w14:paraId="7393D63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7%</w:t>
            </w:r>
          </w:p>
        </w:tc>
        <w:tc>
          <w:tcPr>
            <w:tcW w:w="3213" w:type="dxa"/>
            <w:vAlign w:val="center"/>
          </w:tcPr>
          <w:p w14:paraId="098EBFA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Facilita expansão por áreas; não comprova custo inferior.</w:t>
            </w:r>
          </w:p>
        </w:tc>
      </w:tr>
      <w:tr w:rsidR="00126301" w:rsidRPr="008B0B9D" w14:paraId="2C22CF6C" w14:textId="77777777">
        <w:trPr>
          <w:cantSplit/>
        </w:trPr>
        <w:tc>
          <w:tcPr>
            <w:tcW w:w="3213" w:type="dxa"/>
            <w:vAlign w:val="center"/>
          </w:tcPr>
          <w:p w14:paraId="172C6D8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S3</w:t>
            </w:r>
          </w:p>
        </w:tc>
        <w:tc>
          <w:tcPr>
            <w:tcW w:w="3213" w:type="dxa"/>
            <w:gridSpan w:val="2"/>
            <w:vAlign w:val="center"/>
          </w:tcPr>
          <w:p w14:paraId="1E72418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7%</w:t>
            </w:r>
          </w:p>
        </w:tc>
        <w:tc>
          <w:tcPr>
            <w:tcW w:w="3213" w:type="dxa"/>
            <w:vAlign w:val="center"/>
          </w:tcPr>
          <w:p w14:paraId="204903C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Base mais aderente para validar oferta.</w:t>
            </w:r>
          </w:p>
        </w:tc>
      </w:tr>
      <w:tr w:rsidR="00126301" w:rsidRPr="008B0B9D" w14:paraId="098243F9" w14:textId="77777777">
        <w:trPr>
          <w:cantSplit/>
        </w:trPr>
        <w:tc>
          <w:tcPr>
            <w:tcW w:w="3213" w:type="dxa"/>
            <w:vAlign w:val="center"/>
          </w:tcPr>
          <w:p w14:paraId="4E7C2BD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S4</w:t>
            </w:r>
          </w:p>
        </w:tc>
        <w:tc>
          <w:tcPr>
            <w:tcW w:w="3213" w:type="dxa"/>
            <w:gridSpan w:val="2"/>
            <w:vAlign w:val="center"/>
          </w:tcPr>
          <w:p w14:paraId="0CA9B2A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5%</w:t>
            </w:r>
          </w:p>
        </w:tc>
        <w:tc>
          <w:tcPr>
            <w:tcW w:w="3213" w:type="dxa"/>
            <w:vAlign w:val="center"/>
          </w:tcPr>
          <w:p w14:paraId="6536FC8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Sustenta entrega e entrada via treinamento; capacidade e conversão limitam expansão.</w:t>
            </w:r>
          </w:p>
        </w:tc>
      </w:tr>
      <w:tr w:rsidR="00126301" w:rsidRPr="008B0B9D" w14:paraId="14E163A7" w14:textId="77777777">
        <w:trPr>
          <w:cantSplit/>
        </w:trPr>
        <w:tc>
          <w:tcPr>
            <w:tcW w:w="3213" w:type="dxa"/>
            <w:vAlign w:val="center"/>
          </w:tcPr>
          <w:p w14:paraId="6576702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W1</w:t>
            </w:r>
          </w:p>
        </w:tc>
        <w:tc>
          <w:tcPr>
            <w:tcW w:w="3213" w:type="dxa"/>
            <w:gridSpan w:val="2"/>
            <w:vAlign w:val="center"/>
          </w:tcPr>
          <w:p w14:paraId="0BB8CFE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10%</w:t>
            </w:r>
          </w:p>
        </w:tc>
        <w:tc>
          <w:tcPr>
            <w:tcW w:w="3213" w:type="dxa"/>
            <w:vAlign w:val="center"/>
          </w:tcPr>
          <w:p w14:paraId="4C0C749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Bloqueia captura da principal oportunidade.</w:t>
            </w:r>
          </w:p>
        </w:tc>
      </w:tr>
      <w:tr w:rsidR="00126301" w:rsidRPr="008B0B9D" w14:paraId="6B898D3F" w14:textId="77777777">
        <w:trPr>
          <w:cantSplit/>
        </w:trPr>
        <w:tc>
          <w:tcPr>
            <w:tcW w:w="3213" w:type="dxa"/>
            <w:vAlign w:val="center"/>
          </w:tcPr>
          <w:p w14:paraId="25B8CA3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W2</w:t>
            </w:r>
          </w:p>
        </w:tc>
        <w:tc>
          <w:tcPr>
            <w:tcW w:w="3213" w:type="dxa"/>
            <w:gridSpan w:val="2"/>
            <w:vAlign w:val="center"/>
          </w:tcPr>
          <w:p w14:paraId="3D339EC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9%</w:t>
            </w:r>
          </w:p>
        </w:tc>
        <w:tc>
          <w:tcPr>
            <w:tcW w:w="3213" w:type="dxa"/>
            <w:vAlign w:val="center"/>
          </w:tcPr>
          <w:p w14:paraId="005F854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Eleva incerteza na compra e impede medir perdas.</w:t>
            </w:r>
          </w:p>
        </w:tc>
      </w:tr>
      <w:tr w:rsidR="00126301" w:rsidRPr="008B0B9D" w14:paraId="5E93D4B0" w14:textId="77777777">
        <w:trPr>
          <w:cantSplit/>
        </w:trPr>
        <w:tc>
          <w:tcPr>
            <w:tcW w:w="3213" w:type="dxa"/>
            <w:vAlign w:val="center"/>
          </w:tcPr>
          <w:p w14:paraId="16FCA58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W3</w:t>
            </w:r>
          </w:p>
        </w:tc>
        <w:tc>
          <w:tcPr>
            <w:tcW w:w="3213" w:type="dxa"/>
            <w:gridSpan w:val="2"/>
            <w:vAlign w:val="center"/>
          </w:tcPr>
          <w:p w14:paraId="7566BC4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7%</w:t>
            </w:r>
          </w:p>
        </w:tc>
        <w:tc>
          <w:tcPr>
            <w:tcW w:w="3213" w:type="dxa"/>
            <w:vAlign w:val="center"/>
          </w:tcPr>
          <w:p w14:paraId="0152BFC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Crescimento depende de agenda e formação.</w:t>
            </w:r>
          </w:p>
        </w:tc>
      </w:tr>
      <w:tr w:rsidR="00126301" w:rsidRPr="008B0B9D" w14:paraId="44906CE9" w14:textId="77777777">
        <w:trPr>
          <w:cantSplit/>
        </w:trPr>
        <w:tc>
          <w:tcPr>
            <w:tcW w:w="3213" w:type="dxa"/>
            <w:vAlign w:val="center"/>
          </w:tcPr>
          <w:p w14:paraId="685341E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W4</w:t>
            </w:r>
          </w:p>
        </w:tc>
        <w:tc>
          <w:tcPr>
            <w:tcW w:w="3213" w:type="dxa"/>
            <w:gridSpan w:val="2"/>
            <w:vAlign w:val="center"/>
          </w:tcPr>
          <w:p w14:paraId="5D13F15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3%</w:t>
            </w:r>
          </w:p>
        </w:tc>
        <w:tc>
          <w:tcPr>
            <w:tcW w:w="3213" w:type="dxa"/>
            <w:vAlign w:val="center"/>
          </w:tcPr>
          <w:p w14:paraId="611D855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Expansão condicionada; não urgente no foco de saúde.</w:t>
            </w:r>
          </w:p>
        </w:tc>
      </w:tr>
      <w:tr w:rsidR="00126301" w:rsidRPr="008B0B9D" w14:paraId="0B1F65E1" w14:textId="77777777">
        <w:trPr>
          <w:cantSplit/>
        </w:trPr>
        <w:tc>
          <w:tcPr>
            <w:tcW w:w="3213" w:type="dxa"/>
            <w:vAlign w:val="center"/>
          </w:tcPr>
          <w:p w14:paraId="73AF037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O1</w:t>
            </w:r>
          </w:p>
        </w:tc>
        <w:tc>
          <w:tcPr>
            <w:tcW w:w="3213" w:type="dxa"/>
            <w:gridSpan w:val="2"/>
            <w:vAlign w:val="center"/>
          </w:tcPr>
          <w:p w14:paraId="1C25618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12%</w:t>
            </w:r>
          </w:p>
        </w:tc>
        <w:tc>
          <w:tcPr>
            <w:tcW w:w="3213" w:type="dxa"/>
            <w:vAlign w:val="center"/>
          </w:tcPr>
          <w:p w14:paraId="611C060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Maior aderência à dor relatada; contratação ainda a validar.</w:t>
            </w:r>
          </w:p>
        </w:tc>
      </w:tr>
      <w:tr w:rsidR="00126301" w:rsidRPr="008B0B9D" w14:paraId="3DB10651" w14:textId="77777777">
        <w:trPr>
          <w:cantSplit/>
        </w:trPr>
        <w:tc>
          <w:tcPr>
            <w:tcW w:w="3213" w:type="dxa"/>
            <w:vAlign w:val="center"/>
          </w:tcPr>
          <w:p w14:paraId="4E94127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O2</w:t>
            </w:r>
          </w:p>
        </w:tc>
        <w:tc>
          <w:tcPr>
            <w:tcW w:w="3213" w:type="dxa"/>
            <w:gridSpan w:val="2"/>
            <w:vAlign w:val="center"/>
          </w:tcPr>
          <w:p w14:paraId="21958C7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6%</w:t>
            </w:r>
          </w:p>
        </w:tc>
        <w:tc>
          <w:tcPr>
            <w:tcW w:w="3213" w:type="dxa"/>
            <w:vAlign w:val="center"/>
          </w:tcPr>
          <w:p w14:paraId="013A894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Sinal setorial; não dimensiona seguros.</w:t>
            </w:r>
          </w:p>
        </w:tc>
      </w:tr>
      <w:tr w:rsidR="00126301" w:rsidRPr="008B0B9D" w14:paraId="356AF030" w14:textId="77777777">
        <w:trPr>
          <w:cantSplit/>
        </w:trPr>
        <w:tc>
          <w:tcPr>
            <w:tcW w:w="3213" w:type="dxa"/>
            <w:vAlign w:val="center"/>
          </w:tcPr>
          <w:p w14:paraId="4B4C1AA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O3</w:t>
            </w:r>
          </w:p>
        </w:tc>
        <w:tc>
          <w:tcPr>
            <w:tcW w:w="3213" w:type="dxa"/>
            <w:gridSpan w:val="2"/>
            <w:vAlign w:val="center"/>
          </w:tcPr>
          <w:p w14:paraId="41A6898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5%</w:t>
            </w:r>
          </w:p>
        </w:tc>
        <w:tc>
          <w:tcPr>
            <w:tcW w:w="3213" w:type="dxa"/>
            <w:vAlign w:val="center"/>
          </w:tcPr>
          <w:p w14:paraId="2CF7B1C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Relacionada à adoção, com canal existente.</w:t>
            </w:r>
          </w:p>
        </w:tc>
      </w:tr>
      <w:tr w:rsidR="00126301" w:rsidRPr="008B0B9D" w14:paraId="065898B1" w14:textId="77777777">
        <w:trPr>
          <w:cantSplit/>
        </w:trPr>
        <w:tc>
          <w:tcPr>
            <w:tcW w:w="3213" w:type="dxa"/>
            <w:vAlign w:val="center"/>
          </w:tcPr>
          <w:p w14:paraId="628D285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T1</w:t>
            </w:r>
          </w:p>
        </w:tc>
        <w:tc>
          <w:tcPr>
            <w:tcW w:w="3213" w:type="dxa"/>
            <w:gridSpan w:val="2"/>
            <w:vAlign w:val="center"/>
          </w:tcPr>
          <w:p w14:paraId="5C50A52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10%</w:t>
            </w:r>
          </w:p>
        </w:tc>
        <w:tc>
          <w:tcPr>
            <w:tcW w:w="3213" w:type="dxa"/>
            <w:vAlign w:val="center"/>
          </w:tcPr>
          <w:p w14:paraId="1CDDDC4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Pressiona margem e processo de venda.</w:t>
            </w:r>
          </w:p>
        </w:tc>
      </w:tr>
      <w:tr w:rsidR="00126301" w:rsidRPr="008B0B9D" w14:paraId="58D30DAF" w14:textId="77777777">
        <w:trPr>
          <w:cantSplit/>
        </w:trPr>
        <w:tc>
          <w:tcPr>
            <w:tcW w:w="3213" w:type="dxa"/>
            <w:vAlign w:val="center"/>
          </w:tcPr>
          <w:p w14:paraId="0FE66C4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T2</w:t>
            </w:r>
          </w:p>
        </w:tc>
        <w:tc>
          <w:tcPr>
            <w:tcW w:w="3213" w:type="dxa"/>
            <w:gridSpan w:val="2"/>
            <w:vAlign w:val="center"/>
          </w:tcPr>
          <w:p w14:paraId="15D5DA6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6%</w:t>
            </w:r>
          </w:p>
        </w:tc>
        <w:tc>
          <w:tcPr>
            <w:tcW w:w="3213" w:type="dxa"/>
            <w:vAlign w:val="center"/>
          </w:tcPr>
          <w:p w14:paraId="48289B1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Pressiona acesso ao conhecimento e capacidade.</w:t>
            </w:r>
          </w:p>
        </w:tc>
      </w:tr>
      <w:tr w:rsidR="00126301" w:rsidRPr="008B0B9D" w14:paraId="1FFB9C59" w14:textId="77777777">
        <w:trPr>
          <w:cantSplit/>
        </w:trPr>
        <w:tc>
          <w:tcPr>
            <w:tcW w:w="3213" w:type="dxa"/>
            <w:vAlign w:val="center"/>
          </w:tcPr>
          <w:p w14:paraId="33C0D93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T3</w:t>
            </w:r>
          </w:p>
        </w:tc>
        <w:tc>
          <w:tcPr>
            <w:tcW w:w="3213" w:type="dxa"/>
            <w:gridSpan w:val="2"/>
            <w:vAlign w:val="center"/>
          </w:tcPr>
          <w:p w14:paraId="085A5A1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4%</w:t>
            </w:r>
          </w:p>
        </w:tc>
        <w:tc>
          <w:tcPr>
            <w:tcW w:w="3213" w:type="dxa"/>
            <w:vAlign w:val="center"/>
          </w:tcPr>
          <w:p w14:paraId="0D3E096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Mais relevante em serviços padronizados.</w:t>
            </w:r>
          </w:p>
        </w:tc>
      </w:tr>
      <w:tr w:rsidR="00126301" w:rsidRPr="008B0B9D" w14:paraId="41AB790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blHeader/>
        </w:trPr>
        <w:tc>
          <w:tcPr>
            <w:tcW w:w="4819" w:type="dxa"/>
            <w:gridSpan w:val="2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0B3C4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9B357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Forças (28%)</w:t>
            </w: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br/>
              <w:t>S1 · 9% — Relacionamento e conhecimento do cliente [I1, F2, C2, R1]</w:t>
            </w: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br/>
              <w:t>S2 · 7% — Portfólio integrado e flexibilidade [I3, F4, F7, C5]</w:t>
            </w: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br/>
              <w:t>S3 · 7% — Referências e conhecimento em saúde [I2, F1, R2]</w:t>
            </w: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br/>
              <w:t>S4 · 5% — Capacitação e alianças aplicadas [I4, V2/V4, C6, F5]</w:t>
            </w:r>
          </w:p>
        </w:tc>
        <w:tc>
          <w:tcPr>
            <w:tcW w:w="4819" w:type="dxa"/>
            <w:gridSpan w:val="2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0B3C4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1BC2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Fraquezas (29%)</w:t>
            </w: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br/>
              <w:t>W1 · 10% — Oferta de governança IA a delimitar [I6, I10, F3, C3]</w:t>
            </w: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br/>
              <w:t>W2 · 9% — Prova de valor e métricas insuficientes [I7, I9, C1, V3]</w:t>
            </w: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br/>
              <w:t>W3 · 7% — Restrição de especialistas e transferência de conhecimento [I4, I11, V1]</w:t>
            </w: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br/>
              <w:t xml:space="preserve">W4 · 3% — Referências específicas insuficientemente comprovadas em novos públicos [I8, Q07, </w:t>
            </w:r>
            <w:proofErr w:type="spellStart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Why</w:t>
            </w:r>
            <w:proofErr w:type="spellEnd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 </w:t>
            </w:r>
            <w:proofErr w:type="spellStart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Not</w:t>
            </w:r>
            <w:proofErr w:type="spellEnd"/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]</w:t>
            </w:r>
          </w:p>
        </w:tc>
      </w:tr>
      <w:tr w:rsidR="00126301" w:rsidRPr="008B0B9D" w14:paraId="1280A9B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4819" w:type="dxa"/>
            <w:gridSpan w:val="2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E6EF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E29F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Oportunidades (23%)</w:t>
            </w: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O1 · 12% — Demanda potencial de governança IA e adoção segura [P1, P2, M2]</w:t>
            </w: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O2 · 6% — Investimento bancário em dados e cloud [P4]</w:t>
            </w: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O3 · 5% — Necessidade de capacitação corporativa [P8, C6]</w:t>
            </w:r>
          </w:p>
        </w:tc>
        <w:tc>
          <w:tcPr>
            <w:tcW w:w="4819" w:type="dxa"/>
            <w:gridSpan w:val="2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FDF1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C428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Ameaças (20%)</w:t>
            </w: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T1 · 10% — Rivalidade, compradores e exigência de retorno [FP1, FP2, P3, M1]</w:t>
            </w: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T2 · 6% — Disputa e atualização de competências [P7, FP3, V1]</w:t>
            </w: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br/>
              <w:t>T3 · 4% — Commoditização e substituição de etapas [P6, FP5, M5]</w:t>
            </w:r>
          </w:p>
        </w:tc>
      </w:tr>
    </w:tbl>
    <w:p w14:paraId="6CFC345C" w14:textId="77777777" w:rsidR="00126301" w:rsidRPr="008B0B9D" w:rsidRDefault="00543659" w:rsidP="00B25B75">
      <w:pPr>
        <w:spacing w:before="160"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O1/W1/T1/S1/W2 concentram 50%. A oportunidade de adoção segura depende de oferta e prova, em mercado competitivo. Relacionamento e saúde oferecem uma entrada plausível, não uma barreira rara já comprovada. Os totais dos quadrantes não representam saldo financeiro nem chance de sucesso.</w:t>
      </w:r>
    </w:p>
    <w:p w14:paraId="2271ADED" w14:textId="77777777" w:rsidR="00126301" w:rsidRPr="008B0B9D" w:rsidRDefault="00543659" w:rsidP="00B25B75">
      <w:pPr>
        <w:pStyle w:val="Ttulo11"/>
        <w:spacing w:before="280" w:after="14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8. SWOT cruzada</w:t>
      </w:r>
    </w:p>
    <w:p w14:paraId="7E2A245A" w14:textId="77777777" w:rsidR="00126301" w:rsidRPr="008B0B9D" w:rsidRDefault="00543659" w:rsidP="00B25B75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Cruzamentos. Escore = média dos pesos dos fatores em pontos percentuais × impacto (1–5). A média evita premiar automaticamente combinações com mais fatores. Participação = escore / soma dos cinco selecionados. É julgamento de prioridade, não probabilidade. Impacto 5: pré-condição direta de captura; 4: defesa/entrada com efeito alto; 3: efeito habilitador ou condicionado. As justificativas e a sensibilidade constam da planilha.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"/>
        <w:gridCol w:w="539"/>
        <w:gridCol w:w="3061"/>
        <w:gridCol w:w="3061"/>
        <w:gridCol w:w="539"/>
        <w:gridCol w:w="539"/>
        <w:gridCol w:w="680"/>
        <w:gridCol w:w="680"/>
      </w:tblGrid>
      <w:tr w:rsidR="00126301" w:rsidRPr="008B0B9D" w14:paraId="32DAEBE2" w14:textId="77777777" w:rsidTr="00FA2DED">
        <w:trPr>
          <w:cantSplit/>
          <w:tblHeader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C186EF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lastRenderedPageBreak/>
              <w:t>Cód.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624A9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Tipo</w:t>
            </w:r>
          </w:p>
        </w:tc>
        <w:tc>
          <w:tcPr>
            <w:tcW w:w="306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D3DBB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Cruzamento</w:t>
            </w:r>
          </w:p>
        </w:tc>
        <w:tc>
          <w:tcPr>
            <w:tcW w:w="306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A1E8E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Peso médio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70E0C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Impacto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6CEE1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Escore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F7BFF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Participação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8CB3C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Situação</w:t>
            </w:r>
          </w:p>
        </w:tc>
      </w:tr>
      <w:tr w:rsidR="00126301" w:rsidRPr="008B0B9D" w14:paraId="166A0C4A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98153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X1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72D03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WO</w:t>
            </w:r>
          </w:p>
        </w:tc>
        <w:tc>
          <w:tcPr>
            <w:tcW w:w="306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A9F99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(W1 + W2) × (O1)</w:t>
            </w:r>
          </w:p>
        </w:tc>
        <w:tc>
          <w:tcPr>
            <w:tcW w:w="306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D9C1A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10.33%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E6A70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A30B3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51,67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F21BF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32.0%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289F0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Selecionado</w:t>
            </w:r>
          </w:p>
        </w:tc>
      </w:tr>
      <w:tr w:rsidR="00126301" w:rsidRPr="008B0B9D" w14:paraId="3BF900E0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663B8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X2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07E47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FO</w:t>
            </w:r>
          </w:p>
        </w:tc>
        <w:tc>
          <w:tcPr>
            <w:tcW w:w="306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D5A63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(S1 + S3) × (O1)</w:t>
            </w:r>
          </w:p>
        </w:tc>
        <w:tc>
          <w:tcPr>
            <w:tcW w:w="306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5764A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9.33%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BD231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F94EE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37,33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54CA7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23.1%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E7E2E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Selecionado</w:t>
            </w:r>
          </w:p>
        </w:tc>
      </w:tr>
      <w:tr w:rsidR="00126301" w:rsidRPr="008B0B9D" w14:paraId="0E283570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A3715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X3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40A40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FA</w:t>
            </w:r>
          </w:p>
        </w:tc>
        <w:tc>
          <w:tcPr>
            <w:tcW w:w="306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E2411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(S1 + S2) × (T1)</w:t>
            </w:r>
          </w:p>
        </w:tc>
        <w:tc>
          <w:tcPr>
            <w:tcW w:w="306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E7FC4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8.67%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C6F3D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86094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34,67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1DBD4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21.4%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F3559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Selecionado</w:t>
            </w:r>
          </w:p>
        </w:tc>
      </w:tr>
      <w:tr w:rsidR="00126301" w:rsidRPr="008B0B9D" w14:paraId="5AFCE822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96D58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X4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89FBE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WA</w:t>
            </w:r>
          </w:p>
        </w:tc>
        <w:tc>
          <w:tcPr>
            <w:tcW w:w="306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91835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(W3) × (T1 + T2)</w:t>
            </w:r>
          </w:p>
        </w:tc>
        <w:tc>
          <w:tcPr>
            <w:tcW w:w="306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678F5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7.67%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F20EE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32DD7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23,00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67938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14.2%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942FD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Selecionado</w:t>
            </w:r>
          </w:p>
        </w:tc>
      </w:tr>
      <w:tr w:rsidR="00126301" w:rsidRPr="008B0B9D" w14:paraId="62B1C148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6238B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X5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25BE0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FO</w:t>
            </w:r>
          </w:p>
        </w:tc>
        <w:tc>
          <w:tcPr>
            <w:tcW w:w="306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F9248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(S4) × (O3)</w:t>
            </w:r>
          </w:p>
        </w:tc>
        <w:tc>
          <w:tcPr>
            <w:tcW w:w="306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FB628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5.00%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FEB45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58963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15,00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8883F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9.3%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3A8FF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Selecionado</w:t>
            </w:r>
          </w:p>
        </w:tc>
      </w:tr>
      <w:tr w:rsidR="00126301" w:rsidRPr="008B0B9D" w14:paraId="3A50A490" w14:textId="77777777">
        <w:trPr>
          <w:cantSplit/>
        </w:trPr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50DD2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X6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4197A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WO</w:t>
            </w:r>
          </w:p>
        </w:tc>
        <w:tc>
          <w:tcPr>
            <w:tcW w:w="306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64DEF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(W4) × (O2)</w:t>
            </w:r>
          </w:p>
        </w:tc>
        <w:tc>
          <w:tcPr>
            <w:tcW w:w="3061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CB04D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4.50%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84CA9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</w:t>
            </w:r>
          </w:p>
        </w:tc>
        <w:tc>
          <w:tcPr>
            <w:tcW w:w="53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5E29E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13,50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7A4B6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—</w:t>
            </w:r>
          </w:p>
        </w:tc>
        <w:tc>
          <w:tcPr>
            <w:tcW w:w="68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AA6E2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Futuro condicionado</w:t>
            </w:r>
          </w:p>
        </w:tc>
      </w:tr>
    </w:tbl>
    <w:p w14:paraId="42C5EC59" w14:textId="77777777" w:rsidR="00126301" w:rsidRPr="008B0B9D" w:rsidRDefault="00543659" w:rsidP="00B25B75">
      <w:pPr>
        <w:pStyle w:val="Ttulo21"/>
        <w:spacing w:before="2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Prioridades estratégicas resultantes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7"/>
        <w:gridCol w:w="1607"/>
        <w:gridCol w:w="1606"/>
        <w:gridCol w:w="1606"/>
        <w:gridCol w:w="1606"/>
        <w:gridCol w:w="1606"/>
      </w:tblGrid>
      <w:tr w:rsidR="00126301" w:rsidRPr="008B0B9D" w14:paraId="71D3232F" w14:textId="77777777">
        <w:trPr>
          <w:cantSplit/>
          <w:tblHeader/>
        </w:trPr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0B3C4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08E979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Prioridade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0B3C4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F1AA4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Origem na SWOT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0B3C4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1F935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Relevância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0B3C4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64F13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Problema ou oportunidade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0B3C4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87693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Direção estratégica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shd w:val="clear" w:color="auto" w:fill="0B3C4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DBEAF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Recomendação para Marketing</w:t>
            </w:r>
          </w:p>
        </w:tc>
      </w:tr>
      <w:tr w:rsidR="00126301" w:rsidRPr="008B0B9D" w14:paraId="45023C2C" w14:textId="77777777">
        <w:trPr>
          <w:cantSplit/>
        </w:trPr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F9A72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1. X1 (WO)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8E5E5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(W1 + W2) × (O1)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C6A51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51,67 (32,0%)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B77F7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 demanda por governança de IA não se converte sem oferta delimitada e prova de retorno.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A2404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Corrigir antes de ampliar: definir oferta, indicadores e método de ROI.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892FF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Definir proposta de valor, escopo e provas da oferta de governança de IA antes de comunicá-la.</w:t>
            </w:r>
          </w:p>
        </w:tc>
      </w:tr>
      <w:tr w:rsidR="00126301" w:rsidRPr="008B0B9D" w14:paraId="14A2B50C" w14:textId="77777777">
        <w:trPr>
          <w:cantSplit/>
        </w:trPr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CB403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2. X2 (FO)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6B952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(S1 + S3) × (O1)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471B0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37,33 (23,1%)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E5663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Relacionamento e base em saúde permitem testar governança de IA com clientes que já confiam na QSOFT.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8F111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Lançar primeiro na base atual (saúde), com pilotos que gerem referências.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8E7EC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Pilotos com clientes da base e cases de governança de IA em saúde.</w:t>
            </w:r>
          </w:p>
        </w:tc>
      </w:tr>
      <w:tr w:rsidR="00126301" w:rsidRPr="008B0B9D" w14:paraId="08768CBC" w14:textId="77777777">
        <w:trPr>
          <w:cantSplit/>
        </w:trPr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08408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3. X3 (FA)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A0A3E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(S1 + S2) × (T1)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BDCB5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34,67 (21,4%)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2E6F0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Rivalidade e compradores fortes pressionam preço.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66D9C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Defender valor pela continuidade, integração e flexibilidade, não por desconto.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BE816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Posicionamento de parceiro de longo prazo; expansão por áreas dentro das contas.</w:t>
            </w:r>
          </w:p>
        </w:tc>
      </w:tr>
      <w:tr w:rsidR="00126301" w:rsidRPr="008B0B9D" w14:paraId="3B0D9F62" w14:textId="77777777">
        <w:trPr>
          <w:cantSplit/>
        </w:trPr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01ACA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4. X4 (WA)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48C6B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(W3) × (T1 + T2)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FC9B6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23,00 (14,2%)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E34D8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Crescer sem capacidade expõe a QSOFT a atrasos, perda de qualidade e guerra de preço.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2154C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Crescer no ritmo da capacidade; atrair e formar talentos.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BF683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Marca empregadora; não prometer escala que não existe.</w:t>
            </w:r>
          </w:p>
        </w:tc>
      </w:tr>
      <w:tr w:rsidR="00126301" w:rsidRPr="008B0B9D" w14:paraId="5C7C6DD6" w14:textId="77777777">
        <w:trPr>
          <w:cantSplit/>
        </w:trPr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A83C2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5. X5 (FO)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1998C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(S4) × (O3)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073C5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15,00 (9,3%)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A205C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Equipe formadora e treinamentos podem atender à baixa literacia em IA.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C59EE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Usar treinamento como porta de entrada para projetos de governança.</w:t>
            </w:r>
          </w:p>
        </w:tc>
        <w:tc>
          <w:tcPr>
            <w:tcW w:w="1606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6CFEE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Trilhas de literacia em IA para empresas, com nutrição até o projeto.</w:t>
            </w:r>
          </w:p>
        </w:tc>
      </w:tr>
    </w:tbl>
    <w:p w14:paraId="2C8E9D3C" w14:textId="77777777" w:rsidR="00126301" w:rsidRPr="008B0B9D" w:rsidRDefault="00543659" w:rsidP="00B25B75">
      <w:pPr>
        <w:spacing w:before="120"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Selecionam-se X1–X5. X6 depende de comprovar demanda e referências em seguros e não integra o peso das prioridades imediatas. A seleção é próxima no último lugar: X5=15 e X6=13,5; um aumento do impacto de X6 de 3 para 4 elevaria seu escore a 18. Essa sensibilidade exige revisar a decisão quando houver evidência setorial.</w:t>
      </w:r>
    </w:p>
    <w:p w14:paraId="7632CF40" w14:textId="77777777" w:rsidR="00126301" w:rsidRPr="008B0B9D" w:rsidRDefault="00543659" w:rsidP="00B25B75">
      <w:pPr>
        <w:pStyle w:val="Ttulo11"/>
        <w:spacing w:before="280" w:after="14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lastRenderedPageBreak/>
        <w:t>9. Estratégia genérica de Porter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6301" w:rsidRPr="008B0B9D" w14:paraId="0C6C4D60" w14:textId="77777777" w:rsidTr="00FA2DED">
        <w:trPr>
          <w:cantSplit/>
          <w:tblHeader/>
        </w:trPr>
        <w:tc>
          <w:tcPr>
            <w:tcW w:w="963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45BCE5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Estratégia recomendada: enfoque em diferenciação</w:t>
            </w: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br/>
              <w:t>Governança de dados e uso corporativo de IA para organizações de saúde com operações complexas, começando na base atual. Integração ao processo do cliente, controles aplicáveis e prova de benefícios sustentam a proposta. É uma direção a validar, não vantagem já demonstrada.</w:t>
            </w:r>
          </w:p>
        </w:tc>
      </w:tr>
    </w:tbl>
    <w:p w14:paraId="31E1077C" w14:textId="77777777" w:rsidR="00126301" w:rsidRPr="008B0B9D" w:rsidRDefault="00543659" w:rsidP="00B25B75">
      <w:pPr>
        <w:keepNext/>
        <w:spacing w:before="1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b/>
          <w:bCs/>
          <w:color w:val="000000" w:themeColor="text1"/>
          <w:szCs w:val="17"/>
        </w:rPr>
        <w:t>Tabela 9.1 – Coerência com o diagnóstico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126301" w:rsidRPr="008B0B9D" w14:paraId="2871F312" w14:textId="77777777" w:rsidTr="00FA2DED">
        <w:trPr>
          <w:cantSplit/>
          <w:tblHeader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E8EEF3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Ferramenta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239E0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Como sustenta a escolha</w:t>
            </w:r>
          </w:p>
        </w:tc>
      </w:tr>
      <w:tr w:rsidR="00126301" w:rsidRPr="008B0B9D" w14:paraId="1D85D7D2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86B76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Macroambiente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37D22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Oportunidades de governança de IA (P1, P2) e pressão por ROI (P3) favorecem valor comprovado, não preço.</w:t>
            </w:r>
          </w:p>
        </w:tc>
      </w:tr>
      <w:tr w:rsidR="00126301" w:rsidRPr="008B0B9D" w14:paraId="2B5765B4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B548D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Mercado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B91B4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Recorrência e compra complexa (M3, M4) premiam conhecimento do cliente; commoditização (M5) pune diferenciação por ferramenta.</w:t>
            </w:r>
          </w:p>
        </w:tc>
      </w:tr>
      <w:tr w:rsidR="00126301" w:rsidRPr="008B0B9D" w14:paraId="25D423BB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E5832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Cinco Forças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E65EE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Rivalidade e compradores pressionam condições comerciais; a defesa proposta é valor demonstrável e continuidade, sem evidência de vantagem em custo.</w:t>
            </w:r>
          </w:p>
        </w:tc>
      </w:tr>
      <w:tr w:rsidR="00126301" w:rsidRPr="008B0B9D" w14:paraId="0E750AF0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6B85E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CPM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FD38B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 CPM não sustenta ranking geral; F3 mostra escopo IA mais delimitado nos concorrentes. Relacionamento QSOFT é forte internamente, sem superioridade comparativa comprovada.</w:t>
            </w:r>
          </w:p>
        </w:tc>
      </w:tr>
      <w:tr w:rsidR="00126301" w:rsidRPr="008B0B9D" w14:paraId="0063245D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315FD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Clientes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36C65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Q03/Q05: resultado, confiança e governança orientam a proposta; preço e valor percebido precisam ser distinguidos por registro de perdas.</w:t>
            </w:r>
          </w:p>
        </w:tc>
      </w:tr>
      <w:tr w:rsidR="00126301" w:rsidRPr="008B0B9D" w14:paraId="786226B6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76BEE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Cadeia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8689D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Conhecimento especializado e dependências tecnológicas exigem coordenação; falta evidência de estrutura de menor custo.</w:t>
            </w:r>
          </w:p>
        </w:tc>
      </w:tr>
      <w:tr w:rsidR="00126301" w:rsidRPr="008B0B9D" w14:paraId="1C63612A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7403C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VRIO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C11C3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R1/R2 são valiosos e aderentes ao foco, mas raridade e sustentabilidade não confirmadas.</w:t>
            </w:r>
          </w:p>
        </w:tc>
      </w:tr>
      <w:tr w:rsidR="00126301" w:rsidRPr="008B0B9D" w14:paraId="7E74E954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93482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Capacidades dinâmicas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44978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Sensing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presente,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Seizing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em desenvolvimento e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Transforming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parcial exigem converter percepção em oferta, piloto e rotinas.</w:t>
            </w:r>
          </w:p>
        </w:tc>
      </w:tr>
      <w:tr w:rsidR="00126301" w:rsidRPr="008B0B9D" w14:paraId="1CA57444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2847E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SWOT ponderada e cruzada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5C5E9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X1 e X2 apontam governança de IA na base atual; X3 defende valor sem desconto.</w:t>
            </w:r>
          </w:p>
        </w:tc>
      </w:tr>
    </w:tbl>
    <w:p w14:paraId="126A0B07" w14:textId="77777777" w:rsidR="00126301" w:rsidRPr="008B0B9D" w:rsidRDefault="00543659" w:rsidP="00B25B75">
      <w:pPr>
        <w:keepNext/>
        <w:spacing w:before="1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b/>
          <w:bCs/>
          <w:color w:val="000000" w:themeColor="text1"/>
          <w:szCs w:val="17"/>
        </w:rPr>
        <w:t>Tabela 9.2 – Respostas exigidas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126301" w:rsidRPr="008B0B9D" w14:paraId="6BE13C34" w14:textId="77777777" w:rsidTr="00FA2DED">
        <w:trPr>
          <w:cantSplit/>
          <w:tblHeader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35D979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Pergunta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E4A6D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Resposta</w:t>
            </w:r>
          </w:p>
        </w:tc>
      </w:tr>
      <w:tr w:rsidR="00126301" w:rsidRPr="008B0B9D" w14:paraId="285D6E43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CF766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Em que estará baseada a vantagem?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FEFDD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No conhecimento profundo da operação do cliente, combinado com governança de dados e IA aplicada e integrada de ponta a ponta, com resultado mensurável.</w:t>
            </w:r>
          </w:p>
        </w:tc>
      </w:tr>
      <w:tr w:rsidR="00126301" w:rsidRPr="008B0B9D" w14:paraId="45475A62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5BC08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Para qual público?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F6D49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Organizações de saúde de médio/grande porte com dados complexos e necessidades de governança do uso IA; base atual como entrada prioritária. Outros segmentos são oportunidades condicionadas.</w:t>
            </w:r>
          </w:p>
        </w:tc>
      </w:tr>
      <w:tr w:rsidR="00126301" w:rsidRPr="008B0B9D" w14:paraId="4E455796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63492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Em quais FCS superar os concorrentes?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FA380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Buscar desempenho superior em F1 (prova), F2 (continuidade) e F3 (governança). Medir capacidade F6; superioridade atual não comprovada.</w:t>
            </w:r>
          </w:p>
        </w:tc>
      </w:tr>
      <w:tr w:rsidR="00126301" w:rsidRPr="008B0B9D" w14:paraId="0AC8CC80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3E01E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Quais recursos sustentam a escolha?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DC417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R1/R2 (conhecimento e saúde), I3 (integração) e equipe/alianças. Documentação e transferência de conhecimento precisam melhorar.</w:t>
            </w:r>
          </w:p>
        </w:tc>
      </w:tr>
      <w:tr w:rsidR="00126301" w:rsidRPr="008B0B9D" w14:paraId="274BC37F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5A028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 que fazer melhor ou diferente?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20899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Vender resultado e governança, não horas e ferramentas; expandir por áreas dentro das contas.</w:t>
            </w:r>
          </w:p>
        </w:tc>
      </w:tr>
      <w:tr w:rsidR="00126301" w:rsidRPr="008B0B9D" w14:paraId="65799EBE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979DD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Quais gaps corrigir?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8F8F4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Oferta de governança de IA (W1), prova de ROI e métricas (W2) e capacidade de entrega (W3).</w:t>
            </w:r>
          </w:p>
        </w:tc>
      </w:tr>
    </w:tbl>
    <w:p w14:paraId="05CBBF29" w14:textId="77777777" w:rsidR="00126301" w:rsidRPr="008B0B9D" w:rsidRDefault="00543659" w:rsidP="00B25B75">
      <w:pPr>
        <w:keepNext/>
        <w:spacing w:before="1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b/>
          <w:bCs/>
          <w:color w:val="000000" w:themeColor="text1"/>
          <w:szCs w:val="17"/>
        </w:rPr>
        <w:lastRenderedPageBreak/>
        <w:t>Tabela 9.3 – Alternativas descartadas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126301" w:rsidRPr="008B0B9D" w14:paraId="6AC5D106" w14:textId="77777777" w:rsidTr="00FA2DED">
        <w:trPr>
          <w:cantSplit/>
          <w:tblHeader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713D17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Alternativa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419A3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Por que não</w:t>
            </w:r>
          </w:p>
        </w:tc>
      </w:tr>
      <w:tr w:rsidR="00126301" w:rsidRPr="008B0B9D" w14:paraId="4FD80301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F0B0F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Liderança em custos / enfoque em custos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C2C3A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Não há evidência de menor custo total, produtividade superior ou estrutura para competir por preço. Folha elevada sozinha não elimina essa opção, mas não a fundamenta.</w:t>
            </w:r>
          </w:p>
        </w:tc>
      </w:tr>
      <w:tr w:rsidR="00126301" w:rsidRPr="008B0B9D" w14:paraId="03CDA8AE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F81F7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Diferenciação ampla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DB295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Possível no futuro, porém referências e conhecimento estão mais concentrados em saúde; ampliar segmentos dispersaria capacidade antes da validação. Escala, sozinha, não define a escolha.</w:t>
            </w:r>
          </w:p>
        </w:tc>
      </w:tr>
    </w:tbl>
    <w:p w14:paraId="03CCC5ED" w14:textId="77777777" w:rsidR="00126301" w:rsidRPr="008B0B9D" w:rsidRDefault="00543659" w:rsidP="00B25B75">
      <w:pPr>
        <w:spacing w:before="140"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8B0B9D">
        <w:rPr>
          <w:rFonts w:ascii="Times New Roman" w:hAnsi="Times New Roman" w:cs="Times New Roman"/>
          <w:color w:val="000000" w:themeColor="text1"/>
        </w:rPr>
        <w:t>Stuck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in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the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middle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>. Desconto, vários setores e PF não comprovam incoerência por si. O risco surge se a empresa promete diferenciação com custos de personalização e simultaneamente aceita preços/escopos incompatíveis, dispersando equipe entre públicos sem critérios. A direção proposta exige foco de saúde, limites de escopo e margem e avaliação de oportunidades adjacentes. Expansão internacional também deve seguir capacidade e validação.</w:t>
      </w:r>
    </w:p>
    <w:p w14:paraId="61D1B6BD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br w:type="page"/>
      </w:r>
    </w:p>
    <w:p w14:paraId="455C5FDB" w14:textId="77777777" w:rsidR="00126301" w:rsidRPr="008B0B9D" w:rsidRDefault="00543659" w:rsidP="00B25B75">
      <w:pPr>
        <w:pStyle w:val="Ttulo11"/>
        <w:spacing w:before="280" w:after="14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lastRenderedPageBreak/>
        <w:t>10. Matriz final de prioridades para o Plano de Marketing</w:t>
      </w:r>
    </w:p>
    <w:p w14:paraId="03D61D51" w14:textId="77777777" w:rsidR="00126301" w:rsidRPr="008B0B9D" w:rsidRDefault="00543659" w:rsidP="00B25B75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A matriz final traduz X1–X5 em cinco frentes. PR1/PR2 desdobram oferta e prova; PR3 deriva de X3; PR4 de X4; PR5 de X5. São direções para o próximo plano, sem campanhas, cronogramas ou promessa de resultado.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9"/>
        <w:gridCol w:w="1560"/>
        <w:gridCol w:w="1358"/>
        <w:gridCol w:w="910"/>
        <w:gridCol w:w="1313"/>
        <w:gridCol w:w="1684"/>
        <w:gridCol w:w="1684"/>
      </w:tblGrid>
      <w:tr w:rsidR="00126301" w:rsidRPr="008B0B9D" w14:paraId="579D58AB" w14:textId="77777777" w:rsidTr="00FA2DED">
        <w:trPr>
          <w:cantSplit/>
          <w:tblHeader/>
        </w:trPr>
        <w:tc>
          <w:tcPr>
            <w:tcW w:w="112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2F6E36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Prioridade</w:t>
            </w:r>
          </w:p>
        </w:tc>
        <w:tc>
          <w:tcPr>
            <w:tcW w:w="156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A3F9E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Origem</w:t>
            </w:r>
          </w:p>
        </w:tc>
        <w:tc>
          <w:tcPr>
            <w:tcW w:w="135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B6655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Evidência</w:t>
            </w:r>
          </w:p>
        </w:tc>
        <w:tc>
          <w:tcPr>
            <w:tcW w:w="91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5B69D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Peso</w:t>
            </w:r>
          </w:p>
        </w:tc>
        <w:tc>
          <w:tcPr>
            <w:tcW w:w="13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F83AC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Urgência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F34CF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Impacto esperado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DD734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Recomendação</w:t>
            </w:r>
          </w:p>
        </w:tc>
      </w:tr>
      <w:tr w:rsidR="00126301" w:rsidRPr="008B0B9D" w14:paraId="42E9B2BA" w14:textId="77777777" w:rsidTr="00FA2DED">
        <w:trPr>
          <w:cantSplit/>
        </w:trPr>
        <w:tc>
          <w:tcPr>
            <w:tcW w:w="112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5F702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PR1 Delimitar e validar oferta de governança IA</w:t>
            </w:r>
          </w:p>
        </w:tc>
        <w:tc>
          <w:tcPr>
            <w:tcW w:w="156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5EBF2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P1/P2, M2, F3, C3, I6/I10 → W1/O1 → X1/X2</w:t>
            </w:r>
          </w:p>
        </w:tc>
        <w:tc>
          <w:tcPr>
            <w:tcW w:w="135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D7B7A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E02/Q06 e ofertas concorrentes E15/E19</w:t>
            </w:r>
          </w:p>
        </w:tc>
        <w:tc>
          <w:tcPr>
            <w:tcW w:w="91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AD208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27.47%</w:t>
            </w:r>
          </w:p>
        </w:tc>
        <w:tc>
          <w:tcPr>
            <w:tcW w:w="13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C621A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5/5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06D7F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5/5 — Reduzir risco de oferta genérica e testar contratação em saúde.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991C9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Definir público, escopo, controles e indicadores; validar na base antes de ampliar comunicação.</w:t>
            </w:r>
          </w:p>
        </w:tc>
      </w:tr>
      <w:tr w:rsidR="00126301" w:rsidRPr="008B0B9D" w14:paraId="249B0CA4" w14:textId="77777777" w:rsidTr="00FA2DED">
        <w:trPr>
          <w:cantSplit/>
        </w:trPr>
        <w:tc>
          <w:tcPr>
            <w:tcW w:w="112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7A716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PR2 Padronizar prova de valor e mensuração</w:t>
            </w:r>
          </w:p>
        </w:tc>
        <w:tc>
          <w:tcPr>
            <w:tcW w:w="156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5E0CA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P3, M1/M4, F1, C1, V3, I7/I9 → W2/T1 → X1</w:t>
            </w:r>
          </w:p>
        </w:tc>
        <w:tc>
          <w:tcPr>
            <w:tcW w:w="135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1778D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E01/Q03/Q04: compra seletiva e métricas insuficientes</w:t>
            </w:r>
          </w:p>
        </w:tc>
        <w:tc>
          <w:tcPr>
            <w:tcW w:w="91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84CA9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27.47%</w:t>
            </w:r>
          </w:p>
        </w:tc>
        <w:tc>
          <w:tcPr>
            <w:tcW w:w="13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5C086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5/5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BBF8B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5/5 — Reduzir incerteza de compra e aprender com o funil.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416A6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Linha de base e benefícios; distinguir produtividade de caixa; registrar origem e motivos de perda.</w:t>
            </w:r>
          </w:p>
        </w:tc>
      </w:tr>
      <w:tr w:rsidR="00126301" w:rsidRPr="008B0B9D" w14:paraId="5027DDFE" w14:textId="77777777" w:rsidTr="00FA2DED">
        <w:trPr>
          <w:cantSplit/>
        </w:trPr>
        <w:tc>
          <w:tcPr>
            <w:tcW w:w="112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40BDB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PR3 Proteger continuidade e conhecimento</w:t>
            </w:r>
          </w:p>
        </w:tc>
        <w:tc>
          <w:tcPr>
            <w:tcW w:w="156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BB73B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FP1/FP2, C2, F2, I1/R1 → S1/S2/T1 → X3</w:t>
            </w:r>
          </w:p>
        </w:tc>
        <w:tc>
          <w:tcPr>
            <w:tcW w:w="135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532A1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Q05/E12: relacionamento plurianual</w:t>
            </w:r>
          </w:p>
        </w:tc>
        <w:tc>
          <w:tcPr>
            <w:tcW w:w="91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82A2C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17.58%</w:t>
            </w:r>
          </w:p>
        </w:tc>
        <w:tc>
          <w:tcPr>
            <w:tcW w:w="13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AC624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4/5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42DC1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4/5 — Sustentar recorrência e expansão por áreas.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013A5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Gestão de contas e transferência de conhecimento; comunicar provas de continuidade.</w:t>
            </w:r>
          </w:p>
        </w:tc>
      </w:tr>
      <w:tr w:rsidR="00126301" w:rsidRPr="008B0B9D" w14:paraId="67515A66" w14:textId="77777777" w:rsidTr="00FA2DED">
        <w:trPr>
          <w:cantSplit/>
        </w:trPr>
        <w:tc>
          <w:tcPr>
            <w:tcW w:w="112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7C309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PR4 Desenvolver capacidade e marca empregadora</w:t>
            </w:r>
          </w:p>
        </w:tc>
        <w:tc>
          <w:tcPr>
            <w:tcW w:w="156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5FF59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P7, FP3, V1, I4/I11 → W3/T2 → X4</w:t>
            </w:r>
          </w:p>
        </w:tc>
        <w:tc>
          <w:tcPr>
            <w:tcW w:w="135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5E075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Q02/Q08/E05: formação e disputa por competências</w:t>
            </w:r>
          </w:p>
        </w:tc>
        <w:tc>
          <w:tcPr>
            <w:tcW w:w="91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4D3C4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17.58%</w:t>
            </w:r>
          </w:p>
        </w:tc>
        <w:tc>
          <w:tcPr>
            <w:tcW w:w="13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0E19D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4/5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01B00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4/5 — Sustentar compromissos comerciais e qualidade.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CB10D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Alinhar venda à agenda; formação e retenção; padronizar aprendizado.</w:t>
            </w:r>
          </w:p>
        </w:tc>
      </w:tr>
      <w:tr w:rsidR="00126301" w:rsidRPr="008B0B9D" w14:paraId="51E8B6C4" w14:textId="77777777" w:rsidTr="00FA2DED">
        <w:trPr>
          <w:cantSplit/>
        </w:trPr>
        <w:tc>
          <w:tcPr>
            <w:tcW w:w="112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05DCB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PR5 Validar treinamento como entrada B2B</w:t>
            </w:r>
          </w:p>
        </w:tc>
        <w:tc>
          <w:tcPr>
            <w:tcW w:w="156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F01969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P8, V4, C6 → S4/O3 → X5</w:t>
            </w:r>
          </w:p>
        </w:tc>
        <w:tc>
          <w:tcPr>
            <w:tcW w:w="135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0BCA4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Q04: conversão estimada, sem série</w:t>
            </w:r>
          </w:p>
        </w:tc>
        <w:tc>
          <w:tcPr>
            <w:tcW w:w="91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5CE13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9.89%</w:t>
            </w:r>
          </w:p>
        </w:tc>
        <w:tc>
          <w:tcPr>
            <w:tcW w:w="13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399EF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3/5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94B10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3/5 — Qualificar demanda e desenvolver adoção.</w:t>
            </w: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58ACC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Trilhas corporativas ligadas à governança; medir conversão e custo antes de escalar.</w:t>
            </w:r>
          </w:p>
        </w:tc>
      </w:tr>
      <w:tr w:rsidR="00126301" w:rsidRPr="008B0B9D" w14:paraId="40518DB1" w14:textId="77777777" w:rsidTr="00FA2DED">
        <w:trPr>
          <w:cantSplit/>
        </w:trPr>
        <w:tc>
          <w:tcPr>
            <w:tcW w:w="112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B855B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BC54FF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15917B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10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7AE32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100%</w:t>
            </w:r>
          </w:p>
        </w:tc>
        <w:tc>
          <w:tcPr>
            <w:tcW w:w="1313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69A709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39E9E0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84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CDF58A" w14:textId="77777777" w:rsidR="00126301" w:rsidRPr="008B0B9D" w:rsidRDefault="00126301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13B5A1FC" w14:textId="77777777" w:rsidR="00126301" w:rsidRPr="008B0B9D" w:rsidRDefault="00543659" w:rsidP="00B25B75">
      <w:pPr>
        <w:spacing w:before="4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Peso final = urgência × impacto / soma dos escores (91). Escalas analíticas 1–5: 5 pré-condição imediata, </w:t>
      </w:r>
      <w:proofErr w:type="gramStart"/>
      <w:r w:rsidRPr="008B0B9D">
        <w:rPr>
          <w:rFonts w:ascii="Times New Roman" w:hAnsi="Times New Roman" w:cs="Times New Roman"/>
          <w:color w:val="000000" w:themeColor="text1"/>
        </w:rPr>
        <w:t>4 alta</w:t>
      </w:r>
      <w:proofErr w:type="gramEnd"/>
      <w:r w:rsidRPr="008B0B9D">
        <w:rPr>
          <w:rFonts w:ascii="Times New Roman" w:hAnsi="Times New Roman" w:cs="Times New Roman"/>
          <w:color w:val="000000" w:themeColor="text1"/>
        </w:rPr>
        <w:t xml:space="preserve"> relevância, </w:t>
      </w:r>
      <w:proofErr w:type="gramStart"/>
      <w:r w:rsidRPr="008B0B9D">
        <w:rPr>
          <w:rFonts w:ascii="Times New Roman" w:hAnsi="Times New Roman" w:cs="Times New Roman"/>
          <w:color w:val="000000" w:themeColor="text1"/>
        </w:rPr>
        <w:t>3 desenvolvimento</w:t>
      </w:r>
      <w:proofErr w:type="gramEnd"/>
      <w:r w:rsidRPr="008B0B9D">
        <w:rPr>
          <w:rFonts w:ascii="Times New Roman" w:hAnsi="Times New Roman" w:cs="Times New Roman"/>
          <w:color w:val="000000" w:themeColor="text1"/>
        </w:rPr>
        <w:t xml:space="preserve"> após validação. PR1/PR2 recebem 5×5 por condicionarem oferta/compra; PR3/PR4 4×4 por protegerem recorrência/capacidade; PR5 3×3 pela conversão ainda não medida. Não são parcelas orçamentárias. Seguros: exploração futura de X6, sem peso atual; validar demanda, referências e capacidade antes de priorizar. Os percentuais exibidos podem somar 99,99% por arredondamento; a soma com precisão integral é 100%.</w:t>
      </w:r>
    </w:p>
    <w:p w14:paraId="3A13FC7D" w14:textId="77777777" w:rsidR="00126301" w:rsidRPr="008B0B9D" w:rsidRDefault="00543659" w:rsidP="00B25B75">
      <w:pPr>
        <w:pStyle w:val="Ttulo11"/>
        <w:spacing w:before="280" w:after="14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11. Conclusão – tese de competitividade</w:t>
      </w:r>
    </w:p>
    <w:p w14:paraId="2BCA2D3D" w14:textId="77777777" w:rsidR="00126301" w:rsidRPr="008B0B9D" w:rsidRDefault="00543659" w:rsidP="00B25B75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A CPM apresenta informação incompleta e não sustenta ranking geral. A QSOFT tem relacionamento plurianual e referência em saúde documentados, mas precisa delimitar a oferta de governança do uso de IA e sistematizar prova de valor.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Indicium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e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Keyrus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já descrevem ofertas nessa frente. A direção recomendada é validar uma proposta específica para saúde na base atual.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126301" w:rsidRPr="008B0B9D" w14:paraId="128C024C" w14:textId="77777777" w:rsidTr="00FA2DED">
        <w:trPr>
          <w:cantSplit/>
          <w:tblHeader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36513C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Elemento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D716A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Síntese</w:t>
            </w:r>
          </w:p>
        </w:tc>
      </w:tr>
      <w:tr w:rsidR="00126301" w:rsidRPr="008B0B9D" w14:paraId="60CC6035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40CEF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1. Principais mudanças externas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518E4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Uso gerenciado de IA avança com risco pessoal residual na base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Netskope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(P1); regulação em evolução (P2); crescimento de TI mais seletivo (P3).</w:t>
            </w:r>
          </w:p>
        </w:tc>
      </w:tr>
      <w:tr w:rsidR="00126301" w:rsidRPr="008B0B9D" w14:paraId="08F4C6E3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93BB6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2. Forças competitivas prioritárias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8A2D3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Rivalidade alta (FP1) e poder médio-alto dos compradores (FP2): 55% do peso.</w:t>
            </w:r>
          </w:p>
        </w:tc>
      </w:tr>
      <w:tr w:rsidR="00126301" w:rsidRPr="008B0B9D" w14:paraId="601BF3D3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7E9F4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3. Posição na CPM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B10BB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Não há posição relativa geral conclusiva. Intervalos sobrepostos; F3 evidencia oferta IA mais delimitada em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Indicium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/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Keyrus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.</w:t>
            </w:r>
          </w:p>
        </w:tc>
      </w:tr>
      <w:tr w:rsidR="00126301" w:rsidRPr="008B0B9D" w14:paraId="00B94E73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65DF4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4. Fatores críticos de sucesso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32DF9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Prova de valor, continuidade e governança (F1–F3, 45%); notas são avaliações documentais, não auditoria.</w:t>
            </w:r>
          </w:p>
        </w:tc>
      </w:tr>
      <w:tr w:rsidR="00126301" w:rsidRPr="008B0B9D" w14:paraId="40780A57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033F1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5. Drivers e barreiras dos clientes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98EAE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Buscam resultado, confiança e segurança; não compram quando não percebem valor, têm incumbente ou a TI não é convencida.</w:t>
            </w:r>
          </w:p>
        </w:tc>
      </w:tr>
      <w:tr w:rsidR="00126301" w:rsidRPr="008B0B9D" w14:paraId="02474EE1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317974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lastRenderedPageBreak/>
              <w:t>6. Dependências e oportunidades na cadeia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0D4CC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Talentos e integração tecnológica são críticos; canais sem mensuração e treinamento com conversão estimada.</w:t>
            </w:r>
          </w:p>
        </w:tc>
      </w:tr>
      <w:tr w:rsidR="00126301" w:rsidRPr="008B0B9D" w14:paraId="350CE766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A9C67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7. Recursos e capacidades estratégicos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2F639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R1/R2 valiosos com sustentabilidade não comprovada; capacidades dinâmicas presentes, porém parcialmente formalizadas.</w:t>
            </w:r>
          </w:p>
        </w:tc>
      </w:tr>
      <w:tr w:rsidR="00126301" w:rsidRPr="008B0B9D" w14:paraId="1501FBDB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16042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8. Principais gaps internos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AB4EF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Oferta de governança de IA, prova de ROI e métricas, capacidade de entrega.</w:t>
            </w:r>
          </w:p>
        </w:tc>
      </w:tr>
      <w:tr w:rsidR="00126301" w:rsidRPr="008B0B9D" w14:paraId="78A4BB71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27C00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9. Oportunidades e ameaças prioritárias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FE7A3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O1 adoção segura e governança; T1 pressão competitiva/ROI; T2 acesso a competências.</w:t>
            </w:r>
          </w:p>
        </w:tc>
      </w:tr>
      <w:tr w:rsidR="00126301" w:rsidRPr="008B0B9D" w14:paraId="67A55820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B7E84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10. Prioridades da SWOT Cruzada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57640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X1 corrigir a oferta; X2 lançar na base; X3 defender valor; X4 crescer no ritmo da capacidade; X5 treinamento como entrada.</w:t>
            </w:r>
          </w:p>
        </w:tc>
      </w:tr>
      <w:tr w:rsidR="00126301" w:rsidRPr="008B0B9D" w14:paraId="46225003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32BFE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11. Estratégia genérica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F9F46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Enfoque em diferenciação.</w:t>
            </w:r>
          </w:p>
        </w:tc>
      </w:tr>
      <w:tr w:rsidR="00126301" w:rsidRPr="008B0B9D" w14:paraId="567D5922" w14:textId="77777777">
        <w:trPr>
          <w:cantSplit/>
        </w:trPr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64643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12. Prioridades para o Plano de Marketing</w:t>
            </w:r>
          </w:p>
        </w:tc>
        <w:tc>
          <w:tcPr>
            <w:tcW w:w="4819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64BB9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PR1 oferta; PR2 prova; PR3 continuidade; PR4 capacidade; PR5 treinamento. Seguros é oportunidade futura condicionada.</w:t>
            </w:r>
          </w:p>
        </w:tc>
      </w:tr>
    </w:tbl>
    <w:p w14:paraId="21D16012" w14:textId="77777777" w:rsidR="00126301" w:rsidRPr="008B0B9D" w:rsidRDefault="00543659" w:rsidP="00B25B75">
      <w:pPr>
        <w:pStyle w:val="Ttulo21"/>
        <w:spacing w:before="200"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Tese de vantagem competitiva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6301" w:rsidRPr="008B0B9D" w14:paraId="7A94F30B" w14:textId="77777777" w:rsidTr="00FA2DED">
        <w:trPr>
          <w:cantSplit/>
          <w:tblHeader/>
        </w:trPr>
        <w:tc>
          <w:tcPr>
            <w:tcW w:w="9638" w:type="dxa"/>
            <w:tcBorders>
              <w:top w:val="single" w:sz="4" w:space="0" w:color="B7C9CE"/>
              <w:left w:val="single" w:sz="4" w:space="0" w:color="B7C9CE"/>
              <w:bottom w:val="single" w:sz="4" w:space="0" w:color="B7C9CE"/>
              <w:right w:val="single" w:sz="4" w:space="0" w:color="B7C9CE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85F4989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 QSOFT poderá construir vantagem competitiva por meio de governança de dados e do uso corporativo de IA integrada aos processos e com benefícios mensuráveis, para organizações de saúde com operações de dados complexas, começando pela base atual, apoiando-se no conhecimento do cliente e nas referências do segmento, desenvolvendo a oferta, a prova de valor e a capacidade de entrega, e respondendo ao risco residual do uso não autorizado de IA, à seletividade dos investimentos e à pressão competitiva.</w:t>
            </w:r>
          </w:p>
        </w:tc>
      </w:tr>
    </w:tbl>
    <w:p w14:paraId="3F3CEAF3" w14:textId="77777777" w:rsidR="00126301" w:rsidRPr="008B0B9D" w:rsidRDefault="00543659" w:rsidP="00B25B75">
      <w:pPr>
        <w:pStyle w:val="Ttulo11"/>
        <w:spacing w:before="280" w:after="14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Fontes</w:t>
      </w:r>
    </w:p>
    <w:p w14:paraId="1F0E5328" w14:textId="77777777" w:rsidR="00126301" w:rsidRPr="008B0B9D" w:rsidRDefault="00543659" w:rsidP="00B25B75">
      <w:pPr>
        <w:pStyle w:val="Ttulo21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Fontes externas e institucionais</w:t>
      </w:r>
    </w:p>
    <w:p w14:paraId="0398E812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E01 — ABES. Mercado de TI no Brasil cresce 18,5% em 2025. 03/04/2026. Receitas, crescimento e maturidade. A notícia apresenta inconsistência entre taxa e valores em dólar. Disponível em: https://abes.org.br/mercado-de-ti-no-brasil-cresce-185-em-2025-e-pais-segue-lider-na-america-latina/ Acesso: 30 set. 2026.</w:t>
      </w:r>
    </w:p>
    <w:p w14:paraId="1C0BB968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  <w:lang w:val="en-US"/>
        </w:rPr>
        <w:t xml:space="preserve">E02 — Netskope. Threat Labs Report Brazil 2026. mar/2025–mar/2026. GenAI Adoption and usage trends; App usage and data policy violation; About this report. </w:t>
      </w:r>
      <w:r w:rsidRPr="008B0B9D">
        <w:rPr>
          <w:rFonts w:ascii="Times New Roman" w:hAnsi="Times New Roman" w:cs="Times New Roman"/>
          <w:color w:val="000000" w:themeColor="text1"/>
        </w:rPr>
        <w:t xml:space="preserve">Subconjunto de clientes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Netskope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no Brasil. Disponível em: https://www.netskope.com/resources/threat-labs-reports/threat-labs-report-brazil-2026 Acesso: 30 set. 2026.</w:t>
      </w:r>
    </w:p>
    <w:p w14:paraId="08D48D79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E03 — Gartner. Global AI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Regulations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Fuel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Billion-Dollar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Market for AI Governance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Platforms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>. 17/02/2026. Previsão global de gasto com plataformas, não tamanho do nicho brasileiro de consultoria. Disponível em: https://www.gartner.com/en/newsroom/press-releases/2026-02-17-gartner-global-ai-regulations-fuel-billion-dollar-market-for-ai-governance-platforms Acesso: 30 set. 2026.</w:t>
      </w:r>
    </w:p>
    <w:p w14:paraId="5D440165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E04 — Febraban. Bancos estimam investir R$ 3 bi em IA e soluções de dados neste ano. 25/08/2026. Investimentos previstos dos bancos em 2026 e capacitação. Não representa orçamento de seguradoras. Disponível em: https://portal.febraban.org.br/noticia/4490/pt-br/ Acesso: 30 set. 2026.</w:t>
      </w:r>
    </w:p>
    <w:p w14:paraId="14F66080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E05 — Brasscom. Macrossetor de TIC pode gerar até 147 mil empregos formais no Brasil em 2025.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fev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>/2025. Descasamento de 30,2% entre demanda e oferta, 2018–2023. Evidência histórica; não déficit medido em 2026. Disponível em: https://brasscom.org.br/macrossetor-de-tic-pode-gerar-ate-147-mil-empregos-formais-no-brasil-em-2025-aponta-estudo/ Acesso: 30 set. 2026.</w:t>
      </w:r>
    </w:p>
    <w:p w14:paraId="4AE0DC0D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E06 — Câmara dos Deputados. PL 2338/2023 Ficha de tramitação. consulta 30/09/2026. Campo Situação: aguardando parecer na comissão especial. Projeto, não lei vigente. Disponível em: https://www.camara.leg.br/proposicoesWeb/fichadetramitacao/?idProposicao=2487262 Acesso: 30 set. 2026.</w:t>
      </w:r>
    </w:p>
    <w:p w14:paraId="2F66B87D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E07 — ANPD. Agenda Regulatória 2025–2026. Resolução 23/2024; alterações posteriores. Agenda de regulação; não comprova aprovação do marco de IA. Disponível em: https://www.gov.br/anpd/pt-br/assuntos/regulacao/agenda-regulatoria-1/agenda-regulatoria-2025-2026 Acesso: 30 set. 2026.</w:t>
      </w:r>
    </w:p>
    <w:p w14:paraId="12C05E1E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E08 — Brasil. Lei 13.709/2018 LGPD. texto compilado. Tratamento de dados pessoais e dados sensíveis. Disponível em: https://www.planalto.gov.br/ccivil_03/_ato2015-2018/2018/lei/l13709compilado.htm Acesso: 30 set. 2026.</w:t>
      </w:r>
    </w:p>
    <w:p w14:paraId="78E75C0B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E09 — Câmara dos Deputados. Reforma tributária começa fase de transição com testes de novos impostos em 2026. 06/01/2026. Cronograma geral; efeito tributário específico da QSOFT requer simulação contábil. Disponível em: </w:t>
      </w:r>
      <w:r w:rsidRPr="008B0B9D">
        <w:rPr>
          <w:rFonts w:ascii="Times New Roman" w:hAnsi="Times New Roman" w:cs="Times New Roman"/>
          <w:color w:val="000000" w:themeColor="text1"/>
        </w:rPr>
        <w:lastRenderedPageBreak/>
        <w:t>https://www.camara.leg.br/noticias/1237089-reforma-tributaria-comeca-fase-de-transicao-com-testes-de-novos-impostos-em-2026/ Acesso: 30 set. 2026.</w:t>
      </w:r>
    </w:p>
    <w:p w14:paraId="5EC30635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E10 — EPE. Consumo de Data Centers. consulta 30/09/2026. Busca por conexão de grandes cargas; oportunidade ambiental indireta, a validar nos clientes. Disponível em: https://www.epe.gov.br/pt/areas-de-atuacao/energia-eletrica/consumo-de-energia-el%C3%A9trica/consumo-de-data-centers Acesso: 30 set. 2026.</w:t>
      </w:r>
    </w:p>
    <w:p w14:paraId="7AD214F7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E11 — MCTI. Ministra Luciana Santos reforça papel do PBIA em seminário do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Conselhão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jun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>/2025. R$ 23 bilhões previstos até 2028. Plano de investimento, não gasto já executado nem receita disponível à QSOFT. Disponível em: https://www.gov.br/mcti/pt-br/acompanhe-o-mcti/noticias/2025/06/ministra-luciana-santos-reforca-papel-do-pbia-em-seminario-do-conselhao Acesso: 30 set. 2026.</w:t>
      </w:r>
    </w:p>
    <w:p w14:paraId="687B2F47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  <w:lang w:val="en-US"/>
        </w:rPr>
        <w:t xml:space="preserve">E12 — QSOFT. Case Unimed. consulta 30/09/2026. </w:t>
      </w:r>
      <w:r w:rsidRPr="008B0B9D">
        <w:rPr>
          <w:rFonts w:ascii="Times New Roman" w:hAnsi="Times New Roman" w:cs="Times New Roman"/>
          <w:color w:val="000000" w:themeColor="text1"/>
        </w:rPr>
        <w:t>Seções Frentes de atuação e Resultados; depoimento de Gabriel Ribeiro. Indicadores declarados pela empresa. Disponível em: https://www.qsoft.com.br/case-unimed/ Acesso: 30 set. 2026.</w:t>
      </w:r>
    </w:p>
    <w:p w14:paraId="58D1B831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E13 — QSOFT. Serviços, soluções e parceiros. consulta 30/09/2026. Menus Serviços, Soluções, Produtos e Parceiros. Declarações institucionais. Disponível em: https://www.qsoft.com.br/ Acesso: 30 set. 2026.</w:t>
      </w:r>
    </w:p>
    <w:p w14:paraId="0094243E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E14 — RED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Innovations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. Data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Analytics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e cases. consulta 30/09/2026. Consultoria, treinamento, suporte e cases publicados. Disponível em: https://redinnovations.com.br/ Acesso: 30 set. 2026.</w:t>
      </w:r>
    </w:p>
    <w:p w14:paraId="4E3F1C57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E15 —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Indicium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AI.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Strategy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and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Vision. consulta 30/09/2026. Governança, priorização, responsabilidades e tracking de ROI. Oferta declarada, não auditoria de execução. Disponível em: https://indicium.ai/data-ai-solutions/strategy-vision Acesso: 30 set. 2026.</w:t>
      </w:r>
    </w:p>
    <w:p w14:paraId="662F09D3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E16 —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Indicium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AI. Copa Energia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Credit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Engine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with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Databricks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>. 09/09/2025. Redução declarada de exposição ao risco de R$ 13,5 milhões/ano e automação. Não equivale a economia de caixa realizada. Disponível em: https://indicium.ai/content-hub/copa-energia-credit-engine-databricks Acesso: 30 set. 2026.</w:t>
      </w:r>
    </w:p>
    <w:p w14:paraId="3598CF40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E17 —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Indicium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AI. AI in Data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Migration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Aura Minerals. 06/06/2025. Pipeline de cerca de 45 para 6 horas; agente e controles de código. Disponível em: https://indicium.ai/content-hub/ai-data-migration-aura-minerals Acesso: 30 set. 2026.</w:t>
      </w:r>
    </w:p>
    <w:p w14:paraId="42539DCC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E18 —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Keyrus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Brasil. Governança de dados. consulta 30/09/2026. Oferta de governança de dados no site brasileiro. Disponível em: https://keyrus.com/br/pt/services/data-governance Acesso: 30 set. 2026.</w:t>
      </w:r>
    </w:p>
    <w:p w14:paraId="1CD962E5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E19 —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Keyrus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Brasil. Governança em IA. consulta 30/09/2026. Seção O papel da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Keyrus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>: riscos, monitoramento e responsabilidades. Disponível em: https://keyrus.com/br/pt/insights/governanca-em-ia Acesso: 30 set. 2026.</w:t>
      </w:r>
    </w:p>
    <w:p w14:paraId="5AB39F1E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E20 —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Keyrus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Brasil. Resultados com Power Platform. consulta 30/09/2026. Frentes da estratégia à sustentação, capacitação e resultados. Cases sem identificação nominal: limitação. Disponível em: https://keyrus.com/br/pt/insights/como-gerar-resultados-concretos-com-o-power-platform-da-microsoft Acesso: 30 set. 2026.</w:t>
      </w:r>
    </w:p>
    <w:p w14:paraId="37EC1705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E21 —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Keyrus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Brasil. Parceiros. consulta 30/09/2026. Alianças tecnológicas listadas; sem inferir quantidade de certificados no Brasil. Disponível em: https://keyrus.com/br/pt/partners Acesso: 30 set. 2026.</w:t>
      </w:r>
    </w:p>
    <w:p w14:paraId="773BDB7A" w14:textId="77777777" w:rsidR="00126301" w:rsidRPr="008B0B9D" w:rsidRDefault="00543659" w:rsidP="00B25B75">
      <w:pPr>
        <w:pStyle w:val="Ttulo21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Evidência interna</w:t>
      </w:r>
    </w:p>
    <w:p w14:paraId="4E5FCE28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 xml:space="preserve">Entrevista com profissionais da QSOFT, incluindo Marcelo Gomes da Cruz e área de marketing. Arquivo Entrevista com os profissionais da </w:t>
      </w:r>
      <w:proofErr w:type="spellStart"/>
      <w:proofErr w:type="gramStart"/>
      <w:r w:rsidRPr="008B0B9D">
        <w:rPr>
          <w:rFonts w:ascii="Times New Roman" w:hAnsi="Times New Roman" w:cs="Times New Roman"/>
          <w:color w:val="000000" w:themeColor="text1"/>
        </w:rPr>
        <w:t>Qsoft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8B0B9D">
        <w:rPr>
          <w:rFonts w:ascii="Times New Roman" w:hAnsi="Times New Roman" w:cs="Times New Roman"/>
          <w:color w:val="000000" w:themeColor="text1"/>
        </w:rPr>
        <w:t>1).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txt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>, disponibilizado em setembro de 2026. Data exata não indicada. Transcrição automática: os marcadores abaixo são expressões para localizar trechos; não constituem seções originais nem transcrição literal corrigida.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126301" w:rsidRPr="008B0B9D" w14:paraId="04C3E77F" w14:textId="77777777" w:rsidTr="00012DB2">
        <w:trPr>
          <w:cantSplit/>
          <w:tblHeader/>
        </w:trPr>
        <w:tc>
          <w:tcPr>
            <w:tcW w:w="2409" w:type="dxa"/>
            <w:vAlign w:val="center"/>
          </w:tcPr>
          <w:p w14:paraId="4C74B1AB" w14:textId="77777777" w:rsidR="00126301" w:rsidRPr="008B0B9D" w:rsidRDefault="00543659" w:rsidP="00B25B75">
            <w:pPr>
              <w:keepNext/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Código</w:t>
            </w:r>
          </w:p>
        </w:tc>
        <w:tc>
          <w:tcPr>
            <w:tcW w:w="2409" w:type="dxa"/>
            <w:vAlign w:val="center"/>
          </w:tcPr>
          <w:p w14:paraId="33D0BE7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Tema</w:t>
            </w:r>
          </w:p>
        </w:tc>
        <w:tc>
          <w:tcPr>
            <w:tcW w:w="2409" w:type="dxa"/>
            <w:vAlign w:val="center"/>
          </w:tcPr>
          <w:p w14:paraId="6A28CBA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Expressão de localização</w:t>
            </w:r>
          </w:p>
        </w:tc>
        <w:tc>
          <w:tcPr>
            <w:tcW w:w="2409" w:type="dxa"/>
            <w:vAlign w:val="center"/>
          </w:tcPr>
          <w:p w14:paraId="3A19A46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Conteúdo utilizado</w:t>
            </w:r>
          </w:p>
        </w:tc>
      </w:tr>
      <w:tr w:rsidR="00126301" w:rsidRPr="008B0B9D" w14:paraId="60BC060E" w14:textId="77777777">
        <w:trPr>
          <w:cantSplit/>
        </w:trPr>
        <w:tc>
          <w:tcPr>
            <w:tcW w:w="2409" w:type="dxa"/>
            <w:vAlign w:val="center"/>
          </w:tcPr>
          <w:p w14:paraId="6A94A6D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Q01</w:t>
            </w:r>
          </w:p>
        </w:tc>
        <w:tc>
          <w:tcPr>
            <w:tcW w:w="2409" w:type="dxa"/>
            <w:vAlign w:val="center"/>
          </w:tcPr>
          <w:p w14:paraId="63D1465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Segmentos e saúde</w:t>
            </w:r>
          </w:p>
        </w:tc>
        <w:tc>
          <w:tcPr>
            <w:tcW w:w="2409" w:type="dxa"/>
            <w:vAlign w:val="center"/>
          </w:tcPr>
          <w:p w14:paraId="6E8384D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quais são os segmentos de clientes</w:t>
            </w:r>
          </w:p>
        </w:tc>
        <w:tc>
          <w:tcPr>
            <w:tcW w:w="2409" w:type="dxa"/>
            <w:vAlign w:val="center"/>
          </w:tcPr>
          <w:p w14:paraId="468B1546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Saúde descrita como mais rentável; sete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Unimeds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, segundo entrevistado.</w:t>
            </w:r>
          </w:p>
        </w:tc>
      </w:tr>
      <w:tr w:rsidR="00126301" w:rsidRPr="008B0B9D" w14:paraId="43198FAB" w14:textId="77777777">
        <w:trPr>
          <w:cantSplit/>
        </w:trPr>
        <w:tc>
          <w:tcPr>
            <w:tcW w:w="2409" w:type="dxa"/>
            <w:vAlign w:val="center"/>
          </w:tcPr>
          <w:p w14:paraId="284128F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Q02</w:t>
            </w:r>
          </w:p>
        </w:tc>
        <w:tc>
          <w:tcPr>
            <w:tcW w:w="2409" w:type="dxa"/>
            <w:vAlign w:val="center"/>
          </w:tcPr>
          <w:p w14:paraId="66CC87E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Custos e contratação</w:t>
            </w:r>
          </w:p>
        </w:tc>
        <w:tc>
          <w:tcPr>
            <w:tcW w:w="2409" w:type="dxa"/>
            <w:vAlign w:val="center"/>
          </w:tcPr>
          <w:p w14:paraId="4F87A242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60 quase 70 por cento dos custos</w:t>
            </w:r>
          </w:p>
        </w:tc>
        <w:tc>
          <w:tcPr>
            <w:tcW w:w="2409" w:type="dxa"/>
            <w:vAlign w:val="center"/>
          </w:tcPr>
          <w:p w14:paraId="21688DE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Folha 60–70%; preferência por formar talentos; instrutores também alocados.</w:t>
            </w:r>
          </w:p>
        </w:tc>
      </w:tr>
      <w:tr w:rsidR="00126301" w:rsidRPr="008B0B9D" w14:paraId="5F487723" w14:textId="77777777">
        <w:trPr>
          <w:cantSplit/>
        </w:trPr>
        <w:tc>
          <w:tcPr>
            <w:tcW w:w="2409" w:type="dxa"/>
            <w:vAlign w:val="center"/>
          </w:tcPr>
          <w:p w14:paraId="46A9736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Q03</w:t>
            </w:r>
          </w:p>
        </w:tc>
        <w:tc>
          <w:tcPr>
            <w:tcW w:w="2409" w:type="dxa"/>
            <w:vAlign w:val="center"/>
          </w:tcPr>
          <w:p w14:paraId="6DBD1FE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ROI e valor</w:t>
            </w:r>
          </w:p>
        </w:tc>
        <w:tc>
          <w:tcPr>
            <w:tcW w:w="2409" w:type="dxa"/>
            <w:vAlign w:val="center"/>
          </w:tcPr>
          <w:p w14:paraId="0B7E4A9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eles exigem muito</w:t>
            </w:r>
          </w:p>
        </w:tc>
        <w:tc>
          <w:tcPr>
            <w:tcW w:w="2409" w:type="dxa"/>
            <w:vAlign w:val="center"/>
          </w:tcPr>
          <w:p w14:paraId="07017DEC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Mensuração por premissas de tempo. Horas liberadas não significam redução automática de caixa.</w:t>
            </w:r>
          </w:p>
        </w:tc>
      </w:tr>
      <w:tr w:rsidR="00126301" w:rsidRPr="008B0B9D" w14:paraId="7B8809D4" w14:textId="77777777">
        <w:trPr>
          <w:cantSplit/>
        </w:trPr>
        <w:tc>
          <w:tcPr>
            <w:tcW w:w="2409" w:type="dxa"/>
            <w:vAlign w:val="center"/>
          </w:tcPr>
          <w:p w14:paraId="7A0F609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Q04</w:t>
            </w:r>
          </w:p>
        </w:tc>
        <w:tc>
          <w:tcPr>
            <w:tcW w:w="2409" w:type="dxa"/>
            <w:vAlign w:val="center"/>
          </w:tcPr>
          <w:p w14:paraId="3AF969C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Canais e treinamento</w:t>
            </w:r>
          </w:p>
        </w:tc>
        <w:tc>
          <w:tcPr>
            <w:tcW w:w="2409" w:type="dxa"/>
            <w:vAlign w:val="center"/>
          </w:tcPr>
          <w:p w14:paraId="0D5AF65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nossa principal hoje ainda é o site</w:t>
            </w:r>
          </w:p>
        </w:tc>
        <w:tc>
          <w:tcPr>
            <w:tcW w:w="2409" w:type="dxa"/>
            <w:vAlign w:val="center"/>
          </w:tcPr>
          <w:p w14:paraId="75A950A7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Site, eventos, SDR; estimativa dois em dez e admissão de falta de métrica específica.</w:t>
            </w:r>
          </w:p>
        </w:tc>
      </w:tr>
      <w:tr w:rsidR="00126301" w:rsidRPr="008B0B9D" w14:paraId="2A22934E" w14:textId="77777777">
        <w:trPr>
          <w:cantSplit/>
        </w:trPr>
        <w:tc>
          <w:tcPr>
            <w:tcW w:w="2409" w:type="dxa"/>
            <w:vAlign w:val="center"/>
          </w:tcPr>
          <w:p w14:paraId="2CEE114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Q05</w:t>
            </w:r>
          </w:p>
        </w:tc>
        <w:tc>
          <w:tcPr>
            <w:tcW w:w="2409" w:type="dxa"/>
            <w:vAlign w:val="center"/>
          </w:tcPr>
          <w:p w14:paraId="44190BE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Relacionamento e contratos</w:t>
            </w:r>
          </w:p>
        </w:tc>
        <w:tc>
          <w:tcPr>
            <w:tcW w:w="2409" w:type="dxa"/>
            <w:vAlign w:val="center"/>
          </w:tcPr>
          <w:p w14:paraId="0FEBAC7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oito a 10 anos</w:t>
            </w:r>
          </w:p>
        </w:tc>
        <w:tc>
          <w:tcPr>
            <w:tcW w:w="2409" w:type="dxa"/>
            <w:vAlign w:val="center"/>
          </w:tcPr>
          <w:p w14:paraId="5F430BA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Permanência estimada, conhecimento do cliente, contratos 12/24/36 meses e áreas internas.</w:t>
            </w:r>
          </w:p>
        </w:tc>
      </w:tr>
      <w:tr w:rsidR="00126301" w:rsidRPr="008B0B9D" w14:paraId="49E48C81" w14:textId="77777777">
        <w:trPr>
          <w:cantSplit/>
        </w:trPr>
        <w:tc>
          <w:tcPr>
            <w:tcW w:w="2409" w:type="dxa"/>
            <w:vAlign w:val="center"/>
          </w:tcPr>
          <w:p w14:paraId="0B79F36D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lastRenderedPageBreak/>
              <w:t>Q06</w:t>
            </w:r>
          </w:p>
        </w:tc>
        <w:tc>
          <w:tcPr>
            <w:tcW w:w="2409" w:type="dxa"/>
            <w:vAlign w:val="center"/>
          </w:tcPr>
          <w:p w14:paraId="607C592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IA e parcerias</w:t>
            </w:r>
          </w:p>
        </w:tc>
        <w:tc>
          <w:tcPr>
            <w:tcW w:w="2409" w:type="dxa"/>
            <w:vAlign w:val="center"/>
          </w:tcPr>
          <w:p w14:paraId="1D748AEE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Hoje a gente tem enfrentado muito</w:t>
            </w:r>
          </w:p>
        </w:tc>
        <w:tc>
          <w:tcPr>
            <w:tcW w:w="2409" w:type="dxa"/>
            <w:vAlign w:val="center"/>
          </w:tcPr>
          <w:p w14:paraId="1B027F91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Shadow AI; parceria </w:t>
            </w:r>
            <w:proofErr w:type="spellStart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Anthropic</w:t>
            </w:r>
            <w:proofErr w:type="spellEnd"/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e exigência de dez qualificações declarada, não auditada.</w:t>
            </w:r>
          </w:p>
        </w:tc>
      </w:tr>
      <w:tr w:rsidR="00126301" w:rsidRPr="008B0B9D" w14:paraId="275285A7" w14:textId="77777777">
        <w:trPr>
          <w:cantSplit/>
        </w:trPr>
        <w:tc>
          <w:tcPr>
            <w:tcW w:w="2409" w:type="dxa"/>
            <w:vAlign w:val="center"/>
          </w:tcPr>
          <w:p w14:paraId="5FEF1ED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Q07</w:t>
            </w:r>
          </w:p>
        </w:tc>
        <w:tc>
          <w:tcPr>
            <w:tcW w:w="2409" w:type="dxa"/>
            <w:vAlign w:val="center"/>
          </w:tcPr>
          <w:p w14:paraId="737FAA45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Expansão e seguros</w:t>
            </w:r>
          </w:p>
        </w:tc>
        <w:tc>
          <w:tcPr>
            <w:tcW w:w="2409" w:type="dxa"/>
            <w:vAlign w:val="center"/>
          </w:tcPr>
          <w:p w14:paraId="03B41CCB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estamos abrindo financeiro na área de seguros</w:t>
            </w:r>
          </w:p>
        </w:tc>
        <w:tc>
          <w:tcPr>
            <w:tcW w:w="2409" w:type="dxa"/>
            <w:vAlign w:val="center"/>
          </w:tcPr>
          <w:p w14:paraId="2FC157D0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Interesse de expansão; referências específicas em seguros não comprovadas nesta base.</w:t>
            </w:r>
          </w:p>
        </w:tc>
      </w:tr>
      <w:tr w:rsidR="00126301" w:rsidRPr="008B0B9D" w14:paraId="290CCAC3" w14:textId="77777777">
        <w:trPr>
          <w:cantSplit/>
        </w:trPr>
        <w:tc>
          <w:tcPr>
            <w:tcW w:w="2409" w:type="dxa"/>
            <w:vAlign w:val="center"/>
          </w:tcPr>
          <w:p w14:paraId="23DE2F43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Q08</w:t>
            </w:r>
          </w:p>
        </w:tc>
        <w:tc>
          <w:tcPr>
            <w:tcW w:w="2409" w:type="dxa"/>
            <w:vAlign w:val="center"/>
          </w:tcPr>
          <w:p w14:paraId="1DC7DDC8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Aprendizagem e CRM</w:t>
            </w:r>
          </w:p>
        </w:tc>
        <w:tc>
          <w:tcPr>
            <w:tcW w:w="2409" w:type="dxa"/>
            <w:vAlign w:val="center"/>
          </w:tcPr>
          <w:p w14:paraId="1793FD3A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a gente usa o pite Drive hoje</w:t>
            </w:r>
          </w:p>
        </w:tc>
        <w:tc>
          <w:tcPr>
            <w:tcW w:w="2409" w:type="dxa"/>
            <w:vAlign w:val="center"/>
          </w:tcPr>
          <w:p w14:paraId="23665D0F" w14:textId="77777777" w:rsidR="00126301" w:rsidRPr="008B0B9D" w:rsidRDefault="00543659" w:rsidP="00B25B7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8B0B9D">
              <w:rPr>
                <w:rFonts w:ascii="Times New Roman" w:hAnsi="Times New Roman" w:cs="Times New Roman"/>
                <w:color w:val="000000" w:themeColor="text1"/>
                <w:sz w:val="17"/>
              </w:rPr>
              <w:t>Migração de CRM em avaliação; incentivo à certificação; trilhas internas em estruturação.</w:t>
            </w:r>
          </w:p>
        </w:tc>
      </w:tr>
    </w:tbl>
    <w:p w14:paraId="6ACB6B29" w14:textId="77777777" w:rsidR="00126301" w:rsidRPr="008B0B9D" w:rsidRDefault="00543659" w:rsidP="00B25B75">
      <w:pPr>
        <w:pStyle w:val="Ttulo21"/>
        <w:rPr>
          <w:rFonts w:ascii="Times New Roman" w:hAnsi="Times New Roman" w:cs="Times New Roman"/>
          <w:color w:val="000000" w:themeColor="text1"/>
        </w:rPr>
      </w:pPr>
      <w:r w:rsidRPr="008B0B9D">
        <w:rPr>
          <w:rFonts w:ascii="Times New Roman" w:hAnsi="Times New Roman" w:cs="Times New Roman"/>
          <w:color w:val="000000" w:themeColor="text1"/>
        </w:rPr>
        <w:t>Base didática e requisito de entrega</w:t>
      </w:r>
    </w:p>
    <w:p w14:paraId="18DAF94F" w14:textId="77777777" w:rsidR="00126301" w:rsidRPr="008B0B9D" w:rsidRDefault="00543659" w:rsidP="00B25B75">
      <w:pPr>
        <w:spacing w:after="100"/>
        <w:rPr>
          <w:rFonts w:ascii="Times New Roman" w:hAnsi="Times New Roman" w:cs="Times New Roman"/>
          <w:color w:val="000000" w:themeColor="text1"/>
        </w:rPr>
      </w:pPr>
      <w:proofErr w:type="spellStart"/>
      <w:r w:rsidRPr="008B0B9D">
        <w:rPr>
          <w:rFonts w:ascii="Times New Roman" w:hAnsi="Times New Roman" w:cs="Times New Roman"/>
          <w:color w:val="000000" w:themeColor="text1"/>
        </w:rPr>
        <w:t>Markdown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8B0B9D">
        <w:rPr>
          <w:rFonts w:ascii="Times New Roman" w:hAnsi="Times New Roman" w:cs="Times New Roman"/>
          <w:color w:val="000000" w:themeColor="text1"/>
        </w:rPr>
        <w:t>colado(</w:t>
      </w:r>
      <w:proofErr w:type="gramEnd"/>
      <w:r w:rsidRPr="008B0B9D">
        <w:rPr>
          <w:rFonts w:ascii="Times New Roman" w:hAnsi="Times New Roman" w:cs="Times New Roman"/>
          <w:color w:val="000000" w:themeColor="text1"/>
        </w:rPr>
        <w:t>5).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md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, idêntico ao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Markdown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8B0B9D">
        <w:rPr>
          <w:rFonts w:ascii="Times New Roman" w:hAnsi="Times New Roman" w:cs="Times New Roman"/>
          <w:color w:val="000000" w:themeColor="text1"/>
        </w:rPr>
        <w:t>colado(</w:t>
      </w:r>
      <w:proofErr w:type="gramEnd"/>
      <w:r w:rsidRPr="008B0B9D">
        <w:rPr>
          <w:rFonts w:ascii="Times New Roman" w:hAnsi="Times New Roman" w:cs="Times New Roman"/>
          <w:color w:val="000000" w:themeColor="text1"/>
        </w:rPr>
        <w:t>4).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md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. Materiais da professora: Aula 2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Intro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ao Plano de MKT MKTSTRAT; 3 Ambiente Interno MKTSTRAT; 4 Ambiente Externo MKTSTRAT; Ecossistema Fornecedores Canais Cliente; Relações de troca e concorrência. Referências metodológicas: criação/entrega de valor,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upstream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downstream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, fricções de compra e integração do diagnóstico. O enunciado orienta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How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e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Why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B0B9D">
        <w:rPr>
          <w:rFonts w:ascii="Times New Roman" w:hAnsi="Times New Roman" w:cs="Times New Roman"/>
          <w:color w:val="000000" w:themeColor="text1"/>
        </w:rPr>
        <w:t>Not</w:t>
      </w:r>
      <w:proofErr w:type="spellEnd"/>
      <w:r w:rsidRPr="008B0B9D">
        <w:rPr>
          <w:rFonts w:ascii="Times New Roman" w:hAnsi="Times New Roman" w:cs="Times New Roman"/>
          <w:color w:val="000000" w:themeColor="text1"/>
        </w:rPr>
        <w:t xml:space="preserve"> na análise de clientes.</w:t>
      </w:r>
    </w:p>
    <w:sectPr w:rsidR="00126301" w:rsidRPr="008B0B9D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41DC0" w14:textId="77777777" w:rsidR="00E7689C" w:rsidRDefault="00E7689C">
      <w:r>
        <w:separator/>
      </w:r>
    </w:p>
  </w:endnote>
  <w:endnote w:type="continuationSeparator" w:id="0">
    <w:p w14:paraId="73A92712" w14:textId="77777777" w:rsidR="00E7689C" w:rsidRDefault="00E76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D6FAE" w14:textId="77777777" w:rsidR="00126301" w:rsidRDefault="00543659">
    <w:pPr>
      <w:jc w:val="right"/>
    </w:pPr>
    <w:r>
      <w:rPr>
        <w:color w:val="777777"/>
        <w:sz w:val="15"/>
        <w:szCs w:val="15"/>
      </w:rPr>
      <w:t xml:space="preserve">ESPM · Diagnóstico QSOFT ·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PAGE</w:instrText>
    </w:r>
    <w:r>
      <w:rPr>
        <w:color w:val="777777"/>
        <w:sz w:val="15"/>
        <w:szCs w:val="15"/>
      </w:rPr>
      <w:fldChar w:fldCharType="separate"/>
    </w:r>
    <w:r w:rsidR="008B0B9D">
      <w:rPr>
        <w:noProof/>
        <w:color w:val="777777"/>
        <w:sz w:val="15"/>
        <w:szCs w:val="15"/>
      </w:rPr>
      <w:t>1</w:t>
    </w:r>
    <w:r>
      <w:rPr>
        <w:color w:val="777777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71DBD" w14:textId="77777777" w:rsidR="00E7689C" w:rsidRDefault="00E7689C">
      <w:r>
        <w:separator/>
      </w:r>
    </w:p>
  </w:footnote>
  <w:footnote w:type="continuationSeparator" w:id="0">
    <w:p w14:paraId="6B4424CB" w14:textId="77777777" w:rsidR="00E7689C" w:rsidRDefault="00E768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20E90"/>
    <w:multiLevelType w:val="hybridMultilevel"/>
    <w:tmpl w:val="361A08B6"/>
    <w:lvl w:ilvl="0" w:tplc="72A25296">
      <w:start w:val="1"/>
      <w:numFmt w:val="bullet"/>
      <w:lvlText w:val="●"/>
      <w:lvlJc w:val="left"/>
      <w:pPr>
        <w:ind w:left="720" w:hanging="360"/>
      </w:pPr>
    </w:lvl>
    <w:lvl w:ilvl="1" w:tplc="9F6ECB1C">
      <w:start w:val="1"/>
      <w:numFmt w:val="bullet"/>
      <w:lvlText w:val="○"/>
      <w:lvlJc w:val="left"/>
      <w:pPr>
        <w:ind w:left="1440" w:hanging="360"/>
      </w:pPr>
    </w:lvl>
    <w:lvl w:ilvl="2" w:tplc="7C5E8ECE">
      <w:start w:val="1"/>
      <w:numFmt w:val="bullet"/>
      <w:lvlText w:val="■"/>
      <w:lvlJc w:val="left"/>
      <w:pPr>
        <w:ind w:left="2160" w:hanging="360"/>
      </w:pPr>
    </w:lvl>
    <w:lvl w:ilvl="3" w:tplc="FEE68B12">
      <w:start w:val="1"/>
      <w:numFmt w:val="bullet"/>
      <w:lvlText w:val="●"/>
      <w:lvlJc w:val="left"/>
      <w:pPr>
        <w:ind w:left="2880" w:hanging="360"/>
      </w:pPr>
    </w:lvl>
    <w:lvl w:ilvl="4" w:tplc="AF5E3460">
      <w:start w:val="1"/>
      <w:numFmt w:val="bullet"/>
      <w:lvlText w:val="○"/>
      <w:lvlJc w:val="left"/>
      <w:pPr>
        <w:ind w:left="3600" w:hanging="360"/>
      </w:pPr>
    </w:lvl>
    <w:lvl w:ilvl="5" w:tplc="BD0606A6">
      <w:start w:val="1"/>
      <w:numFmt w:val="bullet"/>
      <w:lvlText w:val="■"/>
      <w:lvlJc w:val="left"/>
      <w:pPr>
        <w:ind w:left="4320" w:hanging="360"/>
      </w:pPr>
    </w:lvl>
    <w:lvl w:ilvl="6" w:tplc="78C80C52">
      <w:start w:val="1"/>
      <w:numFmt w:val="bullet"/>
      <w:lvlText w:val="●"/>
      <w:lvlJc w:val="left"/>
      <w:pPr>
        <w:ind w:left="5040" w:hanging="360"/>
      </w:pPr>
    </w:lvl>
    <w:lvl w:ilvl="7" w:tplc="26B8B442">
      <w:start w:val="1"/>
      <w:numFmt w:val="bullet"/>
      <w:lvlText w:val="●"/>
      <w:lvlJc w:val="left"/>
      <w:pPr>
        <w:ind w:left="5760" w:hanging="360"/>
      </w:pPr>
    </w:lvl>
    <w:lvl w:ilvl="8" w:tplc="B7408C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042D16"/>
    <w:multiLevelType w:val="hybridMultilevel"/>
    <w:tmpl w:val="DC986C5E"/>
    <w:lvl w:ilvl="0" w:tplc="F3FA5170">
      <w:start w:val="1"/>
      <w:numFmt w:val="bullet"/>
      <w:lvlText w:val="•"/>
      <w:lvlJc w:val="left"/>
      <w:pPr>
        <w:ind w:left="360" w:hanging="240"/>
      </w:pPr>
    </w:lvl>
    <w:lvl w:ilvl="1" w:tplc="A6127134">
      <w:numFmt w:val="decimal"/>
      <w:lvlText w:val=""/>
      <w:lvlJc w:val="left"/>
    </w:lvl>
    <w:lvl w:ilvl="2" w:tplc="50C2B2B6">
      <w:numFmt w:val="decimal"/>
      <w:lvlText w:val=""/>
      <w:lvlJc w:val="left"/>
    </w:lvl>
    <w:lvl w:ilvl="3" w:tplc="97B2143C">
      <w:numFmt w:val="decimal"/>
      <w:lvlText w:val=""/>
      <w:lvlJc w:val="left"/>
    </w:lvl>
    <w:lvl w:ilvl="4" w:tplc="A4D4D4FE">
      <w:numFmt w:val="decimal"/>
      <w:lvlText w:val=""/>
      <w:lvlJc w:val="left"/>
    </w:lvl>
    <w:lvl w:ilvl="5" w:tplc="C47E93E0">
      <w:numFmt w:val="decimal"/>
      <w:lvlText w:val=""/>
      <w:lvlJc w:val="left"/>
    </w:lvl>
    <w:lvl w:ilvl="6" w:tplc="9E803974">
      <w:numFmt w:val="decimal"/>
      <w:lvlText w:val=""/>
      <w:lvlJc w:val="left"/>
    </w:lvl>
    <w:lvl w:ilvl="7" w:tplc="65F84D58">
      <w:numFmt w:val="decimal"/>
      <w:lvlText w:val=""/>
      <w:lvlJc w:val="left"/>
    </w:lvl>
    <w:lvl w:ilvl="8" w:tplc="843EBE8C">
      <w:numFmt w:val="decimal"/>
      <w:lvlText w:val=""/>
      <w:lvlJc w:val="left"/>
    </w:lvl>
  </w:abstractNum>
  <w:num w:numId="1" w16cid:durableId="7890151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301"/>
    <w:rsid w:val="00012DB2"/>
    <w:rsid w:val="00126301"/>
    <w:rsid w:val="00310FB1"/>
    <w:rsid w:val="00543659"/>
    <w:rsid w:val="00744A9D"/>
    <w:rsid w:val="008B0B9D"/>
    <w:rsid w:val="00945734"/>
    <w:rsid w:val="00B25B75"/>
    <w:rsid w:val="00B25E04"/>
    <w:rsid w:val="00C622B6"/>
    <w:rsid w:val="00D6488B"/>
    <w:rsid w:val="00DD6F2B"/>
    <w:rsid w:val="00E7689C"/>
    <w:rsid w:val="00FA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0E986"/>
  <w15:docId w15:val="{63DF9CC4-06E8-4949-9F65-D5FA2ED8E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80" w:after="140"/>
      <w:outlineLvl w:val="0"/>
    </w:pPr>
    <w:rPr>
      <w:b/>
      <w:bCs/>
      <w:color w:val="0B3C49"/>
      <w:sz w:val="28"/>
      <w:szCs w:val="28"/>
    </w:rPr>
  </w:style>
  <w:style w:type="paragraph" w:styleId="Ttulo2">
    <w:name w:val="heading 2"/>
    <w:uiPriority w:val="9"/>
    <w:semiHidden/>
    <w:unhideWhenUsed/>
    <w:qFormat/>
    <w:pPr>
      <w:keepNext/>
      <w:spacing w:before="200" w:after="100"/>
      <w:outlineLvl w:val="1"/>
    </w:pPr>
    <w:rPr>
      <w:b/>
      <w:bCs/>
      <w:color w:val="0B3C49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Ttulo11">
    <w:name w:val="Título 11"/>
    <w:pPr>
      <w:keepNext/>
    </w:pPr>
    <w:rPr>
      <w:rFonts w:ascii="Calibri" w:hAnsi="Calibri"/>
      <w:b/>
      <w:sz w:val="30"/>
    </w:rPr>
  </w:style>
  <w:style w:type="paragraph" w:customStyle="1" w:styleId="Ttulo21">
    <w:name w:val="Título 21"/>
    <w:pPr>
      <w:keepNext/>
    </w:pPr>
    <w:rPr>
      <w:rFonts w:ascii="Calibri" w:hAnsi="Calibri"/>
      <w:b/>
      <w:sz w:val="24"/>
    </w:rPr>
  </w:style>
  <w:style w:type="paragraph" w:customStyle="1" w:styleId="Ttulo31">
    <w:name w:val="Título 31"/>
    <w:pPr>
      <w:keepNext/>
    </w:pPr>
    <w:rPr>
      <w:rFonts w:ascii="Calibri" w:hAnsi="Calibri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9963</Words>
  <Characters>53803</Characters>
  <Application>Microsoft Office Word</Application>
  <DocSecurity>0</DocSecurity>
  <Lines>448</Lines>
  <Paragraphs>127</Paragraphs>
  <ScaleCrop>false</ScaleCrop>
  <Company/>
  <LinksUpToDate>false</LinksUpToDate>
  <CharactersWithSpaces>63639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Diagnóstico Estratégico de Competitividade da QSOFT</dc:title>
  <dc:subject>Diagnóstico integrado e priorizado de Marketing Estratégico</dc:subject>
  <dc:creator>Grupo QSOFT – ESPM</dc:creator>
  <cp:lastModifiedBy>Julia Machado</cp:lastModifiedBy>
  <cp:revision>2</cp:revision>
  <dcterms:created xsi:type="dcterms:W3CDTF">2026-09-30T14:01:00Z</dcterms:created>
  <dcterms:modified xsi:type="dcterms:W3CDTF">2026-09-30T14:01:00Z</dcterms:modified>
</cp:coreProperties>
</file>