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000000"/>
          <w:sz w:val="40"/>
        </w:rPr>
        <w:t>Escolha do Banco de Dados Vetorial</w:t>
      </w:r>
    </w:p>
    <w:p>
      <w:pPr>
        <w:spacing w:after="60"/>
      </w:pPr>
      <w:r>
        <w:rPr>
          <w:b w:val="0"/>
          <w:i w:val="0"/>
          <w:color w:val="000000"/>
          <w:sz w:val="26"/>
        </w:rPr>
        <w:t>Análise comparativa para o sistema RAG VAAR Nacional</w:t>
      </w:r>
    </w:p>
    <w:p>
      <w:pPr>
        <w:spacing w:after="120"/>
      </w:pPr>
      <w:r>
        <w:rPr>
          <w:b w:val="0"/>
          <w:i/>
          <w:color w:val="000000"/>
          <w:sz w:val="20"/>
        </w:rPr>
        <w:t>Projeto Integrador V  |  Setembro de 2026</w:t>
      </w:r>
    </w:p>
    <w:p>
      <w:pPr>
        <w:pBdr>
          <w:bottom w:val="single" w:sz="6" w:color="808080" w:space="1"/>
        </w:pBdr>
        <w:spacing w:after="200"/>
      </w:pPr>
    </w:p>
    <w:p>
      <w:pPr>
        <w:pStyle w:val="Heading1"/>
        <w:keepNext/>
        <w:spacing w:before="360" w:after="160"/>
      </w:pPr>
      <w:r>
        <w:rPr>
          <w:rFonts w:ascii="Calibri" w:hAnsi="Calibri"/>
          <w:b/>
          <w:color w:val="000000"/>
          <w:sz w:val="30"/>
        </w:rPr>
        <w:t>1. Resumo executivo</w:t>
      </w:r>
    </w:p>
    <w:p>
      <w:pPr>
        <w:spacing w:after="140"/>
      </w:pPr>
      <w:r>
        <w:rPr>
          <w:b w:val="0"/>
          <w:i w:val="0"/>
          <w:color w:val="000000"/>
          <w:sz w:val="22"/>
        </w:rPr>
        <w:t xml:space="preserve">Este documento compara seis bancos de dados vetoriais para a camada de recuperação do RAG VAAR Nacional e recomenda o </w:t>
      </w:r>
      <w:r>
        <w:rPr>
          <w:b/>
          <w:i w:val="0"/>
          <w:color w:val="000000"/>
          <w:sz w:val="22"/>
        </w:rPr>
        <w:t>Qdrant</w:t>
      </w:r>
      <w:r>
        <w:rPr>
          <w:b w:val="0"/>
          <w:i w:val="0"/>
          <w:color w:val="000000"/>
          <w:sz w:val="22"/>
        </w:rPr>
        <w:t xml:space="preserve"> em modo local embutido.</w:t>
      </w:r>
    </w:p>
    <w:p>
      <w:pPr>
        <w:spacing w:after="140"/>
      </w:pPr>
      <w:r>
        <w:rPr>
          <w:b w:val="0"/>
          <w:i w:val="0"/>
          <w:color w:val="000000"/>
          <w:sz w:val="22"/>
        </w:rPr>
        <w:t>A recomendação se apoia em três fatos, todos verificados na prática e reproduzíveis pelo roteiro da seção 5:</w:t>
      </w:r>
    </w:p>
    <w:p>
      <w:pPr>
        <w:pStyle w:val="ListBullet"/>
        <w:spacing w:after="80" w:line="276" w:lineRule="auto"/>
      </w:pPr>
      <w:r>
        <w:rPr>
          <w:color w:val="000000"/>
          <w:sz w:val="22"/>
        </w:rPr>
        <w:t>O Qdrant resolve nativamente a fusão entre busca densa e busca lexical, que é a peça pendente da arquitetura. Isso elimina código que teríamos de escrever e manter.</w:t>
      </w:r>
    </w:p>
    <w:p>
      <w:pPr>
        <w:pStyle w:val="ListBullet"/>
        <w:spacing w:after="80" w:line="276" w:lineRule="auto"/>
      </w:pPr>
      <w:r>
        <w:rPr>
          <w:color w:val="000000"/>
          <w:sz w:val="22"/>
        </w:rPr>
        <w:t>Ele roda embutido no processo Python, sem servidor, sem Docker, sem conta e sem rede, e ainda assim mantém os recursos de fusão. Nenhum outro candidato com fusão nativa oferece isso.</w:t>
      </w:r>
    </w:p>
    <w:p>
      <w:pPr>
        <w:pStyle w:val="ListBullet"/>
        <w:spacing w:after="80" w:line="276" w:lineRule="auto"/>
      </w:pPr>
      <w:r>
        <w:rPr>
          <w:color w:val="000000"/>
          <w:sz w:val="22"/>
        </w:rPr>
        <w:t>É Apache 2.0, sem recurso pago escondido e sem cota de uso. O mesmo código sobe para Docker ou nuvem depois, sem reescrita.</w:t>
      </w:r>
    </w:p>
    <w:p>
      <w:pPr>
        <w:spacing w:after="140"/>
      </w:pPr>
      <w:r>
        <w:rPr>
          <w:b/>
          <w:i w:val="0"/>
          <w:color w:val="000000"/>
          <w:sz w:val="22"/>
        </w:rPr>
        <w:t xml:space="preserve">Ressalva honesta: </w:t>
      </w:r>
      <w:r>
        <w:rPr>
          <w:b w:val="0"/>
          <w:i w:val="0"/>
          <w:color w:val="000000"/>
          <w:sz w:val="22"/>
        </w:rPr>
        <w:t>Weaviate e Milvus também fazem fusão nativa e são igualmente competentes. A vantagem do Qdrant não é ser tecnicamente superior a eles, e sim entregar a mesma capacidade sem exigir infraestrutura, o que pesa muito no contexto deste projeto.</w:t>
      </w:r>
    </w:p>
    <w:p>
      <w:pPr>
        <w:pStyle w:val="Heading1"/>
        <w:keepNext/>
        <w:spacing w:before="360" w:after="160"/>
      </w:pPr>
      <w:r>
        <w:rPr>
          <w:rFonts w:ascii="Calibri" w:hAnsi="Calibri"/>
          <w:b/>
          <w:color w:val="000000"/>
          <w:sz w:val="30"/>
        </w:rPr>
        <w:t>2. Critérios de avaliação</w:t>
      </w:r>
    </w:p>
    <w:p>
      <w:pPr>
        <w:spacing w:after="140"/>
      </w:pPr>
      <w:r>
        <w:rPr>
          <w:b w:val="0"/>
          <w:i w:val="0"/>
          <w:color w:val="000000"/>
          <w:sz w:val="22"/>
        </w:rPr>
        <w:t>Os critérios saem dos requisitos reais da nossa camada de recuperação, já implementada e versionada no repositório. Não são critérios genéricos de mercado.</w:t>
      </w:r>
    </w:p>
    <w:p>
      <w:pPr>
        <w:pStyle w:val="ListBullet"/>
        <w:spacing w:after="80" w:line="276" w:lineRule="auto"/>
      </w:pPr>
      <w:r>
        <w:rPr>
          <w:color w:val="000000"/>
          <w:sz w:val="22"/>
        </w:rPr>
        <w:t>Custo zero e sem cota. É trabalho acadêmico, sem orçamento e sem cartão corporativo.</w:t>
      </w:r>
    </w:p>
    <w:p>
      <w:pPr>
        <w:pStyle w:val="ListBullet"/>
        <w:spacing w:after="80" w:line="276" w:lineRule="auto"/>
      </w:pPr>
      <w:r>
        <w:rPr>
          <w:color w:val="000000"/>
          <w:sz w:val="22"/>
        </w:rPr>
        <w:t>Reprodutibilidade. O professor e qualquer integrante da equipe precisam conseguir rodar o projeto do zero, sem depender de conta de terceiro.</w:t>
      </w:r>
    </w:p>
    <w:p>
      <w:pPr>
        <w:pStyle w:val="ListBullet"/>
        <w:spacing w:after="80" w:line="276" w:lineRule="auto"/>
      </w:pPr>
      <w:r>
        <w:rPr>
          <w:color w:val="000000"/>
          <w:sz w:val="22"/>
        </w:rPr>
        <w:t>Funcionamento offline. A apresentação não pode depender da rede do laboratório.</w:t>
      </w:r>
    </w:p>
    <w:p>
      <w:pPr>
        <w:pStyle w:val="ListBullet"/>
        <w:spacing w:after="80" w:line="276" w:lineRule="auto"/>
      </w:pPr>
      <w:r>
        <w:rPr>
          <w:color w:val="000000"/>
          <w:sz w:val="22"/>
        </w:rPr>
        <w:t>Fusão nativa de resultados densos e lexicais. Nosso desenho exige combinar o Qwen3-Embedding-0.6B com BM25.</w:t>
      </w:r>
    </w:p>
    <w:p>
      <w:pPr>
        <w:pStyle w:val="ListBullet"/>
        <w:spacing w:after="80" w:line="276" w:lineRule="auto"/>
      </w:pPr>
      <w:r>
        <w:rPr>
          <w:color w:val="000000"/>
          <w:sz w:val="22"/>
        </w:rPr>
        <w:t>Similaridade de cosseno em 1024 dimensões, que é a saída do modelo de embedding escolhido.</w:t>
      </w:r>
    </w:p>
    <w:p>
      <w:pPr>
        <w:pStyle w:val="ListBullet"/>
        <w:spacing w:after="80" w:line="276" w:lineRule="auto"/>
      </w:pPr>
      <w:r>
        <w:rPr>
          <w:color w:val="000000"/>
          <w:sz w:val="22"/>
        </w:rPr>
        <w:t>Filtro por metadado, para restringir consultas por ano, município ou tipo de documento.</w:t>
      </w:r>
    </w:p>
    <w:p>
      <w:pPr>
        <w:pStyle w:val="ListBullet"/>
        <w:spacing w:after="80" w:line="276" w:lineRule="auto"/>
      </w:pPr>
      <w:r>
        <w:rPr>
          <w:color w:val="000000"/>
          <w:sz w:val="22"/>
        </w:rPr>
        <w:t>Caminho de crescimento, para que a decisão de hoje não vire retrabalho se o corpus crescer.</w:t>
      </w:r>
    </w:p>
    <w:p>
      <w:pPr>
        <w:pStyle w:val="Heading1"/>
        <w:keepNext/>
        <w:spacing w:before="360" w:after="160"/>
      </w:pPr>
      <w:r>
        <w:rPr>
          <w:rFonts w:ascii="Calibri" w:hAnsi="Calibri"/>
          <w:b/>
          <w:color w:val="000000"/>
          <w:sz w:val="30"/>
        </w:rPr>
        <w:t>3. Candidatos avaliados</w:t>
      </w:r>
    </w:p>
    <w:p>
      <w:pPr>
        <w:spacing w:after="140"/>
      </w:pPr>
      <w:r>
        <w:rPr>
          <w:b/>
          <w:i w:val="0"/>
          <w:color w:val="000000"/>
          <w:sz w:val="22"/>
        </w:rPr>
        <w:t>Qdrant.</w:t>
      </w:r>
      <w:r>
        <w:rPr>
          <w:b w:val="0"/>
          <w:i w:val="0"/>
          <w:color w:val="000000"/>
          <w:sz w:val="22"/>
        </w:rPr>
        <w:t xml:space="preserve"> Motor escrito em Rust, licença Apache 2.0. Vetores esparsos nativos e fusão embutida na Query API. Cliente Python com modo local persistindo em disco.</w:t>
      </w:r>
    </w:p>
    <w:p>
      <w:pPr>
        <w:spacing w:after="140"/>
      </w:pPr>
      <w:r>
        <w:rPr>
          <w:b/>
          <w:i w:val="0"/>
          <w:color w:val="000000"/>
          <w:sz w:val="22"/>
        </w:rPr>
        <w:t>Chroma.</w:t>
      </w:r>
      <w:r>
        <w:rPr>
          <w:b w:val="0"/>
          <w:i w:val="0"/>
          <w:color w:val="000000"/>
          <w:sz w:val="22"/>
        </w:rPr>
        <w:t xml:space="preserve"> Apache 2.0, embutido, a curva de aprendizado mais suave do grupo. Busca textual limitada a filtros.</w:t>
      </w:r>
    </w:p>
    <w:p>
      <w:pPr>
        <w:spacing w:after="140"/>
      </w:pPr>
      <w:r>
        <w:rPr>
          <w:b/>
          <w:i w:val="0"/>
          <w:color w:val="000000"/>
          <w:sz w:val="22"/>
        </w:rPr>
        <w:t>Pinecone.</w:t>
      </w:r>
      <w:r>
        <w:rPr>
          <w:b w:val="0"/>
          <w:i w:val="0"/>
          <w:color w:val="000000"/>
          <w:sz w:val="22"/>
        </w:rPr>
        <w:t xml:space="preserve"> Serviço gerenciado proprietário. Plano gratuito com até 2 GB de armazenamento, 5 índices, 2 milhões de unidades de escrita e 1 milhão de leitura por mês.</w:t>
      </w:r>
    </w:p>
    <w:p>
      <w:pPr>
        <w:spacing w:after="140"/>
      </w:pPr>
      <w:r>
        <w:rPr>
          <w:b/>
          <w:i w:val="0"/>
          <w:color w:val="000000"/>
          <w:sz w:val="22"/>
        </w:rPr>
        <w:t>Weaviate.</w:t>
      </w:r>
      <w:r>
        <w:rPr>
          <w:b w:val="0"/>
          <w:i w:val="0"/>
          <w:color w:val="000000"/>
          <w:sz w:val="22"/>
        </w:rPr>
        <w:t xml:space="preserve"> Licença BSD-3. Busca híbrida nativa com BM25F e dois algoritmos de fusão. Exige servidor via Docker ou Kubernetes.</w:t>
      </w:r>
    </w:p>
    <w:p>
      <w:pPr>
        <w:spacing w:after="140"/>
      </w:pPr>
      <w:r>
        <w:rPr>
          <w:b/>
          <w:i w:val="0"/>
          <w:color w:val="000000"/>
          <w:sz w:val="22"/>
        </w:rPr>
        <w:t>Milvus.</w:t>
      </w:r>
      <w:r>
        <w:rPr>
          <w:b w:val="0"/>
          <w:i w:val="0"/>
          <w:color w:val="000000"/>
          <w:sz w:val="22"/>
        </w:rPr>
        <w:t xml:space="preserve"> Apache 2.0. Busca híbrida com RRFRanker e WeightedRanker, além de BM25 nativo. Projetado para escala grande.</w:t>
      </w:r>
    </w:p>
    <w:p>
      <w:pPr>
        <w:spacing w:after="140"/>
      </w:pPr>
      <w:r>
        <w:rPr>
          <w:b/>
          <w:i w:val="0"/>
          <w:color w:val="000000"/>
          <w:sz w:val="22"/>
        </w:rPr>
        <w:t>pgvector.</w:t>
      </w:r>
      <w:r>
        <w:rPr>
          <w:b w:val="0"/>
          <w:i w:val="0"/>
          <w:color w:val="000000"/>
          <w:sz w:val="22"/>
        </w:rPr>
        <w:t xml:space="preserve"> Extensão do PostgreSQL. Possui tipo de vetor esparso, mas não faz ranqueamento BM25 nem fusão; ambos ficariam por nossa conta.</w:t>
      </w:r>
    </w:p>
    <w:p>
      <w:pPr>
        <w:spacing w:after="140"/>
      </w:pPr>
      <w:r>
        <w:rPr>
          <w:b/>
          <w:i w:val="0"/>
          <w:color w:val="000000"/>
          <w:sz w:val="22"/>
        </w:rPr>
        <w:t xml:space="preserve">FAISS foi descartado antes da comparação. </w:t>
      </w:r>
      <w:r>
        <w:rPr>
          <w:b w:val="0"/>
          <w:i w:val="0"/>
          <w:color w:val="000000"/>
          <w:sz w:val="22"/>
        </w:rPr>
        <w:t>É biblioteca de busca por similaridade, não banco de dados: não guarda metadados, não filtra por atributo e não oferece camada de persistência com atualização. Serviria como peça interna de um banco, não como o banco.</w:t>
      </w:r>
    </w:p>
    <w:p>
      <w:pPr>
        <w:pStyle w:val="Heading1"/>
        <w:keepNext/>
        <w:spacing w:before="360" w:after="160"/>
      </w:pPr>
      <w:r>
        <w:rPr>
          <w:rFonts w:ascii="Calibri" w:hAnsi="Calibri"/>
          <w:b/>
          <w:color w:val="000000"/>
          <w:sz w:val="30"/>
        </w:rPr>
        <w:t>4. Quadro comparativo</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304"/>
            <w:shd w:val="clear" w:color="auto" w:fill="D9D9D9"/>
          </w:tcPr>
          <w:p>
            <w:pPr>
              <w:spacing w:after="40" w:before="40" w:line="240" w:lineRule="auto"/>
            </w:pPr>
            <w:r>
              <w:rPr>
                <w:b/>
                <w:color w:val="000000"/>
                <w:sz w:val="17"/>
              </w:rPr>
              <w:t>Critério</w:t>
            </w:r>
          </w:p>
        </w:tc>
        <w:tc>
          <w:tcPr>
            <w:tcW w:type="dxa" w:w="1152"/>
            <w:shd w:val="clear" w:color="auto" w:fill="D9D9D9"/>
          </w:tcPr>
          <w:p>
            <w:pPr>
              <w:spacing w:after="40" w:before="40" w:line="240" w:lineRule="auto"/>
              <w:jc w:val="center"/>
            </w:pPr>
            <w:r>
              <w:rPr>
                <w:b/>
                <w:color w:val="000000"/>
                <w:sz w:val="17"/>
              </w:rPr>
              <w:t>Qdrant</w:t>
            </w:r>
          </w:p>
        </w:tc>
        <w:tc>
          <w:tcPr>
            <w:tcW w:type="dxa" w:w="1037"/>
            <w:shd w:val="clear" w:color="auto" w:fill="D9D9D9"/>
          </w:tcPr>
          <w:p>
            <w:pPr>
              <w:spacing w:after="40" w:before="40" w:line="240" w:lineRule="auto"/>
              <w:jc w:val="center"/>
            </w:pPr>
            <w:r>
              <w:rPr>
                <w:b/>
                <w:color w:val="000000"/>
                <w:sz w:val="17"/>
              </w:rPr>
              <w:t>Chroma</w:t>
            </w:r>
          </w:p>
        </w:tc>
        <w:tc>
          <w:tcPr>
            <w:tcW w:type="dxa" w:w="1152"/>
            <w:shd w:val="clear" w:color="auto" w:fill="D9D9D9"/>
          </w:tcPr>
          <w:p>
            <w:pPr>
              <w:spacing w:after="40" w:before="40" w:line="240" w:lineRule="auto"/>
              <w:jc w:val="center"/>
            </w:pPr>
            <w:r>
              <w:rPr>
                <w:b/>
                <w:color w:val="000000"/>
                <w:sz w:val="17"/>
              </w:rPr>
              <w:t>Pinecone</w:t>
            </w:r>
          </w:p>
        </w:tc>
        <w:tc>
          <w:tcPr>
            <w:tcW w:type="dxa" w:w="1224"/>
            <w:shd w:val="clear" w:color="auto" w:fill="D9D9D9"/>
          </w:tcPr>
          <w:p>
            <w:pPr>
              <w:spacing w:after="40" w:before="40" w:line="240" w:lineRule="auto"/>
              <w:jc w:val="center"/>
            </w:pPr>
            <w:r>
              <w:rPr>
                <w:b/>
                <w:color w:val="000000"/>
                <w:sz w:val="17"/>
              </w:rPr>
              <w:t>Weaviate</w:t>
            </w:r>
          </w:p>
        </w:tc>
        <w:tc>
          <w:tcPr>
            <w:tcW w:type="dxa" w:w="1296"/>
            <w:shd w:val="clear" w:color="auto" w:fill="D9D9D9"/>
          </w:tcPr>
          <w:p>
            <w:pPr>
              <w:spacing w:after="40" w:before="40" w:line="240" w:lineRule="auto"/>
              <w:jc w:val="center"/>
            </w:pPr>
            <w:r>
              <w:rPr>
                <w:b/>
                <w:color w:val="000000"/>
                <w:sz w:val="17"/>
              </w:rPr>
              <w:t>Milvus</w:t>
            </w:r>
          </w:p>
        </w:tc>
        <w:tc>
          <w:tcPr>
            <w:tcW w:type="dxa" w:w="1195"/>
            <w:shd w:val="clear" w:color="auto" w:fill="D9D9D9"/>
          </w:tcPr>
          <w:p>
            <w:pPr>
              <w:spacing w:after="40" w:before="40" w:line="240" w:lineRule="auto"/>
              <w:jc w:val="center"/>
            </w:pPr>
            <w:r>
              <w:rPr>
                <w:b/>
                <w:color w:val="000000"/>
                <w:sz w:val="17"/>
              </w:rPr>
              <w:t>pgvector</w:t>
            </w:r>
          </w:p>
        </w:tc>
      </w:tr>
      <w:tr>
        <w:tc>
          <w:tcPr>
            <w:tcW w:type="dxa" w:w="2304"/>
          </w:tcPr>
          <w:p>
            <w:pPr>
              <w:spacing w:after="40" w:before="40" w:line="240" w:lineRule="auto"/>
            </w:pPr>
            <w:r>
              <w:rPr>
                <w:b/>
                <w:color w:val="000000"/>
                <w:sz w:val="17"/>
              </w:rPr>
              <w:t>Licença</w:t>
            </w:r>
          </w:p>
        </w:tc>
        <w:tc>
          <w:tcPr>
            <w:tcW w:type="dxa" w:w="1152"/>
            <w:shd w:val="clear" w:color="auto" w:fill="EAEAEA"/>
          </w:tcPr>
          <w:p>
            <w:pPr>
              <w:spacing w:after="40" w:before="40" w:line="240" w:lineRule="auto"/>
              <w:jc w:val="center"/>
            </w:pPr>
            <w:r>
              <w:rPr>
                <w:b/>
                <w:color w:val="000000"/>
                <w:sz w:val="17"/>
              </w:rPr>
              <w:t>Apache 2.0</w:t>
            </w:r>
          </w:p>
        </w:tc>
        <w:tc>
          <w:tcPr>
            <w:tcW w:type="dxa" w:w="1037"/>
          </w:tcPr>
          <w:p>
            <w:pPr>
              <w:spacing w:after="40" w:before="40" w:line="240" w:lineRule="auto"/>
              <w:jc w:val="center"/>
            </w:pPr>
            <w:r>
              <w:rPr>
                <w:b w:val="0"/>
                <w:color w:val="000000"/>
                <w:sz w:val="17"/>
              </w:rPr>
              <w:t>Apache 2.0</w:t>
            </w:r>
          </w:p>
        </w:tc>
        <w:tc>
          <w:tcPr>
            <w:tcW w:type="dxa" w:w="1152"/>
          </w:tcPr>
          <w:p>
            <w:pPr>
              <w:spacing w:after="40" w:before="40" w:line="240" w:lineRule="auto"/>
              <w:jc w:val="center"/>
            </w:pPr>
            <w:r>
              <w:rPr>
                <w:b w:val="0"/>
                <w:color w:val="000000"/>
                <w:sz w:val="17"/>
              </w:rPr>
              <w:t>Proprietária</w:t>
            </w:r>
          </w:p>
        </w:tc>
        <w:tc>
          <w:tcPr>
            <w:tcW w:type="dxa" w:w="1224"/>
          </w:tcPr>
          <w:p>
            <w:pPr>
              <w:spacing w:after="40" w:before="40" w:line="240" w:lineRule="auto"/>
              <w:jc w:val="center"/>
            </w:pPr>
            <w:r>
              <w:rPr>
                <w:b w:val="0"/>
                <w:color w:val="000000"/>
                <w:sz w:val="17"/>
              </w:rPr>
              <w:t>BSD-3</w:t>
            </w:r>
          </w:p>
        </w:tc>
        <w:tc>
          <w:tcPr>
            <w:tcW w:type="dxa" w:w="1296"/>
          </w:tcPr>
          <w:p>
            <w:pPr>
              <w:spacing w:after="40" w:before="40" w:line="240" w:lineRule="auto"/>
              <w:jc w:val="center"/>
            </w:pPr>
            <w:r>
              <w:rPr>
                <w:b w:val="0"/>
                <w:color w:val="000000"/>
                <w:sz w:val="17"/>
              </w:rPr>
              <w:t>Apache 2.0</w:t>
            </w:r>
          </w:p>
        </w:tc>
        <w:tc>
          <w:tcPr>
            <w:tcW w:type="dxa" w:w="1195"/>
          </w:tcPr>
          <w:p>
            <w:pPr>
              <w:spacing w:after="40" w:before="40" w:line="240" w:lineRule="auto"/>
              <w:jc w:val="center"/>
            </w:pPr>
            <w:r>
              <w:rPr>
                <w:b w:val="0"/>
                <w:color w:val="000000"/>
                <w:sz w:val="17"/>
              </w:rPr>
              <w:t>PostgreSQL</w:t>
            </w:r>
          </w:p>
        </w:tc>
      </w:tr>
      <w:tr>
        <w:tc>
          <w:tcPr>
            <w:tcW w:type="dxa" w:w="2304"/>
            <w:shd w:val="clear" w:color="auto" w:fill="F5F5F5"/>
          </w:tcPr>
          <w:p>
            <w:pPr>
              <w:spacing w:after="40" w:before="40" w:line="240" w:lineRule="auto"/>
            </w:pPr>
            <w:r>
              <w:rPr>
                <w:b/>
                <w:color w:val="000000"/>
                <w:sz w:val="17"/>
              </w:rPr>
              <w:t>Self-host gratuito</w:t>
            </w:r>
          </w:p>
        </w:tc>
        <w:tc>
          <w:tcPr>
            <w:tcW w:type="dxa" w:w="1152"/>
            <w:shd w:val="clear" w:color="auto" w:fill="EAEAEA"/>
          </w:tcPr>
          <w:p>
            <w:pPr>
              <w:spacing w:after="40" w:before="40" w:line="240" w:lineRule="auto"/>
              <w:jc w:val="center"/>
            </w:pPr>
            <w:r>
              <w:rPr>
                <w:b/>
                <w:color w:val="000000"/>
                <w:sz w:val="17"/>
              </w:rPr>
              <w:t>sim</w:t>
            </w:r>
          </w:p>
        </w:tc>
        <w:tc>
          <w:tcPr>
            <w:tcW w:type="dxa" w:w="1037"/>
            <w:shd w:val="clear" w:color="auto" w:fill="F5F5F5"/>
          </w:tcPr>
          <w:p>
            <w:pPr>
              <w:spacing w:after="40" w:before="40" w:line="240" w:lineRule="auto"/>
              <w:jc w:val="center"/>
            </w:pPr>
            <w:r>
              <w:rPr>
                <w:b w:val="0"/>
                <w:color w:val="000000"/>
                <w:sz w:val="17"/>
              </w:rPr>
              <w:t>sim</w:t>
            </w:r>
          </w:p>
        </w:tc>
        <w:tc>
          <w:tcPr>
            <w:tcW w:type="dxa" w:w="1152"/>
            <w:shd w:val="clear" w:color="auto" w:fill="F5F5F5"/>
          </w:tcPr>
          <w:p>
            <w:pPr>
              <w:spacing w:after="40" w:before="40" w:line="240" w:lineRule="auto"/>
              <w:jc w:val="center"/>
            </w:pPr>
            <w:r>
              <w:rPr>
                <w:b w:val="0"/>
                <w:color w:val="000000"/>
                <w:sz w:val="17"/>
              </w:rPr>
              <w:t>não</w:t>
            </w:r>
          </w:p>
        </w:tc>
        <w:tc>
          <w:tcPr>
            <w:tcW w:type="dxa" w:w="1224"/>
            <w:shd w:val="clear" w:color="auto" w:fill="F5F5F5"/>
          </w:tcPr>
          <w:p>
            <w:pPr>
              <w:spacing w:after="40" w:before="40" w:line="240" w:lineRule="auto"/>
              <w:jc w:val="center"/>
            </w:pPr>
            <w:r>
              <w:rPr>
                <w:b w:val="0"/>
                <w:color w:val="000000"/>
                <w:sz w:val="17"/>
              </w:rPr>
              <w:t>sim</w:t>
            </w:r>
          </w:p>
        </w:tc>
        <w:tc>
          <w:tcPr>
            <w:tcW w:type="dxa" w:w="1296"/>
            <w:shd w:val="clear" w:color="auto" w:fill="F5F5F5"/>
          </w:tcPr>
          <w:p>
            <w:pPr>
              <w:spacing w:after="40" w:before="40" w:line="240" w:lineRule="auto"/>
              <w:jc w:val="center"/>
            </w:pPr>
            <w:r>
              <w:rPr>
                <w:b w:val="0"/>
                <w:color w:val="000000"/>
                <w:sz w:val="17"/>
              </w:rPr>
              <w:t>sim</w:t>
            </w:r>
          </w:p>
        </w:tc>
        <w:tc>
          <w:tcPr>
            <w:tcW w:type="dxa" w:w="1195"/>
            <w:shd w:val="clear" w:color="auto" w:fill="F5F5F5"/>
          </w:tcPr>
          <w:p>
            <w:pPr>
              <w:spacing w:after="40" w:before="40" w:line="240" w:lineRule="auto"/>
              <w:jc w:val="center"/>
            </w:pPr>
            <w:r>
              <w:rPr>
                <w:b w:val="0"/>
                <w:color w:val="000000"/>
                <w:sz w:val="17"/>
              </w:rPr>
              <w:t>sim</w:t>
            </w:r>
          </w:p>
        </w:tc>
      </w:tr>
      <w:tr>
        <w:tc>
          <w:tcPr>
            <w:tcW w:type="dxa" w:w="2304"/>
          </w:tcPr>
          <w:p>
            <w:pPr>
              <w:spacing w:after="40" w:before="40" w:line="240" w:lineRule="auto"/>
            </w:pPr>
            <w:r>
              <w:rPr>
                <w:b/>
                <w:color w:val="000000"/>
                <w:sz w:val="17"/>
              </w:rPr>
              <w:t>Modo embutido, sem servidor</w:t>
            </w:r>
          </w:p>
        </w:tc>
        <w:tc>
          <w:tcPr>
            <w:tcW w:type="dxa" w:w="1152"/>
            <w:shd w:val="clear" w:color="auto" w:fill="EAEAEA"/>
          </w:tcPr>
          <w:p>
            <w:pPr>
              <w:spacing w:after="40" w:before="40" w:line="240" w:lineRule="auto"/>
              <w:jc w:val="center"/>
            </w:pPr>
            <w:r>
              <w:rPr>
                <w:b/>
                <w:color w:val="000000"/>
                <w:sz w:val="17"/>
              </w:rPr>
              <w:t>sim</w:t>
            </w:r>
          </w:p>
        </w:tc>
        <w:tc>
          <w:tcPr>
            <w:tcW w:type="dxa" w:w="1037"/>
          </w:tcPr>
          <w:p>
            <w:pPr>
              <w:spacing w:after="40" w:before="40" w:line="240" w:lineRule="auto"/>
              <w:jc w:val="center"/>
            </w:pPr>
            <w:r>
              <w:rPr>
                <w:b w:val="0"/>
                <w:color w:val="000000"/>
                <w:sz w:val="17"/>
              </w:rPr>
              <w:t>sim</w:t>
            </w:r>
          </w:p>
        </w:tc>
        <w:tc>
          <w:tcPr>
            <w:tcW w:type="dxa" w:w="1152"/>
          </w:tcPr>
          <w:p>
            <w:pPr>
              <w:spacing w:after="40" w:before="40" w:line="240" w:lineRule="auto"/>
              <w:jc w:val="center"/>
            </w:pPr>
            <w:r>
              <w:rPr>
                <w:b w:val="0"/>
                <w:color w:val="000000"/>
                <w:sz w:val="17"/>
              </w:rPr>
              <w:t>não</w:t>
            </w:r>
          </w:p>
        </w:tc>
        <w:tc>
          <w:tcPr>
            <w:tcW w:type="dxa" w:w="1224"/>
          </w:tcPr>
          <w:p>
            <w:pPr>
              <w:spacing w:after="40" w:before="40" w:line="240" w:lineRule="auto"/>
              <w:jc w:val="center"/>
            </w:pPr>
            <w:r>
              <w:rPr>
                <w:b w:val="0"/>
                <w:color w:val="000000"/>
                <w:sz w:val="17"/>
              </w:rPr>
              <w:t>não</w:t>
            </w:r>
          </w:p>
        </w:tc>
        <w:tc>
          <w:tcPr>
            <w:tcW w:type="dxa" w:w="1296"/>
          </w:tcPr>
          <w:p>
            <w:pPr>
              <w:spacing w:after="40" w:before="40" w:line="240" w:lineRule="auto"/>
              <w:jc w:val="center"/>
            </w:pPr>
            <w:r>
              <w:rPr>
                <w:b w:val="0"/>
                <w:color w:val="000000"/>
                <w:sz w:val="17"/>
              </w:rPr>
              <w:t>parcial</w:t>
            </w:r>
          </w:p>
        </w:tc>
        <w:tc>
          <w:tcPr>
            <w:tcW w:type="dxa" w:w="1195"/>
          </w:tcPr>
          <w:p>
            <w:pPr>
              <w:spacing w:after="40" w:before="40" w:line="240" w:lineRule="auto"/>
              <w:jc w:val="center"/>
            </w:pPr>
            <w:r>
              <w:rPr>
                <w:b w:val="0"/>
                <w:color w:val="000000"/>
                <w:sz w:val="17"/>
              </w:rPr>
              <w:t>não</w:t>
            </w:r>
          </w:p>
        </w:tc>
      </w:tr>
      <w:tr>
        <w:tc>
          <w:tcPr>
            <w:tcW w:type="dxa" w:w="2304"/>
            <w:shd w:val="clear" w:color="auto" w:fill="F5F5F5"/>
          </w:tcPr>
          <w:p>
            <w:pPr>
              <w:spacing w:after="40" w:before="40" w:line="240" w:lineRule="auto"/>
            </w:pPr>
            <w:r>
              <w:rPr>
                <w:b/>
                <w:color w:val="000000"/>
                <w:sz w:val="17"/>
              </w:rPr>
              <w:t>Vetor esparso nativo</w:t>
            </w:r>
          </w:p>
        </w:tc>
        <w:tc>
          <w:tcPr>
            <w:tcW w:type="dxa" w:w="1152"/>
            <w:shd w:val="clear" w:color="auto" w:fill="EAEAEA"/>
          </w:tcPr>
          <w:p>
            <w:pPr>
              <w:spacing w:after="40" w:before="40" w:line="240" w:lineRule="auto"/>
              <w:jc w:val="center"/>
            </w:pPr>
            <w:r>
              <w:rPr>
                <w:b/>
                <w:color w:val="000000"/>
                <w:sz w:val="17"/>
              </w:rPr>
              <w:t>sim</w:t>
            </w:r>
          </w:p>
        </w:tc>
        <w:tc>
          <w:tcPr>
            <w:tcW w:type="dxa" w:w="1037"/>
            <w:shd w:val="clear" w:color="auto" w:fill="F5F5F5"/>
          </w:tcPr>
          <w:p>
            <w:pPr>
              <w:spacing w:after="40" w:before="40" w:line="240" w:lineRule="auto"/>
              <w:jc w:val="center"/>
            </w:pPr>
            <w:r>
              <w:rPr>
                <w:b w:val="0"/>
                <w:color w:val="000000"/>
                <w:sz w:val="17"/>
              </w:rPr>
              <w:t>não</w:t>
            </w:r>
          </w:p>
        </w:tc>
        <w:tc>
          <w:tcPr>
            <w:tcW w:type="dxa" w:w="1152"/>
            <w:shd w:val="clear" w:color="auto" w:fill="F5F5F5"/>
          </w:tcPr>
          <w:p>
            <w:pPr>
              <w:spacing w:after="40" w:before="40" w:line="240" w:lineRule="auto"/>
              <w:jc w:val="center"/>
            </w:pPr>
            <w:r>
              <w:rPr>
                <w:b w:val="0"/>
                <w:color w:val="000000"/>
                <w:sz w:val="17"/>
              </w:rPr>
              <w:t>sim</w:t>
            </w:r>
          </w:p>
        </w:tc>
        <w:tc>
          <w:tcPr>
            <w:tcW w:type="dxa" w:w="1224"/>
            <w:shd w:val="clear" w:color="auto" w:fill="F5F5F5"/>
          </w:tcPr>
          <w:p>
            <w:pPr>
              <w:spacing w:after="40" w:before="40" w:line="240" w:lineRule="auto"/>
              <w:jc w:val="center"/>
            </w:pPr>
            <w:r>
              <w:rPr>
                <w:b w:val="0"/>
                <w:color w:val="000000"/>
                <w:sz w:val="17"/>
              </w:rPr>
              <w:t>sim</w:t>
            </w:r>
          </w:p>
        </w:tc>
        <w:tc>
          <w:tcPr>
            <w:tcW w:type="dxa" w:w="1296"/>
            <w:shd w:val="clear" w:color="auto" w:fill="F5F5F5"/>
          </w:tcPr>
          <w:p>
            <w:pPr>
              <w:spacing w:after="40" w:before="40" w:line="240" w:lineRule="auto"/>
              <w:jc w:val="center"/>
            </w:pPr>
            <w:r>
              <w:rPr>
                <w:b w:val="0"/>
                <w:color w:val="000000"/>
                <w:sz w:val="17"/>
              </w:rPr>
              <w:t>sim</w:t>
            </w:r>
          </w:p>
        </w:tc>
        <w:tc>
          <w:tcPr>
            <w:tcW w:type="dxa" w:w="1195"/>
            <w:shd w:val="clear" w:color="auto" w:fill="F5F5F5"/>
          </w:tcPr>
          <w:p>
            <w:pPr>
              <w:spacing w:after="40" w:before="40" w:line="240" w:lineRule="auto"/>
              <w:jc w:val="center"/>
            </w:pPr>
            <w:r>
              <w:rPr>
                <w:b w:val="0"/>
                <w:color w:val="000000"/>
                <w:sz w:val="17"/>
              </w:rPr>
              <w:t>tipo, sem rank</w:t>
            </w:r>
          </w:p>
        </w:tc>
      </w:tr>
      <w:tr>
        <w:tc>
          <w:tcPr>
            <w:tcW w:type="dxa" w:w="2304"/>
          </w:tcPr>
          <w:p>
            <w:pPr>
              <w:spacing w:after="40" w:before="40" w:line="240" w:lineRule="auto"/>
            </w:pPr>
            <w:r>
              <w:rPr>
                <w:b/>
                <w:color w:val="000000"/>
                <w:sz w:val="17"/>
              </w:rPr>
              <w:t>Fusão nativa densa + lexical</w:t>
            </w:r>
          </w:p>
        </w:tc>
        <w:tc>
          <w:tcPr>
            <w:tcW w:type="dxa" w:w="1152"/>
            <w:shd w:val="clear" w:color="auto" w:fill="EAEAEA"/>
          </w:tcPr>
          <w:p>
            <w:pPr>
              <w:spacing w:after="40" w:before="40" w:line="240" w:lineRule="auto"/>
              <w:jc w:val="center"/>
            </w:pPr>
            <w:r>
              <w:rPr>
                <w:b/>
                <w:color w:val="000000"/>
                <w:sz w:val="17"/>
              </w:rPr>
              <w:t>RRF e DBSF</w:t>
            </w:r>
          </w:p>
        </w:tc>
        <w:tc>
          <w:tcPr>
            <w:tcW w:type="dxa" w:w="1037"/>
          </w:tcPr>
          <w:p>
            <w:pPr>
              <w:spacing w:after="40" w:before="40" w:line="240" w:lineRule="auto"/>
              <w:jc w:val="center"/>
            </w:pPr>
            <w:r>
              <w:rPr>
                <w:b w:val="0"/>
                <w:color w:val="000000"/>
                <w:sz w:val="17"/>
              </w:rPr>
              <w:t>não</w:t>
            </w:r>
          </w:p>
        </w:tc>
        <w:tc>
          <w:tcPr>
            <w:tcW w:type="dxa" w:w="1152"/>
          </w:tcPr>
          <w:p>
            <w:pPr>
              <w:spacing w:after="40" w:before="40" w:line="240" w:lineRule="auto"/>
              <w:jc w:val="center"/>
            </w:pPr>
            <w:r>
              <w:rPr>
                <w:b w:val="0"/>
                <w:color w:val="000000"/>
                <w:sz w:val="17"/>
              </w:rPr>
              <w:t>não aval.</w:t>
            </w:r>
          </w:p>
        </w:tc>
        <w:tc>
          <w:tcPr>
            <w:tcW w:type="dxa" w:w="1224"/>
          </w:tcPr>
          <w:p>
            <w:pPr>
              <w:spacing w:after="40" w:before="40" w:line="240" w:lineRule="auto"/>
              <w:jc w:val="center"/>
            </w:pPr>
            <w:r>
              <w:rPr>
                <w:b w:val="0"/>
                <w:color w:val="000000"/>
                <w:sz w:val="17"/>
              </w:rPr>
              <w:t>RSF e Ranked</w:t>
            </w:r>
          </w:p>
        </w:tc>
        <w:tc>
          <w:tcPr>
            <w:tcW w:type="dxa" w:w="1296"/>
          </w:tcPr>
          <w:p>
            <w:pPr>
              <w:spacing w:after="40" w:before="40" w:line="240" w:lineRule="auto"/>
              <w:jc w:val="center"/>
            </w:pPr>
            <w:r>
              <w:rPr>
                <w:b w:val="0"/>
                <w:color w:val="000000"/>
                <w:sz w:val="17"/>
              </w:rPr>
              <w:t>RRF e Weighted</w:t>
            </w:r>
          </w:p>
        </w:tc>
        <w:tc>
          <w:tcPr>
            <w:tcW w:type="dxa" w:w="1195"/>
          </w:tcPr>
          <w:p>
            <w:pPr>
              <w:spacing w:after="40" w:before="40" w:line="240" w:lineRule="auto"/>
              <w:jc w:val="center"/>
            </w:pPr>
            <w:r>
              <w:rPr>
                <w:b w:val="0"/>
                <w:color w:val="000000"/>
                <w:sz w:val="17"/>
              </w:rPr>
              <w:t>não</w:t>
            </w:r>
          </w:p>
        </w:tc>
      </w:tr>
      <w:tr>
        <w:tc>
          <w:tcPr>
            <w:tcW w:type="dxa" w:w="2304"/>
            <w:shd w:val="clear" w:color="auto" w:fill="F5F5F5"/>
          </w:tcPr>
          <w:p>
            <w:pPr>
              <w:spacing w:after="40" w:before="40" w:line="240" w:lineRule="auto"/>
            </w:pPr>
            <w:r>
              <w:rPr>
                <w:b/>
                <w:color w:val="000000"/>
                <w:sz w:val="17"/>
              </w:rPr>
              <w:t>IDF calculado no banco</w:t>
            </w:r>
          </w:p>
        </w:tc>
        <w:tc>
          <w:tcPr>
            <w:tcW w:type="dxa" w:w="1152"/>
            <w:shd w:val="clear" w:color="auto" w:fill="EAEAEA"/>
          </w:tcPr>
          <w:p>
            <w:pPr>
              <w:spacing w:after="40" w:before="40" w:line="240" w:lineRule="auto"/>
              <w:jc w:val="center"/>
            </w:pPr>
            <w:r>
              <w:rPr>
                <w:b/>
                <w:color w:val="000000"/>
                <w:sz w:val="17"/>
              </w:rPr>
              <w:t>sim</w:t>
            </w:r>
          </w:p>
        </w:tc>
        <w:tc>
          <w:tcPr>
            <w:tcW w:type="dxa" w:w="1037"/>
            <w:shd w:val="clear" w:color="auto" w:fill="F5F5F5"/>
          </w:tcPr>
          <w:p>
            <w:pPr>
              <w:spacing w:after="40" w:before="40" w:line="240" w:lineRule="auto"/>
              <w:jc w:val="center"/>
            </w:pPr>
            <w:r>
              <w:rPr>
                <w:b w:val="0"/>
                <w:color w:val="000000"/>
                <w:sz w:val="17"/>
              </w:rPr>
              <w:t>não</w:t>
            </w:r>
          </w:p>
        </w:tc>
        <w:tc>
          <w:tcPr>
            <w:tcW w:type="dxa" w:w="1152"/>
            <w:shd w:val="clear" w:color="auto" w:fill="F5F5F5"/>
          </w:tcPr>
          <w:p>
            <w:pPr>
              <w:spacing w:after="40" w:before="40" w:line="240" w:lineRule="auto"/>
              <w:jc w:val="center"/>
            </w:pPr>
            <w:r>
              <w:rPr>
                <w:b w:val="0"/>
                <w:color w:val="000000"/>
                <w:sz w:val="17"/>
              </w:rPr>
              <w:t>não aval.</w:t>
            </w:r>
          </w:p>
        </w:tc>
        <w:tc>
          <w:tcPr>
            <w:tcW w:type="dxa" w:w="1224"/>
            <w:shd w:val="clear" w:color="auto" w:fill="F5F5F5"/>
          </w:tcPr>
          <w:p>
            <w:pPr>
              <w:spacing w:after="40" w:before="40" w:line="240" w:lineRule="auto"/>
              <w:jc w:val="center"/>
            </w:pPr>
            <w:r>
              <w:rPr>
                <w:b w:val="0"/>
                <w:color w:val="000000"/>
                <w:sz w:val="17"/>
              </w:rPr>
              <w:t>sim (BM25F)</w:t>
            </w:r>
          </w:p>
        </w:tc>
        <w:tc>
          <w:tcPr>
            <w:tcW w:type="dxa" w:w="1296"/>
            <w:shd w:val="clear" w:color="auto" w:fill="F5F5F5"/>
          </w:tcPr>
          <w:p>
            <w:pPr>
              <w:spacing w:after="40" w:before="40" w:line="240" w:lineRule="auto"/>
              <w:jc w:val="center"/>
            </w:pPr>
            <w:r>
              <w:rPr>
                <w:b w:val="0"/>
                <w:color w:val="000000"/>
                <w:sz w:val="17"/>
              </w:rPr>
              <w:t>sim (BM25)</w:t>
            </w:r>
          </w:p>
        </w:tc>
        <w:tc>
          <w:tcPr>
            <w:tcW w:type="dxa" w:w="1195"/>
            <w:shd w:val="clear" w:color="auto" w:fill="F5F5F5"/>
          </w:tcPr>
          <w:p>
            <w:pPr>
              <w:spacing w:after="40" w:before="40" w:line="240" w:lineRule="auto"/>
              <w:jc w:val="center"/>
            </w:pPr>
            <w:r>
              <w:rPr>
                <w:b w:val="0"/>
                <w:color w:val="000000"/>
                <w:sz w:val="17"/>
              </w:rPr>
              <w:t>não</w:t>
            </w:r>
          </w:p>
        </w:tc>
      </w:tr>
      <w:tr>
        <w:tc>
          <w:tcPr>
            <w:tcW w:type="dxa" w:w="2304"/>
          </w:tcPr>
          <w:p>
            <w:pPr>
              <w:spacing w:after="40" w:before="40" w:line="240" w:lineRule="auto"/>
            </w:pPr>
            <w:r>
              <w:rPr>
                <w:b/>
                <w:color w:val="000000"/>
                <w:sz w:val="17"/>
              </w:rPr>
              <w:t>Filtro por metadado</w:t>
            </w:r>
          </w:p>
        </w:tc>
        <w:tc>
          <w:tcPr>
            <w:tcW w:type="dxa" w:w="1152"/>
            <w:shd w:val="clear" w:color="auto" w:fill="EAEAEA"/>
          </w:tcPr>
          <w:p>
            <w:pPr>
              <w:spacing w:after="40" w:before="40" w:line="240" w:lineRule="auto"/>
              <w:jc w:val="center"/>
            </w:pPr>
            <w:r>
              <w:rPr>
                <w:b/>
                <w:color w:val="000000"/>
                <w:sz w:val="17"/>
              </w:rPr>
              <w:t>forte</w:t>
            </w:r>
          </w:p>
        </w:tc>
        <w:tc>
          <w:tcPr>
            <w:tcW w:type="dxa" w:w="1037"/>
          </w:tcPr>
          <w:p>
            <w:pPr>
              <w:spacing w:after="40" w:before="40" w:line="240" w:lineRule="auto"/>
              <w:jc w:val="center"/>
            </w:pPr>
            <w:r>
              <w:rPr>
                <w:b w:val="0"/>
                <w:color w:val="000000"/>
                <w:sz w:val="17"/>
              </w:rPr>
              <w:t>básico</w:t>
            </w:r>
          </w:p>
        </w:tc>
        <w:tc>
          <w:tcPr>
            <w:tcW w:type="dxa" w:w="1152"/>
          </w:tcPr>
          <w:p>
            <w:pPr>
              <w:spacing w:after="40" w:before="40" w:line="240" w:lineRule="auto"/>
              <w:jc w:val="center"/>
            </w:pPr>
            <w:r>
              <w:rPr>
                <w:b w:val="0"/>
                <w:color w:val="000000"/>
                <w:sz w:val="17"/>
              </w:rPr>
              <w:t>bom</w:t>
            </w:r>
          </w:p>
        </w:tc>
        <w:tc>
          <w:tcPr>
            <w:tcW w:type="dxa" w:w="1224"/>
          </w:tcPr>
          <w:p>
            <w:pPr>
              <w:spacing w:after="40" w:before="40" w:line="240" w:lineRule="auto"/>
              <w:jc w:val="center"/>
            </w:pPr>
            <w:r>
              <w:rPr>
                <w:b w:val="0"/>
                <w:color w:val="000000"/>
                <w:sz w:val="17"/>
              </w:rPr>
              <w:t>forte</w:t>
            </w:r>
          </w:p>
        </w:tc>
        <w:tc>
          <w:tcPr>
            <w:tcW w:type="dxa" w:w="1296"/>
          </w:tcPr>
          <w:p>
            <w:pPr>
              <w:spacing w:after="40" w:before="40" w:line="240" w:lineRule="auto"/>
              <w:jc w:val="center"/>
            </w:pPr>
            <w:r>
              <w:rPr>
                <w:b w:val="0"/>
                <w:color w:val="000000"/>
                <w:sz w:val="17"/>
              </w:rPr>
              <w:t>forte</w:t>
            </w:r>
          </w:p>
        </w:tc>
        <w:tc>
          <w:tcPr>
            <w:tcW w:type="dxa" w:w="1195"/>
          </w:tcPr>
          <w:p>
            <w:pPr>
              <w:spacing w:after="40" w:before="40" w:line="240" w:lineRule="auto"/>
              <w:jc w:val="center"/>
            </w:pPr>
            <w:r>
              <w:rPr>
                <w:b w:val="0"/>
                <w:color w:val="000000"/>
                <w:sz w:val="17"/>
              </w:rPr>
              <w:t>SQL</w:t>
            </w:r>
          </w:p>
        </w:tc>
      </w:tr>
      <w:tr>
        <w:tc>
          <w:tcPr>
            <w:tcW w:type="dxa" w:w="2304"/>
            <w:shd w:val="clear" w:color="auto" w:fill="F5F5F5"/>
          </w:tcPr>
          <w:p>
            <w:pPr>
              <w:spacing w:after="40" w:before="40" w:line="240" w:lineRule="auto"/>
            </w:pPr>
            <w:r>
              <w:rPr>
                <w:b/>
                <w:color w:val="000000"/>
                <w:sz w:val="17"/>
              </w:rPr>
              <w:t>Infraestrutura para dev</w:t>
            </w:r>
          </w:p>
        </w:tc>
        <w:tc>
          <w:tcPr>
            <w:tcW w:type="dxa" w:w="1152"/>
            <w:shd w:val="clear" w:color="auto" w:fill="EAEAEA"/>
          </w:tcPr>
          <w:p>
            <w:pPr>
              <w:spacing w:after="40" w:before="40" w:line="240" w:lineRule="auto"/>
              <w:jc w:val="center"/>
            </w:pPr>
            <w:r>
              <w:rPr>
                <w:b/>
                <w:color w:val="000000"/>
                <w:sz w:val="17"/>
              </w:rPr>
              <w:t>nenhuma</w:t>
            </w:r>
          </w:p>
        </w:tc>
        <w:tc>
          <w:tcPr>
            <w:tcW w:type="dxa" w:w="1037"/>
            <w:shd w:val="clear" w:color="auto" w:fill="F5F5F5"/>
          </w:tcPr>
          <w:p>
            <w:pPr>
              <w:spacing w:after="40" w:before="40" w:line="240" w:lineRule="auto"/>
              <w:jc w:val="center"/>
            </w:pPr>
            <w:r>
              <w:rPr>
                <w:b w:val="0"/>
                <w:color w:val="000000"/>
                <w:sz w:val="17"/>
              </w:rPr>
              <w:t>nenhuma</w:t>
            </w:r>
          </w:p>
        </w:tc>
        <w:tc>
          <w:tcPr>
            <w:tcW w:type="dxa" w:w="1152"/>
            <w:shd w:val="clear" w:color="auto" w:fill="F5F5F5"/>
          </w:tcPr>
          <w:p>
            <w:pPr>
              <w:spacing w:after="40" w:before="40" w:line="240" w:lineRule="auto"/>
              <w:jc w:val="center"/>
            </w:pPr>
            <w:r>
              <w:rPr>
                <w:b w:val="0"/>
                <w:color w:val="000000"/>
                <w:sz w:val="17"/>
              </w:rPr>
              <w:t>conta + rede</w:t>
            </w:r>
          </w:p>
        </w:tc>
        <w:tc>
          <w:tcPr>
            <w:tcW w:type="dxa" w:w="1224"/>
            <w:shd w:val="clear" w:color="auto" w:fill="F5F5F5"/>
          </w:tcPr>
          <w:p>
            <w:pPr>
              <w:spacing w:after="40" w:before="40" w:line="240" w:lineRule="auto"/>
              <w:jc w:val="center"/>
            </w:pPr>
            <w:r>
              <w:rPr>
                <w:b w:val="0"/>
                <w:color w:val="000000"/>
                <w:sz w:val="17"/>
              </w:rPr>
              <w:t>Docker</w:t>
            </w:r>
          </w:p>
        </w:tc>
        <w:tc>
          <w:tcPr>
            <w:tcW w:type="dxa" w:w="1296"/>
            <w:shd w:val="clear" w:color="auto" w:fill="F5F5F5"/>
          </w:tcPr>
          <w:p>
            <w:pPr>
              <w:spacing w:after="40" w:before="40" w:line="240" w:lineRule="auto"/>
              <w:jc w:val="center"/>
            </w:pPr>
            <w:r>
              <w:rPr>
                <w:b w:val="0"/>
                <w:color w:val="000000"/>
                <w:sz w:val="17"/>
              </w:rPr>
              <w:t>Docker</w:t>
            </w:r>
          </w:p>
        </w:tc>
        <w:tc>
          <w:tcPr>
            <w:tcW w:type="dxa" w:w="1195"/>
            <w:shd w:val="clear" w:color="auto" w:fill="F5F5F5"/>
          </w:tcPr>
          <w:p>
            <w:pPr>
              <w:spacing w:after="40" w:before="40" w:line="240" w:lineRule="auto"/>
              <w:jc w:val="center"/>
            </w:pPr>
            <w:r>
              <w:rPr>
                <w:b w:val="0"/>
                <w:color w:val="000000"/>
                <w:sz w:val="17"/>
              </w:rPr>
              <w:t>Postgres</w:t>
            </w:r>
          </w:p>
        </w:tc>
      </w:tr>
    </w:tbl>
    <w:p>
      <w:pPr>
        <w:spacing w:after="200"/>
      </w:pPr>
      <w:r>
        <w:rPr>
          <w:b w:val="0"/>
          <w:i/>
          <w:color w:val="000000"/>
          <w:sz w:val="17"/>
        </w:rPr>
        <w:t>Legenda: "não aval." indica critério não aprofundado porque o candidato já havia sido eliminado por outro critério eliminatório. "parcial" indica que existe modo embutido (Milvus Lite), mas não verificamos paridade de recursos com a versão completa.</w:t>
      </w:r>
    </w:p>
    <w:p>
      <w:r>
        <w:br w:type="page"/>
      </w:r>
    </w:p>
    <w:p>
      <w:pPr>
        <w:pStyle w:val="Heading1"/>
        <w:keepNext/>
        <w:spacing w:before="360" w:after="160"/>
      </w:pPr>
      <w:r>
        <w:rPr>
          <w:rFonts w:ascii="Calibri" w:hAnsi="Calibri"/>
          <w:b/>
          <w:color w:val="000000"/>
          <w:sz w:val="30"/>
        </w:rPr>
        <w:t>5. Verificação prática</w:t>
      </w:r>
    </w:p>
    <w:p>
      <w:pPr>
        <w:spacing w:after="140"/>
      </w:pPr>
      <w:r>
        <w:rPr>
          <w:b w:val="0"/>
          <w:i w:val="0"/>
          <w:color w:val="000000"/>
          <w:sz w:val="22"/>
        </w:rPr>
        <w:t>As afirmações sobre o Qdrant não vieram apenas da documentação. Foram executadas com qdrant-client 1.19.0 em modo local, sem servidor e sem contêiner, usando o tokenizador em português do nosso próprio módulo.</w:t>
      </w:r>
    </w:p>
    <w:p>
      <w:pPr>
        <w:pStyle w:val="Heading2"/>
        <w:keepNext/>
        <w:spacing w:before="260" w:after="120"/>
      </w:pPr>
      <w:r>
        <w:rPr>
          <w:rFonts w:ascii="Calibri" w:hAnsi="Calibri"/>
          <w:b/>
          <w:color w:val="000000"/>
          <w:sz w:val="25"/>
        </w:rPr>
        <w:t>5.1 Roteiro executado</w:t>
      </w:r>
    </w:p>
    <w:p>
      <w:pPr>
        <w:spacing w:after="140"/>
      </w:pPr>
      <w:r>
        <w:rPr>
          <w:b w:val="0"/>
          <w:i w:val="0"/>
          <w:color w:val="000000"/>
          <w:sz w:val="22"/>
        </w:rPr>
        <w:t>Sete verificações, todas aprovadas:</w:t>
      </w:r>
    </w:p>
    <w:p>
      <w:pPr>
        <w:pStyle w:val="ListBullet"/>
        <w:spacing w:after="80" w:line="276" w:lineRule="auto"/>
      </w:pPr>
      <w:r>
        <w:rPr>
          <w:color w:val="000000"/>
          <w:sz w:val="22"/>
        </w:rPr>
        <w:t>Abertura do cliente em modo local apontando para um diretório, sem processo servidor.</w:t>
      </w:r>
    </w:p>
    <w:p>
      <w:pPr>
        <w:pStyle w:val="ListBullet"/>
        <w:spacing w:after="80" w:line="276" w:lineRule="auto"/>
      </w:pPr>
      <w:r>
        <w:rPr>
          <w:color w:val="000000"/>
          <w:sz w:val="22"/>
        </w:rPr>
        <w:t>Criação de coleção com vetor denso nomeado e vetor esparso na mesma coleção.</w:t>
      </w:r>
    </w:p>
    <w:p>
      <w:pPr>
        <w:pStyle w:val="ListBullet"/>
        <w:spacing w:after="80" w:line="276" w:lineRule="auto"/>
      </w:pPr>
      <w:r>
        <w:rPr>
          <w:color w:val="000000"/>
          <w:sz w:val="22"/>
        </w:rPr>
        <w:t>Inserção de pontos carregando os dois vetores e os metadados no mesmo registro.</w:t>
      </w:r>
    </w:p>
    <w:p>
      <w:pPr>
        <w:pStyle w:val="ListBullet"/>
        <w:spacing w:after="80" w:line="276" w:lineRule="auto"/>
      </w:pPr>
      <w:r>
        <w:rPr>
          <w:color w:val="000000"/>
          <w:sz w:val="22"/>
        </w:rPr>
        <w:t>Consulta com prefetch duplo e fusão por Reciprocal Rank Fusion nativa.</w:t>
      </w:r>
    </w:p>
    <w:p>
      <w:pPr>
        <w:pStyle w:val="ListBullet"/>
        <w:spacing w:after="80" w:line="276" w:lineRule="auto"/>
      </w:pPr>
      <w:r>
        <w:rPr>
          <w:color w:val="000000"/>
          <w:sz w:val="22"/>
        </w:rPr>
        <w:t>Conferência do resultado: o documento com a âncora exata retornou em primeiro lugar.</w:t>
      </w:r>
    </w:p>
    <w:p>
      <w:pPr>
        <w:pStyle w:val="ListBullet"/>
        <w:spacing w:after="80" w:line="276" w:lineRule="auto"/>
      </w:pPr>
      <w:r>
        <w:rPr>
          <w:color w:val="000000"/>
          <w:sz w:val="22"/>
        </w:rPr>
        <w:t>Filtro por metadado aplicado junto com a fusão, na mesma chamada.</w:t>
      </w:r>
    </w:p>
    <w:p>
      <w:pPr>
        <w:pStyle w:val="ListBullet"/>
        <w:spacing w:after="80" w:line="276" w:lineRule="auto"/>
      </w:pPr>
      <w:r>
        <w:rPr>
          <w:color w:val="000000"/>
          <w:sz w:val="22"/>
        </w:rPr>
        <w:t>Persistência: cliente fechado, diretório reaberto, pontos recuperados.</w:t>
      </w:r>
    </w:p>
    <w:p>
      <w:pPr>
        <w:pStyle w:val="Heading2"/>
        <w:keepNext/>
        <w:spacing w:before="260" w:after="120"/>
      </w:pPr>
      <w:r>
        <w:rPr>
          <w:rFonts w:ascii="Calibri" w:hAnsi="Calibri"/>
          <w:b/>
          <w:color w:val="000000"/>
          <w:sz w:val="25"/>
        </w:rPr>
        <w:t>5.2 Forma da chamada de fusão</w:t>
      </w:r>
    </w:p>
    <w:p>
      <w:pPr>
        <w:shd w:val="clear" w:color="auto" w:fill="F2F2F2"/>
        <w:spacing w:after="0" w:before="160" w:line="240" w:lineRule="auto"/>
        <w:ind w:left="259"/>
      </w:pPr>
      <w:r>
        <w:rPr>
          <w:rFonts w:ascii="Consolas" w:hAnsi="Consolas"/>
          <w:color w:val="000000"/>
          <w:sz w:val="18"/>
        </w:rPr>
        <w:t>resultado = client.query_points(</w:t>
      </w:r>
    </w:p>
    <w:p>
      <w:pPr>
        <w:shd w:val="clear" w:color="auto" w:fill="F2F2F2"/>
        <w:spacing w:after="0" w:before="0" w:line="240" w:lineRule="auto"/>
        <w:ind w:left="259"/>
      </w:pPr>
      <w:r>
        <w:rPr>
          <w:rFonts w:ascii="Consolas" w:hAnsi="Consolas"/>
          <w:color w:val="000000"/>
          <w:sz w:val="18"/>
        </w:rPr>
        <w:t xml:space="preserve">    collection_name="vaar",</w:t>
      </w:r>
    </w:p>
    <w:p>
      <w:pPr>
        <w:shd w:val="clear" w:color="auto" w:fill="F2F2F2"/>
        <w:spacing w:after="0" w:before="0" w:line="240" w:lineRule="auto"/>
        <w:ind w:left="259"/>
      </w:pPr>
      <w:r>
        <w:rPr>
          <w:rFonts w:ascii="Consolas" w:hAnsi="Consolas"/>
          <w:color w:val="000000"/>
          <w:sz w:val="18"/>
        </w:rPr>
        <w:t xml:space="preserve">    prefetch=[</w:t>
      </w:r>
    </w:p>
    <w:p>
      <w:pPr>
        <w:shd w:val="clear" w:color="auto" w:fill="F2F2F2"/>
        <w:spacing w:after="0" w:before="0" w:line="240" w:lineRule="auto"/>
        <w:ind w:left="259"/>
      </w:pPr>
      <w:r>
        <w:rPr>
          <w:rFonts w:ascii="Consolas" w:hAnsi="Consolas"/>
          <w:color w:val="000000"/>
          <w:sz w:val="18"/>
        </w:rPr>
        <w:t xml:space="preserve">        models.Prefetch(query=vetor_denso,   using="denso",   limit=50),</w:t>
      </w:r>
    </w:p>
    <w:p>
      <w:pPr>
        <w:shd w:val="clear" w:color="auto" w:fill="F2F2F2"/>
        <w:spacing w:after="0" w:before="0" w:line="240" w:lineRule="auto"/>
        <w:ind w:left="259"/>
      </w:pPr>
      <w:r>
        <w:rPr>
          <w:rFonts w:ascii="Consolas" w:hAnsi="Consolas"/>
          <w:color w:val="000000"/>
          <w:sz w:val="18"/>
        </w:rPr>
        <w:t xml:space="preserve">        models.Prefetch(query=vetor_esparso, using="esparso", limit=50),</w:t>
      </w:r>
    </w:p>
    <w:p>
      <w:pPr>
        <w:shd w:val="clear" w:color="auto" w:fill="F2F2F2"/>
        <w:spacing w:after="0" w:before="0" w:line="240" w:lineRule="auto"/>
        <w:ind w:left="259"/>
      </w:pPr>
      <w:r>
        <w:rPr>
          <w:rFonts w:ascii="Consolas" w:hAnsi="Consolas"/>
          <w:color w:val="000000"/>
          <w:sz w:val="18"/>
        </w:rPr>
        <w:t xml:space="preserve">    ],</w:t>
      </w:r>
    </w:p>
    <w:p>
      <w:pPr>
        <w:shd w:val="clear" w:color="auto" w:fill="F2F2F2"/>
        <w:spacing w:after="0" w:before="0" w:line="240" w:lineRule="auto"/>
        <w:ind w:left="259"/>
      </w:pPr>
      <w:r>
        <w:rPr>
          <w:rFonts w:ascii="Consolas" w:hAnsi="Consolas"/>
          <w:color w:val="000000"/>
          <w:sz w:val="18"/>
        </w:rPr>
        <w:t xml:space="preserve">    query=models.FusionQuery(fusion=models.Fusion.RRF),</w:t>
      </w:r>
    </w:p>
    <w:p>
      <w:pPr>
        <w:shd w:val="clear" w:color="auto" w:fill="F2F2F2"/>
        <w:spacing w:after="0" w:before="0" w:line="240" w:lineRule="auto"/>
        <w:ind w:left="259"/>
      </w:pPr>
      <w:r>
        <w:rPr>
          <w:rFonts w:ascii="Consolas" w:hAnsi="Consolas"/>
          <w:color w:val="000000"/>
          <w:sz w:val="18"/>
        </w:rPr>
        <w:t xml:space="preserve">    limit=5,</w:t>
      </w:r>
    </w:p>
    <w:p>
      <w:pPr>
        <w:shd w:val="clear" w:color="auto" w:fill="F2F2F2"/>
        <w:spacing w:after="160" w:before="0" w:line="240" w:lineRule="auto"/>
        <w:ind w:left="259"/>
      </w:pPr>
      <w:r>
        <w:rPr>
          <w:rFonts w:ascii="Consolas" w:hAnsi="Consolas"/>
          <w:color w:val="000000"/>
          <w:sz w:val="18"/>
        </w:rPr>
        <w:t>)</w:t>
      </w:r>
    </w:p>
    <w:p>
      <w:pPr>
        <w:pStyle w:val="Heading2"/>
        <w:keepNext/>
        <w:spacing w:before="260" w:after="120"/>
      </w:pPr>
      <w:r>
        <w:rPr>
          <w:rFonts w:ascii="Calibri" w:hAnsi="Calibri"/>
          <w:b/>
          <w:color w:val="000000"/>
          <w:sz w:val="25"/>
        </w:rPr>
        <w:t>5.3 Achado relevante sobre o IDF</w:t>
      </w:r>
    </w:p>
    <w:p>
      <w:pPr>
        <w:spacing w:after="140"/>
      </w:pPr>
      <w:r>
        <w:rPr>
          <w:b w:val="0"/>
          <w:i w:val="0"/>
          <w:color w:val="000000"/>
          <w:sz w:val="22"/>
        </w:rPr>
        <w:t>O Qdrant aceita um modificador de IDF na configuração do vetor esparso, o que transfere o cálculo de raridade de termo para o banco. O cliente envia apenas a frequência do termo.</w:t>
      </w:r>
    </w:p>
    <w:p>
      <w:pPr>
        <w:spacing w:after="140"/>
      </w:pPr>
      <w:r>
        <w:rPr>
          <w:b w:val="0"/>
          <w:i w:val="0"/>
          <w:color w:val="000000"/>
          <w:sz w:val="22"/>
        </w:rPr>
        <w:t>Isso corrige um problema concreto identificado na implementação atual. A biblioteca rank_bm25, usada hoje, aplica a fórmula Okapi, cujo IDF vai a zero quando o termo aparece em metade dos documentos e fica negativo acima disso. Em corpus especializado, palavras legítimas do domínio como "fundeb" ou "municipio" podem cair nessa faixa e desaparecer do resultado lexical.</w:t>
      </w:r>
    </w:p>
    <w:p>
      <w:pPr>
        <w:spacing w:after="140"/>
      </w:pPr>
      <w:r>
        <w:rPr>
          <w:b w:val="0"/>
          <w:i w:val="0"/>
          <w:color w:val="000000"/>
          <w:sz w:val="22"/>
        </w:rPr>
        <w:t>Teste com três documentos, todos contendo o termo "fundeb", e apenas um contendo o código 3106200:</w:t>
      </w:r>
    </w:p>
    <w:p>
      <w:pPr>
        <w:shd w:val="clear" w:color="auto" w:fill="F2F2F2"/>
        <w:spacing w:after="0" w:before="160" w:line="240" w:lineRule="auto"/>
        <w:ind w:left="259"/>
      </w:pPr>
      <w:r>
        <w:rPr>
          <w:rFonts w:ascii="Consolas" w:hAnsi="Consolas"/>
          <w:color w:val="000000"/>
          <w:sz w:val="18"/>
        </w:rPr>
        <w:t>consulta 'fundeb'           0.1335  doc a, doc b, doc c</w:t>
      </w:r>
    </w:p>
    <w:p>
      <w:pPr>
        <w:shd w:val="clear" w:color="auto" w:fill="F2F2F2"/>
        <w:spacing w:after="0" w:before="0" w:line="240" w:lineRule="auto"/>
        <w:ind w:left="259"/>
      </w:pPr>
      <w:r>
        <w:rPr>
          <w:rFonts w:ascii="Consolas" w:hAnsi="Consolas"/>
          <w:color w:val="000000"/>
          <w:sz w:val="18"/>
        </w:rPr>
        <w:t>consulta '3106200'          0.9808  doc c</w:t>
      </w:r>
    </w:p>
    <w:p>
      <w:pPr>
        <w:shd w:val="clear" w:color="auto" w:fill="F2F2F2"/>
        <w:spacing w:after="0" w:before="0" w:line="240" w:lineRule="auto"/>
        <w:ind w:left="259"/>
      </w:pPr>
      <w:r>
        <w:rPr>
          <w:rFonts w:ascii="Consolas" w:hAnsi="Consolas"/>
          <w:color w:val="000000"/>
          <w:sz w:val="18"/>
        </w:rPr>
        <w:t>consulta 'fundeb 3106200'   1.1144  doc c</w:t>
      </w:r>
    </w:p>
    <w:p>
      <w:pPr>
        <w:shd w:val="clear" w:color="auto" w:fill="F2F2F2"/>
        <w:spacing w:after="160" w:before="0" w:line="240" w:lineRule="auto"/>
        <w:ind w:left="259"/>
      </w:pPr>
      <w:r>
        <w:rPr>
          <w:rFonts w:ascii="Consolas" w:hAnsi="Consolas"/>
          <w:color w:val="000000"/>
          <w:sz w:val="18"/>
        </w:rPr>
        <w:t xml:space="preserve">                            0.1335  doc a, doc b</w:t>
      </w:r>
    </w:p>
    <w:p>
      <w:pPr>
        <w:spacing w:after="140"/>
      </w:pPr>
      <w:r>
        <w:rPr>
          <w:b w:val="0"/>
          <w:i w:val="0"/>
          <w:color w:val="000000"/>
          <w:sz w:val="22"/>
        </w:rPr>
        <w:t xml:space="preserve">O termo comum recebe peso baixo, porém </w:t>
      </w:r>
      <w:r>
        <w:rPr>
          <w:b/>
          <w:i w:val="0"/>
          <w:color w:val="000000"/>
          <w:sz w:val="22"/>
        </w:rPr>
        <w:t>positivo</w:t>
      </w:r>
      <w:r>
        <w:rPr>
          <w:b w:val="0"/>
          <w:i w:val="0"/>
          <w:color w:val="000000"/>
          <w:sz w:val="22"/>
        </w:rPr>
        <w:t>. Com o Okapi da rank_bm25 esse mesmo termo receberia zero e o resultado seria descartado. A troca de banco elimina a armadilha sem esforço adicional.</w:t>
      </w:r>
    </w:p>
    <w:p>
      <w:pPr>
        <w:pStyle w:val="Heading1"/>
        <w:keepNext/>
        <w:spacing w:before="360" w:after="160"/>
      </w:pPr>
      <w:r>
        <w:rPr>
          <w:rFonts w:ascii="Calibri" w:hAnsi="Calibri"/>
          <w:b/>
          <w:color w:val="000000"/>
          <w:sz w:val="30"/>
        </w:rPr>
        <w:t>6. Por que os demais foram descartados</w:t>
      </w:r>
    </w:p>
    <w:p>
      <w:pPr>
        <w:pStyle w:val="Heading2"/>
        <w:keepNext/>
        <w:spacing w:before="260" w:after="120"/>
      </w:pPr>
      <w:r>
        <w:rPr>
          <w:rFonts w:ascii="Calibri" w:hAnsi="Calibri"/>
          <w:b/>
          <w:color w:val="000000"/>
          <w:sz w:val="25"/>
        </w:rPr>
        <w:t>6.1 Pinecone</w:t>
      </w:r>
    </w:p>
    <w:p>
      <w:pPr>
        <w:spacing w:after="140"/>
      </w:pPr>
      <w:r>
        <w:rPr>
          <w:b w:val="0"/>
          <w:i w:val="0"/>
          <w:color w:val="000000"/>
          <w:sz w:val="22"/>
        </w:rPr>
        <w:t>Eliminado pelo critério de reprodutibilidade. Não há opção de execução local ou auto-hospedada no plano gratuito; a alternativa auto-hospedada (</w:t>
      </w:r>
      <w:r>
        <w:rPr>
          <w:b w:val="0"/>
          <w:i/>
          <w:color w:val="000000"/>
          <w:sz w:val="22"/>
        </w:rPr>
        <w:t>Bring Your Own Cloud</w:t>
      </w:r>
      <w:r>
        <w:rPr>
          <w:b w:val="0"/>
          <w:i w:val="0"/>
          <w:color w:val="000000"/>
          <w:sz w:val="22"/>
        </w:rPr>
        <w:t>) é recurso corporativo com compromisso mínimo de 500 dólares mensais.</w:t>
      </w:r>
    </w:p>
    <w:p>
      <w:pPr>
        <w:spacing w:after="140"/>
      </w:pPr>
      <w:r>
        <w:rPr>
          <w:b w:val="0"/>
          <w:i w:val="0"/>
          <w:color w:val="000000"/>
          <w:sz w:val="22"/>
        </w:rPr>
        <w:t>Na prática isso significa chave de API compartilhada entre a equipe, dependência de rede no dia da apresentação e cota mensal que pode ser consumida por engano durante o desenvolvimento. Para um trabalho que precisa ser reproduzido por terceiros, depender de conta de fornecedor é passivo, não conveniência.</w:t>
      </w:r>
    </w:p>
    <w:p>
      <w:pPr>
        <w:pStyle w:val="Heading2"/>
        <w:keepNext/>
        <w:spacing w:before="260" w:after="120"/>
      </w:pPr>
      <w:r>
        <w:rPr>
          <w:rFonts w:ascii="Calibri" w:hAnsi="Calibri"/>
          <w:b/>
          <w:color w:val="000000"/>
          <w:sz w:val="25"/>
        </w:rPr>
        <w:t>6.2 Chroma</w:t>
      </w:r>
    </w:p>
    <w:p>
      <w:pPr>
        <w:spacing w:after="140"/>
      </w:pPr>
      <w:r>
        <w:rPr>
          <w:b w:val="0"/>
          <w:i w:val="0"/>
          <w:color w:val="000000"/>
          <w:sz w:val="22"/>
        </w:rPr>
        <w:t>É o mais fácil de começar, e é justamente aí que engana. Sua busca textual se resume a operadores de filtro por conteúdo, sensíveis a maiúsculas e minúsculas. Filtro não é ranqueamento: ele restringe o conjunto, mas não ordena por relevância lexical.</w:t>
      </w:r>
    </w:p>
    <w:p>
      <w:pPr>
        <w:spacing w:after="140"/>
      </w:pPr>
      <w:r>
        <w:rPr>
          <w:b w:val="0"/>
          <w:i w:val="0"/>
          <w:color w:val="000000"/>
          <w:sz w:val="22"/>
        </w:rPr>
        <w:t>Não há BM25 e não há fusão. Escolher Chroma significaria manter a biblioteca rank_bm25 fora do banco e escrever a fusão manualmente, exatamente o trabalho que queríamos evitar. Se o banco resolve apenas a metade densa do problema, convém escolher aquele que resolve as duas.</w:t>
      </w:r>
    </w:p>
    <w:p>
      <w:pPr>
        <w:pStyle w:val="Heading2"/>
        <w:keepNext/>
        <w:spacing w:before="260" w:after="120"/>
      </w:pPr>
      <w:r>
        <w:rPr>
          <w:rFonts w:ascii="Calibri" w:hAnsi="Calibri"/>
          <w:b/>
          <w:color w:val="000000"/>
          <w:sz w:val="25"/>
        </w:rPr>
        <w:t>6.3 Weaviate e Milvus</w:t>
      </w:r>
    </w:p>
    <w:p>
      <w:pPr>
        <w:spacing w:after="140"/>
      </w:pPr>
      <w:r>
        <w:rPr>
          <w:b w:val="0"/>
          <w:i w:val="0"/>
          <w:color w:val="000000"/>
          <w:sz w:val="22"/>
        </w:rPr>
        <w:t>Estes dois são tecnicamente adequados. O Weaviate faz busca híbrida nativa com BM25F e oferece fusão por escore relativo ou por posição. O Milvus oferece RRFRanker e WeightedRanker, além de BM25 nativo, e foi projetado para volumes muito superiores ao nosso.</w:t>
      </w:r>
    </w:p>
    <w:p>
      <w:pPr>
        <w:spacing w:after="140"/>
      </w:pPr>
      <w:r>
        <w:rPr>
          <w:b w:val="0"/>
          <w:i w:val="0"/>
          <w:color w:val="000000"/>
          <w:sz w:val="22"/>
        </w:rPr>
        <w:t>Foram preteridos por custo operacional, não por capacidade. Ambos pressupõem servidor em contêiner para uso pleno. Para uma equipe de estudantes trabalhando em máquinas heterogêneas, cada dependência de infraestrutura é um ponto de falha na véspera da entrega. O Qdrant entrega a mesma fusão nativa sem exigir nada disso.</w:t>
      </w:r>
    </w:p>
    <w:p>
      <w:pPr>
        <w:spacing w:after="140"/>
      </w:pPr>
      <w:r>
        <w:rPr>
          <w:b w:val="0"/>
          <w:i w:val="0"/>
          <w:color w:val="000000"/>
          <w:sz w:val="22"/>
        </w:rPr>
        <w:t>Registre-se ainda que o volume esperado do corpus VAAR, na ordem de milhares a dezenas de milhares de trechos, está muito abaixo do ponto em que a capacidade de escala do Milvus passaria a compensar sua complexidade.</w:t>
      </w:r>
    </w:p>
    <w:p>
      <w:pPr>
        <w:pStyle w:val="Heading2"/>
        <w:keepNext/>
        <w:spacing w:before="260" w:after="120"/>
      </w:pPr>
      <w:r>
        <w:rPr>
          <w:rFonts w:ascii="Calibri" w:hAnsi="Calibri"/>
          <w:b/>
          <w:color w:val="000000"/>
          <w:sz w:val="25"/>
        </w:rPr>
        <w:t>6.4 pgvector</w:t>
      </w:r>
    </w:p>
    <w:p>
      <w:pPr>
        <w:spacing w:after="140"/>
      </w:pPr>
      <w:r>
        <w:rPr>
          <w:b w:val="0"/>
          <w:i w:val="0"/>
          <w:color w:val="000000"/>
          <w:sz w:val="22"/>
        </w:rPr>
        <w:t>Boa opção quando o projeto já roda sobre PostgreSQL, porque mantém vetores e dados relacionais na mesma transação. Não é o nosso caso. Além disso, não traz ranqueamento BM25 nem fusão embutida: seria necessário combinar a busca vetorial com a busca textual do PostgreSQL e implementar a fusão manualmente, com o custo adicional de manter um servidor de banco no ambiente de desenvolvimento.</w:t>
      </w:r>
    </w:p>
    <w:p>
      <w:pPr>
        <w:pStyle w:val="Heading1"/>
        <w:keepNext/>
        <w:spacing w:before="360" w:after="160"/>
      </w:pPr>
      <w:r>
        <w:rPr>
          <w:rFonts w:ascii="Calibri" w:hAnsi="Calibri"/>
          <w:b/>
          <w:color w:val="000000"/>
          <w:sz w:val="30"/>
        </w:rPr>
        <w:t>7. Impacto no código já entregue</w:t>
      </w:r>
    </w:p>
    <w:p>
      <w:pPr>
        <w:spacing w:after="140"/>
      </w:pPr>
      <w:r>
        <w:rPr>
          <w:b w:val="0"/>
          <w:i w:val="0"/>
          <w:color w:val="000000"/>
          <w:sz w:val="22"/>
        </w:rPr>
        <w:t>A escolha do Qdrant remove código em vez de acrescentar, o que é um bom indicador de que a decisão está correta.</w:t>
      </w:r>
    </w:p>
    <w:p>
      <w:pPr>
        <w:spacing w:after="140"/>
      </w:pPr>
      <w:r>
        <w:rPr>
          <w:b/>
          <w:i w:val="0"/>
          <w:color w:val="000000"/>
          <w:sz w:val="22"/>
        </w:rPr>
        <w:t>Permanece integralmente:</w:t>
      </w:r>
      <w:r>
        <w:rPr>
          <w:b w:val="0"/>
          <w:i w:val="0"/>
          <w:color w:val="000000"/>
          <w:sz w:val="22"/>
        </w:rPr>
        <w:t xml:space="preserve"> o módulo de embedding com o Qwen3-Embedding-0.6B. O banco armazena vetores, não os gera.</w:t>
      </w:r>
    </w:p>
    <w:p>
      <w:pPr>
        <w:spacing w:after="140"/>
      </w:pPr>
      <w:r>
        <w:rPr>
          <w:b/>
          <w:i w:val="0"/>
          <w:color w:val="000000"/>
          <w:sz w:val="22"/>
        </w:rPr>
        <w:t>Permanece parcialmente:</w:t>
      </w:r>
      <w:r>
        <w:rPr>
          <w:b w:val="0"/>
          <w:i w:val="0"/>
          <w:color w:val="000000"/>
          <w:sz w:val="22"/>
        </w:rPr>
        <w:t xml:space="preserve"> o tokenizador em português do módulo esparso, que trata a remoção de acentos e a preservação de âncoras como "art.14" e "3106200-1". O banco precisa receber os termos já tokenizados.</w:t>
      </w:r>
    </w:p>
    <w:p>
      <w:pPr>
        <w:spacing w:after="140"/>
      </w:pPr>
      <w:r>
        <w:rPr>
          <w:b/>
          <w:i w:val="0"/>
          <w:color w:val="000000"/>
          <w:sz w:val="22"/>
        </w:rPr>
        <w:t>Sai:</w:t>
      </w:r>
      <w:r>
        <w:rPr>
          <w:b w:val="0"/>
          <w:i w:val="0"/>
          <w:color w:val="000000"/>
          <w:sz w:val="22"/>
        </w:rPr>
        <w:t xml:space="preserve"> a classe de ranqueamento BM25 e a dependência rank_bm25, substituídas pelo modificador de IDF do próprio banco.</w:t>
      </w:r>
    </w:p>
    <w:p>
      <w:pPr>
        <w:spacing w:after="140"/>
      </w:pPr>
      <w:r>
        <w:rPr>
          <w:b/>
          <w:i w:val="0"/>
          <w:color w:val="000000"/>
          <w:sz w:val="22"/>
        </w:rPr>
        <w:t>Deixa de ser necessário:</w:t>
      </w:r>
      <w:r>
        <w:rPr>
          <w:b w:val="0"/>
          <w:i w:val="0"/>
          <w:color w:val="000000"/>
          <w:sz w:val="22"/>
        </w:rPr>
        <w:t xml:space="preserve"> o módulo de fusão RRF que estava previsto, agora resolvido nativamente.</w:t>
      </w:r>
    </w:p>
    <w:p>
      <w:pPr>
        <w:pStyle w:val="Heading1"/>
        <w:keepNext/>
        <w:spacing w:before="360" w:after="160"/>
      </w:pPr>
      <w:r>
        <w:rPr>
          <w:rFonts w:ascii="Calibri" w:hAnsi="Calibri"/>
          <w:b/>
          <w:color w:val="000000"/>
          <w:sz w:val="30"/>
        </w:rPr>
        <w:t>8. Riscos e limitações</w:t>
      </w:r>
    </w:p>
    <w:p>
      <w:pPr>
        <w:pStyle w:val="ListBullet"/>
        <w:spacing w:after="80" w:line="276" w:lineRule="auto"/>
      </w:pPr>
      <w:r>
        <w:rPr>
          <w:color w:val="000000"/>
          <w:sz w:val="22"/>
        </w:rPr>
        <w:t>O modo local do Qdrant é descrito pela documentação oficial como voltado a desenvolvimento, prototipagem e teste. Nossos testes confirmaram fusão, filtro e persistência nesse modo, mas para volume alto ou acesso concorrente a recomendação é migrar para o servidor em contêiner, o que não exige alterar o código de aplicação.</w:t>
      </w:r>
    </w:p>
    <w:p>
      <w:pPr>
        <w:pStyle w:val="ListBullet"/>
        <w:spacing w:after="80" w:line="276" w:lineRule="auto"/>
      </w:pPr>
      <w:r>
        <w:rPr>
          <w:color w:val="000000"/>
          <w:sz w:val="22"/>
        </w:rPr>
        <w:t>Migrar de banco no futuro só obriga a regerar os vetores se o modelo de embedding mudar junto. Os vetores em si são portáveis entre bancos.</w:t>
      </w:r>
    </w:p>
    <w:p>
      <w:pPr>
        <w:pStyle w:val="ListBullet"/>
        <w:spacing w:after="80" w:line="276" w:lineRule="auto"/>
      </w:pPr>
      <w:r>
        <w:rPr>
          <w:color w:val="000000"/>
          <w:sz w:val="22"/>
        </w:rPr>
        <w:t>O fator limitante para publicação em nuvem gratuita é o consumo de memória do modelo de embedding, não o do banco. O Qwen3-Embedding-0.6B em precisão simples ocupa cerca de 2,4 GB, acima do teto de 2,7 GB de plataformas gratuitas quando somado ao restante da aplicação. Esse ponto precisa ser avaliado independentemente da escolha do banco.</w:t>
      </w:r>
    </w:p>
    <w:p>
      <w:pPr>
        <w:pStyle w:val="Heading1"/>
        <w:keepNext/>
        <w:spacing w:before="360" w:after="160"/>
      </w:pPr>
      <w:r>
        <w:rPr>
          <w:rFonts w:ascii="Calibri" w:hAnsi="Calibri"/>
          <w:b/>
          <w:color w:val="000000"/>
          <w:sz w:val="30"/>
        </w:rPr>
        <w:t>9. Conclusão</w:t>
      </w:r>
    </w:p>
    <w:p>
      <w:pPr>
        <w:spacing w:after="140"/>
      </w:pPr>
      <w:r>
        <w:rPr>
          <w:b w:val="0"/>
          <w:i w:val="0"/>
          <w:color w:val="000000"/>
          <w:sz w:val="22"/>
        </w:rPr>
        <w:t xml:space="preserve">Recomenda-se adotar o </w:t>
      </w:r>
      <w:r>
        <w:rPr>
          <w:b/>
          <w:i w:val="0"/>
          <w:color w:val="000000"/>
          <w:sz w:val="22"/>
        </w:rPr>
        <w:t>Qdrant em modo local embutido</w:t>
      </w:r>
      <w:r>
        <w:rPr>
          <w:b w:val="0"/>
          <w:i w:val="0"/>
          <w:color w:val="000000"/>
          <w:sz w:val="22"/>
        </w:rPr>
        <w:t xml:space="preserve"> como banco vetorial do RAG VAAR Nacional.</w:t>
      </w:r>
    </w:p>
    <w:p>
      <w:pPr>
        <w:spacing w:after="140"/>
      </w:pPr>
      <w:r>
        <w:rPr>
          <w:b w:val="0"/>
          <w:i w:val="0"/>
          <w:color w:val="000000"/>
          <w:sz w:val="22"/>
        </w:rPr>
        <w:t>Entre as opções gratuitas, é a única que reúne fusão nativa entre busca densa e lexical, execução sem qualquer infraestrutura, licença permissiva sem recurso pago escondido e caminho de crescimento sem reescrita. As alternativas com capacidade equivalente exigem servidor; as que dispensam servidor não têm a capacidade.</w:t>
      </w:r>
    </w:p>
    <w:p>
      <w:pPr>
        <w:spacing w:after="140"/>
      </w:pPr>
      <w:r>
        <w:rPr>
          <w:b w:val="0"/>
          <w:i w:val="0"/>
          <w:color w:val="000000"/>
          <w:sz w:val="22"/>
        </w:rPr>
        <w:t>A verificação prática descrita na seção 5 sustenta cada uma dessas afirmações e pode ser reexecutada a qualquer momento.</w:t>
      </w:r>
    </w:p>
    <w:p>
      <w:pPr>
        <w:pStyle w:val="Heading1"/>
        <w:keepNext/>
        <w:spacing w:before="360" w:after="160"/>
      </w:pPr>
      <w:r>
        <w:rPr>
          <w:rFonts w:ascii="Calibri" w:hAnsi="Calibri"/>
          <w:b/>
          <w:color w:val="000000"/>
          <w:sz w:val="30"/>
        </w:rPr>
        <w:t>10. Referências consultadas</w:t>
      </w:r>
    </w:p>
    <w:p>
      <w:pPr>
        <w:spacing w:after="80"/>
        <w:ind w:left="360" w:hanging="360"/>
      </w:pPr>
      <w:r>
        <w:rPr>
          <w:color w:val="000000"/>
          <w:sz w:val="19"/>
        </w:rPr>
        <w:t>Qdrant. Hybrid and Multi-Stage Queries. qdrant.tech/documentation/concepts/hybrid-queries</w:t>
      </w:r>
    </w:p>
    <w:p>
      <w:pPr>
        <w:spacing w:after="80"/>
        <w:ind w:left="360" w:hanging="360"/>
      </w:pPr>
      <w:r>
        <w:rPr>
          <w:color w:val="000000"/>
          <w:sz w:val="19"/>
        </w:rPr>
        <w:t>Qdrant. Repositório oficial e licença Apache 2.0. github.com/qdrant/qdrant</w:t>
      </w:r>
    </w:p>
    <w:p>
      <w:pPr>
        <w:spacing w:after="80"/>
        <w:ind w:left="360" w:hanging="360"/>
      </w:pPr>
      <w:r>
        <w:rPr>
          <w:color w:val="000000"/>
          <w:sz w:val="19"/>
        </w:rPr>
        <w:t>Qdrant. Cliente Python, modo local. github.com/qdrant/qdrant-client</w:t>
      </w:r>
    </w:p>
    <w:p>
      <w:pPr>
        <w:spacing w:after="80"/>
        <w:ind w:left="360" w:hanging="360"/>
      </w:pPr>
      <w:r>
        <w:rPr>
          <w:color w:val="000000"/>
          <w:sz w:val="19"/>
        </w:rPr>
        <w:t>Chroma. Full-text search e filtros de documento. docs.trychroma.com</w:t>
      </w:r>
    </w:p>
    <w:p>
      <w:pPr>
        <w:spacing w:after="80"/>
        <w:ind w:left="360" w:hanging="360"/>
      </w:pPr>
      <w:r>
        <w:rPr>
          <w:color w:val="000000"/>
          <w:sz w:val="19"/>
        </w:rPr>
        <w:t>Pinecone. Tabela de planos e limites do plano inicial. pinecone.io/pricing</w:t>
      </w:r>
    </w:p>
    <w:p>
      <w:pPr>
        <w:spacing w:after="80"/>
        <w:ind w:left="360" w:hanging="360"/>
      </w:pPr>
      <w:r>
        <w:rPr>
          <w:color w:val="000000"/>
          <w:sz w:val="19"/>
        </w:rPr>
        <w:t>Weaviate. Hybrid search e algoritmos de fusão. docs.weaviate.io/weaviate/search/hybrid</w:t>
      </w:r>
    </w:p>
    <w:p>
      <w:pPr>
        <w:spacing w:after="80"/>
        <w:ind w:left="360" w:hanging="360"/>
      </w:pPr>
      <w:r>
        <w:rPr>
          <w:color w:val="000000"/>
          <w:sz w:val="19"/>
        </w:rPr>
        <w:t>Weaviate. Repositório oficial e licença BSD-3. github.com/weaviate/weaviate</w:t>
      </w:r>
    </w:p>
    <w:p>
      <w:pPr>
        <w:spacing w:after="80"/>
        <w:ind w:left="360" w:hanging="360"/>
      </w:pPr>
      <w:r>
        <w:rPr>
          <w:color w:val="000000"/>
          <w:sz w:val="19"/>
        </w:rPr>
        <w:t>Milvus. Multi-vector hybrid search, RRFRanker e WeightedRanker. milvus.io/docs/multi-vector-search.md</w:t>
      </w:r>
    </w:p>
    <w:p>
      <w:pPr>
        <w:spacing w:after="80"/>
        <w:ind w:left="360" w:hanging="360"/>
      </w:pPr>
      <w:r>
        <w:rPr>
          <w:color w:val="000000"/>
          <w:sz w:val="19"/>
        </w:rPr>
        <w:t>pgvector. Repositório oficial. github.com/pgvector/pgvector</w:t>
      </w:r>
    </w:p>
    <w:p>
      <w:pPr>
        <w:spacing w:after="80"/>
        <w:ind w:left="360" w:hanging="360"/>
      </w:pPr>
      <w:r>
        <w:rPr>
          <w:color w:val="000000"/>
          <w:sz w:val="19"/>
        </w:rPr>
        <w:t>Qwen. Qwen3-Embedding-0.6B, cartão do modelo. huggingface.co/Qwen/Qwen3-Embedding-0.6B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