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14/05/18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Alterando a data de entrega dos requisitos RFUN15, RFUN17, RFUN18 e RFUN22.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32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3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53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7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