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Totalizando - 12 análises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Preço negociação - 4241,51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Ideal - 3817,36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mínimo - 3319,44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Correlograma entre as variáveis quantitativas (exploratórias)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Análises de associação do CAD com Drenagem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Análises de associação do CAD com Declividade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Análises de associação do CAD com Classe </w:t>
      </w:r>
    </w:p>
    <w:p w:rsidR="00000000" w:rsidDel="00000000" w:rsidP="00000000" w:rsidRDefault="00000000" w:rsidRPr="00000000" w14:paraId="0000000C">
      <w:pPr>
        <w:spacing w:line="331.2" w:lineRule="auto"/>
        <w:rPr/>
      </w:pPr>
      <w:r w:rsidDel="00000000" w:rsidR="00000000" w:rsidRPr="00000000">
        <w:rPr>
          <w:rtl w:val="0"/>
        </w:rPr>
        <w:t xml:space="preserve">Análises de associação do CAD com Subclasse</w:t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rtl w:val="0"/>
        </w:rPr>
        <w:t xml:space="preserve">Análises de associação do CAD com Domínios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Análises de associação do CAD com Região </w:t>
      </w:r>
    </w:p>
    <w:p w:rsidR="00000000" w:rsidDel="00000000" w:rsidP="00000000" w:rsidRDefault="00000000" w:rsidRPr="00000000" w14:paraId="0000000F">
      <w:pPr>
        <w:spacing w:line="331.2" w:lineRule="auto"/>
        <w:rPr/>
      </w:pPr>
      <w:r w:rsidDel="00000000" w:rsidR="00000000" w:rsidRPr="00000000">
        <w:rPr>
          <w:rtl w:val="0"/>
        </w:rPr>
        <w:t xml:space="preserve">Análises de associação do CAD com Mesorregião</w:t>
      </w:r>
    </w:p>
    <w:p w:rsidR="00000000" w:rsidDel="00000000" w:rsidP="00000000" w:rsidRDefault="00000000" w:rsidRPr="00000000" w14:paraId="00000010">
      <w:pPr>
        <w:spacing w:line="331.2" w:lineRule="auto"/>
        <w:rPr/>
      </w:pPr>
      <w:r w:rsidDel="00000000" w:rsidR="00000000" w:rsidRPr="00000000">
        <w:rPr>
          <w:rtl w:val="0"/>
        </w:rPr>
        <w:t xml:space="preserve">Análises de associação do CAD com Município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Análise de clusterização do CAD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Análise de Correspondência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Análise de Regressão Múltipla para entender quais variáveis quanti explicam melhor o CAD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