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6"/>
          <w:szCs w:val="36"/>
        </w:rPr>
        <w:t xml:space="preserve">Research Pipeline</w:t>
      </w:r>
    </w:p>
    <w:p>
      <w:pPr>
        <w:spacing w:after="300"/>
        <w:jc w:val="center"/>
      </w:pPr>
      <w:r>
        <w:rPr>
          <w:rFonts w:ascii="Calibri" w:cs="Calibri" w:eastAsia="Calibri" w:hAnsi="Calibri"/>
          <w:i/>
          <w:iCs/>
          <w:color w:val="444444"/>
          <w:sz w:val="26"/>
          <w:szCs w:val="26"/>
        </w:rPr>
        <w:t xml:space="preserve">Deep Learning-Based Discovery and HPV-Stratified Validation of Malignant Cell-State Genes in Head and Neck Squamous Cell Carcinoma (HNSCC)</w:t>
      </w:r>
    </w:p>
    <w:p>
      <w:pPr>
        <w:pStyle w:val="Heading1"/>
        <w:spacing w:after="150" w:before="300"/>
      </w:pPr>
      <w:r>
        <w:rPr>
          <w:rFonts w:ascii="Calibri" w:cs="Calibri" w:eastAsia="Calibri" w:hAnsi="Calibri"/>
          <w:b/>
          <w:bCs/>
          <w:color w:val="1F4E79"/>
          <w:sz w:val="28"/>
          <w:szCs w:val="28"/>
        </w:rPr>
        <w:t xml:space="preserve">1. Background</w:t>
      </w:r>
    </w:p>
    <w:p>
      <w:pPr>
        <w:spacing w:after="120" w:line="300"/>
      </w:pPr>
      <w:r>
        <w:rPr>
          <w:rFonts w:ascii="Calibri" w:cs="Calibri" w:eastAsia="Calibri" w:hAnsi="Calibri"/>
          <w:sz w:val="22"/>
          <w:szCs w:val="22"/>
        </w:rPr>
        <w:t xml:space="preserve">Head and neck squamous cell carcinoma (HNSCC) is a heterogeneous malignancy accounting for over 90% of head and neck cancers, with human papillomavirus (HPV) infection representing a major etiological factor, particularly in oropharyngeal subsites. HPV-positive and HPV-negative HNSCC are increasingly recognized as biologically distinct entities with differing tumor microenvironments (TME), treatment responses, and prognoses. Despite this, five-year overall survival remains below 50%, and relapse rates exceed 50%, underscoring the need for improved molecular stratification.</w:t>
      </w:r>
    </w:p>
    <w:p>
      <w:pPr>
        <w:spacing w:after="120" w:line="300"/>
      </w:pPr>
      <w:r>
        <w:rPr>
          <w:rFonts w:ascii="Calibri" w:cs="Calibri" w:eastAsia="Calibri" w:hAnsi="Calibri"/>
          <w:sz w:val="22"/>
          <w:szCs w:val="22"/>
        </w:rPr>
        <w:t xml:space="preserve">Bulk transcriptomic approaches (e.g., TCGA) have identified molecular subtypes of HNSCC but cannot resolve cell-type-specific contributions within the tumor. Single-cell RNA sequencing (scRNA-seq) has enabled higher-resolution dissection of the TME. Foundational work by Puram et al. (2017) identified recurrent malignant cell expression programs in HNSCC, including a partial epithelial-mesenchymal transition (p-EMT) program associated with invasion and metastasis, demonstrating that clinically meaningful heterogeneity exists within the malignant compartment itself, not only across cell types.</w:t>
      </w:r>
    </w:p>
    <w:p>
      <w:pPr>
        <w:spacing w:after="120" w:line="300"/>
      </w:pPr>
      <w:r>
        <w:rPr>
          <w:rFonts w:ascii="Calibri" w:cs="Calibri" w:eastAsia="Calibri" w:hAnsi="Calibri"/>
          <w:sz w:val="22"/>
          <w:szCs w:val="22"/>
        </w:rPr>
        <w:t xml:space="preserve">A recent unified single-cell atlas (Conde-Lopez et al., 2026, iScience) integrated 78 HNSCC patients (274,911 cells) across four public datasets (HNSCatlas resource) and reported that HPV status shapes overall immune and stromal cell composition, with HPV+ tumors enriched in adaptive immune populations and HPV− tumors showing more stromal/innate immune populations. Notably, this atlas focused on cell-type composition and did not perform malignant-cell substate discovery at the gene level, and its findings did not remain significant after multiple-testing correction across the full cohort, leading the authors to explicitly call for validation in independent cohorts. Furthermore, the atlas contains no South Asian or Bangladeshi patient representation.</w:t>
      </w:r>
    </w:p>
    <w:p>
      <w:pPr>
        <w:spacing w:after="120" w:line="300"/>
      </w:pPr>
      <w:r>
        <w:rPr>
          <w:rFonts w:ascii="Calibri" w:cs="Calibri" w:eastAsia="Calibri" w:hAnsi="Calibri"/>
          <w:sz w:val="22"/>
          <w:szCs w:val="22"/>
        </w:rPr>
        <w:t xml:space="preserve">The candidate has prior experience applying deep generative (variational autoencoder-based) latent profiling to bulk transcriptomic data to uncover previously unrecognized regulator genes in cancer (e.g., RAP1GAP2 in oropharyngeal carcinoma). This pipeline extends that approach to the single-cell setting using scVI, applied specifically to the malignant (tumor) cell compartment of the HNSCatlas resource.</w:t>
      </w:r>
    </w:p>
    <w:p>
      <w:pPr>
        <w:pStyle w:val="Heading1"/>
        <w:spacing w:after="150" w:before="300"/>
      </w:pPr>
      <w:r>
        <w:rPr>
          <w:rFonts w:ascii="Calibri" w:cs="Calibri" w:eastAsia="Calibri" w:hAnsi="Calibri"/>
          <w:b/>
          <w:bCs/>
          <w:color w:val="1F4E79"/>
          <w:sz w:val="28"/>
          <w:szCs w:val="28"/>
        </w:rPr>
        <w:t xml:space="preserve">2. Rationale</w:t>
      </w:r>
    </w:p>
    <w:p>
      <w:pPr>
        <w:pStyle w:val="ListParagraph"/>
        <w:numPr>
          <w:ilvl w:val="0"/>
          <w:numId w:val="2"/>
        </w:numPr>
        <w:spacing w:after="80" w:line="280"/>
      </w:pPr>
      <w:r>
        <w:rPr>
          <w:rFonts w:ascii="Calibri" w:cs="Calibri" w:eastAsia="Calibri" w:hAnsi="Calibri"/>
          <w:sz w:val="22"/>
          <w:szCs w:val="22"/>
        </w:rPr>
        <w:t xml:space="preserve">Existing HNSCC single-cell atlases characterize cell-type composition but do not resolve gene-level heterogeneity within the malignant compartment itself, leaving potential HPV-associated malignant cell substates unexplored.</w:t>
      </w:r>
    </w:p>
    <w:p>
      <w:pPr>
        <w:pStyle w:val="ListParagraph"/>
        <w:numPr>
          <w:ilvl w:val="0"/>
          <w:numId w:val="2"/>
        </w:numPr>
        <w:spacing w:after="80" w:line="280"/>
      </w:pPr>
      <w:r>
        <w:rPr>
          <w:rFonts w:ascii="Calibri" w:cs="Calibri" w:eastAsia="Calibri" w:hAnsi="Calibri"/>
          <w:sz w:val="22"/>
          <w:szCs w:val="22"/>
        </w:rPr>
        <w:t xml:space="preserve">The reported HPV-associated immune/stromal shift is explicitly described by its original authors as hypothesis-generating and in need of independent validation, given the loss of significance after multiple-testing correction in the full cohort.</w:t>
      </w:r>
    </w:p>
    <w:p>
      <w:pPr>
        <w:pStyle w:val="ListParagraph"/>
        <w:numPr>
          <w:ilvl w:val="0"/>
          <w:numId w:val="2"/>
        </w:numPr>
        <w:spacing w:after="80" w:line="280"/>
      </w:pPr>
      <w:r>
        <w:rPr>
          <w:rFonts w:ascii="Calibri" w:cs="Calibri" w:eastAsia="Calibri" w:hAnsi="Calibri"/>
          <w:sz w:val="22"/>
          <w:szCs w:val="22"/>
        </w:rPr>
        <w:t xml:space="preserve">No existing HNSCC single-cell or bulk resource includes Bangladeshi or South Asian patients; ethnic and geographic representation gaps limit generalizability of current findings.</w:t>
      </w:r>
    </w:p>
    <w:p>
      <w:pPr>
        <w:pStyle w:val="ListParagraph"/>
        <w:numPr>
          <w:ilvl w:val="0"/>
          <w:numId w:val="2"/>
        </w:numPr>
        <w:spacing w:after="80" w:line="280"/>
      </w:pPr>
      <w:r>
        <w:rPr>
          <w:rFonts w:ascii="Calibri" w:cs="Calibri" w:eastAsia="Calibri" w:hAnsi="Calibri"/>
          <w:sz w:val="22"/>
          <w:szCs w:val="22"/>
        </w:rPr>
        <w:t xml:space="preserve">The candidate's own patient cohort includes pre-existing HPV genotyping data (from an ongoing HPV screening project), enabling HPV-stratified analysis without additional screening burden.</w:t>
      </w:r>
    </w:p>
    <w:p>
      <w:pPr>
        <w:pStyle w:val="ListParagraph"/>
        <w:numPr>
          <w:ilvl w:val="0"/>
          <w:numId w:val="2"/>
        </w:numPr>
        <w:spacing w:after="80" w:line="280"/>
      </w:pPr>
      <w:r>
        <w:rPr>
          <w:rFonts w:ascii="Calibri" w:cs="Calibri" w:eastAsia="Calibri" w:hAnsi="Calibri"/>
          <w:sz w:val="22"/>
          <w:szCs w:val="22"/>
        </w:rPr>
        <w:t xml:space="preserve">A combined dry-lab (computational discovery and cross-cohort confirmation) and wet-lab (tissue-level qRT-PCR/IHC) design is feasible within the candidate's timeframe, computational resources, and laboratory access, while retaining translational value.</w:t>
      </w:r>
    </w:p>
    <w:p>
      <w:pPr>
        <w:pStyle w:val="Heading1"/>
        <w:spacing w:after="150" w:before="300"/>
      </w:pPr>
      <w:r>
        <w:rPr>
          <w:rFonts w:ascii="Calibri" w:cs="Calibri" w:eastAsia="Calibri" w:hAnsi="Calibri"/>
          <w:b/>
          <w:bCs/>
          <w:color w:val="1F4E79"/>
          <w:sz w:val="28"/>
          <w:szCs w:val="28"/>
        </w:rPr>
        <w:t xml:space="preserve">3. Objectives</w:t>
      </w:r>
    </w:p>
    <w:p>
      <w:pPr>
        <w:pStyle w:val="Heading2"/>
        <w:spacing w:after="100" w:before="220"/>
      </w:pPr>
      <w:r>
        <w:rPr>
          <w:rFonts w:ascii="Calibri" w:cs="Calibri" w:eastAsia="Calibri" w:hAnsi="Calibri"/>
          <w:b/>
          <w:bCs/>
          <w:color w:val="2E5B8A"/>
          <w:sz w:val="24"/>
          <w:szCs w:val="24"/>
        </w:rPr>
        <w:t xml:space="preserve">General Objective</w:t>
      </w:r>
    </w:p>
    <w:p>
      <w:pPr>
        <w:spacing w:after="120" w:line="300"/>
      </w:pPr>
      <w:r>
        <w:rPr>
          <w:rFonts w:ascii="Calibri" w:cs="Calibri" w:eastAsia="Calibri" w:hAnsi="Calibri"/>
          <w:sz w:val="22"/>
          <w:szCs w:val="22"/>
        </w:rPr>
        <w:t xml:space="preserve">To identify malignant cell-state gene(s) in HNSCC through single-cell computational discovery and to validate their expression pattern, together with established HPV-associated immune/stromal markers, in a Bangladeshi patient cohort stratified by HPV status.</w:t>
      </w:r>
    </w:p>
    <w:p>
      <w:pPr>
        <w:pStyle w:val="Heading2"/>
        <w:spacing w:after="100" w:before="220"/>
      </w:pPr>
      <w:r>
        <w:rPr>
          <w:rFonts w:ascii="Calibri" w:cs="Calibri" w:eastAsia="Calibri" w:hAnsi="Calibri"/>
          <w:b/>
          <w:bCs/>
          <w:color w:val="2E5B8A"/>
          <w:sz w:val="24"/>
          <w:szCs w:val="24"/>
        </w:rPr>
        <w:t xml:space="preserve">Specific Objectives</w:t>
      </w:r>
    </w:p>
    <w:p>
      <w:pPr>
        <w:pStyle w:val="ListParagraph"/>
        <w:numPr>
          <w:ilvl w:val="0"/>
          <w:numId w:val="3"/>
        </w:numPr>
        <w:spacing w:after="80" w:line="280"/>
      </w:pPr>
      <w:r>
        <w:rPr>
          <w:rFonts w:ascii="Calibri" w:cs="Calibri" w:eastAsia="Calibri" w:hAnsi="Calibri"/>
          <w:sz w:val="22"/>
          <w:szCs w:val="22"/>
        </w:rPr>
        <w:t xml:space="preserve">To computationally resolve malignant cell substates within the HNSCC tumor-cell compartment of the HNSCatlas resource using scVI-based latent representation learning and Leiden clustering.</w:t>
      </w:r>
    </w:p>
    <w:p>
      <w:pPr>
        <w:pStyle w:val="ListParagraph"/>
        <w:numPr>
          <w:ilvl w:val="0"/>
          <w:numId w:val="3"/>
        </w:numPr>
        <w:spacing w:after="80" w:line="280"/>
      </w:pPr>
      <w:r>
        <w:rPr>
          <w:rFonts w:ascii="Calibri" w:cs="Calibri" w:eastAsia="Calibri" w:hAnsi="Calibri"/>
          <w:sz w:val="22"/>
          <w:szCs w:val="22"/>
        </w:rPr>
        <w:t xml:space="preserve">To identify differentially expressed marker gene(s) defining these malignant substates and to assess their association with HPV status in silico.</w:t>
      </w:r>
    </w:p>
    <w:p>
      <w:pPr>
        <w:pStyle w:val="ListParagraph"/>
        <w:numPr>
          <w:ilvl w:val="0"/>
          <w:numId w:val="3"/>
        </w:numPr>
        <w:spacing w:after="80" w:line="280"/>
      </w:pPr>
      <w:r>
        <w:rPr>
          <w:rFonts w:ascii="Calibri" w:cs="Calibri" w:eastAsia="Calibri" w:hAnsi="Calibri"/>
          <w:sz w:val="22"/>
          <w:szCs w:val="22"/>
        </w:rPr>
        <w:t xml:space="preserve">To cross-validate candidate gene(s) using an independent public single-cell dataset and the TCGA-HNSC bulk cohort (expression and survival analysis via cBioPortal, UALCAN, and GEPIA).</w:t>
      </w:r>
    </w:p>
    <w:p>
      <w:pPr>
        <w:pStyle w:val="ListParagraph"/>
        <w:numPr>
          <w:ilvl w:val="0"/>
          <w:numId w:val="3"/>
        </w:numPr>
        <w:spacing w:after="80" w:line="280"/>
      </w:pPr>
      <w:r>
        <w:rPr>
          <w:rFonts w:ascii="Calibri" w:cs="Calibri" w:eastAsia="Calibri" w:hAnsi="Calibri"/>
          <w:sz w:val="22"/>
          <w:szCs w:val="22"/>
        </w:rPr>
        <w:t xml:space="preserve">To compare candidate gene expression between malignant/tumor cells and normal epithelial cells within the same atlas, confirming cancer-cell specificity prior to wet-lab validation.</w:t>
      </w:r>
    </w:p>
    <w:p>
      <w:pPr>
        <w:pStyle w:val="ListParagraph"/>
        <w:numPr>
          <w:ilvl w:val="0"/>
          <w:numId w:val="3"/>
        </w:numPr>
        <w:spacing w:after="80" w:line="280"/>
      </w:pPr>
      <w:r>
        <w:rPr>
          <w:rFonts w:ascii="Calibri" w:cs="Calibri" w:eastAsia="Calibri" w:hAnsi="Calibri"/>
          <w:sz w:val="22"/>
          <w:szCs w:val="22"/>
        </w:rPr>
        <w:t xml:space="preserve">To validate candidate gene expression by qRT-PCR in primary tumor versus adjacent normal tissue from a Bangladeshi HNSCC cohort, stratified by HPV status.</w:t>
      </w:r>
    </w:p>
    <w:p>
      <w:pPr>
        <w:pStyle w:val="ListParagraph"/>
        <w:numPr>
          <w:ilvl w:val="0"/>
          <w:numId w:val="3"/>
        </w:numPr>
        <w:spacing w:after="80" w:line="280"/>
      </w:pPr>
      <w:r>
        <w:rPr>
          <w:rFonts w:ascii="Calibri" w:cs="Calibri" w:eastAsia="Calibri" w:hAnsi="Calibri"/>
          <w:sz w:val="22"/>
          <w:szCs w:val="22"/>
        </w:rPr>
        <w:t xml:space="preserve">To assess established immune (e.g., GZMK, CD8A) and stromal/fibroblast (e.g., COL1A2, SFRP2) marker gene expression in the same cohort to test, for the first time in a South Asian population, whether the reported HPV-associated immune-versus-stromal TME shift is reproducible.</w:t>
      </w:r>
    </w:p>
    <w:p>
      <w:pPr>
        <w:pStyle w:val="ListParagraph"/>
        <w:numPr>
          <w:ilvl w:val="0"/>
          <w:numId w:val="3"/>
        </w:numPr>
        <w:spacing w:after="80" w:line="280"/>
      </w:pPr>
      <w:r>
        <w:rPr>
          <w:rFonts w:ascii="Calibri" w:cs="Calibri" w:eastAsia="Calibri" w:hAnsi="Calibri"/>
          <w:sz w:val="22"/>
          <w:szCs w:val="22"/>
        </w:rPr>
        <w:t xml:space="preserve">(Optional, resource-permitting) To confirm candidate gene and/or immune marker protein expression by immunohistochemistry (IHC).</w:t>
      </w:r>
    </w:p>
    <w:p>
      <w:pPr>
        <w:pStyle w:val="Heading1"/>
        <w:spacing w:after="150" w:before="300"/>
      </w:pPr>
      <w:r>
        <w:rPr>
          <w:rFonts w:ascii="Calibri" w:cs="Calibri" w:eastAsia="Calibri" w:hAnsi="Calibri"/>
          <w:b/>
          <w:bCs/>
          <w:color w:val="1F4E79"/>
          <w:sz w:val="28"/>
          <w:szCs w:val="28"/>
        </w:rPr>
        <w:t xml:space="preserve">4. Possible Outcomes</w:t>
      </w:r>
    </w:p>
    <w:p>
      <w:pPr>
        <w:pStyle w:val="ListParagraph"/>
        <w:numPr>
          <w:ilvl w:val="0"/>
          <w:numId w:val="2"/>
        </w:numPr>
        <w:spacing w:after="80" w:line="280"/>
      </w:pPr>
      <w:r>
        <w:rPr>
          <w:rFonts w:ascii="Calibri" w:cs="Calibri" w:eastAsia="Calibri" w:hAnsi="Calibri"/>
          <w:sz w:val="22"/>
          <w:szCs w:val="22"/>
        </w:rPr>
        <w:t xml:space="preserve">Identification of a novel or previously underappreciated malignant cell-state gene in HNSCC, potentially associated with an invasive or HPV-linked cell state.</w:t>
      </w:r>
    </w:p>
    <w:p>
      <w:pPr>
        <w:pStyle w:val="ListParagraph"/>
        <w:numPr>
          <w:ilvl w:val="0"/>
          <w:numId w:val="2"/>
        </w:numPr>
        <w:spacing w:after="80" w:line="280"/>
      </w:pPr>
      <w:r>
        <w:rPr>
          <w:rFonts w:ascii="Calibri" w:cs="Calibri" w:eastAsia="Calibri" w:hAnsi="Calibri"/>
          <w:sz w:val="22"/>
          <w:szCs w:val="22"/>
        </w:rPr>
        <w:t xml:space="preserve">Confirmation of the candidate gene's differential expression pattern in an independent Bangladeshi cohort, supporting its relevance beyond the discovery dataset.</w:t>
      </w:r>
    </w:p>
    <w:p>
      <w:pPr>
        <w:pStyle w:val="ListParagraph"/>
        <w:numPr>
          <w:ilvl w:val="0"/>
          <w:numId w:val="2"/>
        </w:numPr>
        <w:spacing w:after="80" w:line="280"/>
      </w:pPr>
      <w:r>
        <w:rPr>
          <w:rFonts w:ascii="Calibri" w:cs="Calibri" w:eastAsia="Calibri" w:hAnsi="Calibri"/>
          <w:sz w:val="22"/>
          <w:szCs w:val="22"/>
        </w:rPr>
        <w:t xml:space="preserve">Either confirmation or refutation of the global HPV-associated immune/stromal TME shift in a South Asian population: both outcomes are scientifically valuable, given the hypothesis-generating status of the original finding.</w:t>
      </w:r>
    </w:p>
    <w:p>
      <w:pPr>
        <w:pStyle w:val="ListParagraph"/>
        <w:numPr>
          <w:ilvl w:val="0"/>
          <w:numId w:val="2"/>
        </w:numPr>
        <w:spacing w:after="80" w:line="280"/>
      </w:pPr>
      <w:r>
        <w:rPr>
          <w:rFonts w:ascii="Calibri" w:cs="Calibri" w:eastAsia="Calibri" w:hAnsi="Calibri"/>
          <w:sz w:val="22"/>
          <w:szCs w:val="22"/>
        </w:rPr>
        <w:t xml:space="preserve">A candidate biomarker with potential prognostic relevance, supported by correlative TCGA survival data.</w:t>
      </w:r>
    </w:p>
    <w:p>
      <w:pPr>
        <w:pStyle w:val="ListParagraph"/>
        <w:numPr>
          <w:ilvl w:val="0"/>
          <w:numId w:val="2"/>
        </w:numPr>
        <w:spacing w:after="80" w:line="280"/>
      </w:pPr>
      <w:r>
        <w:rPr>
          <w:rFonts w:ascii="Calibri" w:cs="Calibri" w:eastAsia="Calibri" w:hAnsi="Calibri"/>
          <w:sz w:val="22"/>
          <w:szCs w:val="22"/>
        </w:rPr>
        <w:t xml:space="preserve">Preliminary evidence, at the protein level (if IHC is performed), supporting mRNA-level findings.</w:t>
      </w:r>
    </w:p>
    <w:p>
      <w:pPr>
        <w:pStyle w:val="ListParagraph"/>
        <w:numPr>
          <w:ilvl w:val="0"/>
          <w:numId w:val="2"/>
        </w:numPr>
        <w:spacing w:after="80" w:line="280"/>
      </w:pPr>
      <w:r>
        <w:rPr>
          <w:rFonts w:ascii="Calibri" w:cs="Calibri" w:eastAsia="Calibri" w:hAnsi="Calibri"/>
          <w:sz w:val="22"/>
          <w:szCs w:val="22"/>
        </w:rPr>
        <w:t xml:space="preserve">A publicly documented, reusable computational pipeline (scVI-based malignant substate discovery) applicable to future HNSCC or other squamous cell carcinoma studies.</w:t>
      </w:r>
    </w:p>
    <w:p>
      <w:pPr>
        <w:pStyle w:val="Heading1"/>
        <w:spacing w:after="150" w:before="300"/>
      </w:pPr>
      <w:r>
        <w:rPr>
          <w:rFonts w:ascii="Calibri" w:cs="Calibri" w:eastAsia="Calibri" w:hAnsi="Calibri"/>
          <w:b/>
          <w:bCs/>
          <w:color w:val="1F4E79"/>
          <w:sz w:val="28"/>
          <w:szCs w:val="28"/>
        </w:rPr>
        <w:t xml:space="preserve">5. Methodology</w:t>
      </w:r>
    </w:p>
    <w:p>
      <w:pPr>
        <w:pStyle w:val="Heading2"/>
        <w:spacing w:after="100" w:before="220"/>
      </w:pPr>
      <w:r>
        <w:rPr>
          <w:rFonts w:ascii="Calibri" w:cs="Calibri" w:eastAsia="Calibri" w:hAnsi="Calibri"/>
          <w:b/>
          <w:bCs/>
          <w:color w:val="2E5B8A"/>
          <w:sz w:val="24"/>
          <w:szCs w:val="24"/>
        </w:rPr>
        <w:t xml:space="preserve">5.1 Part A: Computational Discovery (in silico)</w:t>
      </w:r>
    </w:p>
    <w:p>
      <w:pPr>
        <w:spacing w:after="120" w:line="300"/>
      </w:pPr>
      <w:r>
        <w:rPr>
          <w:rFonts w:ascii="Calibri" w:cs="Calibri" w:eastAsia="Calibri" w:hAnsi="Calibri"/>
          <w:sz w:val="22"/>
          <w:szCs w:val="22"/>
        </w:rPr>
        <w:t xml:space="preserve">Data source: HNSCatlas, a publicly available, harmonized single-cell RNA-seq resource integrating 78 HNSCC patients (274,911 cells) across four studies, with pre-annotated cell types including a validated “Tumor” compartment (Conde-Lopez et al., 2026; https://github.com/DKFZ-E220/HNSCatlas).</w:t>
      </w:r>
    </w:p>
    <w:p>
      <w:pPr>
        <w:pStyle w:val="ListParagraph"/>
        <w:numPr>
          <w:ilvl w:val="0"/>
          <w:numId w:val="3"/>
        </w:numPr>
        <w:spacing w:after="80" w:line="280"/>
      </w:pPr>
      <w:r>
        <w:rPr>
          <w:rFonts w:ascii="Calibri" w:cs="Calibri" w:eastAsia="Calibri" w:hAnsi="Calibri"/>
          <w:sz w:val="22"/>
          <w:szCs w:val="22"/>
        </w:rPr>
        <w:t xml:space="preserve">Subset cells annotated as “Tumor” from the harmonized atlas, retaining associated HPV status, sex, and patient-ID metadata.</w:t>
      </w:r>
    </w:p>
    <w:p>
      <w:pPr>
        <w:pStyle w:val="ListParagraph"/>
        <w:numPr>
          <w:ilvl w:val="0"/>
          <w:numId w:val="3"/>
        </w:numPr>
        <w:spacing w:after="80" w:line="280"/>
      </w:pPr>
      <w:r>
        <w:rPr>
          <w:rFonts w:ascii="Calibri" w:cs="Calibri" w:eastAsia="Calibri" w:hAnsi="Calibri"/>
          <w:sz w:val="22"/>
          <w:szCs w:val="22"/>
        </w:rPr>
        <w:t xml:space="preserve">Train a variational autoencoder (scVI) on the tumor-cell subset to obtain a batch-corrected latent representation.</w:t>
      </w:r>
    </w:p>
    <w:p>
      <w:pPr>
        <w:pStyle w:val="ListParagraph"/>
        <w:numPr>
          <w:ilvl w:val="0"/>
          <w:numId w:val="3"/>
        </w:numPr>
        <w:spacing w:after="80" w:line="280"/>
      </w:pPr>
      <w:r>
        <w:rPr>
          <w:rFonts w:ascii="Calibri" w:cs="Calibri" w:eastAsia="Calibri" w:hAnsi="Calibri"/>
          <w:sz w:val="22"/>
          <w:szCs w:val="22"/>
        </w:rPr>
        <w:t xml:space="preserve">Perform Leiden clustering on the latent space to resolve malignant cell substates within the tumor compartment.</w:t>
      </w:r>
    </w:p>
    <w:p>
      <w:pPr>
        <w:pStyle w:val="ListParagraph"/>
        <w:numPr>
          <w:ilvl w:val="0"/>
          <w:numId w:val="3"/>
        </w:numPr>
        <w:spacing w:after="80" w:line="280"/>
      </w:pPr>
      <w:r>
        <w:rPr>
          <w:rFonts w:ascii="Calibri" w:cs="Calibri" w:eastAsia="Calibri" w:hAnsi="Calibri"/>
          <w:sz w:val="22"/>
          <w:szCs w:val="22"/>
        </w:rPr>
        <w:t xml:space="preserve">Identify differentially expressed marker genes per substate (Wilcoxon rank-sum test, scanpy rank_genes_groups).</w:t>
      </w:r>
    </w:p>
    <w:p>
      <w:pPr>
        <w:pStyle w:val="ListParagraph"/>
        <w:numPr>
          <w:ilvl w:val="0"/>
          <w:numId w:val="3"/>
        </w:numPr>
        <w:spacing w:after="80" w:line="280"/>
      </w:pPr>
      <w:r>
        <w:rPr>
          <w:rFonts w:ascii="Calibri" w:cs="Calibri" w:eastAsia="Calibri" w:hAnsi="Calibri"/>
          <w:sz w:val="22"/>
          <w:szCs w:val="22"/>
        </w:rPr>
        <w:t xml:space="preserve">Test association between substate composition/marker gene expression and HPV status (Mann-Whitney U / Wilcoxon test); rank substates by strength of HPV association.</w:t>
      </w:r>
    </w:p>
    <w:p>
      <w:pPr>
        <w:pStyle w:val="ListParagraph"/>
        <w:numPr>
          <w:ilvl w:val="0"/>
          <w:numId w:val="3"/>
        </w:numPr>
        <w:spacing w:after="80" w:line="280"/>
      </w:pPr>
      <w:r>
        <w:rPr>
          <w:rFonts w:ascii="Calibri" w:cs="Calibri" w:eastAsia="Calibri" w:hAnsi="Calibri"/>
          <w:sz w:val="22"/>
          <w:szCs w:val="22"/>
        </w:rPr>
        <w:t xml:space="preserve">Compare candidate gene expression between the malignant substate of interest and normal epithelial cells within the same atlas (sample origin: normal tissue) to confirm cancer-cell specificity.</w:t>
      </w:r>
    </w:p>
    <w:p>
      <w:pPr>
        <w:pStyle w:val="Heading2"/>
        <w:spacing w:after="100" w:before="220"/>
      </w:pPr>
      <w:r>
        <w:rPr>
          <w:rFonts w:ascii="Calibri" w:cs="Calibri" w:eastAsia="Calibri" w:hAnsi="Calibri"/>
          <w:b/>
          <w:bCs/>
          <w:color w:val="2E5B8A"/>
          <w:sz w:val="24"/>
          <w:szCs w:val="24"/>
        </w:rPr>
        <w:t xml:space="preserve">5.2 Part B: Computational Confirmation (in silico)</w:t>
      </w:r>
    </w:p>
    <w:p>
      <w:pPr>
        <w:pStyle w:val="ListParagraph"/>
        <w:numPr>
          <w:ilvl w:val="0"/>
          <w:numId w:val="3"/>
        </w:numPr>
        <w:spacing w:after="80" w:line="280"/>
      </w:pPr>
      <w:r>
        <w:rPr>
          <w:rFonts w:ascii="Calibri" w:cs="Calibri" w:eastAsia="Calibri" w:hAnsi="Calibri"/>
          <w:sz w:val="22"/>
          <w:szCs w:val="22"/>
        </w:rPr>
        <w:t xml:space="preserve">Reconfirm candidate gene expression pattern in an independent publicly available HNSCC scRNA-seq dataset.</w:t>
      </w:r>
    </w:p>
    <w:p>
      <w:pPr>
        <w:pStyle w:val="ListParagraph"/>
        <w:numPr>
          <w:ilvl w:val="0"/>
          <w:numId w:val="3"/>
        </w:numPr>
        <w:spacing w:after="80" w:line="280"/>
      </w:pPr>
      <w:r>
        <w:rPr>
          <w:rFonts w:ascii="Calibri" w:cs="Calibri" w:eastAsia="Calibri" w:hAnsi="Calibri"/>
          <w:sz w:val="22"/>
          <w:szCs w:val="22"/>
        </w:rPr>
        <w:t xml:space="preserve">Verify candidate gene expression and overall/disease-free survival association in the TCGA-HNSC cohort using cBioPortal, filtered by HPV status where annotation permits.</w:t>
      </w:r>
    </w:p>
    <w:p>
      <w:pPr>
        <w:pStyle w:val="ListParagraph"/>
        <w:numPr>
          <w:ilvl w:val="0"/>
          <w:numId w:val="3"/>
        </w:numPr>
        <w:spacing w:after="80" w:line="280"/>
      </w:pPr>
      <w:r>
        <w:rPr>
          <w:rFonts w:ascii="Calibri" w:cs="Calibri" w:eastAsia="Calibri" w:hAnsi="Calibri"/>
          <w:sz w:val="22"/>
          <w:szCs w:val="22"/>
        </w:rPr>
        <w:t xml:space="preserve">Cross-check UALCAN and GEPIA for expression and subtype-specific patterns.</w:t>
      </w:r>
    </w:p>
    <w:p>
      <w:pPr>
        <w:pStyle w:val="ListParagraph"/>
        <w:numPr>
          <w:ilvl w:val="0"/>
          <w:numId w:val="3"/>
        </w:numPr>
        <w:spacing w:after="80" w:line="280"/>
      </w:pPr>
      <w:r>
        <w:rPr>
          <w:rFonts w:ascii="Calibri" w:cs="Calibri" w:eastAsia="Calibri" w:hAnsi="Calibri"/>
          <w:sz w:val="22"/>
          <w:szCs w:val="22"/>
        </w:rPr>
        <w:t xml:space="preserve">(Optional) Assess whether candidate gene(s) are transcription factors using curated regulon resources (e.g., decoupleR/DoRothEA), to explore potential regulatory mechanism.</w:t>
      </w:r>
    </w:p>
    <w:p>
      <w:pPr>
        <w:pStyle w:val="Heading2"/>
        <w:spacing w:after="100" w:before="220"/>
      </w:pPr>
      <w:r>
        <w:rPr>
          <w:rFonts w:ascii="Calibri" w:cs="Calibri" w:eastAsia="Calibri" w:hAnsi="Calibri"/>
          <w:b/>
          <w:bCs/>
          <w:color w:val="2E5B8A"/>
          <w:sz w:val="24"/>
          <w:szCs w:val="24"/>
        </w:rPr>
        <w:t xml:space="preserve">5.3 Part C: Experimental Validation (wet lab)</w:t>
      </w:r>
    </w:p>
    <w:p>
      <w:pPr>
        <w:spacing w:after="120" w:line="300"/>
      </w:pPr>
      <w:r>
        <w:rPr>
          <w:rFonts w:ascii="Calibri" w:cs="Calibri" w:eastAsia="Calibri" w:hAnsi="Calibri"/>
          <w:sz w:val="22"/>
          <w:szCs w:val="22"/>
        </w:rPr>
        <w:t xml:space="preserve">Study population: Prospectively recruited HNSCC patients undergoing surgical resection, with paired adjacent normal tissue, recruited under institutional ethical approval (following the model of prior BMRC/CMCH-approved studies in this research group). Target sample size: approximately 20–40 primary tumor tissues and 15–20 adjacent normal tissues, with HPV status determined via the group's existing HPV genotyping pipeline (multiplex/nested PCR and Sanger sequencing) and patients stratified accordingly.</w:t>
      </w:r>
    </w:p>
    <w:p>
      <w:pPr>
        <w:pStyle w:val="ListParagraph"/>
        <w:numPr>
          <w:ilvl w:val="0"/>
          <w:numId w:val="3"/>
        </w:numPr>
        <w:spacing w:after="80" w:line="280"/>
      </w:pPr>
      <w:r>
        <w:rPr>
          <w:rFonts w:ascii="Calibri" w:cs="Calibri" w:eastAsia="Calibri" w:hAnsi="Calibri"/>
          <w:sz w:val="22"/>
          <w:szCs w:val="22"/>
        </w:rPr>
        <w:t xml:space="preserve">Primer design: candidate gene(s) plus two reference markers validated in the source atlas (an adaptive immune marker, e.g., GZMK or CD8A, and a stromal/fibroblast marker, e.g., COL1A2 or SFRP2), designed using NCBI Primer-BLAST.</w:t>
      </w:r>
    </w:p>
    <w:p>
      <w:pPr>
        <w:pStyle w:val="ListParagraph"/>
        <w:numPr>
          <w:ilvl w:val="0"/>
          <w:numId w:val="3"/>
        </w:numPr>
        <w:spacing w:after="80" w:line="280"/>
      </w:pPr>
      <w:r>
        <w:rPr>
          <w:rFonts w:ascii="Calibri" w:cs="Calibri" w:eastAsia="Calibri" w:hAnsi="Calibri"/>
          <w:sz w:val="22"/>
          <w:szCs w:val="22"/>
        </w:rPr>
        <w:t xml:space="preserve">Tissue processing: Total RNA extracted directly from tumor and adjacent normal tissue (TRIzol method); no cell sorting required, consistent with standard practice in comparable published studies.</w:t>
      </w:r>
    </w:p>
    <w:p>
      <w:pPr>
        <w:pStyle w:val="ListParagraph"/>
        <w:numPr>
          <w:ilvl w:val="0"/>
          <w:numId w:val="3"/>
        </w:numPr>
        <w:spacing w:after="80" w:line="280"/>
      </w:pPr>
      <w:r>
        <w:rPr>
          <w:rFonts w:ascii="Calibri" w:cs="Calibri" w:eastAsia="Calibri" w:hAnsi="Calibri"/>
          <w:sz w:val="22"/>
          <w:szCs w:val="22"/>
        </w:rPr>
        <w:t xml:space="preserve">cDNA synthesis and qRT-PCR: Reverse transcription followed by SYBR Green-based quantitative real-time PCR, with GAPDH (or equivalent) as the reference gene; relative expression calculated via the 2−ΔΔCt method.</w:t>
      </w:r>
    </w:p>
    <w:p>
      <w:pPr>
        <w:pStyle w:val="ListParagraph"/>
        <w:numPr>
          <w:ilvl w:val="0"/>
          <w:numId w:val="3"/>
        </w:numPr>
        <w:spacing w:after="80" w:line="280"/>
      </w:pPr>
      <w:r>
        <w:rPr>
          <w:rFonts w:ascii="Calibri" w:cs="Calibri" w:eastAsia="Calibri" w:hAnsi="Calibri"/>
          <w:sz w:val="22"/>
          <w:szCs w:val="22"/>
        </w:rPr>
        <w:t xml:space="preserve">Statistical analysis: Two-tailed Student's t-test or Mann-Whitney U test for tumor vs. normal and HPV+ vs. HPV− comparisons; Spearman/Pearson correlation for gene-gene relationships; significance threshold p &lt; 0.05.</w:t>
      </w:r>
    </w:p>
    <w:p>
      <w:pPr>
        <w:pStyle w:val="ListParagraph"/>
        <w:numPr>
          <w:ilvl w:val="0"/>
          <w:numId w:val="3"/>
        </w:numPr>
        <w:spacing w:after="80" w:line="280"/>
      </w:pPr>
      <w:r>
        <w:rPr>
          <w:rFonts w:ascii="Calibri" w:cs="Calibri" w:eastAsia="Calibri" w:hAnsi="Calibri"/>
          <w:sz w:val="22"/>
          <w:szCs w:val="22"/>
        </w:rPr>
        <w:t xml:space="preserve">(Optional) Immunohistochemistry: Protein-level confirmation of candidate gene and/or immune marker expression on formalin-fixed paraffin-embedded (FFPE) tissue sections.</w:t>
      </w:r>
    </w:p>
    <w:p>
      <w:pPr>
        <w:pStyle w:val="Heading2"/>
        <w:spacing w:after="100" w:before="220"/>
      </w:pPr>
      <w:r>
        <w:rPr>
          <w:rFonts w:ascii="Calibri" w:cs="Calibri" w:eastAsia="Calibri" w:hAnsi="Calibri"/>
          <w:b/>
          <w:bCs/>
          <w:color w:val="2E5B8A"/>
          <w:sz w:val="24"/>
          <w:szCs w:val="24"/>
        </w:rPr>
        <w:t xml:space="preserve">5.4 Ethical Considerations</w:t>
      </w:r>
    </w:p>
    <w:p>
      <w:pPr>
        <w:spacing w:after="120" w:line="300"/>
      </w:pPr>
      <w:r>
        <w:rPr>
          <w:rFonts w:ascii="Calibri" w:cs="Calibri" w:eastAsia="Calibri" w:hAnsi="Calibri"/>
          <w:sz w:val="22"/>
          <w:szCs w:val="22"/>
        </w:rPr>
        <w:t xml:space="preserve">Sample collection, handling, and use will follow institutional ethical approval procedures (e.g., BMRC and institutional review board approval), with written informed consent obtained from all participants, consistent with prior studies conducted by this research group.</w:t>
      </w:r>
    </w:p>
    <w:p>
      <w:pPr>
        <w:pStyle w:val="Heading2"/>
        <w:spacing w:after="100" w:before="220"/>
      </w:pPr>
      <w:r>
        <w:rPr>
          <w:rFonts w:ascii="Calibri" w:cs="Calibri" w:eastAsia="Calibri" w:hAnsi="Calibri"/>
          <w:b/>
          <w:bCs/>
          <w:color w:val="2E5B8A"/>
          <w:sz w:val="24"/>
          <w:szCs w:val="24"/>
        </w:rPr>
        <w:t xml:space="preserve">5.5 Limitations</w:t>
      </w:r>
    </w:p>
    <w:p>
      <w:pPr>
        <w:pStyle w:val="ListParagraph"/>
        <w:numPr>
          <w:ilvl w:val="0"/>
          <w:numId w:val="2"/>
        </w:numPr>
        <w:spacing w:after="80" w:line="280"/>
      </w:pPr>
      <w:r>
        <w:rPr>
          <w:rFonts w:ascii="Calibri" w:cs="Calibri" w:eastAsia="Calibri" w:hAnsi="Calibri"/>
          <w:sz w:val="22"/>
          <w:szCs w:val="22"/>
        </w:rPr>
        <w:t xml:space="preserve">The discovery dataset (HNSCatlas) is derived entirely from non-South Asian cohorts; findings require independent validation, which this study aims to provide at the tissue/mRNA level.</w:t>
      </w:r>
    </w:p>
    <w:p>
      <w:pPr>
        <w:pStyle w:val="ListParagraph"/>
        <w:numPr>
          <w:ilvl w:val="0"/>
          <w:numId w:val="2"/>
        </w:numPr>
        <w:spacing w:after="80" w:line="280"/>
      </w:pPr>
      <w:r>
        <w:rPr>
          <w:rFonts w:ascii="Calibri" w:cs="Calibri" w:eastAsia="Calibri" w:hAnsi="Calibri"/>
          <w:sz w:val="22"/>
          <w:szCs w:val="22"/>
        </w:rPr>
        <w:t xml:space="preserve">qRT-PCR on whole tissue lysate cannot directly quantify cell-type proportions; immune/stromal marker gene expression serves as a proxy measure and is complemented, where feasible, by IHC.</w:t>
      </w:r>
    </w:p>
    <w:p>
      <w:pPr>
        <w:pStyle w:val="ListParagraph"/>
        <w:numPr>
          <w:ilvl w:val="0"/>
          <w:numId w:val="2"/>
        </w:numPr>
        <w:spacing w:after="80" w:line="280"/>
      </w:pPr>
      <w:r>
        <w:rPr>
          <w:rFonts w:ascii="Calibri" w:cs="Calibri" w:eastAsia="Calibri" w:hAnsi="Calibri"/>
          <w:sz w:val="22"/>
          <w:szCs w:val="22"/>
        </w:rPr>
        <w:t xml:space="preserve">Sample size constraints, particularly for HPV+/HPV− and any further stratification, may limit statistical power; findings from smaller subgroups will be interpreted as exploratory.</w:t>
      </w:r>
    </w:p>
    <w:p>
      <w:pPr>
        <w:pStyle w:val="ListParagraph"/>
        <w:numPr>
          <w:ilvl w:val="0"/>
          <w:numId w:val="2"/>
        </w:numPr>
        <w:spacing w:after="80" w:line="280"/>
      </w:pPr>
      <w:r>
        <w:rPr>
          <w:rFonts w:ascii="Calibri" w:cs="Calibri" w:eastAsia="Calibri" w:hAnsi="Calibri"/>
          <w:sz w:val="22"/>
          <w:szCs w:val="22"/>
        </w:rPr>
        <w:t xml:space="preserve">This study does not include functional (knockdown/overexpression) validation; findings are correlative and mechanistic follow-up is proposed as future work.</w:t>
      </w:r>
    </w:p>
    <w:p>
      <w:pPr>
        <w:spacing w:before="300"/>
      </w:pPr>
    </w:p>
    <w:p>
      <w:pPr>
        <w:spacing w:after="120"/>
      </w:pPr>
      <w:r>
        <w:rPr>
          <w:rFonts w:ascii="Calibri" w:cs="Calibri" w:eastAsia="Calibri" w:hAnsi="Calibri"/>
          <w:b/>
          <w:bCs/>
          <w:color w:val="2E5B8A"/>
          <w:sz w:val="24"/>
          <w:szCs w:val="24"/>
        </w:rPr>
        <w:t xml:space="preserve">Timeline Overview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00"/>
      </w:tblGrid>
      <w:tr>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Timeframe</w:t>
            </w:r>
          </w:p>
        </w:tc>
        <w:tc>
          <w:tcPr>
            <w:tcW w:type="dxa" w:w="41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Key Activities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In silico discovery</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Sept 2026 (Weeks 1-2)</w:t>
            </w:r>
          </w:p>
        </w:tc>
        <w:tc>
          <w:tcPr>
            <w:tcW w:type="dxa" w:w="4100"/>
            <w:tcMar>
              <w:top w:type="dxa" w:w="80"/>
              <w:left w:type="dxa" w:w="100"/>
              <w:bottom w:type="dxa" w:w="80"/>
              <w:right w:type="dxa" w:w="100"/>
            </w:tcMar>
          </w:tcPr>
          <w:p>
            <w:r>
              <w:rPr>
                <w:rFonts w:ascii="Calibri" w:cs="Calibri" w:eastAsia="Calibri" w:hAnsi="Calibri"/>
                <w:b w:val="false"/>
                <w:bCs w:val="false"/>
                <w:color w:val="000000"/>
                <w:sz w:val="20"/>
                <w:szCs w:val="20"/>
              </w:rPr>
              <w:t xml:space="preserve">scVI training + Leiden clustering on HNSCatlas tumor compartment; marker gene identification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In silico confirmation</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Sept 2026 (Weeks 2-3)</w:t>
            </w:r>
          </w:p>
        </w:tc>
        <w:tc>
          <w:tcPr>
            <w:tcW w:type="dxa" w:w="4100"/>
            <w:tcMar>
              <w:top w:type="dxa" w:w="80"/>
              <w:left w:type="dxa" w:w="100"/>
              <w:bottom w:type="dxa" w:w="80"/>
              <w:right w:type="dxa" w:w="100"/>
            </w:tcMar>
          </w:tcPr>
          <w:p>
            <w:r>
              <w:rPr>
                <w:rFonts w:ascii="Calibri" w:cs="Calibri" w:eastAsia="Calibri" w:hAnsi="Calibri"/>
                <w:b w:val="false"/>
                <w:bCs w:val="false"/>
                <w:color w:val="000000"/>
                <w:sz w:val="20"/>
                <w:szCs w:val="20"/>
              </w:rPr>
              <w:t xml:space="preserve">Independent dataset reconfirmation; TCGA-HNSC / cBioPortal / UALCAN / GEPIA verification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Primer design &amp; ordering</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Late Sept - Early Oct 2026</w:t>
            </w:r>
          </w:p>
        </w:tc>
        <w:tc>
          <w:tcPr>
            <w:tcW w:type="dxa" w:w="4100"/>
            <w:tcMar>
              <w:top w:type="dxa" w:w="80"/>
              <w:left w:type="dxa" w:w="100"/>
              <w:bottom w:type="dxa" w:w="80"/>
              <w:right w:type="dxa" w:w="100"/>
            </w:tcMar>
          </w:tcPr>
          <w:p>
            <w:r>
              <w:rPr>
                <w:rFonts w:ascii="Calibri" w:cs="Calibri" w:eastAsia="Calibri" w:hAnsi="Calibri"/>
                <w:b w:val="false"/>
                <w:bCs w:val="false"/>
                <w:color w:val="000000"/>
                <w:sz w:val="20"/>
                <w:szCs w:val="20"/>
              </w:rPr>
              <w:t xml:space="preserve">Primer-BLAST design for candidate gene(s) and reference immune/stromal markers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Sample collection &amp; qRT-PCR</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Oct - Nov 2026</w:t>
            </w:r>
          </w:p>
        </w:tc>
        <w:tc>
          <w:tcPr>
            <w:tcW w:type="dxa" w:w="4100"/>
            <w:tcMar>
              <w:top w:type="dxa" w:w="80"/>
              <w:left w:type="dxa" w:w="100"/>
              <w:bottom w:type="dxa" w:w="80"/>
              <w:right w:type="dxa" w:w="100"/>
            </w:tcMar>
          </w:tcPr>
          <w:p>
            <w:r>
              <w:rPr>
                <w:rFonts w:ascii="Calibri" w:cs="Calibri" w:eastAsia="Calibri" w:hAnsi="Calibri"/>
                <w:b w:val="false"/>
                <w:bCs w:val="false"/>
                <w:color w:val="000000"/>
                <w:sz w:val="20"/>
                <w:szCs w:val="20"/>
              </w:rPr>
              <w:t xml:space="preserve">Tumor/normal tissue collection (HPV-stratified); RNA extraction; qRT-PCR</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IHC (optional) &amp; data compilation</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Nov - Dec 2026</w:t>
            </w:r>
          </w:p>
        </w:tc>
        <w:tc>
          <w:tcPr>
            <w:tcW w:type="dxa" w:w="4100"/>
            <w:tcMar>
              <w:top w:type="dxa" w:w="80"/>
              <w:left w:type="dxa" w:w="100"/>
              <w:bottom w:type="dxa" w:w="80"/>
              <w:right w:type="dxa" w:w="100"/>
            </w:tcMar>
          </w:tcPr>
          <w:p>
            <w:r>
              <w:rPr>
                <w:rFonts w:ascii="Calibri" w:cs="Calibri" w:eastAsia="Calibri" w:hAnsi="Calibri"/>
                <w:b w:val="false"/>
                <w:bCs w:val="false"/>
                <w:color w:val="000000"/>
                <w:sz w:val="20"/>
                <w:szCs w:val="20"/>
              </w:rPr>
              <w:t xml:space="preserve">Protein-level confirmation; integration of computational and experimental findings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Thesis writing</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Dec 2026</w:t>
            </w:r>
          </w:p>
        </w:tc>
        <w:tc>
          <w:tcPr>
            <w:tcW w:type="dxa" w:w="4100"/>
            <w:tcMar>
              <w:top w:type="dxa" w:w="80"/>
              <w:left w:type="dxa" w:w="100"/>
              <w:bottom w:type="dxa" w:w="80"/>
              <w:right w:type="dxa" w:w="100"/>
            </w:tcMar>
          </w:tcPr>
          <w:p>
            <w:r>
              <w:rPr>
                <w:rFonts w:ascii="Calibri" w:cs="Calibri" w:eastAsia="Calibri" w:hAnsi="Calibri"/>
                <w:b w:val="false"/>
                <w:bCs w:val="false"/>
                <w:color w:val="000000"/>
                <w:sz w:val="20"/>
                <w:szCs w:val="20"/>
              </w:rPr>
              <w:t xml:space="preserve">Manuscript and thesis drafting</w:t>
            </w:r>
          </w:p>
        </w:tc>
      </w:tr>
    </w:tbl>
    <w:p>
      <w:pPr>
        <w:spacing w:before="300"/>
      </w:pPr>
    </w:p>
    <w:p>
      <w:pPr>
        <w:pStyle w:val="Heading1"/>
        <w:spacing w:after="150" w:before="300"/>
      </w:pPr>
      <w:r>
        <w:rPr>
          <w:rFonts w:ascii="Calibri" w:cs="Calibri" w:eastAsia="Calibri" w:hAnsi="Calibri"/>
          <w:b/>
          <w:bCs/>
          <w:color w:val="1F4E79"/>
          <w:sz w:val="28"/>
          <w:szCs w:val="28"/>
        </w:rPr>
        <w:t xml:space="preserve">References</w:t>
      </w:r>
    </w:p>
    <w:p>
      <w:pPr>
        <w:spacing w:after="140" w:line="280"/>
        <w:ind w:left="400" w:hanging="400"/>
      </w:pPr>
      <w:r>
        <w:rPr>
          <w:rFonts w:ascii="Calibri" w:cs="Calibri" w:eastAsia="Calibri" w:hAnsi="Calibri"/>
          <w:sz w:val="20"/>
          <w:szCs w:val="20"/>
        </w:rPr>
        <w:t xml:space="preserve">Bray, F., Ferlay, J., Soerjomataram, I., Siegel, R.L., Torre, L.A., and Jemal, A. (2018). Global cancer statistics 2018: GLOBOCAN estimates of incidence and mortality worldwide for 36 cancers in 185 countries. CA Cancer J. Clin. 68, 394-424.</w:t>
      </w:r>
    </w:p>
    <w:p>
      <w:pPr>
        <w:spacing w:after="140" w:line="280"/>
        <w:ind w:left="400" w:hanging="400"/>
      </w:pPr>
      <w:r>
        <w:rPr>
          <w:rFonts w:ascii="Calibri" w:cs="Calibri" w:eastAsia="Calibri" w:hAnsi="Calibri"/>
          <w:sz w:val="20"/>
          <w:szCs w:val="20"/>
        </w:rPr>
        <w:t xml:space="preserve">Conde-Lopez, C., Marripati, D., Besso, M.J., Roscher, M., Han, R., Hadiwikarta, W.W., Elkabets, M., Hess, J., and Kurth, I. (2026). A unified single-cell atlas of HNSCC: toward characterizing HPV- and sex-associated TME variability. iScience 29, 115863.</w:t>
      </w:r>
    </w:p>
    <w:p>
      <w:pPr>
        <w:spacing w:after="140" w:line="280"/>
        <w:ind w:left="400" w:hanging="400"/>
      </w:pPr>
      <w:r>
        <w:rPr>
          <w:rFonts w:ascii="Calibri" w:cs="Calibri" w:eastAsia="Calibri" w:hAnsi="Calibri"/>
          <w:sz w:val="20"/>
          <w:szCs w:val="20"/>
        </w:rPr>
        <w:t xml:space="preserve">Lopez, R., Regier, J., Cole, M.B., Jordan, M.I., and Yosef, N. (2018). Deep generative modeling for single-cell transcriptomics. Nat. Methods 15, 1053-1058.</w:t>
      </w:r>
    </w:p>
    <w:p>
      <w:pPr>
        <w:spacing w:after="140" w:line="280"/>
        <w:ind w:left="400" w:hanging="400"/>
      </w:pPr>
      <w:r>
        <w:rPr>
          <w:rFonts w:ascii="Calibri" w:cs="Calibri" w:eastAsia="Calibri" w:hAnsi="Calibri"/>
          <w:sz w:val="20"/>
          <w:szCs w:val="20"/>
        </w:rPr>
        <w:t xml:space="preserve">Puram, S.V., Tirosh, I., Parikh, A.S., Patel, A.P., Yizhak, K., Gillespie, S., Rodman, C., Luo, C.L., Mroz, E.A., Emerick, K.S., et al. (2017). Single-cell transcriptomic analysis of primary and metastatic tumor ecosystems in head and neck cancer. Cell 171, 1611-1624.e24.</w:t>
      </w:r>
    </w:p>
    <w:p>
      <w:pPr>
        <w:spacing w:after="140" w:line="280"/>
        <w:ind w:left="400" w:hanging="400"/>
      </w:pPr>
      <w:r>
        <w:rPr>
          <w:rFonts w:ascii="Calibri" w:cs="Calibri" w:eastAsia="Calibri" w:hAnsi="Calibri"/>
          <w:sz w:val="20"/>
          <w:szCs w:val="20"/>
        </w:rPr>
        <w:t xml:space="preserve">Svensson, V., Gayoso, A., Yosef, N., and Pachter, L. (2020). Interpretable factor models of single-cell RNA-seq via variational autoencoders. Bioinformatics 36, 3418-3421.</w:t>
      </w:r>
    </w:p>
    <w:p>
      <w:pPr>
        <w:spacing w:after="140" w:line="280"/>
        <w:ind w:left="400" w:hanging="400"/>
      </w:pPr>
      <w:r>
        <w:rPr>
          <w:rFonts w:ascii="Calibri" w:cs="Calibri" w:eastAsia="Calibri" w:hAnsi="Calibri"/>
          <w:sz w:val="20"/>
          <w:szCs w:val="20"/>
        </w:rPr>
        <w:t xml:space="preserve">Traag, V.A., Waltman, L., and van Eck, N.J. (2019). From Louvain to Leiden: guaranteeing well-connected communities. Sci. Rep. 9, 5233.</w:t>
      </w:r>
    </w:p>
    <w:p>
      <w:pPr>
        <w:spacing w:after="140" w:line="280"/>
        <w:ind w:left="400" w:hanging="400"/>
      </w:pPr>
      <w:r>
        <w:rPr>
          <w:rFonts w:ascii="Calibri" w:cs="Calibri" w:eastAsia="Calibri" w:hAnsi="Calibri"/>
          <w:sz w:val="20"/>
          <w:szCs w:val="20"/>
        </w:rPr>
        <w:t xml:space="preserve">Way, G.P., and Greene, C.S. (2018). Extracting a biologically relevant latent space from cancer transcriptomes with variational autoencoders. Pac. Symp. Biocomput. 23, 80-91.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2026-09-13T21:29:40.321Z</dcterms:created>
  <dcterms:modified xsi:type="dcterms:W3CDTF">2026-09-13T21:29:40.333Z</dcterms:modified>
</cp:coreProperties>
</file>

<file path=docProps/custom.xml><?xml version="1.0" encoding="utf-8"?>
<Properties xmlns="http://schemas.openxmlformats.org/officeDocument/2006/custom-properties" xmlns:vt="http://schemas.openxmlformats.org/officeDocument/2006/docPropsVTypes"/>
</file>