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26A00"/>
          <w:spacing w:val="40"/>
          <w:sz w:val="18"/>
          <w:szCs w:val="18"/>
        </w:rPr>
        <w:t xml:space="preserve">RESEARCH TISSUE SAMPLING PROTOCOL</w:t>
      </w:r>
    </w:p>
    <w:p>
      <w:pPr>
        <w:spacing w:after="40"/>
      </w:pPr>
      <w:r>
        <w:rPr>
          <w:b/>
          <w:bCs/>
          <w:color w:val="1F5F6B"/>
          <w:sz w:val="30"/>
          <w:szCs w:val="30"/>
        </w:rPr>
        <w:t xml:space="preserve">Oral Cavity SCC Resection — Tumor, Distance and Margin Samples for qRT-PCR</w:t>
      </w:r>
    </w:p>
    <w:p>
      <w:pPr>
        <w:pBdr>
          <w:bottom w:val="single" w:color="1F5F6B" w:sz="6" w:space="3"/>
        </w:pBdr>
        <w:spacing w:after="100"/>
      </w:pPr>
      <w:r>
        <w:rPr>
          <w:color w:val="595959"/>
          <w:sz w:val="16"/>
          <w:szCs w:val="16"/>
        </w:rPr>
        <w:t xml:space="preserve">For the operating surgeon and reporting pathologist  ·  HNSCC qRT-PCR study  ·  Ethics approval ref: 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1F5F6B" w:sz="24"/>
              <w:bottom w:val="none" w:color="FFFFFF" w:sz="0"/>
              <w:right w:val="none" w:color="FFFFFF" w:sz="0"/>
            </w:tcBorders>
            <w:shd w:fill="E6F0F2" w:color="auto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line="252"/>
            </w:pPr>
            <w:r>
              <w:rPr>
                <w:b/>
                <w:bCs/>
                <w:color w:val="1F5F6B"/>
                <w:sz w:val="17"/>
                <w:szCs w:val="17"/>
              </w:rPr>
              <w:t xml:space="preserve">Why these samples:  </w:t>
            </w:r>
            <w:r>
              <w:rPr>
                <w:sz w:val="17"/>
                <w:szCs w:val="17"/>
              </w:rPr>
              <w:t xml:space="preserve">Comparing tumor with normal-looking mucosa at increasing distances shows </w:t>
            </w:r>
            <w:r>
              <w:rPr>
                <w:b/>
                <w:bCs/>
                <w:sz w:val="17"/>
                <w:szCs w:val="17"/>
              </w:rPr>
              <w:t xml:space="preserve">how far molecular changes extend beyond the visible tumor</w:t>
            </w:r>
            <w:r>
              <w:rPr>
                <w:sz w:val="17"/>
                <w:szCs w:val="17"/>
              </w:rPr>
              <w:t xml:space="preserve"> (field cancerization), and whether changes at the margin </w:t>
            </w:r>
            <w:r>
              <w:rPr>
                <w:b/>
                <w:bCs/>
                <w:sz w:val="17"/>
                <w:szCs w:val="17"/>
              </w:rPr>
              <w:t xml:space="preserve">predict local recurrence</w:t>
            </w:r>
            <w:r>
              <w:rPr>
                <w:sz w:val="17"/>
                <w:szCs w:val="17"/>
              </w:rPr>
              <w:t xml:space="preserve">. The opposite cheek and healthy volunteers give the least-exposed baseline.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pPr>
              <w:spacing w:after="0" w:line="252"/>
            </w:pPr>
            <w:r>
              <w:rPr>
                <w:b/>
                <w:bCs/>
                <w:color w:val="B26A00"/>
                <w:sz w:val="17"/>
                <w:szCs w:val="17"/>
              </w:rPr>
              <w:t xml:space="preserve">Priority rule:  </w:t>
            </w:r>
            <w:r>
              <w:rPr>
                <w:sz w:val="17"/>
                <w:szCs w:val="17"/>
              </w:rPr>
              <w:t xml:space="preserve">Diagnostic pathology always comes first. Research sampling must never compromise margin assessment, staging or frozen-section reporting. If a margin is close or the specimen is small, </w:t>
            </w:r>
            <w:r>
              <w:rPr>
                <w:b/>
                <w:bCs/>
                <w:sz w:val="17"/>
                <w:szCs w:val="17"/>
              </w:rPr>
              <w:t xml:space="preserve">skip N1 / N2</w:t>
            </w:r>
            <w:r>
              <w:rPr>
                <w:sz w:val="17"/>
                <w:szCs w:val="17"/>
              </w:rPr>
              <w:t xml:space="preserve"> — the pathologist has the final say.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110"/>
      </w:pPr>
      <w:r>
        <w:rPr>
          <w:b/>
          <w:bCs/>
          <w:color w:val="1F5F6B"/>
          <w:sz w:val="20"/>
          <w:szCs w:val="20"/>
        </w:rPr>
        <w:t xml:space="preserve">Sampling sites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7"/>
        <w:gridCol w:w="3266"/>
        <w:gridCol w:w="4389"/>
        <w:gridCol w:w="1224"/>
      </w:tblGrid>
      <w:tr>
        <w:trPr>
          <w:cantSplit/>
        </w:trPr>
        <w:tc>
          <w:tcPr>
            <w:tcW w:type="dxa" w:w="1327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1F5F6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266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1F5F6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Site</w:t>
            </w:r>
          </w:p>
        </w:tc>
        <w:tc>
          <w:tcPr>
            <w:tcW w:type="dxa" w:w="4389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1F5F6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When / how</w:t>
            </w:r>
          </w:p>
        </w:tc>
        <w:tc>
          <w:tcPr>
            <w:tcW w:type="dxa" w:w="1224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1F5F6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Size</w:t>
            </w:r>
          </w:p>
        </w:tc>
      </w:tr>
      <w:tr>
        <w:trPr>
          <w:cantSplit/>
        </w:trPr>
        <w:tc>
          <w:tcPr>
            <w:tcW w:type="dxa" w:w="1327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</w:t>
            </w:r>
          </w:p>
        </w:tc>
        <w:tc>
          <w:tcPr>
            <w:tcW w:type="dxa" w:w="3266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Viable tumor at the advancing edge; avoid necrotic centre and ulcer base</w:t>
            </w:r>
          </w:p>
        </w:tc>
        <w:tc>
          <w:tcPr>
            <w:tcW w:type="dxa" w:w="4389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From the specimen, after the pathologist has oriented it and assessed gross margins</w:t>
            </w:r>
          </w:p>
        </w:tc>
        <w:tc>
          <w:tcPr>
            <w:tcW w:type="dxa" w:w="1224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 × 5 mm</w:t>
            </w:r>
          </w:p>
        </w:tc>
      </w:tr>
      <w:tr>
        <w:trPr>
          <w:cantSplit/>
        </w:trPr>
        <w:tc>
          <w:tcPr>
            <w:tcW w:type="dxa" w:w="1327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N1</w:t>
            </w:r>
          </w:p>
        </w:tc>
        <w:tc>
          <w:tcPr>
            <w:tcW w:type="dxa" w:w="3266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Clinically normal mucosa </w:t>
            </w:r>
            <w:r>
              <w:rPr>
                <w:b/>
                <w:bCs/>
                <w:sz w:val="16"/>
                <w:szCs w:val="16"/>
              </w:rPr>
              <w:t xml:space="preserve">10–15 mm</w:t>
            </w:r>
            <w:r>
              <w:rPr>
                <w:sz w:val="16"/>
                <w:szCs w:val="16"/>
              </w:rPr>
              <w:t xml:space="preserve"> from the visible tumor edge</w:t>
            </w:r>
          </w:p>
        </w:tc>
        <w:tc>
          <w:tcPr>
            <w:tcW w:type="dxa" w:w="4389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From the specimen; superficial mucosa only; never from the inked resection margin</w:t>
            </w:r>
          </w:p>
        </w:tc>
        <w:tc>
          <w:tcPr>
            <w:tcW w:type="dxa" w:w="1224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 × 5 mm</w:t>
            </w:r>
          </w:p>
        </w:tc>
      </w:tr>
      <w:tr>
        <w:trPr>
          <w:cantSplit/>
        </w:trPr>
        <w:tc>
          <w:tcPr>
            <w:tcW w:type="dxa" w:w="1327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N2</w:t>
            </w:r>
            <w:r>
              <w:rPr>
                <w:sz w:val="16"/>
                <w:szCs w:val="16"/>
              </w:rPr>
              <w:t xml:space="preserve"> (optional)</w:t>
            </w:r>
          </w:p>
        </w:tc>
        <w:tc>
          <w:tcPr>
            <w:tcW w:type="dxa" w:w="3266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Clinically normal mucosa </w:t>
            </w:r>
            <w:r>
              <w:rPr>
                <w:b/>
                <w:bCs/>
                <w:sz w:val="16"/>
                <w:szCs w:val="16"/>
              </w:rPr>
              <w:t xml:space="preserve">20–30 mm</w:t>
            </w:r>
            <w:r>
              <w:rPr>
                <w:sz w:val="16"/>
                <w:szCs w:val="16"/>
              </w:rPr>
              <w:t xml:space="preserve"> from the tumor edge</w:t>
            </w:r>
          </w:p>
        </w:tc>
        <w:tc>
          <w:tcPr>
            <w:tcW w:type="dxa" w:w="4389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Only in large or composite specimens where tissue allows</w:t>
            </w:r>
          </w:p>
        </w:tc>
        <w:tc>
          <w:tcPr>
            <w:tcW w:type="dxa" w:w="1224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 × 5 mm</w:t>
            </w:r>
          </w:p>
        </w:tc>
      </w:tr>
      <w:tr>
        <w:trPr>
          <w:cantSplit/>
        </w:trPr>
        <w:tc>
          <w:tcPr>
            <w:tcW w:type="dxa" w:w="1327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</w:t>
            </w:r>
          </w:p>
        </w:tc>
        <w:tc>
          <w:tcPr>
            <w:tcW w:type="dxa" w:w="3266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Resection-bed margin (patient side)</w:t>
            </w:r>
          </w:p>
        </w:tc>
        <w:tc>
          <w:tcPr>
            <w:tcW w:type="dxa" w:w="4389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One extra mucosal shave from the wound bed, next to the frozen-section margin site</w:t>
            </w:r>
          </w:p>
        </w:tc>
        <w:tc>
          <w:tcPr>
            <w:tcW w:type="dxa" w:w="1224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~3 × 5 mm</w:t>
            </w:r>
          </w:p>
        </w:tc>
      </w:tr>
      <w:tr>
        <w:trPr>
          <w:cantSplit/>
        </w:trPr>
        <w:tc>
          <w:tcPr>
            <w:tcW w:type="dxa" w:w="1327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</w:t>
            </w:r>
            <w:r>
              <w:rPr>
                <w:sz w:val="16"/>
                <w:szCs w:val="16"/>
              </w:rPr>
              <w:t xml:space="preserve"> (optional, consented)</w:t>
            </w:r>
          </w:p>
        </w:tc>
        <w:tc>
          <w:tcPr>
            <w:tcW w:type="dxa" w:w="3266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Contralateral buccal mucosa, clinically normal</w:t>
            </w:r>
          </w:p>
        </w:tc>
        <w:tc>
          <w:tcPr>
            <w:tcW w:type="dxa" w:w="4389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3–4 mm punch biopsy under the same anaesthesia; one absorbable suture if needed</w:t>
            </w:r>
          </w:p>
        </w:tc>
        <w:tc>
          <w:tcPr>
            <w:tcW w:type="dxa" w:w="1224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3–4 mm</w:t>
            </w:r>
          </w:p>
        </w:tc>
      </w:tr>
    </w:tbl>
    <w:p>
      <w:pPr>
        <w:keepNext/>
        <w:spacing w:after="50" w:before="110"/>
      </w:pPr>
      <w:r>
        <w:rPr>
          <w:b/>
          <w:bCs/>
          <w:color w:val="1F5F6B"/>
          <w:sz w:val="20"/>
          <w:szCs w:val="20"/>
        </w:rPr>
        <w:t xml:space="preserve">Handling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sz w:val="17"/>
          <w:szCs w:val="17"/>
        </w:rPr>
        <w:t xml:space="preserve">Use </w:t>
      </w:r>
      <w:r>
        <w:rPr>
          <w:b/>
          <w:bCs/>
          <w:sz w:val="17"/>
          <w:szCs w:val="17"/>
        </w:rPr>
        <w:t xml:space="preserve">cold knife or scissors</w:t>
      </w:r>
      <w:r>
        <w:rPr>
          <w:sz w:val="17"/>
          <w:szCs w:val="17"/>
        </w:rPr>
        <w:t xml:space="preserve"> for research pieces; avoid diathermy over the sampled area (cautery degrades RNA).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sz w:val="17"/>
          <w:szCs w:val="17"/>
        </w:rPr>
        <w:t xml:space="preserve">Process within </w:t>
      </w:r>
      <w:r>
        <w:rPr>
          <w:b/>
          <w:bCs/>
          <w:sz w:val="17"/>
          <w:szCs w:val="17"/>
        </w:rPr>
        <w:t xml:space="preserve">30 minutes of excision</w:t>
      </w:r>
      <w:r>
        <w:rPr>
          <w:sz w:val="17"/>
          <w:szCs w:val="17"/>
        </w:rPr>
        <w:t xml:space="preserve">. Rinse briefly in cold sterile saline, trim fat and muscle, keep the mucosa.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b/>
          <w:bCs/>
          <w:sz w:val="17"/>
          <w:szCs w:val="17"/>
        </w:rPr>
        <w:t xml:space="preserve">Split each piece:</w:t>
      </w:r>
      <w:r>
        <w:rPr>
          <w:sz w:val="17"/>
          <w:szCs w:val="17"/>
        </w:rPr>
        <w:t xml:space="preserve"> one half into </w:t>
      </w:r>
      <w:r>
        <w:rPr>
          <w:b/>
          <w:bCs/>
          <w:sz w:val="17"/>
          <w:szCs w:val="17"/>
        </w:rPr>
        <w:t xml:space="preserve">RNAlater</w:t>
      </w:r>
      <w:r>
        <w:rPr>
          <w:sz w:val="17"/>
          <w:szCs w:val="17"/>
        </w:rPr>
        <w:t xml:space="preserve"> (≥5× tissue volume), one half into </w:t>
      </w:r>
      <w:r>
        <w:rPr>
          <w:b/>
          <w:bCs/>
          <w:sz w:val="17"/>
          <w:szCs w:val="17"/>
        </w:rPr>
        <w:t xml:space="preserve">formalin</w:t>
      </w:r>
      <w:r>
        <w:rPr>
          <w:sz w:val="17"/>
          <w:szCs w:val="17"/>
        </w:rPr>
        <w:t xml:space="preserve"> for a mirror H&amp;E section.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sz w:val="17"/>
          <w:szCs w:val="17"/>
        </w:rPr>
        <w:t xml:space="preserve">Keep RNAlater tubes at </w:t>
      </w:r>
      <w:r>
        <w:rPr>
          <w:b/>
          <w:bCs/>
          <w:sz w:val="17"/>
          <w:szCs w:val="17"/>
        </w:rPr>
        <w:t xml:space="preserve">4 °C overnight, then −80 °C</w:t>
      </w:r>
      <w:r>
        <w:rPr>
          <w:sz w:val="17"/>
          <w:szCs w:val="17"/>
        </w:rPr>
        <w:t xml:space="preserve">. Label as StudyID–Code (e.g., OC023-T, OC023-N1), with date and time.</w:t>
      </w:r>
    </w:p>
    <w:p>
      <w:pPr>
        <w:keepNext/>
        <w:spacing w:after="50" w:before="110"/>
      </w:pPr>
      <w:r>
        <w:rPr>
          <w:b/>
          <w:bCs/>
          <w:color w:val="1F5F6B"/>
          <w:sz w:val="20"/>
          <w:szCs w:val="20"/>
        </w:rPr>
        <w:t xml:space="preserve">Do not sample</w:t>
      </w:r>
    </w:p>
    <w:p>
      <w:pPr>
        <w:spacing w:after="40" w:line="252"/>
      </w:pPr>
      <w:r>
        <w:rPr>
          <w:sz w:val="17"/>
          <w:szCs w:val="17"/>
        </w:rPr>
        <w:t xml:space="preserve">Inked resection margins  ·  necrotic or ulcerated areas  ·  cautery-charred edges  ·  small (T1) lesions where the pathologist needs the whole specimen.</w:t>
      </w:r>
    </w:p>
    <w:p>
      <w:pPr>
        <w:keepNext/>
        <w:spacing w:after="50" w:before="110"/>
      </w:pPr>
      <w:r>
        <w:rPr>
          <w:b/>
          <w:bCs/>
          <w:color w:val="1F5F6B"/>
          <w:sz w:val="20"/>
          <w:szCs w:val="20"/>
        </w:rPr>
        <w:t xml:space="preserve">Record for each patient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837"/>
        <w:gridCol w:w="2756"/>
        <w:gridCol w:w="2551"/>
      </w:tblGrid>
      <w:tr>
        <w:trPr>
          <w:cantSplit/>
        </w:trPr>
        <w:tc>
          <w:tcPr>
            <w:tcW w:type="dxa" w:w="3062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1F5F6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837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1F5F6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756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1F5F6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51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1F5F6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Written consent / contralateral biopsy consent</w:t>
            </w:r>
          </w:p>
        </w:tc>
        <w:tc>
          <w:tcPr>
            <w:tcW w:type="dxa" w:w="1837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☐ Yes   ☐ Yes</w:t>
            </w:r>
          </w:p>
        </w:tc>
        <w:tc>
          <w:tcPr>
            <w:tcW w:type="dxa" w:w="2756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Tumor site and side</w:t>
            </w:r>
          </w:p>
        </w:tc>
        <w:tc>
          <w:tcPr>
            <w:tcW w:type="dxa" w:w="2551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Specimen photographed with ruler</w:t>
            </w:r>
          </w:p>
        </w:tc>
        <w:tc>
          <w:tcPr>
            <w:tcW w:type="dxa" w:w="1837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☐ Yes</w:t>
            </w:r>
          </w:p>
        </w:tc>
        <w:tc>
          <w:tcPr>
            <w:tcW w:type="dxa" w:w="2756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Side where quid / zarda is kept</w:t>
            </w:r>
          </w:p>
        </w:tc>
        <w:tc>
          <w:tcPr>
            <w:tcW w:type="dxa" w:w="2551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☐ L  ☐ R  ☐ Both  ☐ None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Distances N1 / N2 from tumor edge (mm)</w:t>
            </w:r>
          </w:p>
        </w:tc>
        <w:tc>
          <w:tcPr>
            <w:tcW w:type="dxa" w:w="1837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____ / ____</w:t>
            </w:r>
          </w:p>
        </w:tc>
        <w:tc>
          <w:tcPr>
            <w:tcW w:type="dxa" w:w="2756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Frozen-section margin result</w:t>
            </w:r>
          </w:p>
        </w:tc>
        <w:tc>
          <w:tcPr>
            <w:tcW w:type="dxa" w:w="2551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☐ Clear  ☐ Close  ☐ Involved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Time of excision / time into RNAlater</w:t>
            </w:r>
          </w:p>
        </w:tc>
        <w:tc>
          <w:tcPr>
            <w:tcW w:type="dxa" w:w="1837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__:__  /  __:__</w:t>
            </w:r>
          </w:p>
        </w:tc>
        <w:tc>
          <w:tcPr>
            <w:tcW w:type="dxa" w:w="2756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Collected by (name, signature)</w:t>
            </w:r>
          </w:p>
        </w:tc>
        <w:tc>
          <w:tcPr>
            <w:tcW w:type="dxa" w:w="2551"/>
            <w:tcBorders>
              <w:top w:val="single" w:color="BFCFD3" w:sz="4"/>
              <w:left w:val="single" w:color="BFCFD3" w:sz="4"/>
              <w:bottom w:val="single" w:color="BFCFD3" w:sz="4"/>
              <w:right w:val="single" w:color="BFCFD3" w:sz="4"/>
            </w:tcBorders>
            <w:shd w:fill="F5F9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____________</w:t>
            </w:r>
          </w:p>
        </w:tc>
      </w:tr>
    </w:tbl>
    <w:p>
      <w:pPr>
        <w:spacing w:after="0" w:line="252"/>
      </w:pPr>
      <w:r>
        <w:rPr>
          <w:i/>
          <w:iCs/>
          <w:color w:val="595959"/>
          <w:sz w:val="15"/>
          <w:szCs w:val="15"/>
        </w:rPr>
        <w:t xml:space="preserve">Questions about sampling: contact the research team before the case. Thank you for supporting this study.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fcf98eea5a264be6c0e5000d69683cedb3a64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2026-10-11T14:18:40.605Z</dcterms:created>
  <dcterms:modified xsi:type="dcterms:W3CDTF">2026-10-11T14:18:40.605Z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