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D50BC" w14:textId="7512F507" w:rsidR="00577F50" w:rsidRPr="00DE2CDE" w:rsidRDefault="00577F50" w:rsidP="00E80555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2CD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Method:</w:t>
      </w:r>
    </w:p>
    <w:p w14:paraId="0905397C" w14:textId="287AFB5A" w:rsidR="00DE2CDE" w:rsidRPr="00DE2CDE" w:rsidRDefault="00577F50" w:rsidP="00DE2CD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E2CD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Differential Gene Expression Analysis:</w:t>
      </w:r>
    </w:p>
    <w:p w14:paraId="51EA2B0E" w14:textId="65DCE295" w:rsidR="00577F50" w:rsidRPr="00DE2CDE" w:rsidRDefault="00577F50" w:rsidP="00E8055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CDE">
        <w:rPr>
          <w:rFonts w:ascii="Times New Roman" w:hAnsi="Times New Roman" w:cs="Times New Roman"/>
          <w:color w:val="000000" w:themeColor="text1"/>
          <w:sz w:val="24"/>
          <w:szCs w:val="24"/>
        </w:rPr>
        <w:t>To identify differentially expressed genes (DEGs) based on different criteria within the corresponding datasets, Differential gene expression(DGE) analysis was performed by pairwise contrast in each platform through meta-analytical approach.</w:t>
      </w:r>
    </w:p>
    <w:p w14:paraId="1F82A868" w14:textId="77777777" w:rsidR="00577F50" w:rsidRPr="00DE2CDE" w:rsidRDefault="00577F50" w:rsidP="00E805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2C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microarray datasets, we recruited t-statistics and employed the </w:t>
      </w:r>
      <w:proofErr w:type="spellStart"/>
      <w:r w:rsidRPr="00DE2CDE">
        <w:rPr>
          <w:rFonts w:ascii="Times New Roman" w:hAnsi="Times New Roman" w:cs="Times New Roman"/>
          <w:color w:val="000000" w:themeColor="text1"/>
          <w:sz w:val="24"/>
          <w:szCs w:val="24"/>
        </w:rPr>
        <w:t>Limma</w:t>
      </w:r>
      <w:proofErr w:type="spellEnd"/>
      <w:r w:rsidRPr="00DE2C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(Linear Models for Microarray and RNA-Seq Data Analysis) R package to estimate differential gene expression among MPXV, Killed MPXV and Mock sample groups. A</w:t>
      </w:r>
      <w:r w:rsidRPr="00DE2CDE">
        <w:rPr>
          <w:rFonts w:ascii="Times New Roman" w:hAnsi="Times New Roman" w:cs="Times New Roman"/>
          <w:sz w:val="24"/>
          <w:szCs w:val="24"/>
        </w:rPr>
        <w:t xml:space="preserve"> linear model was fitted using an empirical Bayes method to moderate standard errors of the estimated log-fold changes for expression values from each platform.</w:t>
      </w:r>
    </w:p>
    <w:p w14:paraId="72835BF8" w14:textId="77777777" w:rsidR="00577F50" w:rsidRPr="00DE2CDE" w:rsidRDefault="00577F50" w:rsidP="00E8055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CDE">
        <w:rPr>
          <w:rFonts w:ascii="Times New Roman" w:hAnsi="Times New Roman" w:cs="Times New Roman"/>
          <w:color w:val="000000" w:themeColor="text1"/>
          <w:sz w:val="24"/>
          <w:szCs w:val="24"/>
        </w:rPr>
        <w:t>For RNA-seq dataset, we applied a negative binomial distribution-based statistical approach with variance and mean bound by local regression using DESeq2 package to identify differentially expressed genes (DEGs) of each pairwise contrast.</w:t>
      </w:r>
    </w:p>
    <w:p w14:paraId="346C3028" w14:textId="77777777" w:rsidR="00577F50" w:rsidRPr="00DE2CDE" w:rsidRDefault="00577F50" w:rsidP="00E80555">
      <w:pPr>
        <w:jc w:val="both"/>
        <w:rPr>
          <w:rFonts w:ascii="Times New Roman" w:hAnsi="Times New Roman" w:cs="Times New Roman"/>
          <w:color w:val="7F7F7F" w:themeColor="text1" w:themeTint="80"/>
          <w:sz w:val="24"/>
          <w:szCs w:val="24"/>
        </w:rPr>
      </w:pPr>
      <w:r w:rsidRPr="00DE2CDE">
        <w:rPr>
          <w:rFonts w:ascii="Times New Roman" w:hAnsi="Times New Roman" w:cs="Times New Roman"/>
          <w:color w:val="7F7F7F" w:themeColor="text1" w:themeTint="80"/>
          <w:sz w:val="24"/>
          <w:szCs w:val="24"/>
        </w:rPr>
        <w:t xml:space="preserve">#Significant genes condition P value &gt; 0.05 </w:t>
      </w:r>
    </w:p>
    <w:p w14:paraId="35803A23" w14:textId="77777777" w:rsidR="00577F50" w:rsidRPr="00DE2CDE" w:rsidRDefault="00577F50" w:rsidP="00E8055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CDE">
        <w:rPr>
          <w:rFonts w:ascii="Times New Roman" w:hAnsi="Times New Roman" w:cs="Times New Roman"/>
          <w:color w:val="000000" w:themeColor="text1"/>
          <w:sz w:val="24"/>
          <w:szCs w:val="24"/>
        </w:rPr>
        <w:t>Genes with the adjusted p-values (FDR &lt; 0.05) were considered statistically significant.</w:t>
      </w:r>
    </w:p>
    <w:p w14:paraId="13430EC2" w14:textId="77777777" w:rsidR="00577F50" w:rsidRPr="00DE2CDE" w:rsidRDefault="00577F50" w:rsidP="00E8055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CDE">
        <w:rPr>
          <w:rFonts w:ascii="Times New Roman" w:hAnsi="Times New Roman" w:cs="Times New Roman"/>
          <w:color w:val="000000" w:themeColor="text1"/>
          <w:sz w:val="24"/>
          <w:szCs w:val="24"/>
        </w:rPr>
        <w:t>The Benjamini-Hochberg false discovery rate method was used to balance the discovery of statistically significant genes and the limitation of false positives.</w:t>
      </w:r>
    </w:p>
    <w:p w14:paraId="0E99EB3E" w14:textId="77777777" w:rsidR="00577F50" w:rsidRPr="00DE2CDE" w:rsidRDefault="00577F50" w:rsidP="00E8055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CDE">
        <w:rPr>
          <w:rFonts w:ascii="Times New Roman" w:hAnsi="Times New Roman" w:cs="Times New Roman"/>
          <w:color w:val="000000" w:themeColor="text1"/>
          <w:sz w:val="24"/>
          <w:szCs w:val="24"/>
        </w:rPr>
        <w:t>Differentially Expressed Genes (DEGs) were considered upregulated (UP) if the logarithm of the fold change (</w:t>
      </w:r>
      <w:proofErr w:type="spellStart"/>
      <w:r w:rsidRPr="00DE2CDE">
        <w:rPr>
          <w:rFonts w:ascii="Times New Roman" w:hAnsi="Times New Roman" w:cs="Times New Roman"/>
          <w:color w:val="000000" w:themeColor="text1"/>
          <w:sz w:val="24"/>
          <w:szCs w:val="24"/>
        </w:rPr>
        <w:t>logFC</w:t>
      </w:r>
      <w:proofErr w:type="spellEnd"/>
      <w:r w:rsidRPr="00DE2C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&gt; 1 and downregulated (DOWN) if the </w:t>
      </w:r>
      <w:proofErr w:type="spellStart"/>
      <w:r w:rsidRPr="00DE2CDE">
        <w:rPr>
          <w:rFonts w:ascii="Times New Roman" w:hAnsi="Times New Roman" w:cs="Times New Roman"/>
          <w:color w:val="000000" w:themeColor="text1"/>
          <w:sz w:val="24"/>
          <w:szCs w:val="24"/>
        </w:rPr>
        <w:t>logFC</w:t>
      </w:r>
      <w:proofErr w:type="spellEnd"/>
      <w:r w:rsidRPr="00DE2C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-1.</w:t>
      </w:r>
    </w:p>
    <w:p w14:paraId="41E256EE" w14:textId="77777777" w:rsidR="00577F50" w:rsidRPr="00DE2CDE" w:rsidRDefault="00577F50" w:rsidP="00E8055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CDE">
        <w:rPr>
          <w:rFonts w:ascii="Times New Roman" w:hAnsi="Times New Roman" w:cs="Times New Roman"/>
          <w:color w:val="000000" w:themeColor="text1"/>
          <w:sz w:val="24"/>
          <w:szCs w:val="24"/>
        </w:rPr>
        <w:t>#Packages version</w:t>
      </w:r>
    </w:p>
    <w:p w14:paraId="232DC526" w14:textId="77777777" w:rsidR="00577F50" w:rsidRPr="00DE2CDE" w:rsidRDefault="00577F50" w:rsidP="00E8055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CDE">
        <w:rPr>
          <w:rFonts w:ascii="Times New Roman" w:hAnsi="Times New Roman" w:cs="Times New Roman"/>
          <w:color w:val="000000" w:themeColor="text1"/>
          <w:sz w:val="24"/>
          <w:szCs w:val="24"/>
        </w:rPr>
        <w:t>DESeq2,pheatmap,dplyr,ggplot2,ggrepel</w:t>
      </w:r>
    </w:p>
    <w:p w14:paraId="2DF110BB" w14:textId="77777777" w:rsidR="00577F50" w:rsidRPr="00DE2CDE" w:rsidRDefault="00577F50" w:rsidP="00E8055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2CDE">
        <w:rPr>
          <w:rFonts w:ascii="Times New Roman" w:hAnsi="Times New Roman" w:cs="Times New Roman"/>
          <w:color w:val="000000" w:themeColor="text1"/>
          <w:sz w:val="24"/>
          <w:szCs w:val="24"/>
        </w:rPr>
        <w:t>#</w:t>
      </w:r>
      <w:r w:rsidRPr="00DE2CDE">
        <w:rPr>
          <w:rFonts w:ascii="Times New Roman" w:hAnsi="Times New Roman" w:cs="Times New Roman"/>
          <w:sz w:val="24"/>
          <w:szCs w:val="24"/>
        </w:rPr>
        <w:t xml:space="preserve"> </w:t>
      </w:r>
      <w:r w:rsidRPr="00DE2CDE">
        <w:rPr>
          <w:rFonts w:ascii="Times New Roman" w:hAnsi="Times New Roman" w:cs="Times New Roman"/>
          <w:color w:val="000000" w:themeColor="text1"/>
          <w:sz w:val="24"/>
          <w:szCs w:val="24"/>
        </w:rPr>
        <w:t>The meta-analysis process is shown in Figure X</w:t>
      </w:r>
    </w:p>
    <w:p w14:paraId="0381E349" w14:textId="77777777" w:rsidR="00331341" w:rsidRPr="00DE2CDE" w:rsidRDefault="00331341" w:rsidP="00E8055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31341" w:rsidRPr="00DE2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50"/>
    <w:rsid w:val="00331341"/>
    <w:rsid w:val="00577F50"/>
    <w:rsid w:val="009343ED"/>
    <w:rsid w:val="00B23FD8"/>
    <w:rsid w:val="00DE2CDE"/>
    <w:rsid w:val="00E8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58CFC"/>
  <w15:chartTrackingRefBased/>
  <w15:docId w15:val="{4DD3BBB7-39FC-4613-BADF-EF5C42B17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F50"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Prokash Debnath</dc:creator>
  <cp:keywords/>
  <dc:description/>
  <cp:lastModifiedBy>Joy Prokash Debnath</cp:lastModifiedBy>
  <cp:revision>1</cp:revision>
  <dcterms:created xsi:type="dcterms:W3CDTF">2023-10-09T14:14:00Z</dcterms:created>
  <dcterms:modified xsi:type="dcterms:W3CDTF">2023-10-09T16:37:00Z</dcterms:modified>
</cp:coreProperties>
</file>