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9E57A" w14:textId="4BB9018D" w:rsidR="00F9227F" w:rsidRDefault="00000000" w:rsidP="00DB6764">
      <w:pPr>
        <w:spacing w:after="160" w:line="360" w:lineRule="auto"/>
        <w:jc w:val="center"/>
        <w:rPr>
          <w:sz w:val="29"/>
          <w:szCs w:val="29"/>
        </w:rPr>
      </w:pPr>
      <w:r w:rsidRPr="00DB6764">
        <w:rPr>
          <w:b/>
          <w:bCs/>
          <w:sz w:val="29"/>
          <w:szCs w:val="29"/>
        </w:rPr>
        <w:t xml:space="preserve">Identifying and Validating Neuroprotective Immune Cell Signatures in Parkinson's Disease CSF Using Single-Cell Transcriptomics and </w:t>
      </w:r>
      <w:proofErr w:type="spellStart"/>
      <w:r w:rsidRPr="00DB6764">
        <w:rPr>
          <w:b/>
          <w:bCs/>
          <w:sz w:val="29"/>
          <w:szCs w:val="29"/>
        </w:rPr>
        <w:t>qRT</w:t>
      </w:r>
      <w:proofErr w:type="spellEnd"/>
      <w:r w:rsidRPr="00DB6764">
        <w:rPr>
          <w:b/>
          <w:bCs/>
          <w:sz w:val="29"/>
          <w:szCs w:val="29"/>
        </w:rPr>
        <w:t>-PCR</w:t>
      </w:r>
    </w:p>
    <w:p w14:paraId="336F0805" w14:textId="77777777" w:rsidR="00DB6764" w:rsidRPr="00DB6764" w:rsidRDefault="00DB6764" w:rsidP="00DB6764">
      <w:pPr>
        <w:spacing w:after="160" w:line="360" w:lineRule="auto"/>
        <w:jc w:val="center"/>
        <w:rPr>
          <w:sz w:val="2"/>
          <w:szCs w:val="2"/>
        </w:rPr>
      </w:pPr>
    </w:p>
    <w:p w14:paraId="1A855230" w14:textId="77777777" w:rsidR="00F9227F" w:rsidRDefault="00000000">
      <w:pPr>
        <w:spacing w:after="160" w:line="360" w:lineRule="auto"/>
        <w:jc w:val="both"/>
      </w:pPr>
      <w:r>
        <w:rPr>
          <w:b/>
          <w:bCs/>
          <w:sz w:val="27"/>
          <w:szCs w:val="27"/>
        </w:rPr>
        <w:t>Background:</w:t>
      </w:r>
    </w:p>
    <w:p w14:paraId="07AEBF40" w14:textId="77777777" w:rsidR="00F9227F" w:rsidRDefault="00000000">
      <w:pPr>
        <w:spacing w:after="160" w:line="360" w:lineRule="auto"/>
        <w:jc w:val="both"/>
      </w:pPr>
      <w:r>
        <w:rPr>
          <w:sz w:val="24"/>
          <w:szCs w:val="24"/>
        </w:rPr>
        <w:t>In Parkinson's disease (PD), the dopamine-producing neurons in a brain region called the Substantia Nigra slowly die, so dopamine levels in the body drop. At the same time, a harmful protein called alpha-synuclein builds up in this region, because the protein misfolds and cannot be cleared away properly.</w:t>
      </w:r>
    </w:p>
    <w:p w14:paraId="55EBBC7C" w14:textId="77777777" w:rsidR="00F9227F" w:rsidRDefault="00000000">
      <w:pPr>
        <w:spacing w:after="160" w:line="360" w:lineRule="auto"/>
        <w:jc w:val="both"/>
      </w:pPr>
      <w:r>
        <w:rPr>
          <w:sz w:val="24"/>
          <w:szCs w:val="24"/>
        </w:rPr>
        <w:t>When the Blood-Brain Barrier (BBB) becomes weak, NK cells from the blood and CSF can move into the brain and reach the damaged area near the dying dopamine neurons.</w:t>
      </w:r>
    </w:p>
    <w:p w14:paraId="4FAAD0C4" w14:textId="77777777" w:rsidR="00F9227F" w:rsidRDefault="00000000">
      <w:pPr>
        <w:spacing w:after="160" w:line="360" w:lineRule="auto"/>
        <w:jc w:val="both"/>
      </w:pPr>
      <w:r>
        <w:rPr>
          <w:sz w:val="24"/>
          <w:szCs w:val="24"/>
        </w:rPr>
        <w:t>These NK cells may help by clearing away the toxic alpha-synuclein. A gene called RAC1 helps NK cells migrate easily to the damaged area, where they can engulf and clear the protein buildup.</w:t>
      </w:r>
    </w:p>
    <w:p w14:paraId="6717C25F" w14:textId="77777777" w:rsidR="00F9227F" w:rsidRDefault="00000000">
      <w:pPr>
        <w:spacing w:after="160" w:line="360" w:lineRule="auto"/>
        <w:jc w:val="both"/>
      </w:pPr>
      <w:r>
        <w:rPr>
          <w:sz w:val="24"/>
          <w:szCs w:val="24"/>
        </w:rPr>
        <w:t>Cerebrospinal fluid (CSF) contains a heterogeneous mix of immune cells, some of which may play this protective role while others may contribute to neurotoxicity. Bulk-level analyses of CSF cannot resolve this heterogeneity, since protective and cytotoxic populations are averaged together and their distinct signals are lost.</w:t>
      </w:r>
    </w:p>
    <w:p w14:paraId="1588A82E" w14:textId="77777777" w:rsidR="00F9227F" w:rsidRDefault="00000000">
      <w:pPr>
        <w:spacing w:after="160" w:line="360" w:lineRule="auto"/>
        <w:jc w:val="both"/>
      </w:pPr>
      <w:r>
        <w:rPr>
          <w:b/>
          <w:bCs/>
          <w:sz w:val="27"/>
          <w:szCs w:val="27"/>
        </w:rPr>
        <w:t>Rationale:</w:t>
      </w:r>
    </w:p>
    <w:p w14:paraId="36A8B53E" w14:textId="77777777" w:rsidR="00F9227F" w:rsidRDefault="00000000">
      <w:pPr>
        <w:spacing w:after="160" w:line="360" w:lineRule="auto"/>
        <w:jc w:val="both"/>
      </w:pPr>
      <w:r>
        <w:rPr>
          <w:sz w:val="24"/>
          <w:szCs w:val="24"/>
        </w:rPr>
        <w:t>Single-cell RNA-seq of CSF gives cell-level resolution, allowing neuroprotective cell subsets to be separated from cytotoxic ones and candidate marker genes driving these distinct behaviors to be identified computationally.</w:t>
      </w:r>
    </w:p>
    <w:p w14:paraId="013DDEC6" w14:textId="77777777" w:rsidR="00F9227F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These candidate genes can then be tested directly in patient samples by </w:t>
      </w:r>
      <w:proofErr w:type="spellStart"/>
      <w:r>
        <w:rPr>
          <w:sz w:val="24"/>
          <w:szCs w:val="24"/>
        </w:rPr>
        <w:t>qRT</w:t>
      </w:r>
      <w:proofErr w:type="spellEnd"/>
      <w:r>
        <w:rPr>
          <w:sz w:val="24"/>
          <w:szCs w:val="24"/>
        </w:rPr>
        <w:t>-PCR, giving a result that is both computationally derived and experimentally validated.</w:t>
      </w:r>
    </w:p>
    <w:p w14:paraId="3D97FDD7" w14:textId="77777777" w:rsidR="00F9227F" w:rsidRDefault="00000000">
      <w:pPr>
        <w:spacing w:after="160" w:line="360" w:lineRule="auto"/>
        <w:jc w:val="both"/>
      </w:pPr>
      <w:r>
        <w:rPr>
          <w:b/>
          <w:bCs/>
          <w:sz w:val="27"/>
          <w:szCs w:val="27"/>
        </w:rPr>
        <w:t>Objectives:</w:t>
      </w:r>
    </w:p>
    <w:p w14:paraId="0AF1E585" w14:textId="77777777" w:rsidR="00F9227F" w:rsidRDefault="00000000" w:rsidP="00DB676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To identify neuroprotective immune cell subsets in PD CSF using single-cell transcriptomic analysis.</w:t>
      </w:r>
    </w:p>
    <w:p w14:paraId="7CFED809" w14:textId="77777777" w:rsidR="00F9227F" w:rsidRDefault="00000000" w:rsidP="00DB676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To shortlist approximately five candidate genes associated with the neuroprotective cell subset for experimental testing.</w:t>
      </w:r>
    </w:p>
    <w:p w14:paraId="57B2BE5D" w14:textId="77777777" w:rsidR="00F9227F" w:rsidRDefault="00000000" w:rsidP="00DB676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lastRenderedPageBreak/>
        <w:t xml:space="preserve">To validate expression of these candidate genes by </w:t>
      </w:r>
      <w:proofErr w:type="spellStart"/>
      <w:r>
        <w:rPr>
          <w:sz w:val="24"/>
          <w:szCs w:val="24"/>
        </w:rPr>
        <w:t>qRT</w:t>
      </w:r>
      <w:proofErr w:type="spellEnd"/>
      <w:r>
        <w:rPr>
          <w:sz w:val="24"/>
          <w:szCs w:val="24"/>
        </w:rPr>
        <w:t>-PCR in paired blood and CSF samples from PD patients.</w:t>
      </w:r>
    </w:p>
    <w:p w14:paraId="7F3DE19A" w14:textId="77777777" w:rsidR="00F9227F" w:rsidRDefault="00000000" w:rsidP="00DB6764">
      <w:pPr>
        <w:spacing w:before="240" w:after="160" w:line="360" w:lineRule="auto"/>
        <w:jc w:val="both"/>
      </w:pPr>
      <w:r>
        <w:rPr>
          <w:b/>
          <w:bCs/>
          <w:sz w:val="27"/>
          <w:szCs w:val="27"/>
        </w:rPr>
        <w:t>Expected Outcomes:</w:t>
      </w:r>
    </w:p>
    <w:p w14:paraId="0404DFC3" w14:textId="77777777" w:rsidR="00F9227F" w:rsidRDefault="00000000" w:rsidP="00DB6764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sz w:val="24"/>
          <w:szCs w:val="24"/>
        </w:rPr>
        <w:t>A computationally defined signature of neuroprotective cells in PD CSF, with a short list of candidate marker genes.</w:t>
      </w:r>
    </w:p>
    <w:p w14:paraId="4A08F742" w14:textId="77777777" w:rsidR="00F9227F" w:rsidRDefault="00000000" w:rsidP="00DB6764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sz w:val="24"/>
          <w:szCs w:val="24"/>
        </w:rPr>
        <w:t xml:space="preserve">Experimental confirmation, by </w:t>
      </w:r>
      <w:proofErr w:type="spellStart"/>
      <w:r>
        <w:rPr>
          <w:sz w:val="24"/>
          <w:szCs w:val="24"/>
        </w:rPr>
        <w:t>qRT</w:t>
      </w:r>
      <w:proofErr w:type="spellEnd"/>
      <w:r>
        <w:rPr>
          <w:sz w:val="24"/>
          <w:szCs w:val="24"/>
        </w:rPr>
        <w:t>-PCR in blood and CSF samples, of which candidate genes hold up in real patient samples.</w:t>
      </w:r>
    </w:p>
    <w:p w14:paraId="55027A63" w14:textId="77777777" w:rsidR="00F9227F" w:rsidRDefault="00000000" w:rsidP="00DB6764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sz w:val="24"/>
          <w:szCs w:val="24"/>
        </w:rPr>
        <w:t>If antibody staining is included, independent confirmation that the candidate gene signature corresponds to the expected cell type.</w:t>
      </w:r>
    </w:p>
    <w:p w14:paraId="2035C4F0" w14:textId="418840CA" w:rsidR="00F9227F" w:rsidRDefault="00DB6764" w:rsidP="00DB6764">
      <w:pPr>
        <w:spacing w:after="160"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95E7C8" wp14:editId="51141D43">
            <wp:simplePos x="0" y="0"/>
            <wp:positionH relativeFrom="column">
              <wp:posOffset>991721</wp:posOffset>
            </wp:positionH>
            <wp:positionV relativeFrom="paragraph">
              <wp:posOffset>375285</wp:posOffset>
            </wp:positionV>
            <wp:extent cx="4299585" cy="5164455"/>
            <wp:effectExtent l="0" t="0" r="5715" b="4445"/>
            <wp:wrapTopAndBottom/>
            <wp:docPr id="19744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0468" name="Picture 19744704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>Methodology:</w:t>
      </w:r>
    </w:p>
    <w:p w14:paraId="2722AA47" w14:textId="21476C20" w:rsidR="00DB6764" w:rsidRDefault="0098331E" w:rsidP="00DB6764">
      <w:pPr>
        <w:spacing w:after="16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05F6E" wp14:editId="36BC13E4">
                <wp:simplePos x="0" y="0"/>
                <wp:positionH relativeFrom="column">
                  <wp:posOffset>74295</wp:posOffset>
                </wp:positionH>
                <wp:positionV relativeFrom="paragraph">
                  <wp:posOffset>2338705</wp:posOffset>
                </wp:positionV>
                <wp:extent cx="5559425" cy="635"/>
                <wp:effectExtent l="0" t="0" r="3175" b="3810"/>
                <wp:wrapTopAndBottom/>
                <wp:docPr id="1494532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DE37C7" w14:textId="3329B7FA" w:rsidR="000E2E3C" w:rsidRPr="00295F57" w:rsidRDefault="000E2E3C" w:rsidP="000E2E3C">
                            <w:pPr>
                              <w:pStyle w:val="Caption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1415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6D3859">
                              <w:t>(Dot Plot): Expression profiles of marker genes across identified cell clusters/types. Dot size represents the fraction of cells expressing the gene (%), while color intensity reflects the mean expression level within each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D05F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.85pt;margin-top:184.15pt;width:437.7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" stroked="f">
                <v:textbox style="mso-fit-shape-to-text:t" inset="0,0,0,0">
                  <w:txbxContent>
                    <w:p w14:paraId="42DE37C7" w14:textId="3329B7FA" w:rsidR="000E2E3C" w:rsidRPr="00295F57" w:rsidRDefault="000E2E3C" w:rsidP="000E2E3C">
                      <w:pPr>
                        <w:pStyle w:val="Caption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1415E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6D3859">
                        <w:t>(Dot Plot): Expression profiles of marker genes across identified cell clusters/types. Dot size represents the fraction of cells expressing the gene (%), while color intensity reflects the mean expression level within each group.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764" w:rsidRPr="00DB6764">
        <w:rPr>
          <w:b/>
          <w:bCs/>
          <w:sz w:val="28"/>
          <w:szCs w:val="28"/>
        </w:rPr>
        <w:t>Test Run</w:t>
      </w:r>
      <w:r w:rsidR="00DB6764">
        <w:rPr>
          <w:b/>
          <w:bCs/>
          <w:sz w:val="28"/>
          <w:szCs w:val="28"/>
        </w:rPr>
        <w:t>: Results</w:t>
      </w:r>
      <w:r w:rsidR="000E2E3C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59D7AD2" wp14:editId="357DCD44">
            <wp:simplePos x="0" y="0"/>
            <wp:positionH relativeFrom="column">
              <wp:posOffset>0</wp:posOffset>
            </wp:positionH>
            <wp:positionV relativeFrom="paragraph">
              <wp:posOffset>403225</wp:posOffset>
            </wp:positionV>
            <wp:extent cx="5943600" cy="1875155"/>
            <wp:effectExtent l="0" t="0" r="0" b="4445"/>
            <wp:wrapTopAndBottom/>
            <wp:docPr id="333072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2827" name="Picture 3330728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(</w:t>
      </w:r>
      <w:r w:rsidRPr="0098331E">
        <w:rPr>
          <w:b/>
          <w:bCs/>
          <w:sz w:val="28"/>
          <w:szCs w:val="28"/>
        </w:rPr>
        <w:t>GSE141578</w:t>
      </w:r>
      <w:r>
        <w:rPr>
          <w:b/>
          <w:bCs/>
          <w:sz w:val="28"/>
          <w:szCs w:val="28"/>
        </w:rPr>
        <w:t>)</w:t>
      </w:r>
    </w:p>
    <w:p w14:paraId="276A1C3F" w14:textId="77777777" w:rsidR="000E2E3C" w:rsidRPr="000E2E3C" w:rsidRDefault="000E2E3C" w:rsidP="00DB6764">
      <w:pPr>
        <w:spacing w:after="160" w:line="360" w:lineRule="auto"/>
        <w:jc w:val="both"/>
        <w:rPr>
          <w:b/>
          <w:bCs/>
          <w:sz w:val="28"/>
          <w:szCs w:val="28"/>
        </w:rPr>
      </w:pPr>
    </w:p>
    <w:p w14:paraId="2176CCBB" w14:textId="0F1808B8" w:rsidR="000E2E3C" w:rsidRPr="00DB6764" w:rsidRDefault="0098331E" w:rsidP="00DB6764">
      <w:pPr>
        <w:spacing w:after="160" w:line="360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339A3" wp14:editId="7B307BF4">
                <wp:simplePos x="0" y="0"/>
                <wp:positionH relativeFrom="column">
                  <wp:posOffset>244475</wp:posOffset>
                </wp:positionH>
                <wp:positionV relativeFrom="paragraph">
                  <wp:posOffset>4371340</wp:posOffset>
                </wp:positionV>
                <wp:extent cx="5389880" cy="635"/>
                <wp:effectExtent l="0" t="0" r="0" b="3810"/>
                <wp:wrapTopAndBottom/>
                <wp:docPr id="1821800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BAE303" w14:textId="61828D46" w:rsidR="0098331E" w:rsidRPr="007A5799" w:rsidRDefault="0098331E" w:rsidP="0098331E">
                            <w:pPr>
                              <w:pStyle w:val="Caption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1415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963F12">
                              <w:rPr>
                                <w:noProof/>
                              </w:rPr>
                              <w:t xml:space="preserve"> </w:t>
                            </w:r>
                            <w:r w:rsidRPr="00D97E22">
                              <w:t xml:space="preserve">(UMAP Plot): Single-cell embedding </w:t>
                            </w:r>
                            <w:proofErr w:type="spellStart"/>
                            <w:r w:rsidRPr="00D97E22">
                              <w:t>visualising</w:t>
                            </w:r>
                            <w:proofErr w:type="spellEnd"/>
                            <w:r w:rsidRPr="00D97E22">
                              <w:t xml:space="preserve"> distinct cell populations (including CD4+ and CD8+ T-cells, NK cells, B-cells, Monocytes, Macrophages, DCs, and </w:t>
                            </w:r>
                            <w:proofErr w:type="spellStart"/>
                            <w:r w:rsidRPr="00D97E22">
                              <w:t>pDCs</w:t>
                            </w:r>
                            <w:proofErr w:type="spellEnd"/>
                            <w:r w:rsidRPr="00D97E22">
                              <w:t>) color-coded by cell type.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1339A3" id="_x0000_s1027" type="#_x0000_t202" style="position:absolute;left:0;text-align:left;margin-left:19.25pt;margin-top:344.2pt;width:424.4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" stroked="f">
                <v:textbox style="mso-fit-shape-to-text:t" inset="0,0,0,0">
                  <w:txbxContent>
                    <w:p w14:paraId="7FBAE303" w14:textId="61828D46" w:rsidR="0098331E" w:rsidRPr="007A5799" w:rsidRDefault="0098331E" w:rsidP="0098331E">
                      <w:pPr>
                        <w:pStyle w:val="Caption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1415E">
                          <w:rPr>
                            <w:noProof/>
                          </w:rPr>
                          <w:t>2</w:t>
                        </w:r>
                      </w:fldSimple>
                      <w:r w:rsidR="00963F12">
                        <w:rPr>
                          <w:noProof/>
                        </w:rPr>
                        <w:t xml:space="preserve"> </w:t>
                      </w:r>
                      <w:r w:rsidRPr="00D97E22">
                        <w:t xml:space="preserve">(UMAP Plot): Single-cell embedding </w:t>
                      </w:r>
                      <w:proofErr w:type="spellStart"/>
                      <w:r w:rsidRPr="00D97E22">
                        <w:t>visualising</w:t>
                      </w:r>
                      <w:proofErr w:type="spellEnd"/>
                      <w:r w:rsidRPr="00D97E22">
                        <w:t xml:space="preserve"> distinct cell populations (including CD4+ and CD8+ T-cells, NK cells, B-cells, Monocytes, Macrophages, DCs, and </w:t>
                      </w:r>
                      <w:proofErr w:type="spellStart"/>
                      <w:r w:rsidRPr="00D97E22">
                        <w:t>pDCs</w:t>
                      </w:r>
                      <w:proofErr w:type="spellEnd"/>
                      <w:r w:rsidRPr="00D97E22">
                        <w:t>) color-coded by cell type.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E2E3C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4D0BFCF" wp14:editId="7E002C1A">
            <wp:simplePos x="0" y="0"/>
            <wp:positionH relativeFrom="column">
              <wp:posOffset>478125</wp:posOffset>
            </wp:positionH>
            <wp:positionV relativeFrom="paragraph">
              <wp:posOffset>207645</wp:posOffset>
            </wp:positionV>
            <wp:extent cx="5156200" cy="4102735"/>
            <wp:effectExtent l="0" t="0" r="0" b="0"/>
            <wp:wrapTopAndBottom/>
            <wp:docPr id="1082877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77119" name="Picture 1082877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E2E3C" w:rsidRPr="00DB6764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0210AA" w14:textId="77777777" w:rsidR="00D42975" w:rsidRDefault="00D42975" w:rsidP="0071415E">
      <w:r>
        <w:separator/>
      </w:r>
    </w:p>
  </w:endnote>
  <w:endnote w:type="continuationSeparator" w:id="0">
    <w:p w14:paraId="3A633B2B" w14:textId="77777777" w:rsidR="00D42975" w:rsidRDefault="00D42975" w:rsidP="00714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32649133"/>
      <w:docPartObj>
        <w:docPartGallery w:val="Page Numbers (Bottom of Page)"/>
        <w:docPartUnique/>
      </w:docPartObj>
    </w:sdtPr>
    <w:sdtContent>
      <w:p w14:paraId="33BF7B62" w14:textId="4AFD825D" w:rsidR="0071415E" w:rsidRDefault="0071415E" w:rsidP="00743A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AF2231" w14:textId="77777777" w:rsidR="0071415E" w:rsidRDefault="0071415E" w:rsidP="007141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2569208"/>
      <w:docPartObj>
        <w:docPartGallery w:val="Page Numbers (Bottom of Page)"/>
        <w:docPartUnique/>
      </w:docPartObj>
    </w:sdtPr>
    <w:sdtContent>
      <w:p w14:paraId="3262103E" w14:textId="669ED6E1" w:rsidR="0071415E" w:rsidRDefault="0071415E" w:rsidP="00743A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6CA8520" w14:textId="77777777" w:rsidR="0071415E" w:rsidRDefault="0071415E" w:rsidP="007141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50BB17" w14:textId="77777777" w:rsidR="00D42975" w:rsidRDefault="00D42975" w:rsidP="0071415E">
      <w:r>
        <w:separator/>
      </w:r>
    </w:p>
  </w:footnote>
  <w:footnote w:type="continuationSeparator" w:id="0">
    <w:p w14:paraId="1E052984" w14:textId="77777777" w:rsidR="00D42975" w:rsidRDefault="00D42975" w:rsidP="00714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60E22A" w14:textId="29FF766B" w:rsidR="0071415E" w:rsidRDefault="0071415E">
    <w:pPr>
      <w:pStyle w:val="Header"/>
    </w:pPr>
    <w:r>
      <w:t>Research Proposal</w:t>
    </w:r>
  </w:p>
  <w:p w14:paraId="04B2C781" w14:textId="449BADA1" w:rsidR="0071415E" w:rsidRDefault="0071415E">
    <w:pPr>
      <w:pStyle w:val="Header"/>
      <w:pBdr>
        <w:bottom w:val="single" w:sz="6" w:space="1" w:color="auto"/>
      </w:pBdr>
    </w:pPr>
    <w:r>
      <w:t>Joy Prokash Debnath; Master’s Student, BMB, SUST</w:t>
    </w:r>
  </w:p>
  <w:p w14:paraId="68904AC6" w14:textId="77777777" w:rsidR="0071415E" w:rsidRDefault="007141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824E2D"/>
    <w:multiLevelType w:val="hybridMultilevel"/>
    <w:tmpl w:val="8E2A78D0"/>
    <w:lvl w:ilvl="0" w:tplc="269EDA9E">
      <w:start w:val="1"/>
      <w:numFmt w:val="bullet"/>
      <w:lvlText w:val="●"/>
      <w:lvlJc w:val="left"/>
      <w:pPr>
        <w:ind w:left="720" w:hanging="360"/>
      </w:pPr>
    </w:lvl>
    <w:lvl w:ilvl="1" w:tplc="5D4A5602">
      <w:start w:val="1"/>
      <w:numFmt w:val="bullet"/>
      <w:lvlText w:val="○"/>
      <w:lvlJc w:val="left"/>
      <w:pPr>
        <w:ind w:left="1440" w:hanging="360"/>
      </w:pPr>
    </w:lvl>
    <w:lvl w:ilvl="2" w:tplc="DDB85964">
      <w:start w:val="1"/>
      <w:numFmt w:val="bullet"/>
      <w:lvlText w:val="■"/>
      <w:lvlJc w:val="left"/>
      <w:pPr>
        <w:ind w:left="2160" w:hanging="360"/>
      </w:pPr>
    </w:lvl>
    <w:lvl w:ilvl="3" w:tplc="A61CFED2">
      <w:start w:val="1"/>
      <w:numFmt w:val="bullet"/>
      <w:lvlText w:val="●"/>
      <w:lvlJc w:val="left"/>
      <w:pPr>
        <w:ind w:left="2880" w:hanging="360"/>
      </w:pPr>
    </w:lvl>
    <w:lvl w:ilvl="4" w:tplc="7A6C2138">
      <w:start w:val="1"/>
      <w:numFmt w:val="bullet"/>
      <w:lvlText w:val="○"/>
      <w:lvlJc w:val="left"/>
      <w:pPr>
        <w:ind w:left="3600" w:hanging="360"/>
      </w:pPr>
    </w:lvl>
    <w:lvl w:ilvl="5" w:tplc="C2107502">
      <w:start w:val="1"/>
      <w:numFmt w:val="bullet"/>
      <w:lvlText w:val="■"/>
      <w:lvlJc w:val="left"/>
      <w:pPr>
        <w:ind w:left="4320" w:hanging="360"/>
      </w:pPr>
    </w:lvl>
    <w:lvl w:ilvl="6" w:tplc="40C0962C">
      <w:start w:val="1"/>
      <w:numFmt w:val="bullet"/>
      <w:lvlText w:val="●"/>
      <w:lvlJc w:val="left"/>
      <w:pPr>
        <w:ind w:left="5040" w:hanging="360"/>
      </w:pPr>
    </w:lvl>
    <w:lvl w:ilvl="7" w:tplc="7D883B7A">
      <w:start w:val="1"/>
      <w:numFmt w:val="bullet"/>
      <w:lvlText w:val="●"/>
      <w:lvlJc w:val="left"/>
      <w:pPr>
        <w:ind w:left="5760" w:hanging="360"/>
      </w:pPr>
    </w:lvl>
    <w:lvl w:ilvl="8" w:tplc="1A720D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94458B"/>
    <w:multiLevelType w:val="hybridMultilevel"/>
    <w:tmpl w:val="71146E90"/>
    <w:lvl w:ilvl="0" w:tplc="FFD43612">
      <w:start w:val="1"/>
      <w:numFmt w:val="bullet"/>
      <w:lvlText w:val="•"/>
      <w:lvlJc w:val="left"/>
      <w:pPr>
        <w:ind w:left="720" w:hanging="360"/>
      </w:pPr>
    </w:lvl>
    <w:lvl w:ilvl="1" w:tplc="B9B27FC4">
      <w:numFmt w:val="decimal"/>
      <w:lvlText w:val=""/>
      <w:lvlJc w:val="left"/>
    </w:lvl>
    <w:lvl w:ilvl="2" w:tplc="FCE0B308">
      <w:numFmt w:val="decimal"/>
      <w:lvlText w:val=""/>
      <w:lvlJc w:val="left"/>
    </w:lvl>
    <w:lvl w:ilvl="3" w:tplc="C868DB7C">
      <w:numFmt w:val="decimal"/>
      <w:lvlText w:val=""/>
      <w:lvlJc w:val="left"/>
    </w:lvl>
    <w:lvl w:ilvl="4" w:tplc="B20046B8">
      <w:numFmt w:val="decimal"/>
      <w:lvlText w:val=""/>
      <w:lvlJc w:val="left"/>
    </w:lvl>
    <w:lvl w:ilvl="5" w:tplc="6F825BEE">
      <w:numFmt w:val="decimal"/>
      <w:lvlText w:val=""/>
      <w:lvlJc w:val="left"/>
    </w:lvl>
    <w:lvl w:ilvl="6" w:tplc="2DC8DE44">
      <w:numFmt w:val="decimal"/>
      <w:lvlText w:val=""/>
      <w:lvlJc w:val="left"/>
    </w:lvl>
    <w:lvl w:ilvl="7" w:tplc="56D6E5D4">
      <w:numFmt w:val="decimal"/>
      <w:lvlText w:val=""/>
      <w:lvlJc w:val="left"/>
    </w:lvl>
    <w:lvl w:ilvl="8" w:tplc="B5F868CC">
      <w:numFmt w:val="decimal"/>
      <w:lvlText w:val=""/>
      <w:lvlJc w:val="left"/>
    </w:lvl>
  </w:abstractNum>
  <w:abstractNum w:abstractNumId="2" w15:restartNumberingAfterBreak="0">
    <w:nsid w:val="5DB663DE"/>
    <w:multiLevelType w:val="hybridMultilevel"/>
    <w:tmpl w:val="1D86E056"/>
    <w:lvl w:ilvl="0" w:tplc="D6FAD11A">
      <w:start w:val="1"/>
      <w:numFmt w:val="bullet"/>
      <w:lvlText w:val="•"/>
      <w:lvlJc w:val="left"/>
      <w:pPr>
        <w:ind w:left="720" w:hanging="360"/>
      </w:pPr>
    </w:lvl>
    <w:lvl w:ilvl="1" w:tplc="72D272E4">
      <w:numFmt w:val="decimal"/>
      <w:lvlText w:val=""/>
      <w:lvlJc w:val="left"/>
    </w:lvl>
    <w:lvl w:ilvl="2" w:tplc="F9EEA256">
      <w:numFmt w:val="decimal"/>
      <w:lvlText w:val=""/>
      <w:lvlJc w:val="left"/>
    </w:lvl>
    <w:lvl w:ilvl="3" w:tplc="308E3AC6">
      <w:numFmt w:val="decimal"/>
      <w:lvlText w:val=""/>
      <w:lvlJc w:val="left"/>
    </w:lvl>
    <w:lvl w:ilvl="4" w:tplc="3D54179E">
      <w:numFmt w:val="decimal"/>
      <w:lvlText w:val=""/>
      <w:lvlJc w:val="left"/>
    </w:lvl>
    <w:lvl w:ilvl="5" w:tplc="6974F600">
      <w:numFmt w:val="decimal"/>
      <w:lvlText w:val=""/>
      <w:lvlJc w:val="left"/>
    </w:lvl>
    <w:lvl w:ilvl="6" w:tplc="0C103F82">
      <w:numFmt w:val="decimal"/>
      <w:lvlText w:val=""/>
      <w:lvlJc w:val="left"/>
    </w:lvl>
    <w:lvl w:ilvl="7" w:tplc="D51C204E">
      <w:numFmt w:val="decimal"/>
      <w:lvlText w:val=""/>
      <w:lvlJc w:val="left"/>
    </w:lvl>
    <w:lvl w:ilvl="8" w:tplc="9F82D13A">
      <w:numFmt w:val="decimal"/>
      <w:lvlText w:val=""/>
      <w:lvlJc w:val="left"/>
    </w:lvl>
  </w:abstractNum>
  <w:abstractNum w:abstractNumId="3" w15:restartNumberingAfterBreak="0">
    <w:nsid w:val="75FA5536"/>
    <w:multiLevelType w:val="hybridMultilevel"/>
    <w:tmpl w:val="969A1732"/>
    <w:lvl w:ilvl="0" w:tplc="1F2669F6">
      <w:start w:val="1"/>
      <w:numFmt w:val="bullet"/>
      <w:lvlText w:val="•"/>
      <w:lvlJc w:val="left"/>
      <w:pPr>
        <w:ind w:left="720" w:hanging="360"/>
      </w:pPr>
    </w:lvl>
    <w:lvl w:ilvl="1" w:tplc="84DEA920">
      <w:numFmt w:val="decimal"/>
      <w:lvlText w:val=""/>
      <w:lvlJc w:val="left"/>
    </w:lvl>
    <w:lvl w:ilvl="2" w:tplc="C9CC101E">
      <w:numFmt w:val="decimal"/>
      <w:lvlText w:val=""/>
      <w:lvlJc w:val="left"/>
    </w:lvl>
    <w:lvl w:ilvl="3" w:tplc="D290799C">
      <w:numFmt w:val="decimal"/>
      <w:lvlText w:val=""/>
      <w:lvlJc w:val="left"/>
    </w:lvl>
    <w:lvl w:ilvl="4" w:tplc="BE02EBD2">
      <w:numFmt w:val="decimal"/>
      <w:lvlText w:val=""/>
      <w:lvlJc w:val="left"/>
    </w:lvl>
    <w:lvl w:ilvl="5" w:tplc="59081A08">
      <w:numFmt w:val="decimal"/>
      <w:lvlText w:val=""/>
      <w:lvlJc w:val="left"/>
    </w:lvl>
    <w:lvl w:ilvl="6" w:tplc="2460D088">
      <w:numFmt w:val="decimal"/>
      <w:lvlText w:val=""/>
      <w:lvlJc w:val="left"/>
    </w:lvl>
    <w:lvl w:ilvl="7" w:tplc="A378E11A">
      <w:numFmt w:val="decimal"/>
      <w:lvlText w:val=""/>
      <w:lvlJc w:val="left"/>
    </w:lvl>
    <w:lvl w:ilvl="8" w:tplc="1E7A8AC4">
      <w:numFmt w:val="decimal"/>
      <w:lvlText w:val=""/>
      <w:lvlJc w:val="left"/>
    </w:lvl>
  </w:abstractNum>
  <w:num w:numId="1" w16cid:durableId="189491312">
    <w:abstractNumId w:val="0"/>
    <w:lvlOverride w:ilvl="0">
      <w:startOverride w:val="1"/>
    </w:lvlOverride>
  </w:num>
  <w:num w:numId="2" w16cid:durableId="2123576009">
    <w:abstractNumId w:val="3"/>
    <w:lvlOverride w:ilvl="0">
      <w:startOverride w:val="1"/>
    </w:lvlOverride>
  </w:num>
  <w:num w:numId="3" w16cid:durableId="777142434">
    <w:abstractNumId w:val="2"/>
    <w:lvlOverride w:ilvl="0">
      <w:startOverride w:val="1"/>
    </w:lvlOverride>
  </w:num>
  <w:num w:numId="4" w16cid:durableId="11894894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27F"/>
    <w:rsid w:val="000E2E3C"/>
    <w:rsid w:val="003F2492"/>
    <w:rsid w:val="0071415E"/>
    <w:rsid w:val="00963F12"/>
    <w:rsid w:val="0098331E"/>
    <w:rsid w:val="00D109DE"/>
    <w:rsid w:val="00D42975"/>
    <w:rsid w:val="00DB6764"/>
    <w:rsid w:val="00F9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764B"/>
  <w15:docId w15:val="{B5589CAF-489C-9044-AD88-5ED40694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E2E3C"/>
    <w:pPr>
      <w:spacing w:after="200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141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15E"/>
  </w:style>
  <w:style w:type="character" w:styleId="PageNumber">
    <w:name w:val="page number"/>
    <w:basedOn w:val="DefaultParagraphFont"/>
    <w:uiPriority w:val="99"/>
    <w:semiHidden/>
    <w:unhideWhenUsed/>
    <w:rsid w:val="0071415E"/>
  </w:style>
  <w:style w:type="paragraph" w:styleId="Header">
    <w:name w:val="header"/>
    <w:basedOn w:val="Normal"/>
    <w:link w:val="HeaderChar"/>
    <w:uiPriority w:val="99"/>
    <w:unhideWhenUsed/>
    <w:rsid w:val="007141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Joy Prokash Debnath</cp:lastModifiedBy>
  <cp:revision>3</cp:revision>
  <cp:lastPrinted>2026-08-29T16:42:00Z</cp:lastPrinted>
  <dcterms:created xsi:type="dcterms:W3CDTF">2026-08-29T16:42:00Z</dcterms:created>
  <dcterms:modified xsi:type="dcterms:W3CDTF">2026-08-29T16:53:00Z</dcterms:modified>
</cp:coreProperties>
</file>