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color w:val="6B2D5C"/>
          <w:sz w:val="44"/>
          <w:szCs w:val="44"/>
        </w:rPr>
        <w:t xml:space="preserve">Sīkdatņu izmantošanas politika</w:t>
      </w:r>
    </w:p>
    <w:p>
      <w:pPr>
        <w:spacing w:after="240"/>
      </w:pPr>
      <w:r>
        <w:rPr>
          <w:rFonts w:ascii="Calibri" w:cs="Calibri" w:eastAsia="Calibri" w:hAnsi="Calibri"/>
          <w:i/>
          <w:iCs/>
          <w:color w:val="555555"/>
          <w:sz w:val="20"/>
          <w:szCs w:val="20"/>
        </w:rPr>
        <w:t xml:space="preserve">Interneta veikals hairshop.lv · SIA "MIKS PLUS" · Versija 2.0 · Spēkā no 03.07.2026</w:t>
      </w:r>
    </w:p>
    <w:p>
      <w:pPr>
        <w:pStyle w:val="Heading1"/>
        <w:spacing w:after="120" w:before="300"/>
      </w:pPr>
      <w:r>
        <w:rPr>
          <w:rFonts w:ascii="Calibri" w:cs="Calibri" w:eastAsia="Calibri" w:hAnsi="Calibri"/>
          <w:b/>
          <w:bCs/>
          <w:color w:val="6B2D5C"/>
          <w:sz w:val="26"/>
          <w:szCs w:val="26"/>
        </w:rPr>
        <w:t xml:space="preserve">1. Vispārīgie noteikumi</w:t>
      </w:r>
    </w:p>
    <w:p>
      <w:pPr>
        <w:spacing w:after="120"/>
        <w:jc w:val="both"/>
      </w:pPr>
      <w:r>
        <w:rPr>
          <w:rFonts w:ascii="Calibri" w:cs="Calibri" w:eastAsia="Calibri" w:hAnsi="Calibri"/>
          <w:b w:val="false"/>
          <w:bCs w:val="false"/>
          <w:sz w:val="21"/>
          <w:szCs w:val="21"/>
        </w:rPr>
        <w:t xml:space="preserve">Šī Sīkdatņu politika izskaidro, kādas sīkdatnes un līdzīgas tehnoloģijas izmanto interneta veikals www.hairshop.lv (turpmāk — «Vietne»), kādiem nolūkiem un kā Jūs tās varat pārvaldīt. Politika ir Vietnē publicētās Privātuma politikas sastāvdaļa.</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Pārzinis:</w:t>
      </w:r>
      <w:r>
        <w:rPr>
          <w:rFonts w:ascii="Calibri" w:cs="Calibri" w:eastAsia="Calibri" w:hAnsi="Calibri"/>
          <w:b w:val="false"/>
          <w:bCs w:val="false"/>
          <w:sz w:val="21"/>
          <w:szCs w:val="21"/>
        </w:rPr>
        <w:t xml:space="preserve"> SIA "MIKS PLUS", reģ. Nr. 40103351370, juridiskā adrese: Rencēnu iela 10A, Rīga, LV-1073, Latvija; tālr. +371 27067730; e-pasts: Info@HairShop.lv.</w:t>
      </w:r>
    </w:p>
    <w:p>
      <w:pPr>
        <w:spacing w:after="120"/>
        <w:jc w:val="both"/>
      </w:pPr>
      <w:r>
        <w:rPr>
          <w:rFonts w:ascii="Calibri" w:cs="Calibri" w:eastAsia="Calibri" w:hAnsi="Calibri"/>
          <w:b w:val="false"/>
          <w:bCs w:val="false"/>
          <w:sz w:val="21"/>
          <w:szCs w:val="21"/>
        </w:rPr>
        <w:t xml:space="preserve">Sīkdatņu izmantošanu regulē Regula (ES) 2016/679 (VDAR), Informācijas sabiedrības pakalpojumu likums un Datu valsts inspekcijas vadlīnijas.</w:t>
      </w:r>
    </w:p>
    <w:p>
      <w:pPr>
        <w:pStyle w:val="Heading1"/>
        <w:spacing w:after="120" w:before="300"/>
      </w:pPr>
      <w:r>
        <w:rPr>
          <w:rFonts w:ascii="Calibri" w:cs="Calibri" w:eastAsia="Calibri" w:hAnsi="Calibri"/>
          <w:b/>
          <w:bCs/>
          <w:color w:val="6B2D5C"/>
          <w:sz w:val="26"/>
          <w:szCs w:val="26"/>
        </w:rPr>
        <w:t xml:space="preserve">2. Kas ir sīkdatnes</w:t>
      </w:r>
    </w:p>
    <w:p>
      <w:pPr>
        <w:spacing w:after="120"/>
        <w:jc w:val="both"/>
      </w:pPr>
      <w:r>
        <w:rPr>
          <w:rFonts w:ascii="Calibri" w:cs="Calibri" w:eastAsia="Calibri" w:hAnsi="Calibri"/>
          <w:b w:val="false"/>
          <w:bCs w:val="false"/>
          <w:sz w:val="21"/>
          <w:szCs w:val="21"/>
        </w:rPr>
        <w:t xml:space="preserve">Sīkdatnes ir nelieli teksta faili, ko vietne ar pārlūkprogrammas starpniecību saglabā Jūsu ierīcē (datorā, tālrunī, planšetē). Vienas sīkdatnes tiek dzēstas, aizverot pārlūkprogrammu (</w:t>
      </w:r>
      <w:r>
        <w:rPr>
          <w:rFonts w:ascii="Calibri" w:cs="Calibri" w:eastAsia="Calibri" w:hAnsi="Calibri"/>
          <w:b/>
          <w:bCs/>
          <w:sz w:val="21"/>
          <w:szCs w:val="21"/>
        </w:rPr>
        <w:t xml:space="preserve">sesijas sīkdatnes</w:t>
      </w:r>
      <w:r>
        <w:rPr>
          <w:rFonts w:ascii="Calibri" w:cs="Calibri" w:eastAsia="Calibri" w:hAnsi="Calibri"/>
          <w:b w:val="false"/>
          <w:bCs w:val="false"/>
          <w:sz w:val="21"/>
          <w:szCs w:val="21"/>
        </w:rPr>
        <w:t xml:space="preserve">), citas paliek ierīcē līdz derīguma termiņa beigām vai manuālai dzēšanai (</w:t>
      </w:r>
      <w:r>
        <w:rPr>
          <w:rFonts w:ascii="Calibri" w:cs="Calibri" w:eastAsia="Calibri" w:hAnsi="Calibri"/>
          <w:b/>
          <w:bCs/>
          <w:sz w:val="21"/>
          <w:szCs w:val="21"/>
        </w:rPr>
        <w:t xml:space="preserve">pastāvīgās sīkdatnes</w:t>
      </w:r>
      <w:r>
        <w:rPr>
          <w:rFonts w:ascii="Calibri" w:cs="Calibri" w:eastAsia="Calibri" w:hAnsi="Calibri"/>
          <w:b w:val="false"/>
          <w:bCs w:val="false"/>
          <w:sz w:val="21"/>
          <w:szCs w:val="21"/>
        </w:rPr>
        <w:t xml:space="preserve">). Sīkdatnes var izvietot pati Vietne (</w:t>
      </w:r>
      <w:r>
        <w:rPr>
          <w:rFonts w:ascii="Calibri" w:cs="Calibri" w:eastAsia="Calibri" w:hAnsi="Calibri"/>
          <w:b/>
          <w:bCs/>
          <w:sz w:val="21"/>
          <w:szCs w:val="21"/>
        </w:rPr>
        <w:t xml:space="preserve">pirmās puses</w:t>
      </w:r>
      <w:r>
        <w:rPr>
          <w:rFonts w:ascii="Calibri" w:cs="Calibri" w:eastAsia="Calibri" w:hAnsi="Calibri"/>
          <w:b w:val="false"/>
          <w:bCs w:val="false"/>
          <w:sz w:val="21"/>
          <w:szCs w:val="21"/>
        </w:rPr>
        <w:t xml:space="preserve">) vai mūsu izmantotie ārējie pakalpojumi (</w:t>
      </w:r>
      <w:r>
        <w:rPr>
          <w:rFonts w:ascii="Calibri" w:cs="Calibri" w:eastAsia="Calibri" w:hAnsi="Calibri"/>
          <w:b/>
          <w:bCs/>
          <w:sz w:val="21"/>
          <w:szCs w:val="21"/>
        </w:rPr>
        <w:t xml:space="preserve">trešo pušu</w:t>
      </w:r>
      <w:r>
        <w:rPr>
          <w:rFonts w:ascii="Calibri" w:cs="Calibri" w:eastAsia="Calibri" w:hAnsi="Calibri"/>
          <w:b w:val="false"/>
          <w:bCs w:val="false"/>
          <w:sz w:val="21"/>
          <w:szCs w:val="21"/>
        </w:rPr>
        <w:t xml:space="preserve"> — Google, Meta).</w:t>
      </w:r>
    </w:p>
    <w:p>
      <w:pPr>
        <w:spacing w:after="120"/>
        <w:jc w:val="both"/>
      </w:pPr>
      <w:r>
        <w:rPr>
          <w:rFonts w:ascii="Calibri" w:cs="Calibri" w:eastAsia="Calibri" w:hAnsi="Calibri"/>
          <w:b w:val="false"/>
          <w:bCs w:val="false"/>
          <w:sz w:val="21"/>
          <w:szCs w:val="21"/>
        </w:rPr>
        <w:t xml:space="preserve">Papildus sīkdatnēm Vietne un mūsu e-pasti var izmantot līdzīgas tehnoloģijas — pikseļu tagus un pārlūkprogrammas lokālo krātuvi; šajā Politikā tas viss kopā tiek saukts par «sīkdatnēm».</w:t>
      </w:r>
    </w:p>
    <w:p>
      <w:pPr>
        <w:pStyle w:val="Heading1"/>
        <w:spacing w:after="120" w:before="300"/>
      </w:pPr>
      <w:r>
        <w:rPr>
          <w:rFonts w:ascii="Calibri" w:cs="Calibri" w:eastAsia="Calibri" w:hAnsi="Calibri"/>
          <w:b/>
          <w:bCs/>
          <w:color w:val="6B2D5C"/>
          <w:sz w:val="26"/>
          <w:szCs w:val="26"/>
        </w:rPr>
        <w:t xml:space="preserve">3. Piekrišana sīkdatņu izmantošanai</w:t>
      </w:r>
    </w:p>
    <w:p>
      <w:pPr>
        <w:spacing w:after="120"/>
        <w:jc w:val="both"/>
      </w:pPr>
      <w:r>
        <w:rPr>
          <w:rFonts w:ascii="Calibri" w:cs="Calibri" w:eastAsia="Calibri" w:hAnsi="Calibri"/>
          <w:b w:val="false"/>
          <w:bCs w:val="false"/>
          <w:sz w:val="21"/>
          <w:szCs w:val="21"/>
        </w:rPr>
        <w:t xml:space="preserve">Pirmajā Vietnes apmeklējumā tiek parādīts piekrišanas paziņojums, kurā Jūs varat:</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pieņemt visas</w:t>
      </w:r>
      <w:r>
        <w:rPr>
          <w:rFonts w:ascii="Calibri" w:cs="Calibri" w:eastAsia="Calibri" w:hAnsi="Calibri"/>
          <w:b w:val="false"/>
          <w:bCs w:val="false"/>
          <w:sz w:val="21"/>
          <w:szCs w:val="21"/>
        </w:rPr>
        <w:t xml:space="preserve"> sīkdatnes;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noraidīt</w:t>
      </w:r>
      <w:r>
        <w:rPr>
          <w:rFonts w:ascii="Calibri" w:cs="Calibri" w:eastAsia="Calibri" w:hAnsi="Calibri"/>
          <w:b w:val="false"/>
          <w:bCs w:val="false"/>
          <w:sz w:val="21"/>
          <w:szCs w:val="21"/>
        </w:rPr>
        <w:t xml:space="preserve"> visas neobligātās sīkdatnes (paliks tikai nepieciešamās);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pielāgot</w:t>
      </w:r>
      <w:r>
        <w:rPr>
          <w:rFonts w:ascii="Calibri" w:cs="Calibri" w:eastAsia="Calibri" w:hAnsi="Calibri"/>
          <w:b w:val="false"/>
          <w:bCs w:val="false"/>
          <w:sz w:val="21"/>
          <w:szCs w:val="21"/>
        </w:rPr>
        <w:t xml:space="preserve"> atsevišķas kategorijas.</w:t>
      </w:r>
    </w:p>
    <w:p>
      <w:pPr>
        <w:spacing w:after="120"/>
        <w:jc w:val="both"/>
      </w:pPr>
      <w:r>
        <w:rPr>
          <w:rFonts w:ascii="Calibri" w:cs="Calibri" w:eastAsia="Calibri" w:hAnsi="Calibri"/>
          <w:b w:val="false"/>
          <w:bCs w:val="false"/>
          <w:sz w:val="21"/>
          <w:szCs w:val="21"/>
        </w:rPr>
        <w:t xml:space="preserve">Nepieciešamās sīkdatnes tiek izvietotas bez piekrišanas, pamatojoties uz leģitīmo interesi, jo bez tām Vietne tehniski nevar darboties (grozs, autorizācija, drošība). Analītikas un mārketinga sīkdatnes tiek izvietotas </w:t>
      </w:r>
      <w:r>
        <w:rPr>
          <w:rFonts w:ascii="Calibri" w:cs="Calibri" w:eastAsia="Calibri" w:hAnsi="Calibri"/>
          <w:b/>
          <w:bCs/>
          <w:sz w:val="21"/>
          <w:szCs w:val="21"/>
        </w:rPr>
        <w:t xml:space="preserve">tikai pēc Jūsu piekrišanas</w:t>
      </w:r>
      <w:r>
        <w:rPr>
          <w:rFonts w:ascii="Calibri" w:cs="Calibri" w:eastAsia="Calibri" w:hAnsi="Calibri"/>
          <w:b w:val="false"/>
          <w:bCs w:val="false"/>
          <w:sz w:val="21"/>
          <w:szCs w:val="21"/>
        </w:rPr>
        <w:t xml:space="preserve"> un netiek ielādētas, ja piekrišana nav dota vai ir atsaukta.</w:t>
      </w:r>
    </w:p>
    <w:p>
      <w:pPr>
        <w:spacing w:after="120"/>
        <w:jc w:val="both"/>
      </w:pPr>
      <w:r>
        <w:rPr>
          <w:rFonts w:ascii="Calibri" w:cs="Calibri" w:eastAsia="Calibri" w:hAnsi="Calibri"/>
          <w:b w:val="false"/>
          <w:bCs w:val="false"/>
          <w:sz w:val="21"/>
          <w:szCs w:val="21"/>
        </w:rPr>
        <w:t xml:space="preserve">Piekrišanu var mainīt vai atsaukt jebkurā brīdī, izmantojot saiti «Sīkdatņu iestatījumi» Vietnes lejasdaļā. Piekrišanas atsaukšana neietekmē līdz atsaukumam veiktās apstrādes likumību.</w:t>
      </w:r>
    </w:p>
    <w:p>
      <w:pPr>
        <w:pStyle w:val="Heading1"/>
        <w:spacing w:after="120" w:before="300"/>
      </w:pPr>
      <w:r>
        <w:rPr>
          <w:rFonts w:ascii="Calibri" w:cs="Calibri" w:eastAsia="Calibri" w:hAnsi="Calibri"/>
          <w:b/>
          <w:bCs/>
          <w:color w:val="6B2D5C"/>
          <w:sz w:val="26"/>
          <w:szCs w:val="26"/>
        </w:rPr>
        <w:t xml:space="preserve">4. Izmantoto sīkdatņu kategorijas</w:t>
      </w:r>
    </w:p>
    <w:p>
      <w:pPr>
        <w:pStyle w:val="Heading2"/>
        <w:spacing w:after="80" w:before="200"/>
      </w:pPr>
      <w:r>
        <w:rPr>
          <w:rFonts w:ascii="Calibri" w:cs="Calibri" w:eastAsia="Calibri" w:hAnsi="Calibri"/>
          <w:b/>
          <w:bCs/>
          <w:color w:val="333333"/>
          <w:sz w:val="23"/>
          <w:szCs w:val="23"/>
        </w:rPr>
        <w:t xml:space="preserve">4.1. Nepieciešamās sīkdatnes</w:t>
      </w:r>
    </w:p>
    <w:p>
      <w:pPr>
        <w:spacing w:after="120"/>
        <w:jc w:val="both"/>
      </w:pPr>
      <w:r>
        <w:rPr>
          <w:rFonts w:ascii="Calibri" w:cs="Calibri" w:eastAsia="Calibri" w:hAnsi="Calibri"/>
          <w:b w:val="false"/>
          <w:bCs w:val="false"/>
          <w:sz w:val="21"/>
          <w:szCs w:val="21"/>
        </w:rPr>
        <w:t xml:space="preserve">Nodrošina Vietnes pamatdarbību: pircēja sesiju, grozu, pieteikšanos kontā, izvēlēto valodu, formu aizsardzību un Jūsu izvēles saglabāšanu piekrišanas paziņojumā.</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1600"/>
        <w:gridCol w:w="2000"/>
      </w:tblGrid>
      <w:tr>
        <w:trPr>
          <w:tblHeader/>
        </w:trPr>
        <w:tc>
          <w:tcPr>
            <w:tcW w:type="dxa" w:w="24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Sīkdatne</w:t>
            </w:r>
          </w:p>
        </w:tc>
        <w:tc>
          <w:tcPr>
            <w:tcW w:type="dxa" w:w="37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Nolūks</w:t>
            </w:r>
          </w:p>
        </w:tc>
        <w:tc>
          <w:tcPr>
            <w:tcW w:type="dxa" w:w="16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Termiņš</w:t>
            </w:r>
          </w:p>
        </w:tc>
        <w:tc>
          <w:tcPr>
            <w:tcW w:type="dxa" w:w="20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Piegādātājs</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.AspNet / ASP.NET_SessionId</w:t>
            </w:r>
          </w:p>
        </w:tc>
        <w:tc>
          <w:tcPr>
            <w:tcW w:type="dxa" w:w="3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Apmeklētāja sesijas identifikators</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Sesija</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hairshop.lv</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NOPCOMMERCE.AUTH</w:t>
            </w:r>
          </w:p>
        </w:tc>
        <w:tc>
          <w:tcPr>
            <w:tcW w:type="dxa" w:w="3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Reģistrēta pircēja autorizācija</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Sesija / līdz 30 dienām</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hairshop.lv</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Nop.customer</w:t>
            </w:r>
          </w:p>
        </w:tc>
        <w:tc>
          <w:tcPr>
            <w:tcW w:type="dxa" w:w="3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Pircēja identifikators, groza un iestatījumu piesaiste</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Līdz 12 mēnešiem</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hairshop.lv</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NopCommerce.RecentlyViewedProducts</w:t>
            </w:r>
          </w:p>
        </w:tc>
        <w:tc>
          <w:tcPr>
            <w:tcW w:type="dxa" w:w="3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Nesen apskatīto preču saraksts</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Līdz 12 mēnešiem</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hairshop.lv</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NopCommerce.ComparedProducts</w:t>
            </w:r>
          </w:p>
        </w:tc>
        <w:tc>
          <w:tcPr>
            <w:tcW w:type="dxa" w:w="3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Salīdzināmo preču saraksts</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Sesija</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hairshop.lv</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cookie_consent (vai analogs)</w:t>
            </w:r>
          </w:p>
        </w:tc>
        <w:tc>
          <w:tcPr>
            <w:tcW w:type="dxa" w:w="3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Jūsu sīkdatņu kategoriju izvēles saglabāšana</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Līdz 12 mēnešiem</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hairshop.lv</w:t>
            </w:r>
          </w:p>
        </w:tc>
      </w:tr>
    </w:tbl>
    <w:p>
      <w:pPr>
        <w:spacing w:after="120"/>
      </w:pPr>
    </w:p>
    <w:p>
      <w:pPr>
        <w:pStyle w:val="Heading2"/>
        <w:spacing w:after="80" w:before="200"/>
      </w:pPr>
      <w:r>
        <w:rPr>
          <w:rFonts w:ascii="Calibri" w:cs="Calibri" w:eastAsia="Calibri" w:hAnsi="Calibri"/>
          <w:b/>
          <w:bCs/>
          <w:color w:val="333333"/>
          <w:sz w:val="23"/>
          <w:szCs w:val="23"/>
        </w:rPr>
        <w:t xml:space="preserve">4.2. Analītikas sīkdatnes (Google Analytics 4)</w:t>
      </w:r>
    </w:p>
    <w:p>
      <w:pPr>
        <w:spacing w:after="120"/>
        <w:jc w:val="both"/>
      </w:pPr>
      <w:r>
        <w:rPr>
          <w:rFonts w:ascii="Calibri" w:cs="Calibri" w:eastAsia="Calibri" w:hAnsi="Calibri"/>
          <w:b w:val="false"/>
          <w:bCs w:val="false"/>
          <w:sz w:val="21"/>
          <w:szCs w:val="21"/>
        </w:rPr>
        <w:t xml:space="preserve">Palīdz saprast, kā apmeklētāji lieto Vietni: kuras lapas un preces tiek apskatītas, no kurienes nāk apmeklētāji, kur rodas problēmas. Dati tiek apstrādāti apkopotā veidā; IP adreses Google saīsina.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1600"/>
        <w:gridCol w:w="2000"/>
      </w:tblGrid>
      <w:tr>
        <w:trPr>
          <w:tblHeader/>
        </w:trPr>
        <w:tc>
          <w:tcPr>
            <w:tcW w:type="dxa" w:w="24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Sīkdatne</w:t>
            </w:r>
          </w:p>
        </w:tc>
        <w:tc>
          <w:tcPr>
            <w:tcW w:type="dxa" w:w="37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Nolūks</w:t>
            </w:r>
          </w:p>
        </w:tc>
        <w:tc>
          <w:tcPr>
            <w:tcW w:type="dxa" w:w="16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Termiņš</w:t>
            </w:r>
          </w:p>
        </w:tc>
        <w:tc>
          <w:tcPr>
            <w:tcW w:type="dxa" w:w="20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Piegādātājs</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_ga</w:t>
            </w:r>
          </w:p>
        </w:tc>
        <w:tc>
          <w:tcPr>
            <w:tcW w:type="dxa" w:w="3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Apmeklētāju atšķiršana (GA4)</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Līdz 24 mēnešiem</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Google</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_ga_&lt;ID&gt;</w:t>
            </w:r>
          </w:p>
        </w:tc>
        <w:tc>
          <w:tcPr>
            <w:tcW w:type="dxa" w:w="3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GA4 sesijas stāvokļa saglabāšana</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Līdz 24 mēnešiem</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Google</w:t>
            </w:r>
          </w:p>
        </w:tc>
      </w:tr>
    </w:tbl>
    <w:p>
      <w:pPr>
        <w:spacing w:after="120"/>
      </w:pPr>
    </w:p>
    <w:p>
      <w:pPr>
        <w:spacing w:after="120"/>
        <w:jc w:val="both"/>
      </w:pPr>
      <w:r>
        <w:rPr>
          <w:rFonts w:ascii="Calibri" w:cs="Calibri" w:eastAsia="Calibri" w:hAnsi="Calibri"/>
          <w:b w:val="false"/>
          <w:bCs w:val="false"/>
          <w:sz w:val="21"/>
          <w:szCs w:val="21"/>
        </w:rPr>
        <w:t xml:space="preserve">Vairāk: policies.google.com/privacy. Atslēgt GA visos pārlūkos: tools.google.com/dlpage/gaoptout.</w:t>
      </w:r>
    </w:p>
    <w:p>
      <w:pPr>
        <w:pStyle w:val="Heading2"/>
        <w:spacing w:after="80" w:before="200"/>
      </w:pPr>
      <w:r>
        <w:rPr>
          <w:rFonts w:ascii="Calibri" w:cs="Calibri" w:eastAsia="Calibri" w:hAnsi="Calibri"/>
          <w:b/>
          <w:bCs/>
          <w:color w:val="333333"/>
          <w:sz w:val="23"/>
          <w:szCs w:val="23"/>
        </w:rPr>
        <w:t xml:space="preserve">4.3. Mārketinga sīkdatnes (Google Ads, Meta Pixel)</w:t>
      </w:r>
    </w:p>
    <w:p>
      <w:pPr>
        <w:spacing w:after="120"/>
        <w:jc w:val="both"/>
      </w:pPr>
      <w:r>
        <w:rPr>
          <w:rFonts w:ascii="Calibri" w:cs="Calibri" w:eastAsia="Calibri" w:hAnsi="Calibri"/>
          <w:b w:val="false"/>
          <w:bCs w:val="false"/>
          <w:sz w:val="21"/>
          <w:szCs w:val="21"/>
        </w:rPr>
        <w:t xml:space="preserve">Tiek izmantotas reklāmas efektivitātes mērīšanai un remārketingam: Vietnes apmeklētājiem tiek rādītas mūsu reklāmas Google un Meta (Facebook, Instagram) tīklos, tiek veidotas līdzīgas auditorijas. Tiek izvietotas tikai ar Jūsu piekrišanu.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1600"/>
        <w:gridCol w:w="2000"/>
      </w:tblGrid>
      <w:tr>
        <w:trPr>
          <w:tblHeader/>
        </w:trPr>
        <w:tc>
          <w:tcPr>
            <w:tcW w:type="dxa" w:w="24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Sīkdatne</w:t>
            </w:r>
          </w:p>
        </w:tc>
        <w:tc>
          <w:tcPr>
            <w:tcW w:type="dxa" w:w="37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Nolūks</w:t>
            </w:r>
          </w:p>
        </w:tc>
        <w:tc>
          <w:tcPr>
            <w:tcW w:type="dxa" w:w="16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Termiņš</w:t>
            </w:r>
          </w:p>
        </w:tc>
        <w:tc>
          <w:tcPr>
            <w:tcW w:type="dxa" w:w="20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Piegādātājs</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_gcl_au</w:t>
            </w:r>
          </w:p>
        </w:tc>
        <w:tc>
          <w:tcPr>
            <w:tcW w:type="dxa" w:w="3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Google Ads konversiju attiecināšana</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Līdz 3 mēnešiem</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Google</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_fbp</w:t>
            </w:r>
          </w:p>
        </w:tc>
        <w:tc>
          <w:tcPr>
            <w:tcW w:type="dxa" w:w="3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Pārlūkprogrammas identifikācija Meta reklāmai</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Līdz 3 mēnešiem</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Meta</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_fbc</w:t>
            </w:r>
          </w:p>
        </w:tc>
        <w:tc>
          <w:tcPr>
            <w:tcW w:type="dxa" w:w="3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Pārejas no Meta reklāmas parametru saglabāšana</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Līdz 3 mēnešiem</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Meta</w:t>
            </w:r>
          </w:p>
        </w:tc>
      </w:tr>
    </w:tbl>
    <w:p>
      <w:pPr>
        <w:spacing w:after="120"/>
      </w:pPr>
    </w:p>
    <w:p>
      <w:pPr>
        <w:spacing w:after="120"/>
        <w:jc w:val="both"/>
      </w:pPr>
      <w:r>
        <w:rPr>
          <w:rFonts w:ascii="Calibri" w:cs="Calibri" w:eastAsia="Calibri" w:hAnsi="Calibri"/>
          <w:b w:val="false"/>
          <w:bCs w:val="false"/>
          <w:sz w:val="21"/>
          <w:szCs w:val="21"/>
        </w:rPr>
        <w:t xml:space="preserve">Meta šos datus var sasaistīt ar Jūsu Facebook/Instagram kontu un izmantot saskaņā ar savu politiku: facebook.com/privacy/policy. Reklāmas iestatījumu pārvaldība: Google — adssettings.google.com; Meta — facebook.com/ads/preferences; vispārējs atteikums — youronlinechoices.eu vai networkadvertising.org/choices.</w:t>
      </w:r>
    </w:p>
    <w:p>
      <w:pPr>
        <w:spacing w:after="120"/>
        <w:jc w:val="both"/>
      </w:pPr>
      <w:r>
        <w:rPr>
          <w:rFonts w:ascii="Calibri" w:cs="Calibri" w:eastAsia="Calibri" w:hAnsi="Calibri"/>
          <w:b w:val="false"/>
          <w:bCs w:val="false"/>
          <w:sz w:val="21"/>
          <w:szCs w:val="21"/>
        </w:rPr>
        <w:t xml:space="preserve">Konkrēto sīkdatņu nosaukumus un termiņus pakalpojumu sniedzēji var mainīt; aktuālais saraksts vienmēr ir pieejams Vietnes logā «Sīkdatņu iestatījumi».</w:t>
      </w:r>
    </w:p>
    <w:p>
      <w:pPr>
        <w:pStyle w:val="Heading1"/>
        <w:spacing w:after="120" w:before="300"/>
      </w:pPr>
      <w:r>
        <w:rPr>
          <w:rFonts w:ascii="Calibri" w:cs="Calibri" w:eastAsia="Calibri" w:hAnsi="Calibri"/>
          <w:b/>
          <w:bCs/>
          <w:color w:val="6B2D5C"/>
          <w:sz w:val="26"/>
          <w:szCs w:val="26"/>
        </w:rPr>
        <w:t xml:space="preserve">5. Pikseļi e-pasta vēstulēs</w:t>
      </w:r>
    </w:p>
    <w:p>
      <w:pPr>
        <w:spacing w:after="120"/>
        <w:jc w:val="both"/>
      </w:pPr>
      <w:r>
        <w:rPr>
          <w:rFonts w:ascii="Calibri" w:cs="Calibri" w:eastAsia="Calibri" w:hAnsi="Calibri"/>
          <w:b w:val="false"/>
          <w:bCs w:val="false"/>
          <w:sz w:val="21"/>
          <w:szCs w:val="21"/>
        </w:rPr>
        <w:t xml:space="preserve">Mārketinga jaunumi, kas tiek sūtīti ar Mailchimp (tikai abonentiem ar piekrišanu), var saturēt pikseļu tagus, kas fiksē vēstules atvēršanu un klikšķus uz saitēm. Šī statistika palīdz mums padarīt jaunumus noderīgākus. Atteikties var ar saiti jebkurā vēstulē — vairāk Privātuma politikā.</w:t>
      </w:r>
    </w:p>
    <w:p>
      <w:pPr>
        <w:pStyle w:val="Heading1"/>
        <w:spacing w:after="120" w:before="300"/>
      </w:pPr>
      <w:r>
        <w:rPr>
          <w:rFonts w:ascii="Calibri" w:cs="Calibri" w:eastAsia="Calibri" w:hAnsi="Calibri"/>
          <w:b/>
          <w:bCs/>
          <w:color w:val="6B2D5C"/>
          <w:sz w:val="26"/>
          <w:szCs w:val="26"/>
        </w:rPr>
        <w:t xml:space="preserve">6. Datu nodošana ārpus ES/EEZ</w:t>
      </w:r>
    </w:p>
    <w:p>
      <w:pPr>
        <w:spacing w:after="120"/>
        <w:jc w:val="both"/>
      </w:pPr>
      <w:r>
        <w:rPr>
          <w:rFonts w:ascii="Calibri" w:cs="Calibri" w:eastAsia="Calibri" w:hAnsi="Calibri"/>
          <w:b w:val="false"/>
          <w:bCs w:val="false"/>
          <w:sz w:val="21"/>
          <w:szCs w:val="21"/>
        </w:rPr>
        <w:t xml:space="preserve">Ar Google un Meta sīkdatnēm savāktie dati var tikt apstrādāti serveros ASV. Nodošana notiek, pamatojoties uz Eiropas Komisijas lēmumu par aizsardzības līmeņa pietiekamību (EU–U.S. Data Privacy Framework) un ES standarta līguma klauzulām (SCC).</w:t>
      </w:r>
    </w:p>
    <w:p>
      <w:pPr>
        <w:pStyle w:val="Heading1"/>
        <w:spacing w:after="120" w:before="300"/>
      </w:pPr>
      <w:r>
        <w:rPr>
          <w:rFonts w:ascii="Calibri" w:cs="Calibri" w:eastAsia="Calibri" w:hAnsi="Calibri"/>
          <w:b/>
          <w:bCs/>
          <w:color w:val="6B2D5C"/>
          <w:sz w:val="26"/>
          <w:szCs w:val="26"/>
        </w:rPr>
        <w:t xml:space="preserve">7. Sīkdatņu pārvaldība pārlūkprogrammā</w:t>
      </w:r>
    </w:p>
    <w:p>
      <w:pPr>
        <w:spacing w:after="120"/>
        <w:jc w:val="both"/>
      </w:pPr>
      <w:r>
        <w:rPr>
          <w:rFonts w:ascii="Calibri" w:cs="Calibri" w:eastAsia="Calibri" w:hAnsi="Calibri"/>
          <w:b w:val="false"/>
          <w:bCs w:val="false"/>
          <w:sz w:val="21"/>
          <w:szCs w:val="21"/>
        </w:rPr>
        <w:t xml:space="preserve">Jūs varat dzēst vai bloķēt sīkdatnes pārlūkprogrammas iestatījumos: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Chrome:</w:t>
      </w:r>
      <w:r>
        <w:rPr>
          <w:rFonts w:ascii="Calibri" w:cs="Calibri" w:eastAsia="Calibri" w:hAnsi="Calibri"/>
          <w:b w:val="false"/>
          <w:bCs w:val="false"/>
          <w:sz w:val="21"/>
          <w:szCs w:val="21"/>
        </w:rPr>
        <w:t xml:space="preserve"> Iestatījumi → Konfidencialitāte un drošība → Sīkfaili</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Firefox:</w:t>
      </w:r>
      <w:r>
        <w:rPr>
          <w:rFonts w:ascii="Calibri" w:cs="Calibri" w:eastAsia="Calibri" w:hAnsi="Calibri"/>
          <w:b w:val="false"/>
          <w:bCs w:val="false"/>
          <w:sz w:val="21"/>
          <w:szCs w:val="21"/>
        </w:rPr>
        <w:t xml:space="preserve"> Iestatījumi → Privātums un drošība → Sīkdatnes un vietņu dati</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Safari:</w:t>
      </w:r>
      <w:r>
        <w:rPr>
          <w:rFonts w:ascii="Calibri" w:cs="Calibri" w:eastAsia="Calibri" w:hAnsi="Calibri"/>
          <w:b w:val="false"/>
          <w:bCs w:val="false"/>
          <w:sz w:val="21"/>
          <w:szCs w:val="21"/>
        </w:rPr>
        <w:t xml:space="preserve"> Iestatījumi → Privātums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Edge:</w:t>
      </w:r>
      <w:r>
        <w:rPr>
          <w:rFonts w:ascii="Calibri" w:cs="Calibri" w:eastAsia="Calibri" w:hAnsi="Calibri"/>
          <w:b w:val="false"/>
          <w:bCs w:val="false"/>
          <w:sz w:val="21"/>
          <w:szCs w:val="21"/>
        </w:rPr>
        <w:t xml:space="preserve"> Iestatījumi → Sīkfaili un vietņu atļaujas</w:t>
      </w:r>
    </w:p>
    <w:p>
      <w:pPr>
        <w:spacing w:after="120"/>
        <w:jc w:val="both"/>
      </w:pPr>
      <w:r>
        <w:rPr>
          <w:rFonts w:ascii="Calibri" w:cs="Calibri" w:eastAsia="Calibri" w:hAnsi="Calibri"/>
          <w:b w:val="false"/>
          <w:bCs w:val="false"/>
          <w:sz w:val="21"/>
          <w:szCs w:val="21"/>
        </w:rPr>
        <w:t xml:space="preserve">Ņemiet vērā: bloķējot nepieciešamās sīkdatnes, grozs, pieteikšanās kontā un pasūtījuma noformēšana var nedarboties pareizi.</w:t>
      </w:r>
    </w:p>
    <w:p>
      <w:pPr>
        <w:pStyle w:val="Heading1"/>
        <w:spacing w:after="120" w:before="300"/>
      </w:pPr>
      <w:r>
        <w:rPr>
          <w:rFonts w:ascii="Calibri" w:cs="Calibri" w:eastAsia="Calibri" w:hAnsi="Calibri"/>
          <w:b/>
          <w:bCs/>
          <w:color w:val="6B2D5C"/>
          <w:sz w:val="26"/>
          <w:szCs w:val="26"/>
        </w:rPr>
        <w:t xml:space="preserve">8. Jūsu tiesības un kontakti</w:t>
      </w:r>
    </w:p>
    <w:p>
      <w:pPr>
        <w:spacing w:after="120"/>
        <w:jc w:val="both"/>
      </w:pPr>
      <w:r>
        <w:rPr>
          <w:rFonts w:ascii="Calibri" w:cs="Calibri" w:eastAsia="Calibri" w:hAnsi="Calibri"/>
          <w:b w:val="false"/>
          <w:bCs w:val="false"/>
          <w:sz w:val="21"/>
          <w:szCs w:val="21"/>
        </w:rPr>
        <w:t xml:space="preserve">Attiecībā uz personas datiem, kas tiek apstrādāti ar sīkdatnēm, Jums ir Privātuma politikas sadaļā «Jūsu tiesības» aprakstītās tiesības (piekļuve, dzēšana, iebildumi, piekrišanas atsaukšana u.c.). Pieprasījumi: Info@HairShop.lv. Sūdzības: Datu valsts inspekcija, Elijas iela 17, Rīga, LV-1050, www.dvi.gov.lv.</w:t>
      </w:r>
    </w:p>
    <w:p>
      <w:pPr>
        <w:pStyle w:val="Heading1"/>
        <w:spacing w:after="120" w:before="300"/>
      </w:pPr>
      <w:r>
        <w:rPr>
          <w:rFonts w:ascii="Calibri" w:cs="Calibri" w:eastAsia="Calibri" w:hAnsi="Calibri"/>
          <w:b/>
          <w:bCs/>
          <w:color w:val="6B2D5C"/>
          <w:sz w:val="26"/>
          <w:szCs w:val="26"/>
        </w:rPr>
        <w:t xml:space="preserve">9. Politikas grozījumi</w:t>
      </w:r>
    </w:p>
    <w:p>
      <w:pPr>
        <w:spacing w:after="120"/>
        <w:jc w:val="both"/>
      </w:pPr>
      <w:r>
        <w:rPr>
          <w:rFonts w:ascii="Calibri" w:cs="Calibri" w:eastAsia="Calibri" w:hAnsi="Calibri"/>
          <w:b w:val="false"/>
          <w:bCs w:val="false"/>
          <w:sz w:val="21"/>
          <w:szCs w:val="21"/>
        </w:rPr>
        <w:t xml:space="preserve">Mēs varam atjaunināt šo Politiku, tostarp mainoties izmantotajiem pakalpojumiem. Aktuālā versija tiek publicēta www.hairshop.lv, norādot spēkā stāšanās datumu.</w:t>
      </w:r>
    </w:p>
    <w:p>
      <w:pPr>
        <w:spacing w:after="120"/>
        <w:jc w:val="both"/>
      </w:pPr>
      <w:r>
        <w:rPr>
          <w:rFonts w:ascii="Calibri" w:cs="Calibri" w:eastAsia="Calibri" w:hAnsi="Calibri"/>
          <w:b w:val="false"/>
          <w:bCs w:val="false"/>
          <w:sz w:val="21"/>
          <w:szCs w:val="21"/>
        </w:rPr>
        <w:t xml:space="preserve">SIA "MIKS PLUS" · Rencēnu iela 10A, Rīga, LV-1073 · +371 27067730 · Info@HairShop.lv</w:t>
      </w:r>
    </w:p>
    <w:sectPr>
      <w:footerReference w:type="default" r:id="rId7"/>
      <w:pgSz w:w="11906" w:h="16838" w:orient="portrait"/>
      <w:pgMar w:top="1247" w:right="1360" w:bottom="1133" w:left="1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SIA “MIKS PLUS” · hairshop.lv ·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2026-07-03T07:04:36.526Z</dcterms:created>
  <dcterms:modified xsi:type="dcterms:W3CDTF">2026-07-03T07:04:36.526Z</dcterms:modified>
</cp:coreProperties>
</file>

<file path=docProps/custom.xml><?xml version="1.0" encoding="utf-8"?>
<Properties xmlns="http://schemas.openxmlformats.org/officeDocument/2006/custom-properties" xmlns:vt="http://schemas.openxmlformats.org/officeDocument/2006/docPropsVTypes"/>
</file>