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Calibri" w:cs="Calibri" w:eastAsia="Calibri" w:hAnsi="Calibri"/>
          <w:b/>
          <w:bCs/>
          <w:color w:val="6B2D5C"/>
          <w:sz w:val="44"/>
          <w:szCs w:val="44"/>
        </w:rPr>
        <w:t xml:space="preserve">Privātuma politika un personas datu apstrāde</w:t>
      </w:r>
    </w:p>
    <w:p>
      <w:pPr>
        <w:spacing w:after="240"/>
      </w:pPr>
      <w:r>
        <w:rPr>
          <w:rFonts w:ascii="Calibri" w:cs="Calibri" w:eastAsia="Calibri" w:hAnsi="Calibri"/>
          <w:i/>
          <w:iCs/>
          <w:color w:val="555555"/>
          <w:sz w:val="20"/>
          <w:szCs w:val="20"/>
        </w:rPr>
        <w:t xml:space="preserve">Interneta veikals hairshop.lv · SIA "MIKS PLUS" · Versija 2.0 · Spēkā no 03.07.2026</w:t>
      </w:r>
    </w:p>
    <w:p>
      <w:pPr>
        <w:pStyle w:val="Heading1"/>
        <w:spacing w:after="120" w:before="300"/>
      </w:pPr>
      <w:r>
        <w:rPr>
          <w:rFonts w:ascii="Calibri" w:cs="Calibri" w:eastAsia="Calibri" w:hAnsi="Calibri"/>
          <w:b/>
          <w:bCs/>
          <w:color w:val="6B2D5C"/>
          <w:sz w:val="26"/>
          <w:szCs w:val="26"/>
        </w:rPr>
        <w:t xml:space="preserve">1. Vispārīgie noteikumi</w:t>
      </w:r>
    </w:p>
    <w:p>
      <w:pPr>
        <w:spacing w:after="120"/>
        <w:jc w:val="both"/>
      </w:pPr>
      <w:r>
        <w:rPr>
          <w:rFonts w:ascii="Calibri" w:cs="Calibri" w:eastAsia="Calibri" w:hAnsi="Calibri"/>
          <w:b w:val="false"/>
          <w:bCs w:val="false"/>
          <w:sz w:val="21"/>
          <w:szCs w:val="21"/>
        </w:rPr>
        <w:t xml:space="preserve">Šī Privātuma politika (turpmāk — «Politika») apraksta, kā SIA "MIKS PLUS" vāc, izmanto, glabā un aizsargā interneta veikala www.hairshop.lv (turpmāk — «Veikals») apmeklētāju un pircēju, kā arī mūsu mazumtirdzniecības veikalu klientu personas datus.</w:t>
      </w:r>
    </w:p>
    <w:p>
      <w:pPr>
        <w:spacing w:after="120"/>
        <w:jc w:val="both"/>
      </w:pPr>
      <w:r>
        <w:rPr>
          <w:rFonts w:ascii="Calibri" w:cs="Calibri" w:eastAsia="Calibri" w:hAnsi="Calibri"/>
          <w:b w:val="false"/>
          <w:bCs w:val="false"/>
          <w:sz w:val="21"/>
          <w:szCs w:val="21"/>
        </w:rPr>
        <w:t xml:space="preserve">Personas datu apstrāde tiek veikta saskaņā ar Eiropas Parlamenta un Padomes Regulu (ES) 2016/679 (Vispārīgā datu aizsardzības regula, VDAR), Fizisko personu datu apstrādes likumu, Informācijas sabiedrības pakalpojumu likumu un citiem Latvijas Republikas normatīvajiem aktiem.</w:t>
      </w:r>
    </w:p>
    <w:p>
      <w:pPr>
        <w:pStyle w:val="Heading1"/>
        <w:spacing w:after="120" w:before="300"/>
      </w:pPr>
      <w:r>
        <w:rPr>
          <w:rFonts w:ascii="Calibri" w:cs="Calibri" w:eastAsia="Calibri" w:hAnsi="Calibri"/>
          <w:b/>
          <w:bCs/>
          <w:color w:val="6B2D5C"/>
          <w:sz w:val="26"/>
          <w:szCs w:val="26"/>
        </w:rPr>
        <w:t xml:space="preserve">2. Datu pārzinis</w:t>
      </w:r>
    </w:p>
    <w:p>
      <w:pPr>
        <w:spacing w:after="120"/>
        <w:jc w:val="both"/>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Pārzinis:</w:t>
      </w:r>
      <w:r>
        <w:rPr>
          <w:rFonts w:ascii="Calibri" w:cs="Calibri" w:eastAsia="Calibri" w:hAnsi="Calibri"/>
          <w:b w:val="false"/>
          <w:bCs w:val="false"/>
          <w:sz w:val="21"/>
          <w:szCs w:val="21"/>
        </w:rPr>
        <w:t xml:space="preserve"> SIA "MIKS PLUS"</w:t>
      </w:r>
    </w:p>
    <w:p>
      <w:pPr>
        <w:spacing w:after="120"/>
        <w:jc w:val="both"/>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Reģistrācijas numurs:</w:t>
      </w:r>
      <w:r>
        <w:rPr>
          <w:rFonts w:ascii="Calibri" w:cs="Calibri" w:eastAsia="Calibri" w:hAnsi="Calibri"/>
          <w:b w:val="false"/>
          <w:bCs w:val="false"/>
          <w:sz w:val="21"/>
          <w:szCs w:val="21"/>
        </w:rPr>
        <w:t xml:space="preserve"> 40103351370</w:t>
      </w:r>
    </w:p>
    <w:p>
      <w:pPr>
        <w:spacing w:after="120"/>
        <w:jc w:val="both"/>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PVN maksātāja numurs:</w:t>
      </w:r>
      <w:r>
        <w:rPr>
          <w:rFonts w:ascii="Calibri" w:cs="Calibri" w:eastAsia="Calibri" w:hAnsi="Calibri"/>
          <w:b w:val="false"/>
          <w:bCs w:val="false"/>
          <w:sz w:val="21"/>
          <w:szCs w:val="21"/>
        </w:rPr>
        <w:t xml:space="preserve"> LV40103351370</w:t>
      </w:r>
    </w:p>
    <w:p>
      <w:pPr>
        <w:spacing w:after="120"/>
        <w:jc w:val="both"/>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Juridiskā adrese:</w:t>
      </w:r>
      <w:r>
        <w:rPr>
          <w:rFonts w:ascii="Calibri" w:cs="Calibri" w:eastAsia="Calibri" w:hAnsi="Calibri"/>
          <w:b w:val="false"/>
          <w:bCs w:val="false"/>
          <w:sz w:val="21"/>
          <w:szCs w:val="21"/>
        </w:rPr>
        <w:t xml:space="preserve"> Rencēnu iela 10A, Rīga, LV-1073, Latvija</w:t>
      </w:r>
    </w:p>
    <w:p>
      <w:pPr>
        <w:spacing w:after="120"/>
        <w:jc w:val="both"/>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Tālrunis:</w:t>
      </w:r>
      <w:r>
        <w:rPr>
          <w:rFonts w:ascii="Calibri" w:cs="Calibri" w:eastAsia="Calibri" w:hAnsi="Calibri"/>
          <w:b w:val="false"/>
          <w:bCs w:val="false"/>
          <w:sz w:val="21"/>
          <w:szCs w:val="21"/>
        </w:rPr>
        <w:t xml:space="preserve"> +371 27067730</w:t>
      </w:r>
    </w:p>
    <w:p>
      <w:pPr>
        <w:spacing w:after="120"/>
        <w:jc w:val="both"/>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E-pasts:</w:t>
      </w:r>
      <w:r>
        <w:rPr>
          <w:rFonts w:ascii="Calibri" w:cs="Calibri" w:eastAsia="Calibri" w:hAnsi="Calibri"/>
          <w:b w:val="false"/>
          <w:bCs w:val="false"/>
          <w:sz w:val="21"/>
          <w:szCs w:val="21"/>
        </w:rPr>
        <w:t xml:space="preserve"> Info@HairShop.lv</w:t>
      </w:r>
    </w:p>
    <w:p>
      <w:pPr>
        <w:spacing w:after="120"/>
        <w:jc w:val="both"/>
      </w:pPr>
      <w:r>
        <w:rPr>
          <w:rFonts w:ascii="Calibri" w:cs="Calibri" w:eastAsia="Calibri" w:hAnsi="Calibri"/>
          <w:b w:val="false"/>
          <w:bCs w:val="false"/>
          <w:sz w:val="21"/>
          <w:szCs w:val="21"/>
        </w:rPr>
        <w:t xml:space="preserve">Jautājumos par personas datu apstrādi lūdzam rakstīt uz norādīto e-pastu ar norādi «Personas dati».</w:t>
      </w:r>
    </w:p>
    <w:p>
      <w:pPr>
        <w:pStyle w:val="Heading1"/>
        <w:spacing w:after="120" w:before="300"/>
      </w:pPr>
      <w:r>
        <w:rPr>
          <w:rFonts w:ascii="Calibri" w:cs="Calibri" w:eastAsia="Calibri" w:hAnsi="Calibri"/>
          <w:b/>
          <w:bCs/>
          <w:color w:val="6B2D5C"/>
          <w:sz w:val="26"/>
          <w:szCs w:val="26"/>
        </w:rPr>
        <w:t xml:space="preserve">3. Kādus personas datus mēs apstrādājam</w:t>
      </w:r>
    </w:p>
    <w:p>
      <w:pPr>
        <w:pStyle w:val="ListParagraph"/>
        <w:numPr>
          <w:ilvl w:val="0"/>
          <w:numId w:val="2"/>
        </w:numPr>
        <w:spacing w:after="6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Identifikācijas un kontaktinformācija:</w:t>
      </w:r>
      <w:r>
        <w:rPr>
          <w:rFonts w:ascii="Calibri" w:cs="Calibri" w:eastAsia="Calibri" w:hAnsi="Calibri"/>
          <w:b w:val="false"/>
          <w:bCs w:val="false"/>
          <w:sz w:val="21"/>
          <w:szCs w:val="21"/>
        </w:rPr>
        <w:t xml:space="preserve"> vārds, uzvārds, tālruņa numurs, e-pasta adrese, piegādes adrese; juridiskām personām — uzņēmuma nosaukums, reģistrācijas numurs, PVN numurs, juridiskā adrese.</w:t>
      </w:r>
    </w:p>
    <w:p>
      <w:pPr>
        <w:pStyle w:val="ListParagraph"/>
        <w:numPr>
          <w:ilvl w:val="0"/>
          <w:numId w:val="2"/>
        </w:numPr>
        <w:spacing w:after="6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Lietotāja konta dati:</w:t>
      </w:r>
      <w:r>
        <w:rPr>
          <w:rFonts w:ascii="Calibri" w:cs="Calibri" w:eastAsia="Calibri" w:hAnsi="Calibri"/>
          <w:b w:val="false"/>
          <w:bCs w:val="false"/>
          <w:sz w:val="21"/>
          <w:szCs w:val="21"/>
        </w:rPr>
        <w:t xml:space="preserve"> lietotājvārds (e-pasts), parole (šifrētā veidā), izvēlētā valoda, pasūtījumu vēsture, vēlmju saraksts, saglabātās piegādes adreses.</w:t>
      </w:r>
    </w:p>
    <w:p>
      <w:pPr>
        <w:pStyle w:val="ListParagraph"/>
        <w:numPr>
          <w:ilvl w:val="0"/>
          <w:numId w:val="2"/>
        </w:numPr>
        <w:spacing w:after="6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Pirkumu un pasūtījumu dati:</w:t>
      </w:r>
      <w:r>
        <w:rPr>
          <w:rFonts w:ascii="Calibri" w:cs="Calibri" w:eastAsia="Calibri" w:hAnsi="Calibri"/>
          <w:b w:val="false"/>
          <w:bCs w:val="false"/>
          <w:sz w:val="21"/>
          <w:szCs w:val="21"/>
        </w:rPr>
        <w:t xml:space="preserve"> pasūtījuma saturs, summa, izvēlētais apmaksas un piegādes veids, pasūtījuma statuss, rēķinu dati, atgriešanas un sūdzību vēsture.</w:t>
      </w:r>
    </w:p>
    <w:p>
      <w:pPr>
        <w:pStyle w:val="ListParagraph"/>
        <w:numPr>
          <w:ilvl w:val="0"/>
          <w:numId w:val="2"/>
        </w:numPr>
        <w:spacing w:after="6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Lojalitātes programmas dati:</w:t>
      </w:r>
      <w:r>
        <w:rPr>
          <w:rFonts w:ascii="Calibri" w:cs="Calibri" w:eastAsia="Calibri" w:hAnsi="Calibri"/>
          <w:b w:val="false"/>
          <w:bCs w:val="false"/>
          <w:sz w:val="21"/>
          <w:szCs w:val="21"/>
        </w:rPr>
        <w:t xml:space="preserve"> dalībnieka statuss, uzkrātā pirkumu summa, piemērotais atlaides līmenis, atlaižu izmantošanas vēsture.</w:t>
      </w:r>
    </w:p>
    <w:p>
      <w:pPr>
        <w:pStyle w:val="ListParagraph"/>
        <w:numPr>
          <w:ilvl w:val="0"/>
          <w:numId w:val="2"/>
        </w:numPr>
        <w:spacing w:after="6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Maksājumu dati:</w:t>
      </w:r>
      <w:r>
        <w:rPr>
          <w:rFonts w:ascii="Calibri" w:cs="Calibri" w:eastAsia="Calibri" w:hAnsi="Calibri"/>
          <w:b w:val="false"/>
          <w:bCs w:val="false"/>
          <w:sz w:val="21"/>
          <w:szCs w:val="21"/>
        </w:rPr>
        <w:t xml:space="preserve"> no maksājumu pakalpojumu sniedzēja (Paysera) saņemtais maksājuma apstiprinājums, kartes pēdējie cipari vai maksātāja banka. Pilnus maksājumu karšu datus mēs nesaņemam un neglabājam.</w:t>
      </w:r>
    </w:p>
    <w:p>
      <w:pPr>
        <w:pStyle w:val="ListParagraph"/>
        <w:numPr>
          <w:ilvl w:val="0"/>
          <w:numId w:val="2"/>
        </w:numPr>
        <w:spacing w:after="6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Saziņas dati:</w:t>
      </w:r>
      <w:r>
        <w:rPr>
          <w:rFonts w:ascii="Calibri" w:cs="Calibri" w:eastAsia="Calibri" w:hAnsi="Calibri"/>
          <w:b w:val="false"/>
          <w:bCs w:val="false"/>
          <w:sz w:val="21"/>
          <w:szCs w:val="21"/>
        </w:rPr>
        <w:t xml:space="preserve"> sarakste pa e-pastu, tālruni un ziņapmaiņas rīkiem, preču atsauksmes un vērtējumi, pieteikumi atbalsta dienestam.</w:t>
      </w:r>
    </w:p>
    <w:p>
      <w:pPr>
        <w:pStyle w:val="ListParagraph"/>
        <w:numPr>
          <w:ilvl w:val="0"/>
          <w:numId w:val="2"/>
        </w:numPr>
        <w:spacing w:after="6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Tehniskie dati:</w:t>
      </w:r>
      <w:r>
        <w:rPr>
          <w:rFonts w:ascii="Calibri" w:cs="Calibri" w:eastAsia="Calibri" w:hAnsi="Calibri"/>
          <w:b w:val="false"/>
          <w:bCs w:val="false"/>
          <w:sz w:val="21"/>
          <w:szCs w:val="21"/>
        </w:rPr>
        <w:t xml:space="preserve"> IP adrese, pārlūkprogrammas un ierīces tips, operētājsistēma, atsauces avots, apskatītās lapas un preces, sīkdatņu dati (skat. 6. sadaļu).</w:t>
      </w:r>
    </w:p>
    <w:p>
      <w:pPr>
        <w:pStyle w:val="ListParagraph"/>
        <w:numPr>
          <w:ilvl w:val="0"/>
          <w:numId w:val="2"/>
        </w:numPr>
        <w:spacing w:after="6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Mārketinga dati:</w:t>
      </w:r>
      <w:r>
        <w:rPr>
          <w:rFonts w:ascii="Calibri" w:cs="Calibri" w:eastAsia="Calibri" w:hAnsi="Calibri"/>
          <w:b w:val="false"/>
          <w:bCs w:val="false"/>
          <w:sz w:val="21"/>
          <w:szCs w:val="21"/>
        </w:rPr>
        <w:t xml:space="preserve"> piekrišanas/atteikuma fakts jaunumu saņemšanai, e-pastu atvēršanas un klikšķu statistika (Mailchimp).</w:t>
      </w:r>
    </w:p>
    <w:p>
      <w:pPr>
        <w:pStyle w:val="Heading1"/>
        <w:spacing w:after="120" w:before="300"/>
      </w:pPr>
      <w:r>
        <w:rPr>
          <w:rFonts w:ascii="Calibri" w:cs="Calibri" w:eastAsia="Calibri" w:hAnsi="Calibri"/>
          <w:b/>
          <w:bCs/>
          <w:color w:val="6B2D5C"/>
          <w:sz w:val="26"/>
          <w:szCs w:val="26"/>
        </w:rPr>
        <w:t xml:space="preserve">4. Apstrādes nolūki un tiesiskais pamats</w:t>
      </w:r>
    </w:p>
    <w:p>
      <w:pPr>
        <w:pStyle w:val="ListParagraph"/>
        <w:numPr>
          <w:ilvl w:val="0"/>
          <w:numId w:val="2"/>
        </w:numPr>
        <w:spacing w:after="6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Pasūtījuma un pirkuma līguma izpilde</w:t>
      </w:r>
      <w:r>
        <w:rPr>
          <w:rFonts w:ascii="Calibri" w:cs="Calibri" w:eastAsia="Calibri" w:hAnsi="Calibri"/>
          <w:b w:val="false"/>
          <w:bCs w:val="false"/>
          <w:sz w:val="21"/>
          <w:szCs w:val="21"/>
        </w:rPr>
        <w:t xml:space="preserve"> (pasūtījuma pieņemšana, apmaksa, piegāde ar DPD, Omniva vai Venipak, rēķinu izrakstīšana, atgriešanas apstrāde) — līguma izpilde (VDAR 6. panta 1. punkta b) apakšpunkts).</w:t>
      </w:r>
    </w:p>
    <w:p>
      <w:pPr>
        <w:pStyle w:val="ListParagraph"/>
        <w:numPr>
          <w:ilvl w:val="0"/>
          <w:numId w:val="2"/>
        </w:numPr>
        <w:spacing w:after="6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Pircēja konta izveide un uzturēšana</w:t>
      </w:r>
      <w:r>
        <w:rPr>
          <w:rFonts w:ascii="Calibri" w:cs="Calibri" w:eastAsia="Calibri" w:hAnsi="Calibri"/>
          <w:b w:val="false"/>
          <w:bCs w:val="false"/>
          <w:sz w:val="21"/>
          <w:szCs w:val="21"/>
        </w:rPr>
        <w:t xml:space="preserve"> — līguma izpilde (VDAR 6(1)(b)).</w:t>
      </w:r>
    </w:p>
    <w:p>
      <w:pPr>
        <w:pStyle w:val="ListParagraph"/>
        <w:numPr>
          <w:ilvl w:val="0"/>
          <w:numId w:val="2"/>
        </w:numPr>
        <w:spacing w:after="6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Lojalitātes programma un uzkrājošās atlaides</w:t>
      </w:r>
      <w:r>
        <w:rPr>
          <w:rFonts w:ascii="Calibri" w:cs="Calibri" w:eastAsia="Calibri" w:hAnsi="Calibri"/>
          <w:b w:val="false"/>
          <w:bCs w:val="false"/>
          <w:sz w:val="21"/>
          <w:szCs w:val="21"/>
        </w:rPr>
        <w:t xml:space="preserve"> — līguma ar programmas dalībnieku izpilde (VDAR 6(1)(b)).</w:t>
      </w:r>
    </w:p>
    <w:p>
      <w:pPr>
        <w:pStyle w:val="ListParagraph"/>
        <w:numPr>
          <w:ilvl w:val="0"/>
          <w:numId w:val="2"/>
        </w:numPr>
        <w:spacing w:after="6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Apmaksa pēc preces saņemšanas:</w:t>
      </w:r>
      <w:r>
        <w:rPr>
          <w:rFonts w:ascii="Calibri" w:cs="Calibri" w:eastAsia="Calibri" w:hAnsi="Calibri"/>
          <w:b w:val="false"/>
          <w:bCs w:val="false"/>
          <w:sz w:val="21"/>
          <w:szCs w:val="21"/>
        </w:rPr>
        <w:t xml:space="preserve"> pasūtījumu vēstures pārbaude šī apmaksas veida piešķiršanai — pārdevēja leģitīmā interese samazināt nemaksāšanas risku (VDAR 6(1)(f)).</w:t>
      </w:r>
    </w:p>
    <w:p>
      <w:pPr>
        <w:pStyle w:val="ListParagraph"/>
        <w:numPr>
          <w:ilvl w:val="0"/>
          <w:numId w:val="2"/>
        </w:numPr>
        <w:spacing w:after="6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Grāmatvedība un nodokļu atskaites</w:t>
      </w:r>
      <w:r>
        <w:rPr>
          <w:rFonts w:ascii="Calibri" w:cs="Calibri" w:eastAsia="Calibri" w:hAnsi="Calibri"/>
          <w:b w:val="false"/>
          <w:bCs w:val="false"/>
          <w:sz w:val="21"/>
          <w:szCs w:val="21"/>
        </w:rPr>
        <w:t xml:space="preserve"> — juridiska pienākuma izpilde (VDAR 6(1)(c); Grāmatvedības likums, nodokļu normatīvie akti).</w:t>
      </w:r>
    </w:p>
    <w:p>
      <w:pPr>
        <w:pStyle w:val="ListParagraph"/>
        <w:numPr>
          <w:ilvl w:val="0"/>
          <w:numId w:val="2"/>
        </w:numPr>
        <w:spacing w:after="6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Sūdzību izskatīšana un tiesību aizsardzība</w:t>
      </w:r>
      <w:r>
        <w:rPr>
          <w:rFonts w:ascii="Calibri" w:cs="Calibri" w:eastAsia="Calibri" w:hAnsi="Calibri"/>
          <w:b w:val="false"/>
          <w:bCs w:val="false"/>
          <w:sz w:val="21"/>
          <w:szCs w:val="21"/>
        </w:rPr>
        <w:t xml:space="preserve"> — juridisks pienākums (Patērētāju tiesību aizsardzības likums) un leģitīmā interese (VDAR 6(1)(c) un 6(1)(f)).</w:t>
      </w:r>
    </w:p>
    <w:p>
      <w:pPr>
        <w:pStyle w:val="ListParagraph"/>
        <w:numPr>
          <w:ilvl w:val="0"/>
          <w:numId w:val="2"/>
        </w:numPr>
        <w:spacing w:after="6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Mārketinga paziņojumi (jaunumi, akcijas, personalizēti piedāvājumi)</w:t>
      </w:r>
      <w:r>
        <w:rPr>
          <w:rFonts w:ascii="Calibri" w:cs="Calibri" w:eastAsia="Calibri" w:hAnsi="Calibri"/>
          <w:b w:val="false"/>
          <w:bCs w:val="false"/>
          <w:sz w:val="21"/>
          <w:szCs w:val="21"/>
        </w:rPr>
        <w:t xml:space="preserve"> — Jūsu piekrišana (VDAR 6(1)(a)), kuru jebkurā brīdī var atsaukt.</w:t>
      </w:r>
    </w:p>
    <w:p>
      <w:pPr>
        <w:pStyle w:val="ListParagraph"/>
        <w:numPr>
          <w:ilvl w:val="0"/>
          <w:numId w:val="2"/>
        </w:numPr>
        <w:spacing w:after="6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Analītika un reklāma (Google Analytics 4, Meta Pixel, Google Ads)</w:t>
      </w:r>
      <w:r>
        <w:rPr>
          <w:rFonts w:ascii="Calibri" w:cs="Calibri" w:eastAsia="Calibri" w:hAnsi="Calibri"/>
          <w:b w:val="false"/>
          <w:bCs w:val="false"/>
          <w:sz w:val="21"/>
          <w:szCs w:val="21"/>
        </w:rPr>
        <w:t xml:space="preserve"> — Jūsu piekrišana attiecīgajām sīkdatņu kategorijām (VDAR 6(1)(a)).</w:t>
      </w:r>
    </w:p>
    <w:p>
      <w:pPr>
        <w:pStyle w:val="ListParagraph"/>
        <w:numPr>
          <w:ilvl w:val="0"/>
          <w:numId w:val="2"/>
        </w:numPr>
        <w:spacing w:after="6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Vietnes drošība un krāpšanas novēršana</w:t>
      </w:r>
      <w:r>
        <w:rPr>
          <w:rFonts w:ascii="Calibri" w:cs="Calibri" w:eastAsia="Calibri" w:hAnsi="Calibri"/>
          <w:b w:val="false"/>
          <w:bCs w:val="false"/>
          <w:sz w:val="21"/>
          <w:szCs w:val="21"/>
        </w:rPr>
        <w:t xml:space="preserve"> — leģitīmā interese (VDAR 6(1)(f)).</w:t>
      </w:r>
    </w:p>
    <w:p>
      <w:pPr>
        <w:pStyle w:val="Heading1"/>
        <w:spacing w:after="120" w:before="300"/>
      </w:pPr>
      <w:r>
        <w:rPr>
          <w:rFonts w:ascii="Calibri" w:cs="Calibri" w:eastAsia="Calibri" w:hAnsi="Calibri"/>
          <w:b/>
          <w:bCs/>
          <w:color w:val="6B2D5C"/>
          <w:sz w:val="26"/>
          <w:szCs w:val="26"/>
        </w:rPr>
        <w:t xml:space="preserve">5. Personas datu saņēmēji</w:t>
      </w:r>
    </w:p>
    <w:p>
      <w:pPr>
        <w:spacing w:after="120"/>
        <w:jc w:val="both"/>
      </w:pPr>
      <w:r>
        <w:rPr>
          <w:rFonts w:ascii="Calibri" w:cs="Calibri" w:eastAsia="Calibri" w:hAnsi="Calibri"/>
          <w:b w:val="false"/>
          <w:bCs w:val="false"/>
          <w:sz w:val="21"/>
          <w:szCs w:val="21"/>
        </w:rPr>
        <w:t xml:space="preserve">Datus nododam tikai konkrētajam nolūkam nepieciešamajā apjomā šādām saņēmēju kategorijām:</w:t>
      </w:r>
    </w:p>
    <w:p>
      <w:pPr>
        <w:pStyle w:val="ListParagraph"/>
        <w:numPr>
          <w:ilvl w:val="0"/>
          <w:numId w:val="2"/>
        </w:numPr>
        <w:spacing w:after="6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Maksājumu pakalpojumu sniedzējs:</w:t>
      </w:r>
      <w:r>
        <w:rPr>
          <w:rFonts w:ascii="Calibri" w:cs="Calibri" w:eastAsia="Calibri" w:hAnsi="Calibri"/>
          <w:b w:val="false"/>
          <w:bCs w:val="false"/>
          <w:sz w:val="21"/>
          <w:szCs w:val="21"/>
        </w:rPr>
        <w:t xml:space="preserve"> Paysera LT, UAB (Lietuva) — tiešsaistes maksājumu un banklinku apstrāde.</w:t>
      </w:r>
    </w:p>
    <w:p>
      <w:pPr>
        <w:pStyle w:val="ListParagraph"/>
        <w:numPr>
          <w:ilvl w:val="0"/>
          <w:numId w:val="2"/>
        </w:numPr>
        <w:spacing w:after="6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Piegādes pakalpojumu sniedzēji:</w:t>
      </w:r>
      <w:r>
        <w:rPr>
          <w:rFonts w:ascii="Calibri" w:cs="Calibri" w:eastAsia="Calibri" w:hAnsi="Calibri"/>
          <w:b w:val="false"/>
          <w:bCs w:val="false"/>
          <w:sz w:val="21"/>
          <w:szCs w:val="21"/>
        </w:rPr>
        <w:t xml:space="preserve"> DPD Latvija SIA, Omniva SIA, Venipak Latvija SIA — saņēmēja vārds, tālrunis, e-pasts un adrese/pakomāts piegādei; apmaksai saņemot — arī maksājamā summa.</w:t>
      </w:r>
    </w:p>
    <w:p>
      <w:pPr>
        <w:pStyle w:val="ListParagraph"/>
        <w:numPr>
          <w:ilvl w:val="0"/>
          <w:numId w:val="2"/>
        </w:numPr>
        <w:spacing w:after="6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E-pasta mārketinga pakalpojums:</w:t>
      </w:r>
      <w:r>
        <w:rPr>
          <w:rFonts w:ascii="Calibri" w:cs="Calibri" w:eastAsia="Calibri" w:hAnsi="Calibri"/>
          <w:b w:val="false"/>
          <w:bCs w:val="false"/>
          <w:sz w:val="21"/>
          <w:szCs w:val="21"/>
        </w:rPr>
        <w:t xml:space="preserve"> The Rocket Science Group LLC (Mailchimp, ASV) — abonentu e-pasts un vārds.</w:t>
      </w:r>
    </w:p>
    <w:p>
      <w:pPr>
        <w:pStyle w:val="ListParagraph"/>
        <w:numPr>
          <w:ilvl w:val="0"/>
          <w:numId w:val="2"/>
        </w:numPr>
        <w:spacing w:after="6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Analītika un reklāma:</w:t>
      </w:r>
      <w:r>
        <w:rPr>
          <w:rFonts w:ascii="Calibri" w:cs="Calibri" w:eastAsia="Calibri" w:hAnsi="Calibri"/>
          <w:b w:val="false"/>
          <w:bCs w:val="false"/>
          <w:sz w:val="21"/>
          <w:szCs w:val="21"/>
        </w:rPr>
        <w:t xml:space="preserve"> Google Ireland Ltd. (Google Analytics 4, Google Ads), Meta Platforms Ireland Ltd. (Meta Pixel) — pseidonimizēti dati par darbībām vietnē, ja saņemta Jūsu piekrišana.</w:t>
      </w:r>
    </w:p>
    <w:p>
      <w:pPr>
        <w:pStyle w:val="ListParagraph"/>
        <w:numPr>
          <w:ilvl w:val="0"/>
          <w:numId w:val="2"/>
        </w:numPr>
        <w:spacing w:after="6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IT pakalpojumu sniedzēji:</w:t>
      </w:r>
      <w:r>
        <w:rPr>
          <w:rFonts w:ascii="Calibri" w:cs="Calibri" w:eastAsia="Calibri" w:hAnsi="Calibri"/>
          <w:b w:val="false"/>
          <w:bCs w:val="false"/>
          <w:sz w:val="21"/>
          <w:szCs w:val="21"/>
        </w:rPr>
        <w:t xml:space="preserve"> hostings, interneta veikala platformas (nopCommerce) uzturēšana, rezerves kopēšana — saskaņā ar datu apstrādes līgumiem.</w:t>
      </w:r>
    </w:p>
    <w:p>
      <w:pPr>
        <w:pStyle w:val="ListParagraph"/>
        <w:numPr>
          <w:ilvl w:val="0"/>
          <w:numId w:val="2"/>
        </w:numPr>
        <w:spacing w:after="6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Valsts un tiesībaizsardzības iestādes</w:t>
      </w:r>
      <w:r>
        <w:rPr>
          <w:rFonts w:ascii="Calibri" w:cs="Calibri" w:eastAsia="Calibri" w:hAnsi="Calibri"/>
          <w:b w:val="false"/>
          <w:bCs w:val="false"/>
          <w:sz w:val="21"/>
          <w:szCs w:val="21"/>
        </w:rPr>
        <w:t xml:space="preserve"> — tikai normatīvajos aktos noteiktajos gadījumos un kārtībā.</w:t>
      </w:r>
    </w:p>
    <w:p>
      <w:pPr>
        <w:spacing w:after="120"/>
        <w:jc w:val="both"/>
      </w:pPr>
      <w:r>
        <w:rPr>
          <w:rFonts w:ascii="Calibri" w:cs="Calibri" w:eastAsia="Calibri" w:hAnsi="Calibri"/>
          <w:b w:val="false"/>
          <w:bCs w:val="false"/>
          <w:sz w:val="21"/>
          <w:szCs w:val="21"/>
        </w:rPr>
        <w:t xml:space="preserve">Visi apstrādātāji darbojas saskaņā ar līgumiem, kas atbilst VDAR 28. panta prasībām.</w:t>
      </w:r>
    </w:p>
    <w:p>
      <w:pPr>
        <w:pStyle w:val="Heading1"/>
        <w:spacing w:after="120" w:before="300"/>
      </w:pPr>
      <w:r>
        <w:rPr>
          <w:rFonts w:ascii="Calibri" w:cs="Calibri" w:eastAsia="Calibri" w:hAnsi="Calibri"/>
          <w:b/>
          <w:bCs/>
          <w:color w:val="6B2D5C"/>
          <w:sz w:val="26"/>
          <w:szCs w:val="26"/>
        </w:rPr>
        <w:t xml:space="preserve">6. Sīkdatnes un līdzīgas tehnoloģijas</w:t>
      </w:r>
    </w:p>
    <w:p>
      <w:pPr>
        <w:spacing w:after="120"/>
        <w:jc w:val="both"/>
      </w:pPr>
      <w:r>
        <w:rPr>
          <w:rFonts w:ascii="Calibri" w:cs="Calibri" w:eastAsia="Calibri" w:hAnsi="Calibri"/>
          <w:b w:val="false"/>
          <w:bCs w:val="false"/>
          <w:sz w:val="21"/>
          <w:szCs w:val="21"/>
        </w:rPr>
        <w:t xml:space="preserve">Pirmajā vietnes apmeklējumā tiek parādīts sīkdatņu piekrišanas paziņojums, kurā varat pieņemt visas sīkdatnes, noraidīt neobligātās vai pielāgot kategorijas. Nepieciešamās sīkdatnes tiek izvietotas bez piekrišanas, jo bez tām Veikals nevar darboties; pārējās — tikai ar Jūsu piekrišanu, kuru jebkurā brīdī var mainīt vietnes sīkdatņu iestatījumos.</w:t>
      </w:r>
    </w:p>
    <w:p>
      <w:pPr>
        <w:pStyle w:val="ListParagraph"/>
        <w:numPr>
          <w:ilvl w:val="0"/>
          <w:numId w:val="2"/>
        </w:numPr>
        <w:spacing w:after="6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Nepieciešamās sīkdatnes:</w:t>
      </w:r>
      <w:r>
        <w:rPr>
          <w:rFonts w:ascii="Calibri" w:cs="Calibri" w:eastAsia="Calibri" w:hAnsi="Calibri"/>
          <w:b w:val="false"/>
          <w:bCs w:val="false"/>
          <w:sz w:val="21"/>
          <w:szCs w:val="21"/>
        </w:rPr>
        <w:t xml:space="preserve"> pircēja sesija, grozs, autorizācija, izvēlētā valoda, piekrišanas iestatījumu saglabāšana. Termiņš — sesija vai līdz 12 mēnešiem.</w:t>
      </w:r>
    </w:p>
    <w:p>
      <w:pPr>
        <w:pStyle w:val="ListParagraph"/>
        <w:numPr>
          <w:ilvl w:val="0"/>
          <w:numId w:val="2"/>
        </w:numPr>
        <w:spacing w:after="6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Analītikas sīkdatnes (Google Analytics 4):</w:t>
      </w:r>
      <w:r>
        <w:rPr>
          <w:rFonts w:ascii="Calibri" w:cs="Calibri" w:eastAsia="Calibri" w:hAnsi="Calibri"/>
          <w:b w:val="false"/>
          <w:bCs w:val="false"/>
          <w:sz w:val="21"/>
          <w:szCs w:val="21"/>
        </w:rPr>
        <w:t xml:space="preserve"> anonimizēta apmeklējumu statistika — apskatītās lapas, apmeklētāju avoti, vietnes lietošana. IP adreses Google apstrādā saīsinātā veidā.</w:t>
      </w:r>
    </w:p>
    <w:p>
      <w:pPr>
        <w:pStyle w:val="ListParagraph"/>
        <w:numPr>
          <w:ilvl w:val="0"/>
          <w:numId w:val="2"/>
        </w:numPr>
        <w:spacing w:after="6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Mārketinga sīkdatnes (Meta Pixel, Google Ads):</w:t>
      </w:r>
      <w:r>
        <w:rPr>
          <w:rFonts w:ascii="Calibri" w:cs="Calibri" w:eastAsia="Calibri" w:hAnsi="Calibri"/>
          <w:b w:val="false"/>
          <w:bCs w:val="false"/>
          <w:sz w:val="21"/>
          <w:szCs w:val="21"/>
        </w:rPr>
        <w:t xml:space="preserve"> reklāmas efektivitātes mērīšana, remārketings — mūsu reklāmu rādīšana Google un Meta tīklos vietnes apmeklētājiem, līdzīgu auditoriju veidošana.</w:t>
      </w:r>
    </w:p>
    <w:p>
      <w:pPr>
        <w:spacing w:after="120"/>
        <w:jc w:val="both"/>
      </w:pPr>
      <w:r>
        <w:rPr>
          <w:rFonts w:ascii="Calibri" w:cs="Calibri" w:eastAsia="Calibri" w:hAnsi="Calibri"/>
          <w:b w:val="false"/>
          <w:bCs w:val="false"/>
          <w:sz w:val="21"/>
          <w:szCs w:val="21"/>
        </w:rPr>
        <w:t xml:space="preserve">Sīkdatnes varat pārvaldīt arī pārlūkprogrammas iestatījumos, kā arī atteikties no personalizētas reklāmas: Google — adssettings.google.com, Meta — facebook.com/ads/preferences, kā arī networkadvertising.org/choices.</w:t>
      </w:r>
    </w:p>
    <w:p>
      <w:pPr>
        <w:pStyle w:val="Heading1"/>
        <w:spacing w:after="120" w:before="300"/>
      </w:pPr>
      <w:r>
        <w:rPr>
          <w:rFonts w:ascii="Calibri" w:cs="Calibri" w:eastAsia="Calibri" w:hAnsi="Calibri"/>
          <w:b/>
          <w:bCs/>
          <w:color w:val="6B2D5C"/>
          <w:sz w:val="26"/>
          <w:szCs w:val="26"/>
        </w:rPr>
        <w:t xml:space="preserve">7. Datu nodošana ārpus ES/EEZ</w:t>
      </w:r>
    </w:p>
    <w:p>
      <w:pPr>
        <w:spacing w:after="120"/>
        <w:jc w:val="both"/>
      </w:pPr>
      <w:r>
        <w:rPr>
          <w:rFonts w:ascii="Calibri" w:cs="Calibri" w:eastAsia="Calibri" w:hAnsi="Calibri"/>
          <w:b w:val="false"/>
          <w:bCs w:val="false"/>
          <w:sz w:val="21"/>
          <w:szCs w:val="21"/>
        </w:rPr>
        <w:t xml:space="preserve">Atsevišķi pakalpojumu sniedzēji (Google, Meta, Mailchimp) datus var apstrādāt serveros ASV. Nodošana notiek, pamatojoties uz Eiropas Komisijas lēmumu par aizsardzības līmeņa pietiekamību (EU–U.S. Data Privacy Framework) attiecībā uz sertificētiem uzņēmumiem, kā arī ES standarta līguma klauzulām (SCC) ar papildu aizsardzības pasākumiem.</w:t>
      </w:r>
    </w:p>
    <w:p>
      <w:pPr>
        <w:pStyle w:val="Heading1"/>
        <w:spacing w:after="120" w:before="300"/>
      </w:pPr>
      <w:r>
        <w:rPr>
          <w:rFonts w:ascii="Calibri" w:cs="Calibri" w:eastAsia="Calibri" w:hAnsi="Calibri"/>
          <w:b/>
          <w:bCs/>
          <w:color w:val="6B2D5C"/>
          <w:sz w:val="26"/>
          <w:szCs w:val="26"/>
        </w:rPr>
        <w:t xml:space="preserve">8. Datu glabāšanas termiņi</w:t>
      </w:r>
    </w:p>
    <w:p>
      <w:pPr>
        <w:pStyle w:val="ListParagraph"/>
        <w:numPr>
          <w:ilvl w:val="0"/>
          <w:numId w:val="2"/>
        </w:numPr>
        <w:spacing w:after="6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Pasūtījumu dati, rēķini un grāmatvedības dokumenti</w:t>
      </w:r>
      <w:r>
        <w:rPr>
          <w:rFonts w:ascii="Calibri" w:cs="Calibri" w:eastAsia="Calibri" w:hAnsi="Calibri"/>
          <w:b w:val="false"/>
          <w:bCs w:val="false"/>
          <w:sz w:val="21"/>
          <w:szCs w:val="21"/>
        </w:rPr>
        <w:t xml:space="preserve"> — 5 gadi no attiecīgā pārskata gada beigām (Grāmatvedības likums).</w:t>
      </w:r>
    </w:p>
    <w:p>
      <w:pPr>
        <w:pStyle w:val="ListParagraph"/>
        <w:numPr>
          <w:ilvl w:val="0"/>
          <w:numId w:val="2"/>
        </w:numPr>
        <w:spacing w:after="6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Pircēja konts un lojalitātes programmas dati</w:t>
      </w:r>
      <w:r>
        <w:rPr>
          <w:rFonts w:ascii="Calibri" w:cs="Calibri" w:eastAsia="Calibri" w:hAnsi="Calibri"/>
          <w:b w:val="false"/>
          <w:bCs w:val="false"/>
          <w:sz w:val="21"/>
          <w:szCs w:val="21"/>
        </w:rPr>
        <w:t xml:space="preserve"> — kamēr izmantojat kontu; ja aktivitātes nav ilgāk par 3 gadiem vai pēc Jūsu pieprasījuma konts tiek dzēsts (dati, kuru glabāšanu nosaka likums, tiek saglabāti likumā noteikto termiņu).</w:t>
      </w:r>
    </w:p>
    <w:p>
      <w:pPr>
        <w:pStyle w:val="ListParagraph"/>
        <w:numPr>
          <w:ilvl w:val="0"/>
          <w:numId w:val="2"/>
        </w:numPr>
        <w:spacing w:after="6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Mārketinga piekrišana un sūtījumu dati</w:t>
      </w:r>
      <w:r>
        <w:rPr>
          <w:rFonts w:ascii="Calibri" w:cs="Calibri" w:eastAsia="Calibri" w:hAnsi="Calibri"/>
          <w:b w:val="false"/>
          <w:bCs w:val="false"/>
          <w:sz w:val="21"/>
          <w:szCs w:val="21"/>
        </w:rPr>
        <w:t xml:space="preserve"> — līdz piekrišanas atsaukšanai; ja abonents nav aktīvs ilgāk par 3 gadiem, abonements tiek deaktivizēts.</w:t>
      </w:r>
    </w:p>
    <w:p>
      <w:pPr>
        <w:pStyle w:val="ListParagraph"/>
        <w:numPr>
          <w:ilvl w:val="0"/>
          <w:numId w:val="2"/>
        </w:numPr>
        <w:spacing w:after="6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Sarakste un sūdzības</w:t>
      </w:r>
      <w:r>
        <w:rPr>
          <w:rFonts w:ascii="Calibri" w:cs="Calibri" w:eastAsia="Calibri" w:hAnsi="Calibri"/>
          <w:b w:val="false"/>
          <w:bCs w:val="false"/>
          <w:sz w:val="21"/>
          <w:szCs w:val="21"/>
        </w:rPr>
        <w:t xml:space="preserve"> — līdz 3 gadiem pēc jautājuma atrisināšanas, strīda gadījumā — līdz noilguma termiņa beigām.</w:t>
      </w:r>
    </w:p>
    <w:p>
      <w:pPr>
        <w:pStyle w:val="ListParagraph"/>
        <w:numPr>
          <w:ilvl w:val="0"/>
          <w:numId w:val="2"/>
        </w:numPr>
        <w:spacing w:after="6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Tehniskie žurnāli un sīkdatņu dati</w:t>
      </w:r>
      <w:r>
        <w:rPr>
          <w:rFonts w:ascii="Calibri" w:cs="Calibri" w:eastAsia="Calibri" w:hAnsi="Calibri"/>
          <w:b w:val="false"/>
          <w:bCs w:val="false"/>
          <w:sz w:val="21"/>
          <w:szCs w:val="21"/>
        </w:rPr>
        <w:t xml:space="preserve"> — saskaņā ar 6. sadaļā un sīkdatņu iestatījumos norādītajiem termiņiem.</w:t>
      </w:r>
    </w:p>
    <w:p>
      <w:pPr>
        <w:spacing w:after="120"/>
        <w:jc w:val="both"/>
      </w:pPr>
      <w:r>
        <w:rPr>
          <w:rFonts w:ascii="Calibri" w:cs="Calibri" w:eastAsia="Calibri" w:hAnsi="Calibri"/>
          <w:b w:val="false"/>
          <w:bCs w:val="false"/>
          <w:sz w:val="21"/>
          <w:szCs w:val="21"/>
        </w:rPr>
        <w:t xml:space="preserve">Pēc termiņa beigām dati tiek dzēsti vai neatgriezeniski anonimizēti.</w:t>
      </w:r>
    </w:p>
    <w:p>
      <w:pPr>
        <w:pStyle w:val="Heading1"/>
        <w:spacing w:after="120" w:before="300"/>
      </w:pPr>
      <w:r>
        <w:rPr>
          <w:rFonts w:ascii="Calibri" w:cs="Calibri" w:eastAsia="Calibri" w:hAnsi="Calibri"/>
          <w:b/>
          <w:bCs/>
          <w:color w:val="6B2D5C"/>
          <w:sz w:val="26"/>
          <w:szCs w:val="26"/>
        </w:rPr>
        <w:t xml:space="preserve">9. Jūsu tiesības</w:t>
      </w:r>
    </w:p>
    <w:p>
      <w:pPr>
        <w:spacing w:after="120"/>
        <w:jc w:val="both"/>
      </w:pPr>
      <w:r>
        <w:rPr>
          <w:rFonts w:ascii="Calibri" w:cs="Calibri" w:eastAsia="Calibri" w:hAnsi="Calibri"/>
          <w:b w:val="false"/>
          <w:bCs w:val="false"/>
          <w:sz w:val="21"/>
          <w:szCs w:val="21"/>
        </w:rPr>
        <w:t xml:space="preserve">Saskaņā ar VDAR Jums ir tiesības:</w:t>
      </w:r>
    </w:p>
    <w:p>
      <w:pPr>
        <w:pStyle w:val="ListParagraph"/>
        <w:numPr>
          <w:ilvl w:val="0"/>
          <w:numId w:val="2"/>
        </w:numPr>
        <w:spacing w:after="60"/>
      </w:pPr>
      <w:r>
        <w:rPr>
          <w:rFonts w:ascii="Calibri" w:cs="Calibri" w:eastAsia="Calibri" w:hAnsi="Calibri"/>
          <w:b w:val="false"/>
          <w:bCs w:val="false"/>
          <w:sz w:val="21"/>
          <w:szCs w:val="21"/>
        </w:rPr>
        <w:t xml:space="preserve">saņemt apstiprinājumu un piekļuvi saviem personas datiem (piekļuves tiesības);</w:t>
      </w:r>
    </w:p>
    <w:p>
      <w:pPr>
        <w:pStyle w:val="ListParagraph"/>
        <w:numPr>
          <w:ilvl w:val="0"/>
          <w:numId w:val="2"/>
        </w:numPr>
        <w:spacing w:after="60"/>
      </w:pPr>
      <w:r>
        <w:rPr>
          <w:rFonts w:ascii="Calibri" w:cs="Calibri" w:eastAsia="Calibri" w:hAnsi="Calibri"/>
          <w:b w:val="false"/>
          <w:bCs w:val="false"/>
          <w:sz w:val="21"/>
          <w:szCs w:val="21"/>
        </w:rPr>
        <w:t xml:space="preserve">pieprasīt neprecīzu vai nepilnīgu datu labošanu;</w:t>
      </w:r>
    </w:p>
    <w:p>
      <w:pPr>
        <w:pStyle w:val="ListParagraph"/>
        <w:numPr>
          <w:ilvl w:val="0"/>
          <w:numId w:val="2"/>
        </w:numPr>
        <w:spacing w:after="60"/>
      </w:pPr>
      <w:r>
        <w:rPr>
          <w:rFonts w:ascii="Calibri" w:cs="Calibri" w:eastAsia="Calibri" w:hAnsi="Calibri"/>
          <w:b w:val="false"/>
          <w:bCs w:val="false"/>
          <w:sz w:val="21"/>
          <w:szCs w:val="21"/>
        </w:rPr>
        <w:t xml:space="preserve">pieprasīt datu dzēšanu («tiesības tikt aizmirstam»), ja nav tiesiska pamata to turpmākai apstrādei;</w:t>
      </w:r>
    </w:p>
    <w:p>
      <w:pPr>
        <w:pStyle w:val="ListParagraph"/>
        <w:numPr>
          <w:ilvl w:val="0"/>
          <w:numId w:val="2"/>
        </w:numPr>
        <w:spacing w:after="60"/>
      </w:pPr>
      <w:r>
        <w:rPr>
          <w:rFonts w:ascii="Calibri" w:cs="Calibri" w:eastAsia="Calibri" w:hAnsi="Calibri"/>
          <w:b w:val="false"/>
          <w:bCs w:val="false"/>
          <w:sz w:val="21"/>
          <w:szCs w:val="21"/>
        </w:rPr>
        <w:t xml:space="preserve">ierobežot apstrādi likumā noteiktajos gadījumos;</w:t>
      </w:r>
    </w:p>
    <w:p>
      <w:pPr>
        <w:pStyle w:val="ListParagraph"/>
        <w:numPr>
          <w:ilvl w:val="0"/>
          <w:numId w:val="2"/>
        </w:numPr>
        <w:spacing w:after="60"/>
      </w:pPr>
      <w:r>
        <w:rPr>
          <w:rFonts w:ascii="Calibri" w:cs="Calibri" w:eastAsia="Calibri" w:hAnsi="Calibri"/>
          <w:b w:val="false"/>
          <w:bCs w:val="false"/>
          <w:sz w:val="21"/>
          <w:szCs w:val="21"/>
        </w:rPr>
        <w:t xml:space="preserve">saņemt datus strukturētā, mašīnlasāmā formātā un nodot tos citam pārzinim (datu pārnesamība);</w:t>
      </w:r>
    </w:p>
    <w:p>
      <w:pPr>
        <w:pStyle w:val="ListParagraph"/>
        <w:numPr>
          <w:ilvl w:val="0"/>
          <w:numId w:val="2"/>
        </w:numPr>
        <w:spacing w:after="60"/>
      </w:pPr>
      <w:r>
        <w:rPr>
          <w:rFonts w:ascii="Calibri" w:cs="Calibri" w:eastAsia="Calibri" w:hAnsi="Calibri"/>
          <w:b w:val="false"/>
          <w:bCs w:val="false"/>
          <w:sz w:val="21"/>
          <w:szCs w:val="21"/>
        </w:rPr>
        <w:t xml:space="preserve">iebilst pret apstrādi, kas balstīta uz leģitīmo interesi, kā arī jebkurā brīdī — pret tiešo mārketingu;</w:t>
      </w:r>
    </w:p>
    <w:p>
      <w:pPr>
        <w:pStyle w:val="ListParagraph"/>
        <w:numPr>
          <w:ilvl w:val="0"/>
          <w:numId w:val="2"/>
        </w:numPr>
        <w:spacing w:after="60"/>
      </w:pPr>
      <w:r>
        <w:rPr>
          <w:rFonts w:ascii="Calibri" w:cs="Calibri" w:eastAsia="Calibri" w:hAnsi="Calibri"/>
          <w:b w:val="false"/>
          <w:bCs w:val="false"/>
          <w:sz w:val="21"/>
          <w:szCs w:val="21"/>
        </w:rPr>
        <w:t xml:space="preserve">jebkurā brīdī atsaukt piekrišanu, kas neietekmē līdz atsaukumam veiktās apstrādes likumību.</w:t>
      </w:r>
    </w:p>
    <w:p>
      <w:pPr>
        <w:spacing w:after="120"/>
        <w:jc w:val="both"/>
      </w:pPr>
      <w:r>
        <w:rPr>
          <w:rFonts w:ascii="Calibri" w:cs="Calibri" w:eastAsia="Calibri" w:hAnsi="Calibri"/>
          <w:b w:val="false"/>
          <w:bCs w:val="false"/>
          <w:sz w:val="21"/>
          <w:szCs w:val="21"/>
        </w:rPr>
        <w:t xml:space="preserve">Lai īstenotu savas tiesības, sūtiet pieprasījumu uz Info@HairShop.lv. Atbildēsim viena mēneša laikā. Mēs varam lūgt apliecināt Jūsu identitāti, lai dati netiktu izsniegti nepiederošai personai.</w:t>
      </w:r>
    </w:p>
    <w:p>
      <w:pPr>
        <w:spacing w:after="120"/>
        <w:jc w:val="both"/>
      </w:pPr>
      <w:r>
        <w:rPr>
          <w:rFonts w:ascii="Calibri" w:cs="Calibri" w:eastAsia="Calibri" w:hAnsi="Calibri"/>
          <w:b w:val="false"/>
          <w:bCs w:val="false"/>
          <w:sz w:val="21"/>
          <w:szCs w:val="21"/>
        </w:rPr>
        <w:t xml:space="preserve">Ja uzskatāt, ka Jūsu tiesības ir pārkāptas, Jums ir tiesības iesniegt sūdzību uzraudzības iestādē: </w:t>
      </w:r>
      <w:r>
        <w:rPr>
          <w:rFonts w:ascii="Calibri" w:cs="Calibri" w:eastAsia="Calibri" w:hAnsi="Calibri"/>
          <w:b/>
          <w:bCs/>
          <w:sz w:val="21"/>
          <w:szCs w:val="21"/>
        </w:rPr>
        <w:t xml:space="preserve">Datu valsts inspekcija</w:t>
      </w:r>
      <w:r>
        <w:rPr>
          <w:rFonts w:ascii="Calibri" w:cs="Calibri" w:eastAsia="Calibri" w:hAnsi="Calibri"/>
          <w:b w:val="false"/>
          <w:bCs w:val="false"/>
          <w:sz w:val="21"/>
          <w:szCs w:val="21"/>
        </w:rPr>
        <w:t xml:space="preserve">, Elijas iela 17, Rīga, LV-1050, tālr. +371 67223131, pasts@dvi.gov.lv, www.dvi.gov.lv.</w:t>
      </w:r>
    </w:p>
    <w:p>
      <w:pPr>
        <w:pStyle w:val="Heading1"/>
        <w:spacing w:after="120" w:before="300"/>
      </w:pPr>
      <w:r>
        <w:rPr>
          <w:rFonts w:ascii="Calibri" w:cs="Calibri" w:eastAsia="Calibri" w:hAnsi="Calibri"/>
          <w:b/>
          <w:bCs/>
          <w:color w:val="6B2D5C"/>
          <w:sz w:val="26"/>
          <w:szCs w:val="26"/>
        </w:rPr>
        <w:t xml:space="preserve">10. Mārketinga paziņojumi</w:t>
      </w:r>
    </w:p>
    <w:p>
      <w:pPr>
        <w:spacing w:after="120"/>
        <w:jc w:val="both"/>
      </w:pPr>
      <w:r>
        <w:rPr>
          <w:rFonts w:ascii="Calibri" w:cs="Calibri" w:eastAsia="Calibri" w:hAnsi="Calibri"/>
          <w:b w:val="false"/>
          <w:bCs w:val="false"/>
          <w:sz w:val="21"/>
          <w:szCs w:val="21"/>
        </w:rPr>
        <w:t xml:space="preserve">Jaunumus (jaunas preces, akcijas, personalizētus piedāvājumus) sūtām ar Mailchimp tikai ar Jūsu piekrišanu — reģistrējoties, noformējot pasūtījumu vai piesakoties jaunumiem vietnē. Atteikties var jebkurā brīdī: ar saiti «Atrakstīties» katrā vēstulē, konta iestatījumos vai rakstot uz Info@HairShop.lv. Atteikšanās no jaunumiem neietekmē pakalpojuma paziņojumus par Jūsu pasūtījumiem (apstiprinājums, piegādes statuss), kas nepieciešami līguma izpildei.</w:t>
      </w:r>
    </w:p>
    <w:p>
      <w:pPr>
        <w:pStyle w:val="Heading1"/>
        <w:spacing w:after="120" w:before="300"/>
      </w:pPr>
      <w:r>
        <w:rPr>
          <w:rFonts w:ascii="Calibri" w:cs="Calibri" w:eastAsia="Calibri" w:hAnsi="Calibri"/>
          <w:b/>
          <w:bCs/>
          <w:color w:val="6B2D5C"/>
          <w:sz w:val="26"/>
          <w:szCs w:val="26"/>
        </w:rPr>
        <w:t xml:space="preserve">11. Automatizēta lēmumu pieņemšana un profilēšana</w:t>
      </w:r>
    </w:p>
    <w:p>
      <w:pPr>
        <w:spacing w:after="120"/>
        <w:jc w:val="both"/>
      </w:pPr>
      <w:r>
        <w:rPr>
          <w:rFonts w:ascii="Calibri" w:cs="Calibri" w:eastAsia="Calibri" w:hAnsi="Calibri"/>
          <w:b w:val="false"/>
          <w:bCs w:val="false"/>
          <w:sz w:val="21"/>
          <w:szCs w:val="21"/>
        </w:rPr>
        <w:t xml:space="preserve">Mēs nepieņemam lēmumus, kas balstīti tikai uz automatizētu apstrādi un rada Jums juridiskas sekas. Uzkrājošās atlaides līmenis lojalitātes programmā tiek aprēķināts automātiski, pamatojoties uz Jūsu pirkumu summu saskaņā ar publicētajiem programmas noteikumiem. Segmentācija personalizētiem piedāvājumiem tiek veikta tikai ar Jūsu piekrišanu mārketingam.</w:t>
      </w:r>
    </w:p>
    <w:p>
      <w:pPr>
        <w:pStyle w:val="Heading1"/>
        <w:spacing w:after="120" w:before="300"/>
      </w:pPr>
      <w:r>
        <w:rPr>
          <w:rFonts w:ascii="Calibri" w:cs="Calibri" w:eastAsia="Calibri" w:hAnsi="Calibri"/>
          <w:b/>
          <w:bCs/>
          <w:color w:val="6B2D5C"/>
          <w:sz w:val="26"/>
          <w:szCs w:val="26"/>
        </w:rPr>
        <w:t xml:space="preserve">12. Datu drošība</w:t>
      </w:r>
    </w:p>
    <w:p>
      <w:pPr>
        <w:spacing w:after="120"/>
        <w:jc w:val="both"/>
      </w:pPr>
      <w:r>
        <w:rPr>
          <w:rFonts w:ascii="Calibri" w:cs="Calibri" w:eastAsia="Calibri" w:hAnsi="Calibri"/>
          <w:b w:val="false"/>
          <w:bCs w:val="false"/>
          <w:sz w:val="21"/>
          <w:szCs w:val="21"/>
        </w:rPr>
        <w:t xml:space="preserve">Mēs izmantojam atbilstošus tehniskos un organizatoriskos aizsardzības pasākumus: savienojuma šifrēšanu (TLS/SSL), paroļu glabāšanu jauktā (hash) veidā, piekļuves ierobežošanu pēc nepieciešamības principa, pretvīrusu un tīkla aizsardzību, regulāru rezerves kopēšanu un programmatūras atjaunināšanu. Maksājumu datus apstrādā sertificēts maksājumu pakalpojumu sniedzējs, un tie netiek glabāti mūsu serveros.</w:t>
      </w:r>
    </w:p>
    <w:p>
      <w:pPr>
        <w:pStyle w:val="Heading1"/>
        <w:spacing w:after="120" w:before="300"/>
      </w:pPr>
      <w:r>
        <w:rPr>
          <w:rFonts w:ascii="Calibri" w:cs="Calibri" w:eastAsia="Calibri" w:hAnsi="Calibri"/>
          <w:b/>
          <w:bCs/>
          <w:color w:val="6B2D5C"/>
          <w:sz w:val="26"/>
          <w:szCs w:val="26"/>
        </w:rPr>
        <w:t xml:space="preserve">13. Bērni</w:t>
      </w:r>
    </w:p>
    <w:p>
      <w:pPr>
        <w:spacing w:after="120"/>
        <w:jc w:val="both"/>
      </w:pPr>
      <w:r>
        <w:rPr>
          <w:rFonts w:ascii="Calibri" w:cs="Calibri" w:eastAsia="Calibri" w:hAnsi="Calibri"/>
          <w:b w:val="false"/>
          <w:bCs w:val="false"/>
          <w:sz w:val="21"/>
          <w:szCs w:val="21"/>
        </w:rPr>
        <w:t xml:space="preserve">Veikals ir paredzēts personām no 18 gadu vecuma. Piekrišanu datu apstrādei informācijas sabiedrības pakalpojumu ietvaros (piemēram, jaunumu abonēšanai) Latvijā var dot persona no 13 gadu vecuma. Ja uzzināsim, ka esam saņēmuši bērna datus bez atbilstošas piekrišanas, mēs tos dzēsīsim.</w:t>
      </w:r>
    </w:p>
    <w:p>
      <w:pPr>
        <w:pStyle w:val="Heading1"/>
        <w:spacing w:after="120" w:before="300"/>
      </w:pPr>
      <w:r>
        <w:rPr>
          <w:rFonts w:ascii="Calibri" w:cs="Calibri" w:eastAsia="Calibri" w:hAnsi="Calibri"/>
          <w:b/>
          <w:bCs/>
          <w:color w:val="6B2D5C"/>
          <w:sz w:val="26"/>
          <w:szCs w:val="26"/>
        </w:rPr>
        <w:t xml:space="preserve">14. Saites uz trešo pušu vietnēm</w:t>
      </w:r>
    </w:p>
    <w:p>
      <w:pPr>
        <w:spacing w:after="120"/>
        <w:jc w:val="both"/>
      </w:pPr>
      <w:r>
        <w:rPr>
          <w:rFonts w:ascii="Calibri" w:cs="Calibri" w:eastAsia="Calibri" w:hAnsi="Calibri"/>
          <w:b w:val="false"/>
          <w:bCs w:val="false"/>
          <w:sz w:val="21"/>
          <w:szCs w:val="21"/>
        </w:rPr>
        <w:t xml:space="preserve">Vietnē var būt saites uz trešo pušu vietnēm (piemēram, ražotāju, maksājumu un piegādes pakalpojumu, sociālo tīklu). Mēs neatbildam par to privātuma politiku — lūdzam ar to iepazīties pirms šādu vietņu lietošanas.</w:t>
      </w:r>
    </w:p>
    <w:p>
      <w:pPr>
        <w:pStyle w:val="Heading1"/>
        <w:spacing w:after="120" w:before="300"/>
      </w:pPr>
      <w:r>
        <w:rPr>
          <w:rFonts w:ascii="Calibri" w:cs="Calibri" w:eastAsia="Calibri" w:hAnsi="Calibri"/>
          <w:b/>
          <w:bCs/>
          <w:color w:val="6B2D5C"/>
          <w:sz w:val="26"/>
          <w:szCs w:val="26"/>
        </w:rPr>
        <w:t xml:space="preserve">15. Politikas grozījumi</w:t>
      </w:r>
    </w:p>
    <w:p>
      <w:pPr>
        <w:spacing w:after="120"/>
        <w:jc w:val="both"/>
      </w:pPr>
      <w:r>
        <w:rPr>
          <w:rFonts w:ascii="Calibri" w:cs="Calibri" w:eastAsia="Calibri" w:hAnsi="Calibri"/>
          <w:b w:val="false"/>
          <w:bCs w:val="false"/>
          <w:sz w:val="21"/>
          <w:szCs w:val="21"/>
        </w:rPr>
        <w:t xml:space="preserve">Mēs varam atjaunināt šo Politiku. Aktuālā versija vienmēr ir publicēta www.hairshop.lv, norādot spēkā stāšanās datumu. Būtisku izmaiņu gadījumā papildus informēsim reģistrētos lietotājus pa e-pastu vai ar paziņojumu vietnē.</w:t>
      </w:r>
    </w:p>
    <w:p>
      <w:pPr>
        <w:pStyle w:val="Heading1"/>
        <w:spacing w:after="120" w:before="300"/>
      </w:pPr>
      <w:r>
        <w:rPr>
          <w:rFonts w:ascii="Calibri" w:cs="Calibri" w:eastAsia="Calibri" w:hAnsi="Calibri"/>
          <w:b/>
          <w:bCs/>
          <w:color w:val="6B2D5C"/>
          <w:sz w:val="26"/>
          <w:szCs w:val="26"/>
        </w:rPr>
        <w:t xml:space="preserve">16. Kontaktinformācija</w:t>
      </w:r>
    </w:p>
    <w:p>
      <w:pPr>
        <w:spacing w:after="120"/>
        <w:jc w:val="both"/>
      </w:pPr>
      <w:r>
        <w:rPr>
          <w:rFonts w:ascii="Calibri" w:cs="Calibri" w:eastAsia="Calibri" w:hAnsi="Calibri"/>
          <w:b w:val="false"/>
          <w:bCs w:val="false"/>
          <w:sz w:val="21"/>
          <w:szCs w:val="21"/>
        </w:rPr>
        <w:t xml:space="preserve">SIA "MIKS PLUS", Rencēnu iela 10A, Rīga, LV-1073, Latvija</w:t>
      </w:r>
    </w:p>
    <w:p>
      <w:pPr>
        <w:spacing w:after="120"/>
        <w:jc w:val="both"/>
      </w:pPr>
      <w:r>
        <w:rPr>
          <w:rFonts w:ascii="Calibri" w:cs="Calibri" w:eastAsia="Calibri" w:hAnsi="Calibri"/>
          <w:b w:val="false"/>
          <w:bCs w:val="false"/>
          <w:sz w:val="21"/>
          <w:szCs w:val="21"/>
        </w:rPr>
        <w:t xml:space="preserve">Tālr.: +371 27067730 · E-pasts: Info@HairShop.lv · Skype: ShopForHair</w:t>
      </w:r>
    </w:p>
    <w:sectPr>
      <w:footerReference w:type="default" r:id="rId7"/>
      <w:pgSz w:w="11906" w:h="16838" w:orient="portrait"/>
      <w:pgMar w:top="1247" w:right="1360" w:bottom="1133" w:left="13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6"/>
        <w:szCs w:val="16"/>
      </w:rPr>
      <w:t xml:space="preserve">SIA “MIKS PLUS” · hairshop.lv · </w:t>
    </w:r>
    <w:r>
      <w:rPr>
        <w:rFonts w:ascii="Calibri" w:cs="Calibri" w:eastAsia="Calibri" w:hAnsi="Calibri"/>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2026-07-03T06:58:59.196Z</dcterms:created>
  <dcterms:modified xsi:type="dcterms:W3CDTF">2026-07-03T06:58:59.197Z</dcterms:modified>
</cp:coreProperties>
</file>

<file path=docProps/custom.xml><?xml version="1.0" encoding="utf-8"?>
<Properties xmlns="http://schemas.openxmlformats.org/officeDocument/2006/custom-properties" xmlns:vt="http://schemas.openxmlformats.org/officeDocument/2006/docPropsVTypes"/>
</file>