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Attention Mechanisms and Transformer Architectures in Modern NLP: A Comprehensive Survey</w:t>
      </w:r>
    </w:p>
    <w:p>
      <w:pPr>
        <w:jc w:val="center"/>
      </w:pPr>
      <w:r>
        <w:rPr>
          <w:i/>
        </w:rPr>
        <w:t>Dr. Alexander Wright, Dr. Elena Rostova, Marcus Chen</w:t>
        <w:br/>
        <w:t>Institute for Advanced Computational Linguistics, 2024</w:t>
      </w:r>
    </w:p>
    <w:p/>
    <w:p>
      <w:pPr>
        <w:pStyle w:val="Heading1"/>
      </w:pPr>
      <w:r>
        <w:t>Abstract</w:t>
      </w:r>
    </w:p>
    <w:p>
      <w:pPr>
        <w:spacing w:line="276" w:lineRule="auto" w:after="160"/>
      </w:pPr>
      <w:r>
        <w:t>Over the past decade, sequence transduction models have transitioned from recurrent and convolutional neural networks toward purely attention-based architectures. The introduction of the Transformer model revolutionized natural language processing (NLP) and established foundation models as the prevailing paradigm across diverse computational modalities. In this comprehensive survey, we systematically review the mathematical foundations of scaled dot-product attention, multi-head projection layers, and positional encodings. Furthermore, we examine empirical convergence rates, computational complexity trade-offs, and pre-training methodologies spanning autoregressive and masked language modeling objectives. Finally, we discuss key efficiency frontiers, long-context attention scaling, and ongoing challenges in interpretability and factual grounding.</w:t>
      </w:r>
    </w:p>
    <w:p>
      <w:pPr>
        <w:pStyle w:val="Heading1"/>
      </w:pPr>
      <w:r>
        <w:t>1. Introduction</w:t>
      </w:r>
    </w:p>
    <w:p>
      <w:pPr>
        <w:spacing w:line="276" w:lineRule="auto" w:after="160"/>
      </w:pPr>
      <w:r>
        <w:rPr>
          <w:highlight w:val="yellow"/>
        </w:rPr>
        <w:t>The processing of sequential human language has long represented a fundamental challenge in artificial intelligence. Historically, recurrent neural networks (RNNs) and Long Short-Term Memory (LSTM) networks dominated the sequence transduction landscape (Hochreiter &amp; Schmidhuber, 1997). These architectures relied on sequential factor computation along symbol positions, aligning hidden states to discrete time steps t. While effective for moderate sequence lengths, this inherently sequential execution prevented parallelized computation across training sequences [1].</w:t>
      </w:r>
    </w:p>
    <w:p>
      <w:pPr>
        <w:spacing w:line="276" w:lineRule="auto" w:after="160"/>
      </w:pPr>
      <w:r>
        <w:t>To mitigate the vanishing gradient problem and facilitate information routing across distant tokens, attention mechanisms were initially introduced as an auxiliary component within recurrent encoder-decoder frameworks (Bahdanau et al., 2014). By allowing decoders to dynamically attend to arbitrary encoder states, attention drastically improved machine translation quality. However, the foundational recurrent backbone still imposed severe throughput bottlenecks, limiting scalability over massive corpora.</w:t>
      </w:r>
    </w:p>
    <w:p>
      <w:pPr>
        <w:spacing w:line="276" w:lineRule="auto" w:after="160"/>
      </w:pPr>
      <w:r>
        <w:t>The breakthrough contribution of Vaswani et al. (2017) demonstrated that recurrent transitions could be completely eliminated in favor of multi-head self-attention [1]. This architectural paradigm shift enabled massive parallelization on modern tensor accelerators, giving rise to modern foundational large language models (Devlin et al., 2019; Brown et al., 2020).</w:t>
      </w:r>
    </w:p>
    <w:p>
      <w:r>
        <w:br w:type="page"/>
      </w:r>
    </w:p>
    <w:p>
      <w:pPr>
        <w:pStyle w:val="Heading1"/>
      </w:pPr>
      <w:r>
        <w:t>2. Foundations of Sequence Modeling and Attention</w:t>
      </w:r>
    </w:p>
    <w:p>
      <w:pPr>
        <w:spacing w:line="276" w:lineRule="auto" w:after="160"/>
      </w:pPr>
      <w:r>
        <w:t>Prior to the widespread adoption of self-attention mechanisms, state-of-the-art sequence transduction relied upon Markovian state transitions governed by recurrent updates ht = f(ht-1, xt). Such formulations constrained token representation learning to sequential memory accumulation, creating significant information decay over long textual dependencies [2].</w:t>
      </w:r>
    </w:p>
    <w:p>
      <w:pPr>
        <w:spacing w:line="276" w:lineRule="auto" w:after="160"/>
      </w:pPr>
      <w:r>
        <w:t>Gated architectures such as Gated Recurrent Units (GRU) and LSTMs introduced memory cells and multiplicative gates to regulate gradient flow (Cho et al., 2014). Although these gating mechanisms substantially expanded effective context windows from dozens of tokens to hundreds, computational complexity remained inherently linear with respect to sequence length T, while parallel batching was hindered by sequential inter-token dependencies.</w:t>
      </w:r>
    </w:p>
    <w:p>
      <w:pPr>
        <w:spacing w:line="276" w:lineRule="auto" w:after="160"/>
      </w:pPr>
      <w:r>
        <w:t>The integration of attention mechanisms by Bahdanau et al. (2014) introduced an alignment score e_ij between the decoder hidden state s_i-1 and the encoder annotation h_j [3]. By normalizing these alignment scores through a softmax distribution, the model constructs a context vector c_i as a weighted sum of encoder representations. This soft-alignment allowed the network to dynamically focus on pertinent source segments irrespective of positional distance.</w:t>
      </w:r>
    </w:p>
    <w:p>
      <w:pPr>
        <w:spacing w:line="276" w:lineRule="auto" w:after="160"/>
      </w:pPr>
      <w:r>
        <w:t>Despite its success in sequence alignment, recurrent attention models suffered from quadratic inference latency and asynchronous state synchronization across distributed compute clusters. The desire to achieve constant computational depth across any pair of positions motivated researchers to explore feed-forward networks equipped with direct self-attention links.</w:t>
      </w:r>
    </w:p>
    <w:p>
      <w:r>
        <w:br w:type="page"/>
      </w:r>
    </w:p>
    <w:p>
      <w:pPr>
        <w:pStyle w:val="Heading1"/>
      </w:pPr>
      <w:r>
        <w:t>3. Scaled Dot-Product and Multi-Head Attention Architecture</w:t>
      </w:r>
    </w:p>
    <w:p>
      <w:pPr>
        <w:spacing w:line="276" w:lineRule="auto" w:after="160"/>
      </w:pPr>
      <w:r>
        <w:t>The core computational primitive of the Transformer is the Scaled Dot-Product Attention mechanism. Let queries, keys, and values be represented by matrices Q in R^{n x d_k}, K in R^{m x d_k}, and V in R^{m x d_v}, where n and m denote the sequence lengths of queries and key-values respectively, and d_k is the projection dimension.</w:t>
      </w:r>
    </w:p>
    <w:p>
      <w:pPr>
        <w:spacing w:line="276" w:lineRule="auto" w:after="160"/>
      </w:pPr>
      <w:r>
        <w:t>The attention weights are calculated by evaluating the dot products of the query matrix with all keys, scaled by the square root of the key dimension to prevent vanishing gradients in the subsequent softmax operation [1]:</w:t>
      </w:r>
    </w:p>
    <w:p>
      <w:pPr>
        <w:spacing w:line="276" w:lineRule="auto" w:after="160"/>
      </w:pPr>
      <w:r>
        <w:t>$$\text{Attention}(Q, K, V) = \text{softmax}\left(\frac{QK^T}{\sqrt{d_k}}\right)V$$</w:t>
      </w:r>
    </w:p>
    <w:p>
      <w:pPr>
        <w:spacing w:line="276" w:lineRule="auto" w:after="160"/>
      </w:pPr>
      <w:r>
        <w:t>The scaling factor 1/sqrt(d_k) is mathematically critical; for large values of d_k, the dot products grow substantially in magnitude, pushing the softmax function into regions with extremely small gradients. By scaling before the exponentiation, stable numerical behavior and uniform gradient distribution are maintained during backpropagation.</w:t>
      </w:r>
    </w:p>
    <w:p>
      <w:pPr>
        <w:pStyle w:val="Heading1"/>
      </w:pPr>
      <w:r>
        <w:t>3.1 Multi-Head Attention Projections</w:t>
      </w:r>
    </w:p>
    <w:p>
      <w:pPr>
        <w:spacing w:line="276" w:lineRule="auto" w:after="160"/>
      </w:pPr>
      <w:r>
        <w:t>Rather than performing a single attention function with d_model-dimensional queries, keys, and values, the multi-head mechanism projects the representations h times with distinct learned linear projections to dimensions d_k, d_k, and d_v. Each head independently executes the scaled dot-product attention in parallel, allowing the model to jointly attend to information from disparate representation subspaces at diverse positions (Vaswani et al., 2017) [1].</w:t>
      </w:r>
    </w:p>
    <w:p>
      <w:pPr>
        <w:spacing w:line="276" w:lineRule="auto" w:after="160"/>
      </w:pPr>
      <w:r>
        <w:t>The individual head outputs are subsequently concatenated and projected via an output weight matrix W_O in R^{h*d_v x d_model}. Empirical ablations confirm that multi-head attention consistently outperforms single-head equivalents of identical total computational parameter budget.</w:t>
      </w:r>
    </w:p>
    <w:p>
      <w:r>
        <w:br w:type="page"/>
      </w:r>
    </w:p>
    <w:p>
      <w:pPr>
        <w:pStyle w:val="Heading1"/>
      </w:pPr>
      <w:r>
        <w:t>4. Pre-training Paradigms: Autoregressive vs. Autoencoding</w:t>
      </w:r>
    </w:p>
    <w:p>
      <w:pPr>
        <w:spacing w:line="276" w:lineRule="auto" w:after="160"/>
      </w:pPr>
      <w:r>
        <w:t>The emergence of transfer learning in NLP led to the development of two dominant pre-training methodologies: Masked Language Modeling (autoencoding) and Causal Language Modeling (autoregressive) [4]. Each objective optimizes representations for distinct downstream NLP tasks.</w:t>
      </w:r>
    </w:p>
    <w:p>
      <w:pPr>
        <w:spacing w:line="276" w:lineRule="auto" w:after="160"/>
      </w:pPr>
      <w:r>
        <w:t>Autoencoding models, exemplified by BERT (Bidirectional Encoder Representations from Transformers), randomly corrupt a percentage of input tokens with a [MASK] symbol and train deep bidirectional encoders to predict the original tokens (Devlin et al., 2019) [4]. Because the self-attention matrices remain unmasked across all tokens, every representation accesses context from both preceding and succeeding tokens, making this approach exceptionally potent for classification, extractive QA, and named entity recognition.</w:t>
      </w:r>
    </w:p>
    <w:p>
      <w:pPr>
        <w:spacing w:line="276" w:lineRule="auto" w:after="160"/>
      </w:pPr>
      <w:r>
        <w:t>Conversely, autoregressive language models, popularized by the Generative Pre-trained Transformer (GPT) series, utilize masked self-attention to prevent attention heads from looking ahead at future tokens (Radford et al., 2019; Brown et al., 2020) [5]. The network optimizes the standard conditional probability factorization p(x) = prod_{i=1}^n p(x_i | x_1, ..., x_{i-1}). This strict unidirectional causal constraint renders GPT models outstanding generative engines capable of few-shot in-context learning without parameter updates.</w:t>
      </w:r>
    </w:p>
    <w:p>
      <w:pPr>
        <w:spacing w:line="276" w:lineRule="auto" w:after="160"/>
      </w:pPr>
      <w:r>
        <w:t>Hybrid sequence-to-sequence models such as T5 (Text-to-Text Transfer Transformer) bridge this divide by employing an unmasked bidirectional encoder paired with a causal autoregressive decoder (Raffel et al., 2020) [6]. This unifying framework formulates all NLP objectives, from summarization to textual entailment, as text-to-text transformations.</w:t>
      </w:r>
    </w:p>
    <w:p>
      <w:r>
        <w:br w:type="page"/>
      </w:r>
    </w:p>
    <w:p>
      <w:pPr>
        <w:pStyle w:val="Heading1"/>
      </w:pPr>
      <w:r>
        <w:t>5. Empirical Scaling Laws and Computational Efficiency</w:t>
      </w:r>
    </w:p>
    <w:p>
      <w:pPr>
        <w:spacing w:line="276" w:lineRule="auto" w:after="160"/>
      </w:pPr>
      <w:r>
        <w:t>A transformative discovery in modern deep learning is the predictable relationship between model compute, dataset size, parameter count, and downstream performance. Empirical investigations by Kaplan et al. (2020) demonstrated that cross-entropy test loss follows power-law scaling across several orders of magnitude [7].</w:t>
      </w:r>
    </w:p>
    <w:p>
      <w:pPr>
        <w:spacing w:line="276" w:lineRule="auto" w:after="160"/>
      </w:pPr>
      <w:r>
        <w:t>Specifically, performance depends strongly on scale and only weakly on architectural hyperparameters such as network depth versus width, provided that the network is not bottlenecked by capacity. These findings catalysed the contemporary race toward frontier models exceeding hundreds of billions of parameters.</w:t>
      </w:r>
    </w:p>
    <w:p>
      <w:pPr>
        <w:spacing w:line="276" w:lineRule="auto" w:after="160"/>
      </w:pPr>
      <w:r>
        <w:t>Nevertheless, standard Transformer self-attention exhibits quadratic computational and memory complexity O(N^2) with respect to input sequence length N. To extend context windows beyond thousands of tokens, recent research has explored sparse attention patterns, linear attention approximations, flash attention hardware tiling, and state-space architectures like Mamba (Gu &amp; Dao, 2023) [8].</w:t>
      </w:r>
    </w:p>
    <w:p>
      <w:pPr>
        <w:spacing w:line="276" w:lineRule="auto" w:after="160"/>
      </w:pPr>
      <w:r>
        <w:t>Balancing architectural expressivity, quadratic memory bottlenecks, and verified factual consistency remains the central research frontier as artificial intelligence systems scale toward universal reasoning capabilities.</w:t>
      </w:r>
    </w:p>
    <w:p>
      <w:pPr>
        <w:pStyle w:val="Heading1"/>
      </w:pPr>
      <w:r>
        <w:t>6. References</w:t>
      </w:r>
    </w:p>
    <w:p>
      <w:pPr>
        <w:spacing w:line="276" w:lineRule="auto" w:after="160"/>
      </w:pPr>
      <w:r>
        <w:t>[1] Vaswani, A., Shazeer, N., Parmar, N., Uszkoreit, J., Jones, L., Gomez, A. N., Kaiser, L., &amp; Polosukhin, I. (2017). Attention is all you need. Advances in Neural Information Processing Systems (NeurIPS), 30, 5998-6008.</w:t>
      </w:r>
    </w:p>
    <w:p>
      <w:pPr>
        <w:spacing w:line="276" w:lineRule="auto" w:after="160"/>
      </w:pPr>
      <w:r>
        <w:t>[2] Hochreiter, S., &amp; Schmidhuber, J. (1997). Long short-term memory. Neural Computation, 9(8), 1735-1780.</w:t>
      </w:r>
    </w:p>
    <w:p>
      <w:pPr>
        <w:spacing w:line="276" w:lineRule="auto" w:after="160"/>
      </w:pPr>
      <w:r>
        <w:t>[3] Bahdanau, D., Cho, K., &amp; Bengio, Y. (2014). Neural machine translation by jointly learning to align and translate. arXiv preprint arXiv:1409.0473.</w:t>
      </w:r>
    </w:p>
    <w:p>
      <w:pPr>
        <w:spacing w:line="276" w:lineRule="auto" w:after="160"/>
      </w:pPr>
      <w:r>
        <w:t>[4] Devlin, J., Chang, M. W., Lee, K., &amp; Toutanova, K. (2019). BERT: Pre-training of deep bidirectional transformers for language understanding. Proceedings of NAACL-HLT, 4171-4186.</w:t>
      </w:r>
    </w:p>
    <w:p>
      <w:pPr>
        <w:spacing w:line="276" w:lineRule="auto" w:after="160"/>
      </w:pPr>
      <w:r>
        <w:t>[5] Brown, T., Mann, B., Ryder, N., Subbiah, M., Kaplan, J. D., Dhariwal, P., ... &amp; Amodei, D. (2020). Language models are few-shot learners. Advances in Neural Information Processing Systems (NeurIPS), 33, 1877-1901.</w:t>
      </w:r>
    </w:p>
    <w:p>
      <w:pPr>
        <w:spacing w:line="276" w:lineRule="auto" w:after="160"/>
      </w:pPr>
      <w:r>
        <w:t>[6] Raffel, C., Shazeer, N., Roberts, A., Lee, K., Narang, S., Matena, M., ... &amp; Liu, P. J. (2020). Exploring the limits of transfer learning with a unified text-to-text transformer. Journal of Machine Learning Research (JMLR), 21(140), 1-67.</w:t>
      </w:r>
    </w:p>
    <w:p>
      <w:pPr>
        <w:spacing w:line="276" w:lineRule="auto" w:after="160"/>
      </w:pPr>
      <w:r>
        <w:t>[7] Kaplan, J., McCandlish, S., Henighan, T., Brown, T. B., Chess, B., Child, R., ... &amp; Amodei, D. (2020). Scaling laws for neural language models. arXiv preprint arXiv:2001.08361.</w:t>
      </w:r>
    </w:p>
    <w:p>
      <w:pPr>
        <w:spacing w:line="276" w:lineRule="auto" w:after="160"/>
      </w:pPr>
      <w:r>
        <w:t>[8] Gu, A., &amp; Dao, T. (2023). Mamba: Linear-time sequence modeling with selective state spaces. arXiv preprint arXiv:2312.00752.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