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B2A4A"/>
          <w:sz w:val="28"/>
          <w:szCs w:val="28"/>
        </w:rPr>
        <w:t xml:space="preserve">PROLOGIC FIRST</w:t>
      </w:r>
    </w:p>
    <w:p>
      <w:pPr>
        <w:spacing w:after="600"/>
      </w:pPr>
      <w:r>
        <w:rPr>
          <w:color w:val="C8102E"/>
          <w:sz w:val="20"/>
          <w:szCs w:val="20"/>
        </w:rPr>
        <w:t xml:space="preserve">Hospitality Technology  ·  Web Prol’IFIC</w:t>
      </w:r>
    </w:p>
    <w:p>
      <w:pPr>
        <w:spacing w:after="80"/>
      </w:pPr>
      <w:r>
        <w:rPr>
          <w:b/>
          <w:bCs/>
          <w:color w:val="1B2A4A"/>
          <w:sz w:val="48"/>
          <w:szCs w:val="48"/>
        </w:rPr>
        <w:t xml:space="preserve">Web Prol’IFIC — Phase B</w:t>
      </w:r>
    </w:p>
    <w:p>
      <w:pPr>
        <w:spacing w:after="240"/>
      </w:pPr>
      <w:r>
        <w:rPr>
          <w:b/>
          <w:bCs/>
          <w:color w:val="1B2A4A"/>
          <w:sz w:val="36"/>
          <w:szCs w:val="36"/>
        </w:rPr>
        <w:t xml:space="preserve">Development Specification &amp; Project Plan</w:t>
      </w:r>
    </w:p>
    <w:p>
      <w:pPr>
        <w:spacing w:after="80"/>
      </w:pPr>
      <w:r>
        <w:rPr>
          <w:i/>
          <w:iCs/>
          <w:sz w:val="22"/>
          <w:szCs w:val="22"/>
        </w:rPr>
        <w:t xml:space="preserve">Supplier extranet · KYC validation &amp; vendor-master de-duplication · item-master de-duplication</w:t>
      </w:r>
    </w:p>
    <w:p>
      <w:pPr>
        <w:spacing w:after="600"/>
      </w:pPr>
      <w:r>
        <w:rPr>
          <w:b/>
          <w:bCs/>
          <w:color w:val="C8102E"/>
          <w:sz w:val="22"/>
          <w:szCs w:val="22"/>
        </w:rPr>
        <w:t xml:space="preserve">Target delivery band: Q4 2026</w:t>
      </w:r>
    </w:p>
    <w:p>
      <w:r>
        <w:rPr>
          <w:i/>
          <w:iCs/>
          <w:sz w:val="18"/>
          <w:szCs w:val="18"/>
        </w:rPr>
        <w:t xml:space="preserve">Derived from “Functional Specifications and Future Evolution of Web Prol’IFIC” (Draft v0.1, 25 June 2026), Sections 5.1–5.3 and 6.</w:t>
      </w:r>
    </w:p>
    <w:p>
      <w:pPr>
        <w:spacing w:before="120"/>
      </w:pPr>
      <w:r>
        <w:rPr>
          <w:i/>
          <w:iCs/>
          <w:sz w:val="18"/>
          <w:szCs w:val="18"/>
        </w:rPr>
        <w:t xml:space="preserve">Commercial-in-confidence. Internal engineering document for the Software Development Unit.</w:t>
      </w:r>
    </w:p>
    <w:p>
      <w:r>
        <w:br w:type="page"/>
      </w:r>
    </w:p>
    <w:p>
      <w:pPr>
        <w:pStyle w:val="Heading1"/>
      </w:pPr>
      <w:r>
        <w:t xml:space="preserve">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Field</w:t>
            </w:r>
          </w:p>
        </w:tc>
        <w:tc>
          <w:tcPr>
            <w:tcW w:type="dxa" w:w="6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Web Prol’IFIC Phase B — Development Specification &amp; Project Plan</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Version</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0.1 (Draft) — for engineering planning, estimation and build kick-off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26 June 2026</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Owner</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Product / Commercial — Amlan Ghose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Audience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Software Development Unit, Architecture, QA, DevOps, Product, Pre-Sales</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Source</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Functional Specifications and Future Evolution of Web Prol’IFIC, Draft v0.1 (25 Jun 2026), §§ 5.1–5.3, 6, 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Phase B only: vendor portal v1, KYC validation &amp; vendor-master de-duplication, item-master de-duplication (ML-assisted)</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Status</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This document elaborates committed functional requirements into a build-ready specification. It is not a delivery-date warranty to any client.</w:t>
            </w:r>
          </w:p>
        </w:tc>
      </w:tr>
    </w:tbl>
    <w:p>
      <w:pPr>
        <w:spacing w:after="120"/>
      </w:pPr>
    </w:p>
    <w:p>
      <w:pPr>
        <w:spacing w:after="120"/>
      </w:pPr>
      <w:r>
        <w:rPr>
          <w:b/>
          <w:bCs/>
        </w:rPr>
        <w:t xml:space="preserve">Reading this document.</w:t>
      </w:r>
      <w:r>
        <w:t xml:space="preserve"> Each Phase B capability is specified to development depth: architecture and surfaces, data model, module-by-module build notes traced to the original requirement IDs (VP-, KYC-, ITM-), API contracts, security and non-functional implementation, and test mapping. Sections 8 and 9 give the ordered development steps and the project plan to the Q4 2026 band. The original functional requirement IDs are preserved verbatim so the backlog, the functional spec and this document stay in lock-step.</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Phase B scope and boundaries</w:t>
      </w:r>
    </w:p>
    <w:p>
      <w:pPr>
        <w:spacing w:after="120"/>
      </w:pPr>
      <w:r>
        <w:t xml:space="preserve">Phase B is the first development phase of the enterprise-evolution programme. Phase A (the requisition-to-pay backbone, rate contracts, three-way matching, F&amp;B costing, India tax compliance, the existing vendor master and outlier alerts) is already live and is the platform on which Phase B layers. Phase B delivers the three capabilities that were represented to Accor India and Hilton India as </w:t>
      </w:r>
      <w:r>
        <w:rPr>
          <w:b/>
          <w:bCs/>
        </w:rPr>
        <w:t xml:space="preserve">committed and near-term</w:t>
      </w:r>
      <w:r>
        <w:t xml:space="preserve">, and which together close the one genuine gap identified against BirchStreet.</w:t>
      </w:r>
    </w:p>
    <w:p>
      <w:pPr>
        <w:pStyle w:val="Heading2"/>
      </w:pPr>
      <w:r>
        <w:t xml:space="preserve">1.1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2360"/>
        <w:gridCol w:w="2600"/>
      </w:tblGrid>
      <w:tr>
        <w:trPr>
          <w:tblHeader/>
        </w:trPr>
        <w:tc>
          <w:tcPr>
            <w:tcW w:type="dxa" w:w="35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Capability</w:t>
            </w:r>
          </w:p>
        </w:tc>
        <w:tc>
          <w:tcPr>
            <w:tcW w:type="dxa" w:w="9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Source §</w:t>
            </w:r>
          </w:p>
        </w:tc>
        <w:tc>
          <w:tcPr>
            <w:tcW w:type="dxa" w:w="23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Requirement IDs</w:t>
            </w:r>
          </w:p>
        </w:tc>
        <w:tc>
          <w:tcPr>
            <w:tcW w:type="dxa" w:w="26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Priority weight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 / supplier extranet (v1): catalogue publication, PO delivery &amp; acknowledgement, delivery notes (ASN), invoice submission &amp; matching, account/payment visibility, notifications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5.1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VP-01 … VP-12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8 must, 2 should, 2 could</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 validation &amp; vendor-master de-duplication: capture, structural validation, optional external verification, KYC status gate, maker-checker, ranked duplicate detection and human-confirmed merge</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5.2</w:t>
            </w:r>
          </w:p>
        </w:tc>
        <w:tc>
          <w:tcPr>
            <w:tcW w:type="dxa" w:w="2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KYC-01 … KYC-08</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7 must, 1 should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Item-master de-duplication (ML-assisted): cluster proposal, attribute-aware matching, human-confirmed merge with history re-pointing, creation-time warning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5.3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ITM-01 … ITM-06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4 must, 2 should</w:t>
            </w:r>
          </w:p>
        </w:tc>
      </w:tr>
      <w:tr>
        <w:tc>
          <w:tcPr>
            <w:tcW w:type="dxa" w:w="3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Cross-cutting non-functional requirements</w:t>
            </w:r>
          </w:p>
        </w:tc>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6</w:t>
            </w:r>
          </w:p>
        </w:tc>
        <w:tc>
          <w:tcPr>
            <w:tcW w:type="dxa" w:w="2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Multi-entity isolation, security, audit, residency, performance, human-in-the-loop, licensing</w:t>
            </w:r>
          </w:p>
        </w:tc>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All apply to Phase B</w:t>
            </w:r>
          </w:p>
        </w:tc>
      </w:tr>
    </w:tbl>
    <w:p>
      <w:pPr>
        <w:spacing w:after="120"/>
      </w:pPr>
    </w:p>
    <w:p>
      <w:pPr>
        <w:pStyle w:val="Heading2"/>
      </w:pPr>
      <w:r>
        <w:t xml:space="preserve">1.2  Explicitly out of scope for Phase B</w:t>
      </w:r>
    </w:p>
    <w:p>
      <w:pPr>
        <w:pStyle w:val="ListParagraph"/>
        <w:numPr>
          <w:ilvl w:val="0"/>
          <w:numId w:val="2"/>
        </w:numPr>
        <w:spacing w:after="60"/>
      </w:pPr>
      <w:r>
        <w:rPr>
          <w:b/>
          <w:bCs/>
        </w:rPr>
        <w:t xml:space="preserve">Deferred to Phase C (H1–H2 2027):</w:t>
      </w:r>
      <w:r>
        <w:t xml:space="preserve"> vendor self-service onboarding (5.4), digital RFQ / e-tendering (5.5), delivery intimation against rate contracts (5.6), non-PO / emergency capture with assistive OCR (5.7), procurement intelligence &amp; vendor rating (5.8).</w:t>
      </w:r>
    </w:p>
    <w:p>
      <w:pPr>
        <w:pStyle w:val="ListParagraph"/>
        <w:numPr>
          <w:ilvl w:val="0"/>
          <w:numId w:val="2"/>
        </w:numPr>
        <w:spacing w:after="60"/>
      </w:pPr>
      <w:r>
        <w:rPr>
          <w:b/>
          <w:bCs/>
        </w:rPr>
        <w:t xml:space="preserve">Deferred to Phase D (from late 2027):</w:t>
      </w:r>
      <w:r>
        <w:t xml:space="preserve"> integrated / scheduled vendor payments (5.9). In Phase B the portal </w:t>
      </w:r>
      <w:r>
        <w:rPr>
          <w:b/>
          <w:bCs/>
        </w:rPr>
        <w:t xml:space="preserve">reads and displays</w:t>
      </w:r>
      <w:r>
        <w:t xml:space="preserve"> payment status from the existing payable; it does not execute payments.</w:t>
      </w:r>
    </w:p>
    <w:p>
      <w:pPr>
        <w:pStyle w:val="ListParagraph"/>
        <w:numPr>
          <w:ilvl w:val="0"/>
          <w:numId w:val="2"/>
        </w:numPr>
        <w:spacing w:after="60"/>
      </w:pPr>
      <w:r>
        <w:rPr>
          <w:b/>
          <w:bCs/>
        </w:rPr>
        <w:t xml:space="preserve">Unchanged:</w:t>
      </w:r>
      <w:r>
        <w:t xml:space="preserve"> the PR → PO → GRN → Journal backbone, the India tax engine, rate contracts, three-way matching, and the Opera / Simphony / Infrasys / SunSystems integrations. Phase B consumes and extends these; it does not fork or replace them.</w:t>
      </w:r>
    </w:p>
    <w:p>
      <w:pPr>
        <w:spacing w:after="120"/>
      </w:pPr>
    </w:p>
    <w:p>
      <w:pPr>
        <w:pStyle w:val="Heading2"/>
      </w:pPr>
      <w:r>
        <w:t xml:space="preserve">1.3  Binding design constraints carried from the functional spec</w:t>
      </w:r>
    </w:p>
    <w:p>
      <w:pPr>
        <w:spacing w:after="120"/>
      </w:pPr>
      <w:r>
        <w:t xml:space="preserve">These are not stylistic preferences; they encode what was promised and are non-negotiable for Phase B.</w:t>
      </w:r>
    </w:p>
    <w:p>
      <w:pPr>
        <w:pStyle w:val="ListParagraph"/>
        <w:numPr>
          <w:ilvl w:val="0"/>
          <w:numId w:val="2"/>
        </w:numPr>
        <w:spacing w:after="60"/>
      </w:pPr>
      <w:r>
        <w:rPr>
          <w:b/>
          <w:bCs/>
        </w:rPr>
        <w:t xml:space="preserve">Layer on the backbone, do not fork it.</w:t>
      </w:r>
      <w:r>
        <w:t xml:space="preserve"> No supplier submission posts to the ledger directly. A delivery note pre-populates but never replaces the GRN; an invoice is matched but posted only by the controlled internal process.</w:t>
      </w:r>
    </w:p>
    <w:p>
      <w:pPr>
        <w:pStyle w:val="ListParagraph"/>
        <w:numPr>
          <w:ilvl w:val="0"/>
          <w:numId w:val="2"/>
        </w:numPr>
        <w:spacing w:after="60"/>
      </w:pPr>
      <w:r>
        <w:rPr>
          <w:b/>
          <w:bCs/>
        </w:rPr>
        <w:t xml:space="preserve">Human in the loop.</w:t>
      </w:r>
      <w:r>
        <w:t xml:space="preserve"> No automation — de-duplication or matching — changes a master record or posts to the ledger without explicit human confirmation.</w:t>
      </w:r>
    </w:p>
    <w:p>
      <w:pPr>
        <w:pStyle w:val="ListParagraph"/>
        <w:numPr>
          <w:ilvl w:val="0"/>
          <w:numId w:val="2"/>
        </w:numPr>
        <w:spacing w:after="60"/>
      </w:pPr>
      <w:r>
        <w:rPr>
          <w:b/>
          <w:bCs/>
        </w:rPr>
        <w:t xml:space="preserve">Buyer-scoped catalogues, not a marketplace.</w:t>
      </w:r>
      <w:r>
        <w:t xml:space="preserve"> A contracted supplier publishes its agreed catalogue to the buying group only. This is not a hosted public supplier network.</w:t>
      </w:r>
    </w:p>
    <w:p>
      <w:pPr>
        <w:pStyle w:val="ListParagraph"/>
        <w:numPr>
          <w:ilvl w:val="0"/>
          <w:numId w:val="2"/>
        </w:numPr>
        <w:spacing w:after="60"/>
      </w:pPr>
      <w:r>
        <w:rPr>
          <w:b/>
          <w:bCs/>
        </w:rPr>
        <w:t xml:space="preserve">Separate supplier identity domain.</w:t>
      </w:r>
      <w:r>
        <w:t xml:space="preserve"> Supplier users authenticate in a separate domain and are never counted against the customer’s concurrent-user licence.</w:t>
      </w:r>
    </w:p>
    <w:p>
      <w:pPr>
        <w:pStyle w:val="ListParagraph"/>
        <w:numPr>
          <w:ilvl w:val="0"/>
          <w:numId w:val="2"/>
        </w:numPr>
        <w:spacing w:after="60"/>
      </w:pPr>
      <w:r>
        <w:rPr>
          <w:b/>
          <w:bCs/>
        </w:rPr>
        <w:t xml:space="preserve">Multi-entity isolation throughout.</w:t>
      </w:r>
      <w:r>
        <w:t xml:space="preserve"> A supplier sees only the entities, properties and documents to which it is contracted; no cross-entity leakage.</w:t>
      </w:r>
    </w:p>
    <w:p>
      <w:r>
        <w:br w:type="page"/>
      </w:r>
    </w:p>
    <w:p>
      <w:pPr>
        <w:pStyle w:val="Heading1"/>
      </w:pPr>
      <w:r>
        <w:t xml:space="preserve">2.  Solution architecture</w:t>
      </w:r>
    </w:p>
    <w:p>
      <w:pPr>
        <w:pStyle w:val="Heading2"/>
      </w:pPr>
      <w:r>
        <w:t xml:space="preserve">2.1  Surfaces and identity domains</w:t>
      </w:r>
    </w:p>
    <w:p>
      <w:pPr>
        <w:spacing w:after="120"/>
      </w:pPr>
      <w:r>
        <w:t xml:space="preserve">Phase B introduces two front-end surfaces and a clear identity boundary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Surface</w:t>
            </w:r>
          </w:p>
        </w:tc>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Users</w:t>
            </w:r>
          </w:p>
        </w:tc>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Identity domain</w:t>
            </w:r>
          </w:p>
        </w:tc>
        <w:tc>
          <w:tcPr>
            <w:tcW w:type="dxa" w:w="21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 Portal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External vendor representatives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Separate supplier auth domain (own user store / IdP realm). MFA-capable.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Web + responsive mobile. Strictly excluded from the customer concurrent-user licence (VP-01).</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Internal Governance Console (new screens in the existing app)</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governance, materials governance, property buyer/stores, AP, portal admin</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Existing internal identity + SSO; role-based access control</w:t>
            </w:r>
          </w:p>
        </w:tc>
        <w:tc>
          <w:tcPr>
            <w:tcW w:type="dxa" w:w="2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New screens reuse the existing internal auth, session and licensing model.</w:t>
            </w:r>
          </w:p>
        </w:tc>
      </w:tr>
    </w:tbl>
    <w:p>
      <w:pPr>
        <w:spacing w:after="120"/>
      </w:pPr>
    </w:p>
    <w:p>
      <w:pPr>
        <w:pStyle w:val="Heading2"/>
      </w:pPr>
      <w:r>
        <w:t xml:space="preserve">2.2  Component architecture</w:t>
      </w:r>
    </w:p>
    <w:p>
      <w:pPr>
        <w:spacing w:after="120"/>
      </w:pPr>
      <w:r>
        <w:t xml:space="preserve">The recommended decomposition adds a small number of well-bounded services around the existing core. The core remains the system of record; new components integrate through a defined contract rather than reaching into core tables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660"/>
        <w:gridCol w:w="2200"/>
      </w:tblGrid>
      <w:tr>
        <w:trPr>
          <w:tblHeader/>
        </w:trPr>
        <w:tc>
          <w:tcPr>
            <w:tcW w:type="dxa" w:w="25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Component</w:t>
            </w:r>
          </w:p>
        </w:tc>
        <w:tc>
          <w:tcPr>
            <w:tcW w:type="dxa" w:w="46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Responsibility</w:t>
            </w:r>
          </w:p>
        </w:tc>
        <w:tc>
          <w:tcPr>
            <w:tcW w:type="dxa" w:w="22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Build / reuse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 Portal Web App</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Supplier-facing UI: catalogue, PO inbox, ASN, invoice, account status,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New — Angular</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Governance Console UI</w:t>
            </w:r>
          </w:p>
        </w:tc>
        <w:tc>
          <w:tcPr>
            <w:tcW w:type="dxa" w:w="4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Internal UI: KYC review, vendor &amp; item de-dup, catalogue approval, submission review, account provisioning</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New — Angular module(s) in/alongside the existing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Portal BFF (back-end-for-frontend)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Auth, request orchestration, entity-scope enforcement, aggregation for the supplier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New — ASP.NET Core Web API</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Integration Gateway</w:t>
            </w:r>
          </w:p>
        </w:tc>
        <w:tc>
          <w:tcPr>
            <w:tcW w:type="dxa" w:w="4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Read POs, GRNs, payable/payment status from the core; write supplier submissions as pending internal actions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New adapter over the existing open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 Service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Structural validation, optional external GSTIN/PAN verification, KYC status state machine, maker-checker, versioning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New service within the core boundary (touches vendor master)</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De-dup Service</w:t>
            </w:r>
          </w:p>
        </w:tc>
        <w:tc>
          <w:tcPr>
            <w:tcW w:type="dxa" w:w="4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Blocking + scoring of duplicate vendor candidates; merge orchestration with history re-pointing</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New service within the core boundary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 De-dup Service (ML)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Normalisation, candidate generation, similarity scoring, clustering; merge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New Python/ML service (deliberate exception to the .NET stack) + merge logic in the core</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Notification Service</w:t>
            </w:r>
          </w:p>
        </w:tc>
        <w:tc>
          <w:tcPr>
            <w:tcW w:type="dxa" w:w="4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In-portal + email notifications to supplier users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New — may reuse existing notification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Document Repository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Storage of KYC documents and supplier-submitted 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Reuse existing repository</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Core (Web Prol’IFIC)</w:t>
            </w:r>
          </w:p>
        </w:tc>
        <w:tc>
          <w:tcPr>
            <w:tcW w:type="dxa" w:w="46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PR→PO→GRN→Journal, rate contracts, three-way match, tax engine, vendor &amp; item masters, payable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Existing — unchanged except documented extension points</w:t>
            </w:r>
          </w:p>
        </w:tc>
      </w:tr>
    </w:tbl>
    <w:p>
      <w:pPr>
        <w:spacing w:after="120"/>
      </w:pPr>
    </w:p>
    <w:p>
      <w:pPr>
        <w:spacing w:after="120"/>
      </w:pPr>
      <w:r>
        <w:rPr>
          <w:b/>
          <w:bCs/>
        </w:rPr>
        <w:t xml:space="preserve">Integration boundary (critical).</w:t>
      </w:r>
      <w:r>
        <w:t xml:space="preserve"> The Integration Gateway is the only path between the supplier-facing world and the ledger. It exposes read endpoints (open POs for a vendor, GRNs, payable status) and write endpoints that create </w:t>
      </w:r>
      <w:r>
        <w:rPr>
          <w:b/>
          <w:bCs/>
        </w:rPr>
        <w:t xml:space="preserve">pending internal actions</w:t>
      </w:r>
      <w:r>
        <w:t xml:space="preserve"> (catalogue-for-approval, PO acknowledgement, pending delivery note, pending invoice). Nothing the supplier submits is ever posted automatically; each lands in an internal queue for a controlled action.</w:t>
      </w:r>
    </w:p>
    <w:p>
      <w:pPr>
        <w:pStyle w:val="Heading2"/>
      </w:pPr>
      <w:r>
        <w:t xml:space="preserve">2.3  Recommended technology approach</w:t>
      </w:r>
    </w:p>
    <w:p>
      <w:pPr>
        <w:pStyle w:val="ListParagraph"/>
        <w:numPr>
          <w:ilvl w:val="0"/>
          <w:numId w:val="2"/>
        </w:numPr>
        <w:spacing w:after="60"/>
      </w:pPr>
      <w:r>
        <w:rPr>
          <w:b/>
          <w:bCs/>
        </w:rPr>
        <w:t xml:space="preserve">Front-end (both surfaces):</w:t>
      </w:r>
      <w:r>
        <w:t xml:space="preserve"> Angular (latest LTS) + TypeScript + Angular Material, with a shared theming module so the supplier portal and governance console stay visually consistent with Prologic First branding (navy / red).</w:t>
      </w:r>
    </w:p>
    <w:p>
      <w:pPr>
        <w:pStyle w:val="ListParagraph"/>
        <w:numPr>
          <w:ilvl w:val="0"/>
          <w:numId w:val="2"/>
        </w:numPr>
        <w:spacing w:after="60"/>
      </w:pPr>
      <w:r>
        <w:rPr>
          <w:b/>
          <w:bCs/>
        </w:rPr>
        <w:t xml:space="preserve">Portal BFF &amp; services:</w:t>
      </w:r>
      <w:r>
        <w:t xml:space="preserve"> ASP.NET Core Web API (.NET 8), matching the existing Web Prol’IFIC core stack to minimise operational surface. Where the core exposes its open API, the BFF and Integration Gateway consume it rather than the database directly.</w:t>
      </w:r>
    </w:p>
    <w:p>
      <w:pPr>
        <w:pStyle w:val="ListParagraph"/>
        <w:numPr>
          <w:ilvl w:val="0"/>
          <w:numId w:val="2"/>
        </w:numPr>
        <w:spacing w:after="60"/>
      </w:pPr>
      <w:r>
        <w:rPr>
          <w:b/>
          <w:bCs/>
        </w:rPr>
        <w:t xml:space="preserve">Item de-dup ML:</w:t>
      </w:r>
      <w:r>
        <w:t xml:space="preserve"> a dedicated Python service (e.g. FastAPI) — the one deliberate exception to the .NET stack, since the embedding/ML ecosystem is Python-first — running a text-normalisation pipeline plus embedding-based similarity (a compact sentence-embedding model) and fuzzy attribute matching, invoked over REST from the ASP.NET Core backend. Kept advisory and out of the request path — it runs as a batch/async proposer, not a blocking call.</w:t>
      </w:r>
    </w:p>
    <w:p>
      <w:pPr>
        <w:pStyle w:val="ListParagraph"/>
        <w:numPr>
          <w:ilvl w:val="0"/>
          <w:numId w:val="2"/>
        </w:numPr>
        <w:spacing w:after="60"/>
      </w:pPr>
      <w:r>
        <w:rPr>
          <w:b/>
          <w:bCs/>
        </w:rPr>
        <w:t xml:space="preserve">Supplier auth:</w:t>
      </w:r>
      <w:r>
        <w:t xml:space="preserve"> a managed identity provider configured as a </w:t>
      </w:r>
      <w:r>
        <w:rPr>
          <w:b/>
          <w:bCs/>
        </w:rPr>
        <w:t xml:space="preserve">separate realm / user pool</w:t>
      </w:r>
      <w:r>
        <w:t xml:space="preserve"> from internal users, supporting email + password, MFA, invite links and per-supplier entity scoping claims; integrated with Angular via OpenID Connect and with the ASP.NET Core BFF via standard JWT bearer authentication.</w:t>
      </w:r>
    </w:p>
    <w:p>
      <w:pPr>
        <w:pStyle w:val="ListParagraph"/>
        <w:numPr>
          <w:ilvl w:val="0"/>
          <w:numId w:val="2"/>
        </w:numPr>
        <w:spacing w:after="60"/>
      </w:pPr>
      <w:r>
        <w:rPr>
          <w:b/>
          <w:bCs/>
        </w:rPr>
        <w:t xml:space="preserve">Data:</w:t>
      </w:r>
      <w:r>
        <w:t xml:space="preserve"> new Phase B entities in SQL Server, in their own schema, foreign-keyed to existing vendor master, item master, PO/GRN, accessed via Entity Framework Core. No destructive changes to core tables; merges re-point via the core’s own APIs/transactions.</w:t>
      </w:r>
    </w:p>
    <w:p>
      <w:r>
        <w:br w:type="page"/>
      </w:r>
    </w:p>
    <w:p>
      <w:pPr>
        <w:pStyle w:val="Heading1"/>
      </w:pPr>
      <w:r>
        <w:t xml:space="preserve">3.  Data model</w:t>
      </w:r>
    </w:p>
    <w:p>
      <w:pPr>
        <w:spacing w:after="120"/>
      </w:pPr>
      <w:r>
        <w:t xml:space="preserve">New Phase B entities and their key attributes. Existing entities (Vendor master, Item master, PO, GRN, Rate contract, Document repository, Payable) are referenced, not redefined. “FK” denotes a foreign key to an existing or new entity.</w:t>
      </w:r>
    </w:p>
    <w:p>
      <w:pPr>
        <w:pStyle w:val="Heading2"/>
      </w:pPr>
      <w:r>
        <w:t xml:space="preserve">3.1  Supplier portal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Entity</w:t>
            </w:r>
          </w:p>
        </w:tc>
        <w:tc>
          <w:tcPr>
            <w:tcW w:type="dxa" w:w="69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Key attributes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SupplierUser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vendor_id (FK Vendor master); email; display_name; role (catalogue / orders / finance / admin); status (invited / active / suspended); auth_subject (IdP id); created_at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SupplierEntityScope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supplier_user_id (FK); buying_entity_id; property_id (nullable); access_level — enforces VP-02 isolation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SupplierCatalogue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vendor_id (FK); buying_entity_id; version; status (draft / submitted / approved / rejected / superseded); submitted_at; approved_by; approved_at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SupplierCatalogueLine</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catalogue_id (FK); item_code (FK Item master, nullable until mapped); description; pack_uom; price; currency; validity_from; validity_to; tax_class; contract_deviation_flag; deviation_pct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POAcknowledgement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po_id (FK PO); vendor_id (FK); status (acknowledged / partially_accepted / unable_to_supply); reason; acknowledged_at; line_responses[]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DeliveryNote (ASN)</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po_id (FK); vendor_id (FK); status (submitted / received / cancelled); expected_delivery_date; lines[] {item_code, qty, batch, expiry}; 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PortalInvoice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po_id (FK); grn_id (FK GRN, nullable); vendor_id (FK); invoice_no; invoice_date; currency; lines[]; subtotal; tax; total; match_status (matched / mismatch / pending); mismatch_reasons[]; submitted_at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Notification</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recipient_supplier_user_id (FK); type (new_po / doc_rejected / payment_released / catalogue_decision); payload; channel (in_portal / email); read_at; created_at</w:t>
            </w:r>
          </w:p>
        </w:tc>
      </w:tr>
    </w:tbl>
    <w:p>
      <w:pPr>
        <w:spacing w:after="120"/>
      </w:pPr>
    </w:p>
    <w:p>
      <w:pPr>
        <w:pStyle w:val="Heading2"/>
      </w:pPr>
      <w:r>
        <w:t xml:space="preserve">3.2  KYC &amp; vendor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Entity</w:t>
            </w:r>
          </w:p>
        </w:tc>
        <w:tc>
          <w:tcPr>
            <w:tcW w:type="dxa" w:w="6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Key attributes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VendorKYCProfile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vendor_id (FK, 1:1); gstin; pan; msme_status; udyam_no; registered_legal_name; registered_address; kyc_status (incomplete / validated / expired / blocked); current_version; last_validated_at</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VendorBankDetail</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vendor_id (FK); account_name; account_no; ifsc; is_primary; status (pending / approved); 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KYCDocument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vendor_id (FK); doc_type (gst_cert / pan_card / msme_cert / cancelled_cheque / other); file_ref (Document Repository); uploaded_at; expiry_date; status (active / superseded)</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KYCVerificationResult</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vendor_id (FK); field (gstin / pan); method (structural / external_api); result (pass / fail); authority_reference; verified_at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KYCChangeRequest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vendor_id (FK); field (bank / gstin / legal_name); old_value; new_value; maker; checker; status (pending / approved / rejected); requested_at; decided_at</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VendorDuplicateCandidateSet</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source_vendor_id (FK); status (open / resolved); candidates[] {vendor_id, score, matched_attributes[], match_type (exact_gstin / exact_bank / fuzzy)}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VendorMergeAudit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surviving_vendor_id (FK); merged_vendor_ids[]; repointed_documents[]; actor; reason; merged_at</w:t>
            </w:r>
          </w:p>
        </w:tc>
      </w:tr>
    </w:tbl>
    <w:p>
      <w:pPr>
        <w:spacing w:after="120"/>
      </w:pPr>
    </w:p>
    <w:p>
      <w:pPr>
        <w:pStyle w:val="Heading2"/>
      </w:pPr>
      <w:r>
        <w:t xml:space="preserve">3.3  Item de-duplication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Entity</w:t>
            </w:r>
          </w:p>
        </w:tc>
        <w:tc>
          <w:tcPr>
            <w:tcW w:type="dxa" w:w="6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Key attributes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ItemDuplicateCluster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id; status (open / merged / dismissed); score; matched_attributes[]; member_item_codes[] (FK Item master); proposed_at; model_version</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ItemMergeAudit</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id; surviving_item_code (FK); merged_item_codes[]; repointed {grn_lines, rate_contract_lines, catalogue_mappings}; override_reason (if cross-UOM/category); actor; merged_at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ItemNormalisationCache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item_code (FK); normalised_description; canonical_uom; canonical_pack_size; embedding_ref; refreshed_at</w:t>
            </w:r>
          </w:p>
        </w:tc>
      </w:tr>
    </w:tbl>
    <w:p>
      <w:r>
        <w:br w:type="page"/>
      </w:r>
    </w:p>
    <w:p>
      <w:pPr>
        <w:pStyle w:val="Heading1"/>
      </w:pPr>
      <w:r>
        <w:t xml:space="preserve">4.  Module development specifications</w:t>
      </w:r>
    </w:p>
    <w:p>
      <w:pPr>
        <w:spacing w:after="120"/>
      </w:pPr>
      <w:r>
        <w:t xml:space="preserve">Each module restates its objective, lists the screens/components and the back-end build notes, and traces every original requirement ID to its implementation. Priority codes (M / S / C) are carried from the functional spec.</w:t>
      </w:r>
    </w:p>
    <w:p>
      <w:pPr>
        <w:pStyle w:val="Heading2"/>
      </w:pPr>
      <w:r>
        <w:t xml:space="preserve">4.1  Vendor portal / supplier extranet (5.1)</w:t>
      </w:r>
    </w:p>
    <w:p>
      <w:pPr>
        <w:spacing w:after="120"/>
      </w:pPr>
      <w:r>
        <w:rPr>
          <w:b/>
          <w:bCs/>
        </w:rPr>
        <w:t xml:space="preserve">Objective.</w:t>
      </w:r>
      <w:r>
        <w:t xml:space="preserve"> A secure, branded supplier surface to publish catalogues, receive and acknowledge POs, submit delivery notes and invoices, and view account/payment status — while every posting stays inside the controlled internal chain.</w:t>
      </w:r>
    </w:p>
    <w:p>
      <w:pPr>
        <w:pStyle w:val="Heading3"/>
      </w:pPr>
      <w:r>
        <w:t xml:space="preserve">Front-end components</w:t>
      </w:r>
    </w:p>
    <w:p>
      <w:pPr>
        <w:pStyle w:val="ListParagraph"/>
        <w:numPr>
          <w:ilvl w:val="0"/>
          <w:numId w:val="2"/>
        </w:numPr>
        <w:spacing w:after="60"/>
      </w:pPr>
      <w:r>
        <w:t xml:space="preserve">Supplier authentication (login, MFA, password reset) on the separate supplier domain.</w:t>
      </w:r>
    </w:p>
    <w:p>
      <w:pPr>
        <w:pStyle w:val="ListParagraph"/>
        <w:numPr>
          <w:ilvl w:val="0"/>
          <w:numId w:val="2"/>
        </w:numPr>
        <w:spacing w:after="60"/>
      </w:pPr>
      <w:r>
        <w:t xml:space="preserve">Supplier dashboard: POs awaiting acknowledgement, invoices in progress, recent notifications, account summary tile.</w:t>
      </w:r>
    </w:p>
    <w:p>
      <w:pPr>
        <w:pStyle w:val="ListParagraph"/>
        <w:numPr>
          <w:ilvl w:val="0"/>
          <w:numId w:val="2"/>
        </w:numPr>
        <w:spacing w:after="60"/>
      </w:pPr>
      <w:r>
        <w:t xml:space="preserve">Catalogue manager: list, create/edit line, submit-for-approval, deviation badges; read-only once approved (new version to change).</w:t>
      </w:r>
    </w:p>
    <w:p>
      <w:pPr>
        <w:pStyle w:val="ListParagraph"/>
        <w:numPr>
          <w:ilvl w:val="0"/>
          <w:numId w:val="2"/>
        </w:numPr>
        <w:spacing w:after="60"/>
      </w:pPr>
      <w:r>
        <w:t xml:space="preserve">PO inbox: list + detail; acknowledge / partially accept (with per-line reason) / flag unable-to-supply.</w:t>
      </w:r>
    </w:p>
    <w:p>
      <w:pPr>
        <w:pStyle w:val="ListParagraph"/>
        <w:numPr>
          <w:ilvl w:val="0"/>
          <w:numId w:val="2"/>
        </w:numPr>
        <w:spacing w:after="60"/>
      </w:pPr>
      <w:r>
        <w:t xml:space="preserve">Delivery note (ASN) builder against an acknowledged PO (quantities, batch/expiry, expected date).</w:t>
      </w:r>
    </w:p>
    <w:p>
      <w:pPr>
        <w:pStyle w:val="ListParagraph"/>
        <w:numPr>
          <w:ilvl w:val="0"/>
          <w:numId w:val="2"/>
        </w:numPr>
        <w:spacing w:after="60"/>
      </w:pPr>
      <w:r>
        <w:t xml:space="preserve">Invoice submission against PO/GRN, with live match feedback (matched / mismatch with reasons).</w:t>
      </w:r>
    </w:p>
    <w:p>
      <w:pPr>
        <w:pStyle w:val="ListParagraph"/>
        <w:numPr>
          <w:ilvl w:val="0"/>
          <w:numId w:val="2"/>
        </w:numPr>
        <w:spacing w:after="60"/>
      </w:pPr>
      <w:r>
        <w:t xml:space="preserve">Account &amp; statement view: outstanding invoices, approved/blocked, scheduled/completed payments.</w:t>
      </w:r>
    </w:p>
    <w:p>
      <w:pPr>
        <w:pStyle w:val="ListParagraph"/>
        <w:numPr>
          <w:ilvl w:val="0"/>
          <w:numId w:val="2"/>
        </w:numPr>
        <w:spacing w:after="60"/>
      </w:pPr>
      <w:r>
        <w:t xml:space="preserve">Notifications centre (in-portal) mirrored by email.</w:t>
      </w:r>
    </w:p>
    <w:p>
      <w:pPr>
        <w:pStyle w:val="Heading3"/>
      </w:pPr>
      <w:r>
        <w:t xml:space="preserve">Back-end build notes</w:t>
      </w:r>
    </w:p>
    <w:p>
      <w:pPr>
        <w:pStyle w:val="ListParagraph"/>
        <w:numPr>
          <w:ilvl w:val="0"/>
          <w:numId w:val="2"/>
        </w:numPr>
        <w:spacing w:after="60"/>
      </w:pPr>
      <w:r>
        <w:t xml:space="preserve">BFF enforces SupplierEntityScope on </w:t>
      </w:r>
      <w:r>
        <w:rPr>
          <w:b/>
          <w:bCs/>
        </w:rPr>
        <w:t xml:space="preserve">every</w:t>
      </w:r>
      <w:r>
        <w:t xml:space="preserve"> request (VP-02): the data layer filters by the user’s scoped entities/properties; no query returns cross-entity rows.</w:t>
      </w:r>
    </w:p>
    <w:p>
      <w:pPr>
        <w:pStyle w:val="ListParagraph"/>
        <w:numPr>
          <w:ilvl w:val="0"/>
          <w:numId w:val="2"/>
        </w:numPr>
        <w:spacing w:after="60"/>
      </w:pPr>
      <w:r>
        <w:t xml:space="preserve">Catalogue submit transitions status to “submitted” and raises a Catalogue Approval task on the console; lines are reconciled against the vendor’s rate contract and any deviation beyond tolerance sets contract_deviation_flag (VP-04).</w:t>
      </w:r>
    </w:p>
    <w:p>
      <w:pPr>
        <w:pStyle w:val="ListParagraph"/>
        <w:numPr>
          <w:ilvl w:val="0"/>
          <w:numId w:val="2"/>
        </w:numPr>
        <w:spacing w:after="60"/>
      </w:pPr>
      <w:r>
        <w:t xml:space="preserve">PO acknowledgement, ASN and invoice are written by the Integration Gateway as </w:t>
      </w:r>
      <w:r>
        <w:rPr>
          <w:b/>
          <w:bCs/>
        </w:rPr>
        <w:t xml:space="preserve">pending internal actions</w:t>
      </w:r>
      <w:r>
        <w:t xml:space="preserve">; ASN appears to stores as a pending receipt that pre-populates the GRN (VP-07); the GRN remains an internal controlled action.</w:t>
      </w:r>
    </w:p>
    <w:p>
      <w:pPr>
        <w:pStyle w:val="ListParagraph"/>
        <w:numPr>
          <w:ilvl w:val="0"/>
          <w:numId w:val="2"/>
        </w:numPr>
        <w:spacing w:after="60"/>
      </w:pPr>
      <w:r>
        <w:t xml:space="preserve">Invoice match derives the expected invoice from PO + GRN and computes mismatches (price, quantity, tax); a mismatch holds the invoice and surfaces it to AP rather than posting (VP-08, acceptance criteria).</w:t>
      </w:r>
    </w:p>
    <w:p>
      <w:pPr>
        <w:pStyle w:val="ListParagraph"/>
        <w:numPr>
          <w:ilvl w:val="0"/>
          <w:numId w:val="2"/>
        </w:numPr>
        <w:spacing w:after="60"/>
      </w:pPr>
      <w:r>
        <w:t xml:space="preserve">A supplier account is bound to a KYC-validated vendor; portal transaction actions are disabled unless KYC status permits (cross-reference 4.2).</w:t>
      </w:r>
    </w:p>
    <w:p>
      <w:pPr>
        <w:pStyle w:val="Heading3"/>
      </w:pPr>
      <w:r>
        <w:t xml:space="preserve">Requirement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760"/>
      </w:tblGrid>
      <w:tr>
        <w:trPr>
          <w:tblHeader/>
        </w:trPr>
        <w:tc>
          <w:tcPr>
            <w:tcW w:type="dxa" w:w="9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ID</w:t>
            </w:r>
          </w:p>
        </w:tc>
        <w:tc>
          <w:tcPr>
            <w:tcW w:type="dxa" w:w="7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Pri</w:t>
            </w:r>
          </w:p>
        </w:tc>
        <w:tc>
          <w:tcPr>
            <w:tcW w:type="dxa" w:w="7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Implementation 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Separate supplier auth domain; no internal concurrent-user licence consumed.</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SupplierEntityScope filter applied at BFF + data layer on every read/write.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Catalogue manager + approval workflow; lines hold UOM, price, currency, validity, tax class.</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VP-04</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Rate-contract reconciliation on submit; deviation flag for buyer 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 inbox with acknowledge / partial-accept(reason) / unable-to-supply.</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VP-06</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ASN builder against acknowledged PO with batch/expiry and expected date.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ASN → pending receipt that pre-populates GRN; GRN stays internal.</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VP-08</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Invoice matched to PO/GRN-derived expected invoice; mismatches surfaced.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Account &amp; statement view of outstanding, status, scheduled/completed payments.</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VP-10</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Notification service: in-portal + email on new PO, rejection, payment release.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All supplier documents retained in the document repository against the transaction.</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VP-12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Responsive web/mobile with customer branding where contracted.</w:t>
            </w:r>
          </w:p>
        </w:tc>
      </w:tr>
    </w:tbl>
    <w:p>
      <w:pPr>
        <w:spacing w:after="120"/>
      </w:pPr>
    </w:p>
    <w:p>
      <w:pPr>
        <w:spacing w:after="120"/>
      </w:pPr>
      <w:r>
        <w:rPr>
          <w:b/>
          <w:bCs/>
        </w:rPr>
        <w:t xml:space="preserve">Phase B cut.</w:t>
      </w:r>
      <w:r>
        <w:t xml:space="preserve"> All M items are mandatory for the Q4 2026 release. S items (VP-09, VP-10) are in-band but de-scopeable to a fast-follow if capacity is threatened; C item (VP-12 branding) ships as a configurable theme.</w:t>
      </w:r>
    </w:p>
    <w:p>
      <w:pPr>
        <w:pStyle w:val="Heading2"/>
      </w:pPr>
      <w:r>
        <w:t xml:space="preserve">4.2  KYC validation &amp; vendor-master de-duplication (5.2)</w:t>
      </w:r>
    </w:p>
    <w:p>
      <w:pPr>
        <w:spacing w:after="120"/>
      </w:pPr>
      <w:r>
        <w:rPr>
          <w:b/>
          <w:bCs/>
        </w:rPr>
        <w:t xml:space="preserve">Objective.</w:t>
      </w:r>
      <w:r>
        <w:t xml:space="preserve"> Every supplier carries validated identity/compliance data, and the vendor master is free of duplicates — so spend attributes correctly, payments release only against compliant vendors, and de-duplication is reliable enough to gate portal access.</w:t>
      </w:r>
    </w:p>
    <w:p>
      <w:pPr>
        <w:pStyle w:val="Heading3"/>
      </w:pPr>
      <w:r>
        <w:t xml:space="preserve">Validation logic (build notes)</w:t>
      </w:r>
    </w:p>
    <w:p>
      <w:pPr>
        <w:pStyle w:val="ListParagraph"/>
        <w:numPr>
          <w:ilvl w:val="0"/>
          <w:numId w:val="2"/>
        </w:numPr>
        <w:spacing w:after="60"/>
      </w:pPr>
      <w:r>
        <w:rPr>
          <w:b/>
          <w:bCs/>
        </w:rPr>
        <w:t xml:space="preserve">PAN:</w:t>
      </w:r>
      <w:r>
        <w:t xml:space="preserve"> validate format `[A-Z]{5}[0-9]{4}[A-Z]`; reject malformed input client- and server-side.</w:t>
      </w:r>
    </w:p>
    <w:p>
      <w:pPr>
        <w:pStyle w:val="ListParagraph"/>
        <w:numPr>
          <w:ilvl w:val="0"/>
          <w:numId w:val="2"/>
        </w:numPr>
        <w:spacing w:after="60"/>
      </w:pPr>
      <w:r>
        <w:rPr>
          <w:b/>
          <w:bCs/>
        </w:rPr>
        <w:t xml:space="preserve">GSTIN:</w:t>
      </w:r>
      <w:r>
        <w:t xml:space="preserve"> validate the 15-character structure — 2-digit state code + 10-char PAN segment + entity code + default ‘Z’ + check digit — and compute the mod-36 check digit; reject on mismatch (KYC-02).</w:t>
      </w:r>
    </w:p>
    <w:p>
      <w:pPr>
        <w:pStyle w:val="ListParagraph"/>
        <w:numPr>
          <w:ilvl w:val="0"/>
          <w:numId w:val="2"/>
        </w:numPr>
        <w:spacing w:after="60"/>
      </w:pPr>
      <w:r>
        <w:rPr>
          <w:b/>
          <w:bCs/>
        </w:rPr>
        <w:t xml:space="preserve">Cross-field rule:</w:t>
      </w:r>
      <w:r>
        <w:t xml:space="preserve"> the PAN embedded in GSTIN characters 3–12 must equal the captured PAN; mismatch is rejected with a clear message (KYC-02, acceptance criteria).</w:t>
      </w:r>
    </w:p>
    <w:p>
      <w:pPr>
        <w:pStyle w:val="ListParagraph"/>
        <w:numPr>
          <w:ilvl w:val="0"/>
          <w:numId w:val="2"/>
        </w:numPr>
        <w:spacing w:after="60"/>
      </w:pPr>
      <w:r>
        <w:rPr>
          <w:b/>
          <w:bCs/>
        </w:rPr>
        <w:t xml:space="preserve">External verification (KYC-03):</w:t>
      </w:r>
      <w:r>
        <w:t xml:space="preserve"> where a contracted GSTIN/PAN verification API exists, call it, store result + authority reference + timestamp in KYCVerificationResult; absent the API, validation is structural-with-manual-confirmation.</w:t>
      </w:r>
    </w:p>
    <w:p>
      <w:pPr>
        <w:pStyle w:val="Heading3"/>
      </w:pPr>
      <w:r>
        <w:t xml:space="preserve">KYC status state machine (KYC-04)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State</w:t>
            </w:r>
          </w:p>
        </w:tc>
        <w:tc>
          <w:tcPr>
            <w:tcW w:type="dxa" w:w="4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Meaning</w:t>
            </w:r>
          </w:p>
        </w:tc>
        <w:tc>
          <w:tcPr>
            <w:tcW w:type="dxa" w:w="28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Gates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Incomplete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Mandatory KYC fields/documents missing or unvalidated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Portal transactions and payment blocked</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Validated</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All mandatory fields validated (structurally and/or externally)</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Portal access and payment permitted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Expired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 KYC document or verification has lapsed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Reverts to blocked until refreshed</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Blocked</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Governance-imposed block</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All transactions and payment blocked</w:t>
            </w:r>
          </w:p>
        </w:tc>
      </w:tr>
    </w:tbl>
    <w:p>
      <w:pPr>
        <w:pStyle w:val="Heading3"/>
      </w:pPr>
      <w:r>
        <w:t xml:space="preserve">Maker-checker &amp; versioning (KYC-05)</w:t>
      </w:r>
    </w:p>
    <w:p>
      <w:pPr>
        <w:pStyle w:val="ListParagraph"/>
        <w:numPr>
          <w:ilvl w:val="0"/>
          <w:numId w:val="2"/>
        </w:numPr>
        <w:spacing w:after="60"/>
      </w:pPr>
      <w:r>
        <w:t xml:space="preserve">Changes to KYC-critical fields (bank account, GSTIN, legal name) create a KYCChangeRequest in “pending”; the value does not take effect until a checker approves; every version is retained with full audit (actor, before/after, timestamp).</w:t>
      </w:r>
    </w:p>
    <w:p>
      <w:pPr>
        <w:pStyle w:val="ListParagraph"/>
        <w:numPr>
          <w:ilvl w:val="0"/>
          <w:numId w:val="2"/>
        </w:numPr>
        <w:spacing w:after="60"/>
      </w:pPr>
      <w:r>
        <w:t xml:space="preserve">A bank-account change moves the vendor to a pending state that blocks payment scheduling until approved (acceptance criteria).</w:t>
      </w:r>
    </w:p>
    <w:p>
      <w:pPr>
        <w:pStyle w:val="Heading3"/>
      </w:pPr>
      <w:r>
        <w:t xml:space="preserve">Vendor de-duplication (KYC-06–08)</w:t>
      </w:r>
    </w:p>
    <w:p>
      <w:pPr>
        <w:pStyle w:val="ListParagraph"/>
        <w:numPr>
          <w:ilvl w:val="0"/>
          <w:numId w:val="2"/>
        </w:numPr>
        <w:spacing w:after="60"/>
      </w:pPr>
      <w:r>
        <w:t xml:space="preserve">On create/edit, run blocking on normalised GSTIN, PAN and bank-account+IFSC, plus fuzzy similarity on legal name and address; return a ranked VendorDuplicateCandidateSet with match_type and matched_attributes.</w:t>
      </w:r>
    </w:p>
    <w:p>
      <w:pPr>
        <w:pStyle w:val="ListParagraph"/>
        <w:numPr>
          <w:ilvl w:val="0"/>
          <w:numId w:val="2"/>
        </w:numPr>
        <w:spacing w:after="60"/>
      </w:pPr>
      <w:r>
        <w:rPr>
          <w:b/>
          <w:bCs/>
        </w:rPr>
        <w:t xml:space="preserve">Hard blocks (KYC-08):</w:t>
      </w:r>
      <w:r>
        <w:t xml:space="preserve"> an identical GSTIN, or an identical bank account on a different legal name, raises a hard warning and prevents silent creation.</w:t>
      </w:r>
    </w:p>
    <w:p>
      <w:pPr>
        <w:pStyle w:val="ListParagraph"/>
        <w:numPr>
          <w:ilvl w:val="0"/>
          <w:numId w:val="2"/>
        </w:numPr>
        <w:spacing w:after="60"/>
      </w:pPr>
      <w:r>
        <w:rPr>
          <w:b/>
          <w:bCs/>
        </w:rPr>
        <w:t xml:space="preserve">Merge (KYC-07):</w:t>
      </w:r>
      <w:r>
        <w:t xml:space="preserve"> a governance user confirms a match and merges, or dismisses; merge preserves transaction history and re-points open documents via the core’s transactional API; merges are permission-gated, irreversible at ledger level, and fully logged (VendorMergeAudit).</w:t>
      </w:r>
    </w:p>
    <w:p>
      <w:pPr>
        <w:pStyle w:val="Heading3"/>
      </w:pPr>
      <w:r>
        <w:t xml:space="preserve">Requirement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760"/>
      </w:tblGrid>
      <w:tr>
        <w:trPr>
          <w:tblHeader/>
        </w:trPr>
        <w:tc>
          <w:tcPr>
            <w:tcW w:type="dxa" w:w="9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ID</w:t>
            </w:r>
          </w:p>
        </w:tc>
        <w:tc>
          <w:tcPr>
            <w:tcW w:type="dxa" w:w="7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Pri</w:t>
            </w:r>
          </w:p>
        </w:tc>
        <w:tc>
          <w:tcPr>
            <w:tcW w:type="dxa" w:w="7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Implementation 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Capture GSTIN, PAN, MSME/Udyam, legal name/address, bank details, each with document upload.</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Structural + check-digit validation of GSTIN/PAN; GSTIN PAN-segment must equal captured PAN.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External GSTIN/PAN verification where contracted; result + timestamp stored; else structural.</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KYC-04</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 status (Incomplete/Validated/Expired/Blocked) gating portal access and payment.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Maker-checker + versioned audit on bank/GSTIN/legal-name changes.</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KYC-06</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Ranked duplicate detection across name, GSTIN, PAN, bank, address on create/edit.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Human-confirmed merge preserving history and re-pointing open documents.</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KYC-08</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Exact GSTIN / exact bank-on-different-name raises hard warning; blocks silent create.</w:t>
            </w:r>
          </w:p>
        </w:tc>
      </w:tr>
    </w:tbl>
    <w:p>
      <w:pPr>
        <w:pStyle w:val="Heading2"/>
      </w:pPr>
      <w:r>
        <w:t xml:space="preserve">4.3  Item-master de-duplication, ML-assisted (5.3)</w:t>
      </w:r>
    </w:p>
    <w:p>
      <w:pPr>
        <w:spacing w:after="120"/>
      </w:pPr>
      <w:r>
        <w:rPr>
          <w:b/>
          <w:bCs/>
        </w:rPr>
        <w:t xml:space="preserve">Objective.</w:t>
      </w:r>
      <w:r>
        <w:t xml:space="preserve"> Reduce duplicate/near-duplicate item codes so spend analysis, catalogue mapping and later intelligence run on a clean catalogue — the machine proposes, a human decides every merge.</w:t>
      </w:r>
    </w:p>
    <w:p>
      <w:pPr>
        <w:pStyle w:val="Heading3"/>
      </w:pPr>
      <w:r>
        <w:t xml:space="preserve">Pipeline (build notes)</w:t>
      </w:r>
    </w:p>
    <w:p>
      <w:pPr>
        <w:pStyle w:val="ListParagraph"/>
        <w:numPr>
          <w:ilvl w:val="0"/>
          <w:numId w:val="3"/>
        </w:numPr>
        <w:spacing w:after="60"/>
      </w:pPr>
      <w:r>
        <w:rPr>
          <w:b/>
          <w:bCs/>
        </w:rPr>
        <w:t xml:space="preserve">Normalisation:</w:t>
      </w:r>
      <w:r>
        <w:t xml:space="preserve"> lower-case; expand abbreviations via a maintained dictionary; canonicalise units (KG/kg/kilogram → kg; pack sizes like ‘1kg’ vs ‘1 KG’); strip punctuation. Cache results in ItemNormalisationCache.</w:t>
      </w:r>
    </w:p>
    <w:p>
      <w:pPr>
        <w:pStyle w:val="ListParagraph"/>
        <w:numPr>
          <w:ilvl w:val="0"/>
          <w:numId w:val="3"/>
        </w:numPr>
        <w:spacing w:after="60"/>
      </w:pPr>
      <w:r>
        <w:rPr>
          <w:b/>
          <w:bCs/>
        </w:rPr>
        <w:t xml:space="preserve">Blocking:</w:t>
      </w:r>
      <w:r>
        <w:t xml:space="preserve"> restrict candidate pairs to the same category and compatible base UOM to keep the comparison tractable at portfolio scale.</w:t>
      </w:r>
    </w:p>
    <w:p>
      <w:pPr>
        <w:pStyle w:val="ListParagraph"/>
        <w:numPr>
          <w:ilvl w:val="0"/>
          <w:numId w:val="3"/>
        </w:numPr>
        <w:spacing w:after="60"/>
      </w:pPr>
      <w:r>
        <w:rPr>
          <w:b/>
          <w:bCs/>
        </w:rPr>
        <w:t xml:space="preserve">Scoring:</w:t>
      </w:r>
      <w:r>
        <w:t xml:space="preserve"> combine embedding similarity on the normalised description with structured attribute match (pack size, key spec); produce a composite 0–1 score resilient to spelling, abbreviation and unit variation (ITM-02).</w:t>
      </w:r>
    </w:p>
    <w:p>
      <w:pPr>
        <w:pStyle w:val="ListParagraph"/>
        <w:numPr>
          <w:ilvl w:val="0"/>
          <w:numId w:val="3"/>
        </w:numPr>
        <w:spacing w:after="60"/>
      </w:pPr>
      <w:r>
        <w:rPr>
          <w:b/>
          <w:bCs/>
        </w:rPr>
        <w:t xml:space="preserve">Clustering:</w:t>
      </w:r>
      <w:r>
        <w:t xml:space="preserve"> group pairs above threshold into clusters (connected components / agglomerative); persist as ItemDuplicateCluster with score and matched attributes (ITM-01).</w:t>
      </w:r>
    </w:p>
    <w:p>
      <w:pPr>
        <w:pStyle w:val="ListParagraph"/>
        <w:numPr>
          <w:ilvl w:val="0"/>
          <w:numId w:val="3"/>
        </w:numPr>
        <w:spacing w:after="60"/>
      </w:pPr>
      <w:r>
        <w:rPr>
          <w:b/>
          <w:bCs/>
        </w:rPr>
        <w:t xml:space="preserve">Review &amp; merge:</w:t>
      </w:r>
      <w:r>
        <w:t xml:space="preserve"> a governance user picks a surviving item and merges or dismisses; merge re-points historical GRNs, rate-contract lines and catalogue mappings to the survivor while preserving history (ITM-03, ITM-04).</w:t>
      </w:r>
    </w:p>
    <w:p>
      <w:pPr>
        <w:pStyle w:val="ListParagraph"/>
        <w:numPr>
          <w:ilvl w:val="0"/>
          <w:numId w:val="3"/>
        </w:numPr>
        <w:spacing w:after="60"/>
      </w:pPr>
      <w:r>
        <w:rPr>
          <w:b/>
          <w:bCs/>
        </w:rPr>
        <w:t xml:space="preserve">Guard rails:</w:t>
      </w:r>
      <w:r>
        <w:t xml:space="preserve"> block cross-UOM/category merges without an explicit override + reason (ITM-05); at item creation, warn of probable existing equivalents but never block legitimate creation (ITM-06).</w:t>
      </w:r>
    </w:p>
    <w:p>
      <w:pPr>
        <w:pStyle w:val="Heading3"/>
      </w:pPr>
      <w:r>
        <w:t xml:space="preserve">Model governance</w:t>
      </w:r>
    </w:p>
    <w:p>
      <w:pPr>
        <w:pStyle w:val="ListParagraph"/>
        <w:numPr>
          <w:ilvl w:val="0"/>
          <w:numId w:val="2"/>
        </w:numPr>
        <w:spacing w:after="60"/>
      </w:pPr>
      <w:r>
        <w:t xml:space="preserve">The matcher is advisory: it proposes and ranks; it never merges automatically and never blocks creation — only warns.</w:t>
      </w:r>
    </w:p>
    <w:p>
      <w:pPr>
        <w:pStyle w:val="ListParagraph"/>
        <w:numPr>
          <w:ilvl w:val="0"/>
          <w:numId w:val="2"/>
        </w:numPr>
        <w:spacing w:after="60"/>
      </w:pPr>
      <w:r>
        <w:t xml:space="preserve">Track precision/recall against a labelled sample; record model_version on every cluster so proposals are reproducible and auditable.</w:t>
      </w:r>
    </w:p>
    <w:p>
      <w:pPr>
        <w:pStyle w:val="Heading3"/>
      </w:pPr>
      <w:r>
        <w:t xml:space="preserve">Requirement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760"/>
      </w:tblGrid>
      <w:tr>
        <w:trPr>
          <w:tblHeader/>
        </w:trPr>
        <w:tc>
          <w:tcPr>
            <w:tcW w:type="dxa" w:w="9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ID</w:t>
            </w:r>
          </w:p>
        </w:tc>
        <w:tc>
          <w:tcPr>
            <w:tcW w:type="dxa" w:w="7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Pri</w:t>
            </w:r>
          </w:p>
        </w:tc>
        <w:tc>
          <w:tcPr>
            <w:tcW w:type="dxa" w:w="7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Implementation note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Propose duplicate clusters with similarity score and matched attributes.</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ITM-02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Normalised matching across description, category, UOM, pack size, specs; variation-resilient.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Governance review: choose survivor, merge others, or dismiss.</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ITM-04</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Merge re-points GRNs, rate-contract lines and catalogue mappings; preserves history.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Block cross-UOM/category merge without explicit override + reason.</w:t>
            </w:r>
          </w:p>
        </w:tc>
      </w:tr>
      <w:tr>
        <w:tc>
          <w:tcPr>
            <w:tcW w:type="dxa" w:w="9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ITM-06</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w:t>
            </w:r>
          </w:p>
        </w:tc>
        <w:tc>
          <w:tcPr>
            <w:tcW w:type="dxa" w:w="7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Creation-time warning of probable equivalents (warn, never block).</w:t>
            </w:r>
          </w:p>
        </w:tc>
      </w:tr>
    </w:tbl>
    <w:p>
      <w:r>
        <w:br w:type="page"/>
      </w:r>
    </w:p>
    <w:p>
      <w:pPr>
        <w:pStyle w:val="Heading1"/>
      </w:pPr>
      <w:r>
        <w:t xml:space="preserve">5.  API specification (Phase B)</w:t>
      </w:r>
    </w:p>
    <w:p>
      <w:pPr>
        <w:spacing w:after="120"/>
      </w:pPr>
      <w:r>
        <w:t xml:space="preserve">Representative endpoints by surface. “Supplier” endpoints are served by the Portal BFF on the supplier auth domain; “Internal” endpoints by the existing app on the internal domain. All write paths to the ledger go through the Integration Gateway as pending internal actions.</w:t>
      </w:r>
    </w:p>
    <w:p>
      <w:pPr>
        <w:pStyle w:val="Heading2"/>
      </w:pPr>
      <w:r>
        <w:t xml:space="preserve">5.1  Supplier portal (BFF)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Method &amp; path</w:t>
            </w:r>
          </w:p>
        </w:tc>
        <w:tc>
          <w:tcPr>
            <w:tcW w:type="dxa" w:w="53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/auth/login, /auth/mfa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 authentication (separate domain)</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/catalogue</w:t>
            </w:r>
          </w:p>
        </w:tc>
        <w:tc>
          <w:tcPr>
            <w:tcW w:type="dxa" w:w="5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List the supplier’s catalogue lines and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/catalogue/lines, PUT /catalogue/lines/{id}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Create/edit a catalogue line (draft)</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POST /catalogue/submit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Submit catalogue for buyer approval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GET /pos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List POs scoped to the supplier</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POST /pos/{id}/acknowledge</w:t>
            </w:r>
          </w:p>
        </w:tc>
        <w:tc>
          <w:tcPr>
            <w:tcW w:type="dxa" w:w="5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Acknowledge / partial-accept / unable-to-supply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/pos/{id}/delivery-notes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Raise an ASN against an acknowledged PO</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POST /invoices</w:t>
            </w:r>
          </w:p>
        </w:tc>
        <w:tc>
          <w:tcPr>
            <w:tcW w:type="dxa" w:w="5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Submit an invoice against PO/GRN; returns match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GET /account/statement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Outstanding invoices, status, scheduled/completed payments</w:t>
            </w:r>
          </w:p>
        </w:tc>
      </w:tr>
      <w:tr>
        <w:tc>
          <w:tcPr>
            <w:tcW w:type="dxa" w:w="4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/notifications, POST /notifications/{id}/read</w:t>
            </w:r>
          </w:p>
        </w:tc>
        <w:tc>
          <w:tcPr>
            <w:tcW w:type="dxa" w:w="53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List and mark notifications</w:t>
            </w:r>
          </w:p>
        </w:tc>
      </w:tr>
    </w:tbl>
    <w:p>
      <w:pPr>
        <w:spacing w:after="120"/>
      </w:pPr>
    </w:p>
    <w:p>
      <w:pPr>
        <w:pStyle w:val="Heading2"/>
      </w:pPr>
      <w:r>
        <w:t xml:space="preserve">5.2  Internal governance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Method &amp; path</w:t>
            </w:r>
          </w:p>
        </w:tc>
        <w:tc>
          <w:tcPr>
            <w:tcW w:type="dxa" w:w="51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GET /kyc/queue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 review queue (Incomplete/Expired vendors)</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/vendors/{id}/kyc, PUT /vendors/{id}/kyc</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View/update KYC profile (critical changes raise a change request)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/kyc/change-requests/{id}/decision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Checker approves/rejects a maker-checker request</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/vendors/{id}/duplicates</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Ranked vendor duplicate candidates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/vendors/merge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Confirm merge (survivor + merged ids + reason)</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/items/clusters</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List item duplicate clusters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/items/merge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Merge an item cluster (survivor + override reason if needed)</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/submissions/receipts</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Pending delivery notes (ASN) for GRN pre-population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GET /submissions/invoices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Invoice matching queue with mismatches</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/catalogue/approvals, POST /catalogue/{id}/decision</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Catalogue approval queue and decision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/suppliers/provision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Provision a supplier account and entity scope (admin)</w:t>
            </w:r>
          </w:p>
        </w:tc>
      </w:tr>
    </w:tbl>
    <w:p>
      <w:pPr>
        <w:spacing w:after="120"/>
      </w:pPr>
    </w:p>
    <w:p>
      <w:pPr>
        <w:pStyle w:val="Heading2"/>
      </w:pPr>
      <w:r>
        <w:t xml:space="preserve">5.3  Integration Gateway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Method &amp; path</w:t>
            </w:r>
          </w:p>
        </w:tc>
        <w:tc>
          <w:tcPr>
            <w:tcW w:type="dxa" w:w="51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GET /gw/pos?vendor=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Read open POs for a vendor</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GET /gw/grns?po=</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Read GRNs for matching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GET /gw/payables?vendor=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Read payable/payment status</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POST /gw/pending/delivery-note</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Write ASN as a pending receipt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POST /gw/pending/invoice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Write invoice as a pending, matched action</w:t>
            </w:r>
          </w:p>
        </w:tc>
      </w:tr>
      <w:tr>
        <w:tc>
          <w:tcPr>
            <w:tcW w:type="dxa" w:w="4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POST /gw/vendor-merge, /gw/item-merge</w:t>
            </w:r>
          </w:p>
        </w:tc>
        <w:tc>
          <w:tcPr>
            <w:tcW w:type="dxa" w:w="51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Execute master merge transactionally with history re-pointing</w:t>
            </w:r>
          </w:p>
        </w:tc>
      </w:tr>
    </w:tbl>
    <w:p>
      <w:r>
        <w:br w:type="page"/>
      </w:r>
    </w:p>
    <w:p>
      <w:pPr>
        <w:pStyle w:val="Heading1"/>
      </w:pPr>
      <w:r>
        <w:t xml:space="preserve">6.  Security &amp; non-functional implementation</w:t>
      </w:r>
    </w:p>
    <w:p>
      <w:pPr>
        <w:spacing w:after="120"/>
      </w:pPr>
      <w:r>
        <w:t xml:space="preserve">Implementation of the cross-cutting requirements in functional-spec Section 6, as they bind Phase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Area</w:t>
            </w:r>
          </w:p>
        </w:tc>
        <w:tc>
          <w:tcPr>
            <w:tcW w:type="dxa" w:w="69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Phase B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Multi-entity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SupplierEntityScope enforced at BFF and data layer; automated tests assert that entity A cannot read any entity-B document, catalogue or payment.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Security &amp; access</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Separate supplier auth domain (own realm/user pool, MFA); internal RBAC + SSO unchanged; supplier sessions never touch internal licensing counters.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Audit &amp; traceability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Every master change, merge, approval and supplier submission written to an append-only audit log with actor and before/after values.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Data residency</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India data residency and locally hosted backup preserved for India-hosted customers; new stores provisioned in-region.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Portal and review surfaces respond within interactive latency at portfolio scale (dozens of properties, thousands of vendors); de-dup runs async/batch off the request path.</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Human-in-the-loop</w:t>
            </w:r>
          </w:p>
        </w:tc>
        <w:tc>
          <w:tcPr>
            <w:tcW w:type="dxa" w:w="69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No de-dup, match or validation posts to the ledger or changes a master without explicit human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Licensing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 users are provisioned outside the concurrent-user licence; verified by a licence-count assertion in QA.</w:t>
            </w:r>
          </w:p>
        </w:tc>
      </w:tr>
    </w:tbl>
    <w:p>
      <w:r>
        <w:br w:type="page"/>
      </w:r>
    </w:p>
    <w:p>
      <w:pPr>
        <w:pStyle w:val="Heading1"/>
      </w:pPr>
      <w:r>
        <w:t xml:space="preserve">7.  UI scaffolding approach</w:t>
      </w:r>
    </w:p>
    <w:p>
      <w:pPr>
        <w:spacing w:after="120"/>
      </w:pPr>
      <w:r>
        <w:t xml:space="preserve">The two front-end surfaces are well suited to scaffolding via the Angular CLI (schematics for modules, components, routing and reactive forms), backed by the shared Angular Material theming module. The recommended workflow: scaffold each screen's module/component/routing from the build notes in the companion file, wire the generated components to the BFF / console APIs in Section 5, then replace mock data with live calls and apply entity-scope and KYC-gate guards.</w:t>
      </w:r>
    </w:p>
    <w:p>
      <w:pPr>
        <w:spacing w:after="120"/>
      </w:pPr>
      <w:r>
        <w:rPr>
          <w:b/>
          <w:bCs/>
        </w:rPr>
        <w:t xml:space="preserve">Companion file:</w:t>
      </w:r>
      <w:r>
        <w:t xml:space="preserve"> “Phase B — Angular screen build notes” (Markdown) contains one build note per screen, each specifying purpose, layout, fields, states and the Prologic First navy/red palette. Build the supplier-portal screens first (they validate the BFF contract), then the governance-console screens.</w:t>
      </w:r>
    </w:p>
    <w:p>
      <w:pPr>
        <w:spacing w:after="120"/>
      </w:pPr>
      <w:r>
        <w:rPr>
          <w:b/>
          <w:bCs/>
        </w:rPr>
        <w:t xml:space="preserve">Boundaries when using generated UI.</w:t>
      </w:r>
      <w:r>
        <w:t xml:space="preserve"> Treat generated code as scaffolding, not the source of truth for business rules. Entity-scope filtering, KYC gating, maker-checker, and the “no direct posting” rule are enforced server-side regardless of what the UI allows. Generated forms must be re-validated on the server.</w:t>
      </w:r>
    </w:p>
    <w:p>
      <w:r>
        <w:br w:type="page"/>
      </w:r>
    </w:p>
    <w:p>
      <w:pPr>
        <w:pStyle w:val="Heading1"/>
      </w:pPr>
      <w:r>
        <w:t xml:space="preserve">8.  Development steps</w:t>
      </w:r>
    </w:p>
    <w:p>
      <w:pPr>
        <w:spacing w:after="120"/>
      </w:pPr>
      <w:r>
        <w:t xml:space="preserve">The ordered process from kick-off to roll-out. Steps 3–5 run as parallel workstreams once the foundation (Step 2) is in place.</w:t>
      </w:r>
    </w:p>
    <w:p>
      <w:pPr>
        <w:pStyle w:val="ListParagraph"/>
        <w:numPr>
          <w:ilvl w:val="0"/>
          <w:numId w:val="4"/>
        </w:numPr>
        <w:spacing w:after="60"/>
      </w:pPr>
      <w:r>
        <w:rPr>
          <w:b/>
          <w:bCs/>
        </w:rPr>
        <w:t xml:space="preserve">Discovery &amp; design freeze.</w:t>
      </w:r>
      <w:r>
        <w:t xml:space="preserve"> Confirm the core’s open-API surface and extension points; confirm whether the external GSTIN/PAN verification API is contracted (decides KYC-03 path); confirm the supplier IdP choice; finalise the data model and API contracts in this document; agree the Phase B “must” cut.</w:t>
      </w:r>
    </w:p>
    <w:p>
      <w:pPr>
        <w:pStyle w:val="ListParagraph"/>
        <w:numPr>
          <w:ilvl w:val="0"/>
          <w:numId w:val="4"/>
        </w:numPr>
        <w:spacing w:after="60"/>
      </w:pPr>
      <w:r>
        <w:rPr>
          <w:b/>
          <w:bCs/>
        </w:rPr>
        <w:t xml:space="preserve">Foundation.</w:t>
      </w:r>
      <w:r>
        <w:t xml:space="preserve"> Stand up the supplier auth domain; build the Portal BFF skeleton with entity-scope enforcement; build the Integration Gateway read endpoints over the core; scaffold both front-ends (Section 7); set up CI/CD, environments and the audit-log spine.</w:t>
      </w:r>
    </w:p>
    <w:p>
      <w:pPr>
        <w:pStyle w:val="ListParagraph"/>
        <w:numPr>
          <w:ilvl w:val="0"/>
          <w:numId w:val="4"/>
        </w:numPr>
        <w:spacing w:after="60"/>
      </w:pPr>
      <w:r>
        <w:rPr>
          <w:b/>
          <w:bCs/>
        </w:rPr>
        <w:t xml:space="preserve">Workstream A — KYC &amp; vendor de-dup.</w:t>
      </w:r>
      <w:r>
        <w:t xml:space="preserve"> Validation logic (GSTIN/PAN, cross-field), KYC status state machine, maker-checker + versioning, duplicate blocking+scoring, merge with history re-pointing, governance console screens.</w:t>
      </w:r>
    </w:p>
    <w:p>
      <w:pPr>
        <w:pStyle w:val="ListParagraph"/>
        <w:numPr>
          <w:ilvl w:val="0"/>
          <w:numId w:val="4"/>
        </w:numPr>
        <w:spacing w:after="60"/>
      </w:pPr>
      <w:r>
        <w:rPr>
          <w:b/>
          <w:bCs/>
        </w:rPr>
        <w:t xml:space="preserve">Workstream B — item de-dup (ML).</w:t>
      </w:r>
      <w:r>
        <w:t xml:space="preserve"> Normalisation pipeline + dictionary; blocking; scoring/clustering service; cluster-review console; merge re-pointing; creation-time warning; precision/recall harness.</w:t>
      </w:r>
    </w:p>
    <w:p>
      <w:pPr>
        <w:pStyle w:val="ListParagraph"/>
        <w:numPr>
          <w:ilvl w:val="0"/>
          <w:numId w:val="4"/>
        </w:numPr>
        <w:spacing w:after="60"/>
      </w:pPr>
      <w:r>
        <w:rPr>
          <w:b/>
          <w:bCs/>
        </w:rPr>
        <w:t xml:space="preserve">Workstream C — vendor portal.</w:t>
      </w:r>
      <w:r>
        <w:t xml:space="preserve"> Catalogue manager + approval; PO inbox + acknowledgement; ASN builder → pending receipt; invoice submission + matching; account/statement view; notifications.</w:t>
      </w:r>
    </w:p>
    <w:p>
      <w:pPr>
        <w:pStyle w:val="ListParagraph"/>
        <w:numPr>
          <w:ilvl w:val="0"/>
          <w:numId w:val="4"/>
        </w:numPr>
        <w:spacing w:after="60"/>
      </w:pPr>
      <w:r>
        <w:rPr>
          <w:b/>
          <w:bCs/>
        </w:rPr>
        <w:t xml:space="preserve">Integration &amp; wiring.</w:t>
      </w:r>
      <w:r>
        <w:t xml:space="preserve"> Connect generated UI to live APIs; replace mocks; enforce KYC gate across the portal; connect ASN/invoice to the Integration Gateway pending-action paths.</w:t>
      </w:r>
    </w:p>
    <w:p>
      <w:pPr>
        <w:pStyle w:val="ListParagraph"/>
        <w:numPr>
          <w:ilvl w:val="0"/>
          <w:numId w:val="4"/>
        </w:numPr>
        <w:spacing w:after="60"/>
      </w:pPr>
      <w:r>
        <w:rPr>
          <w:b/>
          <w:bCs/>
        </w:rPr>
        <w:t xml:space="preserve">Master-data clean-up dry run.</w:t>
      </w:r>
      <w:r>
        <w:t xml:space="preserve"> Run vendor and item de-dup against a real (anonymised) customer master to tune thresholds before any production merge; review cluster quality with a governance user.</w:t>
      </w:r>
    </w:p>
    <w:p>
      <w:pPr>
        <w:pStyle w:val="ListParagraph"/>
        <w:numPr>
          <w:ilvl w:val="0"/>
          <w:numId w:val="4"/>
        </w:numPr>
        <w:spacing w:after="60"/>
      </w:pPr>
      <w:r>
        <w:rPr>
          <w:b/>
          <w:bCs/>
        </w:rPr>
        <w:t xml:space="preserve">System &amp; security testing.</w:t>
      </w:r>
      <w:r>
        <w:t xml:space="preserve"> Functional tests against every acceptance criterion; multi-entity isolation tests; licence-count assertion; performance test at portfolio scale; audit-completeness test.</w:t>
      </w:r>
    </w:p>
    <w:p>
      <w:pPr>
        <w:pStyle w:val="ListParagraph"/>
        <w:numPr>
          <w:ilvl w:val="0"/>
          <w:numId w:val="4"/>
        </w:numPr>
        <w:spacing w:after="60"/>
      </w:pPr>
      <w:r>
        <w:rPr>
          <w:b/>
          <w:bCs/>
        </w:rPr>
        <w:t xml:space="preserve">UAT with a reference customer / internal proxy.</w:t>
      </w:r>
      <w:r>
        <w:t xml:space="preserve"> Walk the end-to-end supplier journey (login → publish catalogue → receive PO → raise ASN → submit matching invoice → view payment status) with no internal licence consumed.</w:t>
      </w:r>
    </w:p>
    <w:p>
      <w:pPr>
        <w:pStyle w:val="ListParagraph"/>
        <w:numPr>
          <w:ilvl w:val="0"/>
          <w:numId w:val="4"/>
        </w:numPr>
        <w:spacing w:after="60"/>
      </w:pPr>
      <w:r>
        <w:rPr>
          <w:b/>
          <w:bCs/>
        </w:rPr>
        <w:t xml:space="preserve">Pilot → controlled roll-out.</w:t>
      </w:r>
      <w:r>
        <w:t xml:space="preserve"> Onboard a small set of contracted suppliers at one or two properties; monitor; then extend across the portfolio within the Q4 2026 band.</w:t>
      </w:r>
    </w:p>
    <w:p>
      <w:r>
        <w:br w:type="page"/>
      </w:r>
    </w:p>
    <w:p>
      <w:pPr>
        <w:pStyle w:val="Heading1"/>
      </w:pPr>
      <w:r>
        <w:t xml:space="preserve">9.  Project plan</w:t>
      </w:r>
    </w:p>
    <w:p>
      <w:pPr>
        <w:spacing w:after="120"/>
      </w:pPr>
      <w:r>
        <w:t xml:space="preserve">Phase B targets the Q4 2026 band. With the current date in late June 2026, the practical build runway is roughly July–November 2026 with hardening and pilot in December. The plan below assumes a team of approximately 6–8 engineers across front-end, back-end and ML, plus QA and a part-time architect/PM. The timeline is achievable for the “must” cut; “should” items (VP-09, VP-10, KYC-03, ITM-05/06) are explicitly de-scopeable to a fast-follow if capacity is threatened.</w:t>
      </w:r>
    </w:p>
    <w:p>
      <w:pPr>
        <w:pStyle w:val="Heading2"/>
      </w:pPr>
      <w:r>
        <w:t xml:space="preserve">9.1  Workstreams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Workstream</w:t>
            </w:r>
          </w:p>
        </w:tc>
        <w:tc>
          <w:tcPr>
            <w:tcW w:type="dxa" w:w="4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Scope</w:t>
            </w:r>
          </w:p>
        </w:tc>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Primary skills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WS0 Foundation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Auth domain, BFF, Integration Gateway, scaffolding, CI/CD, audit spine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Architect, back-end, DevOps</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WS-A KYC &amp; vendor de-dup</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§4.2 in full</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Back-end, front-end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WS-B Item de-dup (ML)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§4.3 in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ML engineer, back-end, front-end</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WS-C Vendor portal</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§4.1 in full</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Front-end,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WS-Q Quality &amp; security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Test automation, isolation/licence/perf tests, UAT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QA, security</w:t>
            </w:r>
          </w:p>
        </w:tc>
      </w:tr>
    </w:tbl>
    <w:p>
      <w:pPr>
        <w:spacing w:after="120"/>
      </w:pPr>
    </w:p>
    <w:p>
      <w:pPr>
        <w:pStyle w:val="Heading2"/>
      </w:pPr>
      <w:r>
        <w:t xml:space="preserve">9.2  Indicative sprint timeline (two-week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760"/>
      </w:tblGrid>
      <w:tr>
        <w:trPr>
          <w:tblHeader/>
        </w:trPr>
        <w:tc>
          <w:tcPr>
            <w:tcW w:type="dxa" w:w="11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Sprint</w:t>
            </w:r>
          </w:p>
        </w:tc>
        <w:tc>
          <w:tcPr>
            <w:tcW w:type="dxa" w:w="15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Window</w:t>
            </w:r>
          </w:p>
        </w:tc>
        <w:tc>
          <w:tcPr>
            <w:tcW w:type="dxa" w:w="6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Milestone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S1–S2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Jul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Design freeze; foundation live (auth domain, BFF skeleton, Gateway reads, scaffolds, CI/CD)</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S3–S4</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Aug 2026</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 validation + status machine; vendor de-dup blocking/scoring; portal PO inbox + acknowledgement; item normalisation + scoring service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S5–S6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Sep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Maker-checker + vendor merge; catalogue manager + approval; ASN → pending receipt; item cluster review + merge</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S7–S8</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Oct 2026</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Invoice submission + matching; account/statement + notifications; creation-time warnings; integration wiring complete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early Nov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Feature-complete for the “must” cut; master-data clean-up dry run; bug-fix</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S10</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late Nov 2026</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System, security, isolation, licence and performance testing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Dec 2026</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UAT; hardening; pilot onboarding at 1–2 properties</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Post</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Dec 2026 →</w:t>
            </w:r>
          </w:p>
        </w:tc>
        <w:tc>
          <w:tcPr>
            <w:tcW w:type="dxa" w:w="6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Controlled roll-out across the portfolio within the Q4 band</w:t>
            </w:r>
          </w:p>
        </w:tc>
      </w:tr>
    </w:tbl>
    <w:p>
      <w:pPr>
        <w:spacing w:after="120"/>
      </w:pPr>
    </w:p>
    <w:p>
      <w:pPr>
        <w:pStyle w:val="Heading2"/>
      </w:pPr>
      <w:r>
        <w:t xml:space="preserve">9.3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Milestone</w:t>
            </w:r>
          </w:p>
        </w:tc>
        <w:tc>
          <w:tcPr>
            <w:tcW w:type="dxa" w:w="15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Target</w:t>
            </w:r>
          </w:p>
        </w:tc>
        <w:tc>
          <w:tcPr>
            <w:tcW w:type="dxa" w:w="55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Definition of done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M1 Design freeze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End Jul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Data model + API contracts agreed; KYC-03 and IdP decisions made; must-cut signed off</w:t>
            </w:r>
          </w:p>
        </w:tc>
      </w:tr>
      <w:tr>
        <w:tc>
          <w:tcPr>
            <w:tcW w:type="dxa" w:w="2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M2 Foundation complete</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End Jul 2026</w:t>
            </w:r>
          </w:p>
        </w:tc>
        <w:tc>
          <w:tcPr>
            <w:tcW w:type="dxa" w:w="5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Supplier login works; BFF enforces entity scope; Gateway reads POs/GRNs/payables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M3 Clean-masters ready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End Sep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 validation + maker-checker live; vendor and item merge with history re-pointing working</w:t>
            </w:r>
          </w:p>
        </w:tc>
      </w:tr>
      <w:tr>
        <w:tc>
          <w:tcPr>
            <w:tcW w:type="dxa" w:w="2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M4 Portal feature-complete</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End Oct 2026</w:t>
            </w:r>
          </w:p>
        </w:tc>
        <w:tc>
          <w:tcPr>
            <w:tcW w:type="dxa" w:w="5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End-to-end supplier journey works against live APIs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M5 Release candidate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End Nov 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All acceptance criteria pass; isolation/licence/perf tests green</w:t>
            </w:r>
          </w:p>
        </w:tc>
      </w:tr>
      <w:tr>
        <w:tc>
          <w:tcPr>
            <w:tcW w:type="dxa" w:w="23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M6 Pilot live</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Dec 2026</w:t>
            </w:r>
          </w:p>
        </w:tc>
        <w:tc>
          <w:tcPr>
            <w:tcW w:type="dxa" w:w="55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Contracted suppliers transacting at 1–2 properties; no internal licence consumed</w:t>
            </w:r>
          </w:p>
        </w:tc>
      </w:tr>
    </w:tbl>
    <w:p>
      <w:pPr>
        <w:spacing w:after="120"/>
      </w:pPr>
    </w:p>
    <w:p>
      <w:pPr>
        <w:pStyle w:val="Heading2"/>
      </w:pPr>
      <w:r>
        <w:t xml:space="preserve">9.4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Risk</w:t>
            </w:r>
          </w:p>
        </w:tc>
        <w:tc>
          <w:tcPr>
            <w:tcW w:type="dxa" w:w="22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Impact</w:t>
            </w:r>
          </w:p>
        </w:tc>
        <w:tc>
          <w:tcPr>
            <w:tcW w:type="dxa" w:w="4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Compressed runway to Q4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Scope or quality pressure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Lock the “must” cut at M1; treat S/C items as de-scopeable fast-follows; parallelise WS-A/B/C after foundation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External GSTIN/PAN API not contracted</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KYC-03 cannot verify externally</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Ship structural-with-manual-confirmation; design the verification call behind an interface to slot the API in later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De-dup false merges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Irreversible ledger impact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Human-in-the-loop only; permission-gated, fully logged; threshold tuning via the dry run before any production merge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Cross-entity data leakage</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Compliance breach</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Entity-scope enforced server-side; explicit isolation tests in the QA 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 licence bleed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Commercial-model breach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Separate auth domain; automated licence-count assertion in CI</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Item-master quality varies by customer</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Poor cluster proposals</w:t>
            </w:r>
          </w:p>
        </w:tc>
        <w:tc>
          <w:tcPr>
            <w:tcW w:type="dxa" w:w="4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Per-customer normalisation dictionary; monitor precision/recall; advisory-only, never blocks creation</w:t>
            </w:r>
          </w:p>
        </w:tc>
      </w:tr>
    </w:tbl>
    <w:p>
      <w:r>
        <w:br w:type="page"/>
      </w:r>
    </w:p>
    <w:p>
      <w:pPr>
        <w:pStyle w:val="Heading1"/>
      </w:pPr>
      <w:r>
        <w:t xml:space="preserve">10.  Appendix — Phase B requirement traceability</w:t>
      </w:r>
    </w:p>
    <w:p>
      <w:pPr>
        <w:spacing w:after="120"/>
      </w:pPr>
      <w:r>
        <w:t xml:space="preserve">Every Phase B requirement, its module, the screen(s) that realise it, and the owning workstream. This table is the single source for backlog import and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2200"/>
        <w:gridCol w:w="3760"/>
        <w:gridCol w:w="1600"/>
      </w:tblGrid>
      <w:tr>
        <w:trPr>
          <w:tblHeader/>
        </w:trPr>
        <w:tc>
          <w:tcPr>
            <w:tcW w:type="dxa" w:w="11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ID</w:t>
            </w:r>
          </w:p>
        </w:tc>
        <w:tc>
          <w:tcPr>
            <w:tcW w:type="dxa" w:w="7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Pri</w:t>
            </w:r>
          </w:p>
        </w:tc>
        <w:tc>
          <w:tcPr>
            <w:tcW w:type="dxa" w:w="22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Module</w:t>
            </w:r>
          </w:p>
        </w:tc>
        <w:tc>
          <w:tcPr>
            <w:tcW w:type="dxa" w:w="376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Screen / service</w:t>
            </w:r>
          </w:p>
        </w:tc>
        <w:tc>
          <w:tcPr>
            <w:tcW w:type="dxa" w:w="1600"/>
            <w:tcBorders>
              <w:top w:val="single" w:color="CCCCCC" w:sz="1"/>
              <w:left w:val="single" w:color="CCCCCC" w:sz="1"/>
              <w:bottom w:val="single" w:color="CCCCCC" w:sz="1"/>
              <w:right w:val="single" w:color="CCCCCC" w:sz="1"/>
            </w:tcBorders>
            <w:shd w:fill="D7DCE8" w:val="clear"/>
            <w:tcMar>
              <w:top w:type="dxa" w:w="80"/>
              <w:left w:type="dxa" w:w="120"/>
              <w:bottom w:type="dxa" w:w="80"/>
              <w:right w:type="dxa" w:w="120"/>
            </w:tcMar>
            <w:vAlign w:val="center"/>
          </w:tcPr>
          <w:p>
            <w:pPr>
              <w:jc w:val="left"/>
            </w:pPr>
            <w:r>
              <w:rPr>
                <w:b/>
                <w:bCs/>
                <w:color w:val="1B2A4A"/>
              </w:rPr>
              <w:t xml:space="preserve">WS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Supplier 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WS0/WS-C</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All portal screens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WS0/WS-C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Catalogue manager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VP-04</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Catalogue manager / approval</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PO inbox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VP-06</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ASN builder</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ASN → pending receipt (console)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VP-08</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Invoice submission / matching queue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VP-09</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Account &amp; statement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VP-10</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Notifications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VP-11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All (document repository)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VP-12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portal</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Theme / branding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WS-C</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 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 profile (validation)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 profile (external verify)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KYC-04</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 status / queue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Maker-checker approval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KYC-06</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de-dup</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Duplicate review</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KYC-07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Vendor de-dup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Merge (side-by-side)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KYC-08</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Vendor de-dup</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Create/edit hard warning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 de-dup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Cluster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WS-B</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ITM-02</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Item de-dup</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(scoring service)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WS-B</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 de-dup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Cluster review / merge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WS-B</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ITM-04</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Item de-dup</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Merge re-pointing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WS-B</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ITM-05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Item de-dup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Merge guard (override)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rPr>
              <w:t xml:space="preserve">WS-B</w:t>
            </w:r>
          </w:p>
        </w:tc>
      </w:tr>
      <w:tr>
        <w:tc>
          <w:tcPr>
            <w:tcW w:type="dxa" w:w="11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ITM-06</w:t>
            </w:r>
          </w:p>
        </w:tc>
        <w:tc>
          <w:tcPr>
            <w:tcW w:type="dxa" w:w="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Item de-dup</w:t>
            </w:r>
          </w:p>
        </w:tc>
        <w:tc>
          <w:tcPr>
            <w:tcW w:type="dxa" w:w="37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Creation-time warning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b w:val="false"/>
                <w:bCs w:val="false"/>
              </w:rPr>
              <w:t xml:space="preserve">WS-B</w:t>
            </w:r>
          </w:p>
        </w:tc>
      </w:tr>
    </w:tbl>
    <w:p>
      <w:pPr>
        <w:spacing w:after="120"/>
      </w:pPr>
    </w:p>
    <w:p>
      <w:pPr>
        <w:spacing w:before="200"/>
      </w:pPr>
      <w:r>
        <w:rPr>
          <w:i/>
          <w:iCs/>
          <w:color w:val="666666"/>
          <w:sz w:val="16"/>
          <w:szCs w:val="16"/>
        </w:rPr>
        <w:t xml:space="preserve">Prologic First  ·  Web Prol’IFIC  ·  Phase B Development Specification  ·  Commercial-in-confidence  ·  Draft v0.1, 26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Prologic First  ·  Draft v0.1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6"/>
      </w:pBdr>
      <w:tabs>
        <w:tab w:val="right" w:pos="9360"/>
      </w:tabs>
    </w:pPr>
    <w:r>
      <w:rPr>
        <w:color w:val="1B2A4A"/>
        <w:sz w:val="16"/>
        <w:szCs w:val="16"/>
      </w:rPr>
      <w:t xml:space="preserve">Web Prol’IFIC — Phase B Development Specification</w:t>
    </w:r>
    <w:r>
      <w:rPr>
        <w:color w:val="888888"/>
        <w:sz w:val="16"/>
        <w:szCs w:val="16"/>
      </w:rPr>
      <w:t xml:space="preserve">	Commercial-in-confidence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B2A4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C810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2026-06-26T07:28:04.314Z</dcterms:created>
  <dcterms:modified xsi:type="dcterms:W3CDTF">2026-06-26T07:28:04.315Z</dcterms:modified>
</cp:coreProperties>
</file>

<file path=docProps/custom.xml><?xml version="1.0" encoding="utf-8"?>
<Properties xmlns="http://schemas.openxmlformats.org/officeDocument/2006/custom-properties" xmlns:vt="http://schemas.openxmlformats.org/officeDocument/2006/docPropsVTypes"/>
</file>