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57579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579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758" w:after="0"/>
        <w:ind w:left="0" w:right="0" w:firstLine="0"/>
        <w:jc w:val="center"/>
      </w:pPr>
      <w:r>
        <w:rPr>
          <w:rFonts w:ascii="Arial Nova" w:hAnsi="Arial Nova" w:eastAsia="Arial Nova"/>
          <w:b/>
          <w:i w:val="0"/>
          <w:color w:val="000000"/>
          <w:sz w:val="22"/>
        </w:rPr>
        <w:t xml:space="preserve">CONSEJO NACIONAL PARA EL VIH Y EL SIDA </w:t>
      </w:r>
    </w:p>
    <w:p>
      <w:pPr>
        <w:autoSpaceDN w:val="0"/>
        <w:autoSpaceDE w:val="0"/>
        <w:widowControl/>
        <w:spacing w:line="235" w:lineRule="auto" w:before="1648" w:after="0"/>
        <w:ind w:left="0" w:right="0" w:firstLine="0"/>
        <w:jc w:val="center"/>
      </w:pPr>
      <w:r>
        <w:rPr>
          <w:rFonts w:ascii="Book Antiqua" w:hAnsi="Book Antiqua" w:eastAsia="Book Antiqua"/>
          <w:b/>
          <w:i w:val="0"/>
          <w:color w:val="000000"/>
          <w:sz w:val="22"/>
        </w:rPr>
        <w:t xml:space="preserve">PLIEGO DE CONDICIONES PARA LA COMPRA DE BIENES </w:t>
      </w:r>
    </w:p>
    <w:p>
      <w:pPr>
        <w:autoSpaceDN w:val="0"/>
        <w:autoSpaceDE w:val="0"/>
        <w:widowControl/>
        <w:spacing w:line="245" w:lineRule="auto" w:before="866" w:after="0"/>
        <w:ind w:left="1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ASISTENCIA TÉCNICA PARA EL ANÁLISIS DE DATOS ESTADÍSTICOS RELACIONADOS A LAS INTERVENCIONES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PARA LA PREVENCIÓN Y LA ATENCIÓN EN EL MARCO DE LA RESPUESTA NACIONAL AL VIH Y SIDA A </w:t>
      </w:r>
      <w:r>
        <w:rPr>
          <w:rFonts w:ascii="Calibri" w:hAnsi="Calibri" w:eastAsia="Calibri"/>
          <w:b w:val="0"/>
          <w:i w:val="0"/>
          <w:color w:val="000000"/>
          <w:sz w:val="24"/>
        </w:rPr>
        <w:t>NIVEL NACIONAL, PARA EL REPOSITORIO DE ESTADÍSTICAS E INVESTIGACIONES EN ITS-VIH-SIDA (RESIN-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CONAVIHSIDA) </w:t>
      </w:r>
    </w:p>
    <w:p>
      <w:pPr>
        <w:autoSpaceDN w:val="0"/>
        <w:autoSpaceDE w:val="0"/>
        <w:widowControl/>
        <w:spacing w:line="235" w:lineRule="auto" w:before="1104" w:after="0"/>
        <w:ind w:left="0" w:right="0" w:firstLine="0"/>
        <w:jc w:val="center"/>
      </w:pPr>
      <w:r>
        <w:rPr>
          <w:rFonts w:ascii="Book Antiqua" w:hAnsi="Book Antiqua" w:eastAsia="Book Antiqua"/>
          <w:b/>
          <w:i w:val="0"/>
          <w:color w:val="000000"/>
          <w:sz w:val="22"/>
        </w:rPr>
        <w:t xml:space="preserve">COMPARACIÓN DE PRECIOS </w:t>
      </w:r>
    </w:p>
    <w:p>
      <w:pPr>
        <w:autoSpaceDN w:val="0"/>
        <w:autoSpaceDE w:val="0"/>
        <w:widowControl/>
        <w:spacing w:line="235" w:lineRule="auto" w:before="268" w:after="0"/>
        <w:ind w:left="0" w:right="0" w:firstLine="0"/>
        <w:jc w:val="center"/>
      </w:pPr>
      <w:r>
        <w:rPr>
          <w:rFonts w:ascii="Book Antiqua" w:hAnsi="Book Antiqua" w:eastAsia="Book Antiqua"/>
          <w:b/>
          <w:i w:val="0"/>
          <w:color w:val="000000"/>
          <w:sz w:val="22"/>
        </w:rPr>
        <w:t xml:space="preserve">CONAVIHSIDA-CCC-CP-2025-0003 </w:t>
      </w:r>
    </w:p>
    <w:p>
      <w:pPr>
        <w:autoSpaceDN w:val="0"/>
        <w:autoSpaceDE w:val="0"/>
        <w:widowControl/>
        <w:spacing w:line="245" w:lineRule="auto" w:before="1644" w:after="0"/>
        <w:ind w:left="3456" w:right="3456" w:firstLine="0"/>
        <w:jc w:val="center"/>
      </w:pPr>
      <w:r>
        <w:rPr>
          <w:rFonts w:ascii="Book Antiqua" w:hAnsi="Book Antiqua" w:eastAsia="Book Antiqua"/>
          <w:b/>
          <w:i w:val="0"/>
          <w:color w:val="000000"/>
          <w:sz w:val="22"/>
        </w:rPr>
        <w:t xml:space="preserve">Santo Domingo </w:t>
      </w:r>
      <w:r>
        <w:br/>
      </w:r>
      <w:r>
        <w:rPr>
          <w:rFonts w:ascii="Book Antiqua" w:hAnsi="Book Antiqua" w:eastAsia="Book Antiqua"/>
          <w:b/>
          <w:i w:val="0"/>
          <w:color w:val="000000"/>
          <w:sz w:val="22"/>
        </w:rPr>
        <w:t xml:space="preserve">República Dominicana </w:t>
      </w:r>
      <w:r>
        <w:br/>
      </w:r>
      <w:r>
        <w:rPr>
          <w:rFonts w:ascii="Book Antiqua" w:hAnsi="Book Antiqua" w:eastAsia="Book Antiqua"/>
          <w:b/>
          <w:i w:val="0"/>
          <w:color w:val="000000"/>
          <w:sz w:val="22"/>
        </w:rPr>
        <w:t xml:space="preserve"> 15 de abril del 2025 </w:t>
      </w:r>
    </w:p>
    <w:p>
      <w:pPr>
        <w:sectPr>
          <w:pgSz w:w="12240" w:h="15840"/>
          <w:pgMar w:top="912" w:right="130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60270" cy="10375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37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76" w:after="0"/>
        <w:ind w:left="207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TERMINOS DE REFERENCIA DE SERVICIOS DE CONSULTORIA </w:t>
      </w:r>
    </w:p>
    <w:p>
      <w:pPr>
        <w:autoSpaceDN w:val="0"/>
        <w:autoSpaceDE w:val="0"/>
        <w:widowControl/>
        <w:spacing w:line="197" w:lineRule="auto" w:before="62" w:after="0"/>
        <w:ind w:left="0" w:right="2888" w:firstLine="0"/>
        <w:jc w:val="right"/>
      </w:pPr>
      <w:r>
        <w:rPr>
          <w:rFonts w:ascii="Calibri" w:hAnsi="Calibri" w:eastAsia="Calibri"/>
          <w:b/>
          <w:i w:val="0"/>
          <w:color w:val="000000"/>
          <w:sz w:val="28"/>
          <w:u w:val="single"/>
        </w:rPr>
        <w:t>CONAVIHSIDA-CCC-CP-2025-0003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197" w:lineRule="auto" w:before="35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ASISTENCIA TÉCNICA PARA EL ANÁLISIS DE DATOS ESTADÍSTICOS RELACIONADOS A LAS </w:t>
      </w:r>
    </w:p>
    <w:p>
      <w:pPr>
        <w:autoSpaceDN w:val="0"/>
        <w:autoSpaceDE w:val="0"/>
        <w:widowControl/>
        <w:spacing w:line="197" w:lineRule="auto" w:before="60" w:after="0"/>
        <w:ind w:left="10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INTERVENCIONES PARA LA PREVENCIÓN Y LA ATENCIÓN EN EL MARCO DE LA </w:t>
      </w:r>
    </w:p>
    <w:p>
      <w:pPr>
        <w:autoSpaceDN w:val="0"/>
        <w:autoSpaceDE w:val="0"/>
        <w:widowControl/>
        <w:spacing w:line="197" w:lineRule="auto" w:before="64" w:after="0"/>
        <w:ind w:left="10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RESPUESTA NACIONAL AL VIH Y SIDA A NIVEL NACIONAL, PARA EL REPOSITORIO DE </w:t>
      </w:r>
    </w:p>
    <w:p>
      <w:pPr>
        <w:autoSpaceDN w:val="0"/>
        <w:autoSpaceDE w:val="0"/>
        <w:widowControl/>
        <w:spacing w:line="197" w:lineRule="auto" w:before="60" w:after="0"/>
        <w:ind w:left="10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ESTADÍSTICAS E INVESTIGACIONES EN ITS-VIH-SIDA (RESIN-CONAVIHSIDA) </w:t>
      </w:r>
    </w:p>
    <w:p>
      <w:pPr>
        <w:autoSpaceDN w:val="0"/>
        <w:autoSpaceDE w:val="0"/>
        <w:widowControl/>
        <w:spacing w:line="266" w:lineRule="exact" w:before="35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ANTECEDENTES </w:t>
      </w:r>
    </w:p>
    <w:p>
      <w:pPr>
        <w:autoSpaceDN w:val="0"/>
        <w:autoSpaceDE w:val="0"/>
        <w:widowControl/>
        <w:spacing w:line="276" w:lineRule="exact" w:before="276" w:after="0"/>
        <w:ind w:left="3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Cada vez más las instituciones gubernamentales diseñan repositorios digitales en un sitio web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donde se almacena información digital cuyos archivos pueden ser accedidos por las partes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interesadas. Estos repositorios pueden albergar la producción científica de la organización, los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documentos relacionados con una temática especificas o la información recopilada de su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productividad. </w:t>
      </w:r>
    </w:p>
    <w:p>
      <w:pPr>
        <w:autoSpaceDN w:val="0"/>
        <w:autoSpaceDE w:val="0"/>
        <w:widowControl/>
        <w:spacing w:line="276" w:lineRule="exact" w:before="276" w:after="0"/>
        <w:ind w:left="36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Estos ambientes cobran vital importancia en la medida en que representan una fuente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información digital especializada, organizada y accesible, que se alimenta de manera rutinaria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aporta documentos en formatos variados (presentaciones, videos, bases de datos, infografías,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entre otros). </w:t>
      </w:r>
    </w:p>
    <w:p>
      <w:pPr>
        <w:autoSpaceDN w:val="0"/>
        <w:autoSpaceDE w:val="0"/>
        <w:widowControl/>
        <w:spacing w:line="276" w:lineRule="exact" w:before="276" w:after="0"/>
        <w:ind w:left="36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el ámbito del sector salud, mediante la Disposición Ministerial 000005/2018 se estableció 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Repositorio Institucional del Ministerio de Salud de la República Dominicana (RI-MSP) 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contiene la más amplia producción de documentos, incluyendo las normativas que 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recopilaron en el marco del acervo sanitario nacional. </w:t>
      </w:r>
    </w:p>
    <w:p>
      <w:pPr>
        <w:autoSpaceDN w:val="0"/>
        <w:autoSpaceDE w:val="0"/>
        <w:widowControl/>
        <w:spacing w:line="276" w:lineRule="exact" w:before="276" w:after="0"/>
        <w:ind w:left="288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noviembre 2019, el Servicio Nacional de Salud dio a conocer el Repositorio de Información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Estadísticas del Servicio Nacional de Salud (RIESS) con el objetivo de poner a disposición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los actores clave y población en general la producción de servicios de los establecimientos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su red de prestadores los análisis y resultados de estos, a fin de promover mayor cobertura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el uso de la información para el apoyo de la toma de decisiones, la investigación, así como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rendición de cuentas al público sobre la situación de salud desde el enfoque programático 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económico. Sobre dichas bases nace el Repositorio de Estadísticas e Investigaciones en ITS-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VIH-SIDA (RESIN- CONVIHSIDA) cuyo contenido es temático y busca proporcionar un área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 contenga las investigaciones y análisis institucionales con el propósito de fomentar 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quehacer científico – técnico y la revisión de los resultados y de gestión para el alcance de estos. </w:t>
      </w:r>
    </w:p>
    <w:p>
      <w:pPr>
        <w:sectPr>
          <w:pgSz w:w="12240" w:h="15840"/>
          <w:pgMar w:top="784" w:right="1266" w:bottom="10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OBJETIVOS </w:t>
      </w:r>
    </w:p>
    <w:p>
      <w:pPr>
        <w:autoSpaceDN w:val="0"/>
        <w:autoSpaceDE w:val="0"/>
        <w:widowControl/>
        <w:spacing w:line="266" w:lineRule="exact" w:before="286" w:after="0"/>
        <w:ind w:left="52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2.1.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General: </w:t>
      </w:r>
    </w:p>
    <w:p>
      <w:pPr>
        <w:autoSpaceDN w:val="0"/>
        <w:autoSpaceDE w:val="0"/>
        <w:widowControl/>
        <w:spacing w:line="276" w:lineRule="exact" w:before="276" w:after="0"/>
        <w:ind w:left="16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Contratar una asistencia técnica para el apoyo en el análisis de datos recopilados en los sistemas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información relacionados al VIH y la producción de reportes estadísticos para alimentar 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RESIN, estableciendo un enfoque metodológico que sirva de base para el desarrollo de las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investigaciones rutinarias o especiales. </w:t>
      </w:r>
    </w:p>
    <w:p>
      <w:pPr>
        <w:autoSpaceDN w:val="0"/>
        <w:autoSpaceDE w:val="0"/>
        <w:widowControl/>
        <w:spacing w:line="266" w:lineRule="exact" w:before="286" w:after="0"/>
        <w:ind w:left="52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2.2.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Específicos: </w:t>
      </w:r>
    </w:p>
    <w:p>
      <w:pPr>
        <w:autoSpaceDN w:val="0"/>
        <w:autoSpaceDE w:val="0"/>
        <w:widowControl/>
        <w:spacing w:line="276" w:lineRule="exact" w:before="276" w:after="0"/>
        <w:ind w:left="882" w:right="0" w:hanging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Analizar reportes de planificación, ejecución financiera y medición de gasto a nivel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nacional para cargar información en la plataforma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 xml:space="preserve">https://aidsreportingtool.unaids.org/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el reporte del capítulo 8 del Global AIDS Monitoring – UNAIDS (GAM), relacionado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 precios de ARV, presupuesto VIH y medición del gasto en Sida (MEGAS). </w:t>
      </w:r>
    </w:p>
    <w:p>
      <w:pPr>
        <w:autoSpaceDN w:val="0"/>
        <w:autoSpaceDE w:val="0"/>
        <w:widowControl/>
        <w:spacing w:line="276" w:lineRule="exact" w:before="276" w:after="0"/>
        <w:ind w:left="882" w:right="20" w:hanging="360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Elaborar reportes de análisis de la producción de servicios de prevención y atención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brindados en la red de prestadores públicos y reportados en el SIRNAI en su módulo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FAPPS, en el SIRENP, SIOE-TB, SIPrEP y el SRPC.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METODOLOGIA </w:t>
      </w:r>
    </w:p>
    <w:p>
      <w:pPr>
        <w:autoSpaceDN w:val="0"/>
        <w:autoSpaceDE w:val="0"/>
        <w:widowControl/>
        <w:spacing w:line="276" w:lineRule="exact" w:before="276" w:after="0"/>
        <w:ind w:left="3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metodología para la realización del análisis de los datos para la producción de información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rutinaria que alimente el repositorio de estadísticas e investigaciones en ITS-VIH-SIDA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(RESIN-CONVIHSIDA) debe cubrir los siguientes aspectos los cuales deben ser definidos 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propuesta. </w:t>
      </w:r>
    </w:p>
    <w:p>
      <w:pPr>
        <w:autoSpaceDN w:val="0"/>
        <w:autoSpaceDE w:val="0"/>
        <w:widowControl/>
        <w:spacing w:line="276" w:lineRule="exact" w:before="276" w:after="0"/>
        <w:ind w:left="522" w:right="230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Fundamentos metodológicos de los análisis estadísticos anuales. </w:t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Aspectos estadísticos incorporados al informe anual.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Características de los reportes trimestrales. </w:t>
      </w:r>
    </w:p>
    <w:p>
      <w:pPr>
        <w:autoSpaceDN w:val="0"/>
        <w:autoSpaceDE w:val="0"/>
        <w:widowControl/>
        <w:spacing w:line="266" w:lineRule="exact" w:before="10" w:after="0"/>
        <w:ind w:left="52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Proceso de aportes para el reporte GAM a ONUSIDA.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ACTIVIDADES A REALIZARSE DENTRO DE LA ASISTENCIA TÉCNICA </w:t>
      </w:r>
    </w:p>
    <w:p>
      <w:pPr>
        <w:autoSpaceDN w:val="0"/>
        <w:autoSpaceDE w:val="0"/>
        <w:widowControl/>
        <w:spacing w:line="266" w:lineRule="exact" w:before="286" w:after="0"/>
        <w:ind w:left="5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4.1.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Elaboración de boletines trimestrales para el RESIN. </w:t>
      </w:r>
    </w:p>
    <w:p>
      <w:pPr>
        <w:autoSpaceDN w:val="0"/>
        <w:autoSpaceDE w:val="0"/>
        <w:widowControl/>
        <w:spacing w:line="276" w:lineRule="exact" w:before="0" w:after="0"/>
        <w:ind w:left="51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4.2.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Elaboración de boletines anuales e infografía correspondiente para el RESIN. </w:t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4.3.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Construcción de tablas y registro de datos para el reporte país del GAM a ONUSIDA.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ETAPAS DEL TRABAJO </w:t>
      </w:r>
    </w:p>
    <w:p>
      <w:pPr>
        <w:autoSpaceDN w:val="0"/>
        <w:autoSpaceDE w:val="0"/>
        <w:widowControl/>
        <w:spacing w:line="266" w:lineRule="exact" w:before="286" w:after="0"/>
        <w:ind w:left="5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5.1.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Fases trabajo RESIN </w:t>
      </w:r>
    </w:p>
    <w:p>
      <w:pPr>
        <w:autoSpaceDN w:val="0"/>
        <w:autoSpaceDE w:val="0"/>
        <w:widowControl/>
        <w:spacing w:line="276" w:lineRule="exact" w:before="276" w:after="0"/>
        <w:ind w:left="702" w:right="22" w:hanging="540"/>
        <w:jc w:val="both"/>
      </w:pPr>
      <w:r>
        <w:rPr>
          <w:rFonts w:ascii="TimesNewRomanPS" w:hAnsi="TimesNewRomanPS" w:eastAsia="TimesNewRomanPS"/>
          <w:b/>
          <w:i w:val="0"/>
          <w:color w:val="202020"/>
          <w:sz w:val="24"/>
        </w:rPr>
        <w:t>5.1.1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Actividades preparatorias y de recopilación de datos de los sistemas de información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relacionado al VIH para la elaboración de reportes trimestrales con actividades que deben ser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descriptas en la propuesta técnica.</w:t>
      </w:r>
    </w:p>
    <w:p>
      <w:pPr>
        <w:sectPr>
          <w:pgSz w:w="12240" w:h="15840"/>
          <w:pgMar w:top="812" w:right="1266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702" w:right="20" w:hanging="540"/>
        <w:jc w:val="both"/>
      </w:pPr>
      <w:r>
        <w:rPr>
          <w:rFonts w:ascii="TimesNewRomanPS" w:hAnsi="TimesNewRomanPS" w:eastAsia="TimesNewRomanPS"/>
          <w:b/>
          <w:i w:val="0"/>
          <w:color w:val="202020"/>
          <w:sz w:val="24"/>
        </w:rPr>
        <w:t>5.1.2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Procesamiento de datos y análisis de información compilada. Etapa en la que el (la)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consultor (a) analiza las diferentes base de datos disponibles, con las instituciones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responsables y procede a analizar su contenido para generar las salidas de tablas dinámicas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para la construcción de los reportes.</w:t>
      </w:r>
    </w:p>
    <w:p>
      <w:pPr>
        <w:autoSpaceDN w:val="0"/>
        <w:autoSpaceDE w:val="0"/>
        <w:widowControl/>
        <w:spacing w:line="276" w:lineRule="exact" w:before="276" w:after="0"/>
        <w:ind w:left="702" w:right="20" w:hanging="540"/>
        <w:jc w:val="both"/>
      </w:pPr>
      <w:r>
        <w:rPr>
          <w:rFonts w:ascii="TimesNewRomanPS" w:hAnsi="TimesNewRomanPS" w:eastAsia="TimesNewRomanPS"/>
          <w:b/>
          <w:i w:val="0"/>
          <w:color w:val="202020"/>
          <w:sz w:val="24"/>
        </w:rPr>
        <w:t>5.1.3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Elaboración de reportes, conforme el esquema discutido con el CONAVIHSIDA. Para los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informes anuales se debe complementar con informaciones que sustenten el contexto en el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ámbito nacional e internacional.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02020"/>
          <w:sz w:val="24"/>
        </w:rPr>
        <w:t>5.1.4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Elaborar la infografía de los informes anuales producidos. </w:t>
      </w:r>
    </w:p>
    <w:p>
      <w:pPr>
        <w:autoSpaceDN w:val="0"/>
        <w:autoSpaceDE w:val="0"/>
        <w:widowControl/>
        <w:spacing w:line="266" w:lineRule="exact" w:before="286" w:after="0"/>
        <w:ind w:left="5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5.2.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Fases trabajo GAM </w:t>
      </w:r>
    </w:p>
    <w:p>
      <w:pPr>
        <w:autoSpaceDN w:val="0"/>
        <w:autoSpaceDE w:val="0"/>
        <w:widowControl/>
        <w:spacing w:line="276" w:lineRule="exact" w:before="278" w:after="0"/>
        <w:ind w:left="702" w:right="0" w:hanging="540"/>
        <w:jc w:val="left"/>
      </w:pPr>
      <w:r>
        <w:rPr>
          <w:rFonts w:ascii="TimesNewRomanPS" w:hAnsi="TimesNewRomanPS" w:eastAsia="TimesNewRomanPS"/>
          <w:b/>
          <w:i w:val="0"/>
          <w:color w:val="202020"/>
          <w:sz w:val="24"/>
        </w:rPr>
        <w:t>5.2.1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Actividades de recopilación de datos de los sistemas de información relacionado al VIH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relacionados con: a) la programación de medicamentos antirretrovirales en el sistema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publico de salud; b) la programación y ejecución de recursos presupuestarios para el VIH-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Sida; c) los resultados y ajustes de datos de los estudios de medición del gasto en sida.</w:t>
      </w:r>
    </w:p>
    <w:p>
      <w:pPr>
        <w:autoSpaceDN w:val="0"/>
        <w:autoSpaceDE w:val="0"/>
        <w:widowControl/>
        <w:spacing w:line="276" w:lineRule="exact" w:before="276" w:after="0"/>
        <w:ind w:left="702" w:right="24" w:hanging="540"/>
        <w:jc w:val="both"/>
      </w:pPr>
      <w:r>
        <w:rPr>
          <w:rFonts w:ascii="TimesNewRomanPS" w:hAnsi="TimesNewRomanPS" w:eastAsia="TimesNewRomanPS"/>
          <w:b/>
          <w:i w:val="0"/>
          <w:color w:val="202020"/>
          <w:sz w:val="24"/>
        </w:rPr>
        <w:t>5.2.2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Registro en la plataforma de GAM del ONUSIDA de: a) los precios y cantidades de los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medicamentos de los últimos tres años (incluido el de reporte); b) la estimación de los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recursos nacionales del periodo de reporte y año previo considerando los programas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presupuestarios específicos y la proporción que pueden encontrarse en los programas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centrales (con base a la evidencia de cálculo previa); c) los resultados ajustados de MEGAS </w:t>
      </w: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de los últimos 4 años y la proyección del periodo de reporte.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PRODUCTOS ESPERADOS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6.1.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RESIN </w:t>
      </w:r>
    </w:p>
    <w:p>
      <w:pPr>
        <w:autoSpaceDN w:val="0"/>
        <w:tabs>
          <w:tab w:pos="882" w:val="left"/>
        </w:tabs>
        <w:autoSpaceDE w:val="0"/>
        <w:widowControl/>
        <w:spacing w:line="276" w:lineRule="exact" w:before="276" w:after="0"/>
        <w:ind w:left="5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Cuatro (4) reportes trimestrales (1 del último trimestre del periodo previo y 3 de los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primeros tres trimestres del año de contratación). </w:t>
      </w:r>
    </w:p>
    <w:p>
      <w:pPr>
        <w:autoSpaceDN w:val="0"/>
        <w:autoSpaceDE w:val="0"/>
        <w:widowControl/>
        <w:spacing w:line="276" w:lineRule="exact" w:before="0" w:after="0"/>
        <w:ind w:left="522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Dos (2) boletines anuales de atención integral del VIH.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Dos (2) infografías.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6.2 GAM </w:t>
      </w:r>
    </w:p>
    <w:p>
      <w:pPr>
        <w:autoSpaceDN w:val="0"/>
        <w:autoSpaceDE w:val="0"/>
        <w:widowControl/>
        <w:spacing w:line="266" w:lineRule="exact" w:before="286" w:after="0"/>
        <w:ind w:left="5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Tablas en Excel cargadas en la plataforma GAM.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FINANCIAMIENTO Y FORMA DE PAGO </w:t>
      </w:r>
    </w:p>
    <w:p>
      <w:pPr>
        <w:autoSpaceDN w:val="0"/>
        <w:autoSpaceDE w:val="0"/>
        <w:widowControl/>
        <w:spacing w:line="276" w:lineRule="exact" w:before="276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consultoría contempla desembolsos luego de la recepción satisfactoria de los productos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entregables, de acuerdo al siguiente esquema: </w:t>
      </w:r>
    </w:p>
    <w:p>
      <w:pPr>
        <w:sectPr>
          <w:pgSz w:w="12240" w:h="15840"/>
          <w:pgMar w:top="674" w:right="126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0.0" w:type="dxa"/>
      </w:tblPr>
      <w:tblGrid>
        <w:gridCol w:w="2383"/>
        <w:gridCol w:w="2383"/>
        <w:gridCol w:w="2383"/>
        <w:gridCol w:w="2383"/>
      </w:tblGrid>
      <w:tr>
        <w:trPr>
          <w:trHeight w:hRule="exact" w:val="582"/>
        </w:trPr>
        <w:tc>
          <w:tcPr>
            <w:tcW w:type="dxa" w:w="328"/>
            <w:tcBorders>
              <w:start w:sz="4.0" w:val="single" w:color="#BEBFBE"/>
              <w:top w:sz="3.2000000000000455" w:val="single" w:color="#BEBFBE"/>
              <w:end w:sz="3.199999999999932" w:val="single" w:color="#BEBFBE"/>
              <w:bottom w:sz="4.0" w:val="single" w:color="#BEBFB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64"/>
            <w:tcBorders>
              <w:start w:sz="3.199999999999932" w:val="single" w:color="#BEBFBE"/>
              <w:top w:sz="3.2000000000000455" w:val="single" w:color="#BEBFBE"/>
              <w:end w:sz="4.0" w:val="single" w:color="#BEBFBE"/>
              <w:bottom w:sz="4.0" w:val="single" w:color="#BEBFBE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0"/>
              <w:ind w:left="0" w:right="20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Productos</w:t>
            </w:r>
          </w:p>
        </w:tc>
        <w:tc>
          <w:tcPr>
            <w:tcW w:type="dxa" w:w="1522"/>
            <w:tcBorders>
              <w:start w:sz="4.0" w:val="single" w:color="#BEBFBE"/>
              <w:top w:sz="3.2000000000000455" w:val="single" w:color="#BEBFBE"/>
              <w:end w:sz="4.0" w:val="single" w:color="#BEBFBE"/>
              <w:bottom w:sz="4.0" w:val="single" w:color="#BEBF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76" w:lineRule="exact" w:before="12" w:after="0"/>
              <w:ind w:left="3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Porcentaje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 pago</w:t>
            </w:r>
          </w:p>
        </w:tc>
        <w:tc>
          <w:tcPr>
            <w:tcW w:type="dxa" w:w="1538"/>
            <w:tcBorders>
              <w:start w:sz="4.0" w:val="single" w:color="#BEBFBE"/>
              <w:top w:sz="3.2000000000000455" w:val="single" w:color="#BEBFBE"/>
              <w:end w:sz="3.199999999999818" w:val="single" w:color="#BEBFBE"/>
              <w:bottom w:sz="4.0" w:val="single" w:color="#BEBF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Fecha</w:t>
            </w:r>
          </w:p>
        </w:tc>
      </w:tr>
      <w:tr>
        <w:trPr>
          <w:trHeight w:hRule="exact" w:val="394"/>
        </w:trPr>
        <w:tc>
          <w:tcPr>
            <w:tcW w:type="dxa" w:w="328"/>
            <w:tcBorders>
              <w:start w:sz="4.0" w:val="single" w:color="#BEBFBE"/>
              <w:top w:sz="4.0" w:val="single" w:color="#BEBFBE"/>
              <w:end w:sz="3.199999999999932" w:val="single" w:color="#BEBFBE"/>
              <w:bottom w:sz="4.0" w:val="single" w:color="#BEBFBE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164"/>
            <w:tcBorders>
              <w:start w:sz="3.199999999999932" w:val="single" w:color="#BEBFBE"/>
              <w:top w:sz="4.0" w:val="single" w:color="#BEBFBE"/>
              <w:end w:sz="4.0" w:val="single" w:color="#BEBFBE"/>
              <w:bottom w:sz="4.0" w:val="single" w:color="#BEBFBE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Firma del contrato y Cronograma de trabajo </w:t>
            </w:r>
          </w:p>
        </w:tc>
        <w:tc>
          <w:tcPr>
            <w:tcW w:type="dxa" w:w="1522"/>
            <w:tcBorders>
              <w:start w:sz="4.0" w:val="single" w:color="#BEBFBE"/>
              <w:top w:sz="4.0" w:val="single" w:color="#BEBFBE"/>
              <w:end w:sz="4.0" w:val="single" w:color="#BEBFBE"/>
              <w:bottom w:sz="4.0" w:val="single" w:color="#BEBFBE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20% </w:t>
            </w:r>
          </w:p>
        </w:tc>
        <w:tc>
          <w:tcPr>
            <w:tcW w:type="dxa" w:w="1538"/>
            <w:tcBorders>
              <w:start w:sz="4.0" w:val="single" w:color="#BEBFBE"/>
              <w:top w:sz="4.0" w:val="single" w:color="#BEBFBE"/>
              <w:end w:sz="3.199999999999818" w:val="single" w:color="#BEBFBE"/>
              <w:bottom w:sz="4.0" w:val="single" w:color="#BEBFBE"/>
            </w:tcBorders>
            <w:shd w:fill="f1f2f1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57"/>
        </w:trPr>
        <w:tc>
          <w:tcPr>
            <w:tcW w:type="dxa" w:w="328"/>
            <w:tcBorders>
              <w:start w:sz="4.0" w:val="single" w:color="#BEBFBE"/>
              <w:top w:sz="4.0" w:val="single" w:color="#BEBFBE"/>
              <w:end w:sz="3.199999999999932" w:val="single" w:color="#BEBFBE"/>
              <w:bottom w:sz="4.0" w:val="single" w:color="#BEBF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164"/>
            <w:tcBorders>
              <w:start w:sz="3.199999999999932" w:val="single" w:color="#BEBFBE"/>
              <w:top w:sz="4.0" w:val="single" w:color="#BEBFBE"/>
              <w:end w:sz="4.0" w:val="single" w:color="#BEBFBE"/>
              <w:bottom w:sz="4.0" w:val="single" w:color="#BEBFBE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214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Productos: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Tablas registradas en GAM, 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boletín anual 2023, 3. infografía anual 2023 y 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reportes trimestrales T4-2024, T1-2025. </w:t>
            </w:r>
          </w:p>
        </w:tc>
        <w:tc>
          <w:tcPr>
            <w:tcW w:type="dxa" w:w="1522"/>
            <w:tcBorders>
              <w:start w:sz="4.0" w:val="single" w:color="#BEBFBE"/>
              <w:top w:sz="4.0" w:val="single" w:color="#BEBFBE"/>
              <w:end w:sz="4.0" w:val="single" w:color="#BEBFBE"/>
              <w:bottom w:sz="4.0" w:val="single" w:color="#BEBF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45% </w:t>
            </w:r>
          </w:p>
        </w:tc>
        <w:tc>
          <w:tcPr>
            <w:tcW w:type="dxa" w:w="1538"/>
            <w:tcBorders>
              <w:start w:sz="4.0" w:val="single" w:color="#BEBFBE"/>
              <w:top w:sz="4.0" w:val="single" w:color="#BEBFBE"/>
              <w:end w:sz="3.199999999999818" w:val="single" w:color="#BEBFBE"/>
              <w:bottom w:sz="4.0" w:val="single" w:color="#BEBFB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1"/>
        </w:trPr>
        <w:tc>
          <w:tcPr>
            <w:tcW w:type="dxa" w:w="328"/>
            <w:tcBorders>
              <w:start w:sz="4.0" w:val="single" w:color="#BEBFBE"/>
              <w:top w:sz="4.0" w:val="single" w:color="#BEBFBE"/>
              <w:end w:sz="3.199999999999932" w:val="single" w:color="#BEBFBE"/>
              <w:bottom w:sz="3.2000000000000455" w:val="single" w:color="#BEBF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164"/>
            <w:tcBorders>
              <w:start w:sz="3.199999999999932" w:val="single" w:color="#BEBFBE"/>
              <w:top w:sz="4.0" w:val="single" w:color="#BEBFBE"/>
              <w:end w:sz="4.0" w:val="single" w:color="#BEBFBE"/>
              <w:bottom w:sz="3.2000000000000455" w:val="single" w:color="#BEBFBE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2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Productos: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boletín anual 2024, 3. infografía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anual 2024 y 4. reportes trimestrales T2-2025, T3-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2025.</w:t>
            </w:r>
          </w:p>
        </w:tc>
        <w:tc>
          <w:tcPr>
            <w:tcW w:type="dxa" w:w="1522"/>
            <w:tcBorders>
              <w:start w:sz="4.0" w:val="single" w:color="#BEBFBE"/>
              <w:top w:sz="4.0" w:val="single" w:color="#BEBFBE"/>
              <w:end w:sz="4.0" w:val="single" w:color="#BEBFBE"/>
              <w:bottom w:sz="3.2000000000000455" w:val="single" w:color="#BEBF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%</w:t>
            </w:r>
          </w:p>
        </w:tc>
        <w:tc>
          <w:tcPr>
            <w:tcW w:type="dxa" w:w="1538"/>
            <w:tcBorders>
              <w:start w:sz="4.0" w:val="single" w:color="#BEBFBE"/>
              <w:top w:sz="4.0" w:val="single" w:color="#BEBFBE"/>
              <w:end w:sz="3.199999999999818" w:val="single" w:color="#BEBFBE"/>
              <w:bottom w:sz="3.2000000000000455" w:val="single" w:color="#BEBFBE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2" w:lineRule="exact" w:before="10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Productos validados por CONAVIHSIDA. </w:t>
      </w:r>
    </w:p>
    <w:p>
      <w:pPr>
        <w:autoSpaceDN w:val="0"/>
        <w:autoSpaceDE w:val="0"/>
        <w:widowControl/>
        <w:spacing w:line="266" w:lineRule="exact" w:before="284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DURACIÓN </w:t>
      </w:r>
    </w:p>
    <w:p>
      <w:pPr>
        <w:autoSpaceDN w:val="0"/>
        <w:autoSpaceDE w:val="0"/>
        <w:widowControl/>
        <w:spacing w:line="276" w:lineRule="exact" w:before="276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duración de la consultoría será de 6 meses calendario contados a partir de la firma del contrato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 CONAVIHSIDA. </w:t>
      </w:r>
    </w:p>
    <w:p>
      <w:pPr>
        <w:autoSpaceDN w:val="0"/>
        <w:autoSpaceDE w:val="0"/>
        <w:widowControl/>
        <w:spacing w:line="264" w:lineRule="exact" w:before="288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PERFIL REQUERIDO PARA LA DESARROLLAR LA CONSULTORÍA </w:t>
      </w:r>
    </w:p>
    <w:p>
      <w:pPr>
        <w:autoSpaceDN w:val="0"/>
        <w:autoSpaceDE w:val="0"/>
        <w:widowControl/>
        <w:spacing w:line="264" w:lineRule="exact" w:before="288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El/la consultor/a deberá reunir al menos los siguientes criterios: </w:t>
      </w:r>
    </w:p>
    <w:p>
      <w:pPr>
        <w:autoSpaceDN w:val="0"/>
        <w:tabs>
          <w:tab w:pos="522" w:val="left"/>
        </w:tabs>
        <w:autoSpaceDE w:val="0"/>
        <w:widowControl/>
        <w:spacing w:line="284" w:lineRule="exact" w:before="286" w:after="0"/>
        <w:ind w:left="1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Experiencia en análisis de datos estadísticos relacionados con la salud, específicamente VIH.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Conocimiento de los sistemas de información en salud y experiencia en gestión 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información en área de VIH. </w:t>
      </w:r>
    </w:p>
    <w:p>
      <w:pPr>
        <w:autoSpaceDN w:val="0"/>
        <w:autoSpaceDE w:val="0"/>
        <w:widowControl/>
        <w:spacing w:line="294" w:lineRule="exact" w:before="0" w:after="0"/>
        <w:ind w:left="1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Experiencia en procesos de validación y auditoria de la calidad de los datos de VIH. </w:t>
      </w:r>
    </w:p>
    <w:p>
      <w:pPr>
        <w:autoSpaceDN w:val="0"/>
        <w:autoSpaceDE w:val="0"/>
        <w:widowControl/>
        <w:spacing w:line="292" w:lineRule="exact" w:before="0" w:after="0"/>
        <w:ind w:left="1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Conocimiento en el diseño de infografías. </w:t>
      </w:r>
    </w:p>
    <w:p>
      <w:pPr>
        <w:autoSpaceDN w:val="0"/>
        <w:tabs>
          <w:tab w:pos="522" w:val="left"/>
        </w:tabs>
        <w:autoSpaceDE w:val="0"/>
        <w:widowControl/>
        <w:spacing w:line="276" w:lineRule="exact" w:before="18" w:after="0"/>
        <w:ind w:left="1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Capacidades demostradas y aptitudes personales en comunicación verbal, cooperación con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diferentes interlocutores y resguardo de la confidencialidad. </w:t>
      </w:r>
    </w:p>
    <w:p>
      <w:pPr>
        <w:autoSpaceDN w:val="0"/>
        <w:autoSpaceDE w:val="0"/>
        <w:widowControl/>
        <w:spacing w:line="292" w:lineRule="exact" w:before="0" w:after="0"/>
        <w:ind w:left="1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Capacidad demostrada en redacción de informes en idioma español.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10.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CRITERIO DE EVALUACIÓN </w:t>
      </w:r>
    </w:p>
    <w:p>
      <w:pPr>
        <w:autoSpaceDN w:val="0"/>
        <w:autoSpaceDE w:val="0"/>
        <w:widowControl/>
        <w:spacing w:line="276" w:lineRule="exact" w:before="276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la evaluación de las Propuestas, la Entidad Contratante podrá considerar los criterios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evaluación para: </w:t>
      </w:r>
    </w:p>
    <w:p>
      <w:pPr>
        <w:autoSpaceDN w:val="0"/>
        <w:autoSpaceDE w:val="0"/>
        <w:widowControl/>
        <w:spacing w:line="276" w:lineRule="exact" w:before="276" w:after="0"/>
        <w:ind w:left="882" w:right="26" w:hanging="360"/>
        <w:jc w:val="both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Selección Basada en Calidad y Costo (SBCC). Cuando la selección se basa conjuntamente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la calidad de la propuesta, idoneidad del proponente y en el costo de los servicios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suministrar. En primer término, se evaluará la calidad.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CRITERIOS DE CALIFICACIÓN </w:t>
      </w:r>
    </w:p>
    <w:p>
      <w:pPr>
        <w:autoSpaceDN w:val="0"/>
        <w:autoSpaceDE w:val="0"/>
        <w:widowControl/>
        <w:spacing w:line="276" w:lineRule="exact" w:before="276" w:after="0"/>
        <w:ind w:left="16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la evaluación de las ofertas y la selección del adjudicatario se considerará la calidad de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Oferta Técnica y el costo de la Oferta Económica. La puntuación máxima asignada a la Oferta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Técnica es de [70] puntos y para la Económica de [30] puntos. El puntaje mínimo aceptable para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Oferta Técnica es de [65] puntos. </w:t>
      </w:r>
    </w:p>
    <w:p>
      <w:pPr>
        <w:autoSpaceDN w:val="0"/>
        <w:tabs>
          <w:tab w:pos="452" w:val="left"/>
        </w:tabs>
        <w:autoSpaceDE w:val="0"/>
        <w:widowControl/>
        <w:spacing w:line="276" w:lineRule="exact" w:before="276" w:after="0"/>
        <w:ind w:left="162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Experiencia: Hasta 35 puntos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otorgar a EL LICITANTE el puntaje indicado; la evaluación de este sub-rubro tomará en </w:t>
      </w:r>
    </w:p>
    <w:p>
      <w:pPr>
        <w:sectPr>
          <w:pgSz w:w="12240" w:h="15840"/>
          <w:pgMar w:top="670" w:right="1266" w:bottom="6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cuenta los siguientes aspectos: </w:t>
      </w:r>
    </w:p>
    <w:p>
      <w:pPr>
        <w:autoSpaceDN w:val="0"/>
        <w:tabs>
          <w:tab w:pos="882" w:val="left"/>
        </w:tabs>
        <w:autoSpaceDE w:val="0"/>
        <w:widowControl/>
        <w:spacing w:line="282" w:lineRule="exact" w:before="288" w:after="0"/>
        <w:ind w:left="5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o más años de experiencia en análisis de datos estadísticos relacionados con la salud,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específicamente VIH y conocimiento de los sistemas de información en salud y experiencia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gestión de información en área de VIH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(20 puntos)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o más años de experiencia en validación y auditoria de calidad de datos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(15 puntos). </w:t>
      </w:r>
    </w:p>
    <w:p>
      <w:pPr>
        <w:autoSpaceDN w:val="0"/>
        <w:autoSpaceDE w:val="0"/>
        <w:widowControl/>
        <w:spacing w:line="276" w:lineRule="exact" w:before="278" w:after="0"/>
        <w:ind w:left="162" w:right="0" w:firstLine="29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Metodología: Hasta 20 puntos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otorgar a EL LICITANTE el puntaje indicado; la evaluación de este sub-rubro tomará 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cuenta el siguiente aspecto: </w:t>
      </w:r>
    </w:p>
    <w:p>
      <w:pPr>
        <w:autoSpaceDN w:val="0"/>
        <w:tabs>
          <w:tab w:pos="882" w:val="left"/>
        </w:tabs>
        <w:autoSpaceDE w:val="0"/>
        <w:widowControl/>
        <w:spacing w:line="276" w:lineRule="exact" w:before="294" w:after="0"/>
        <w:ind w:left="5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Metodología propuesta acorde con la naturaleza de la asistencia técnica que muestre la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experiencia previa en el campo.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(20 puntos)</w:t>
      </w:r>
    </w:p>
    <w:p>
      <w:pPr>
        <w:autoSpaceDN w:val="0"/>
        <w:autoSpaceDE w:val="0"/>
        <w:widowControl/>
        <w:spacing w:line="276" w:lineRule="exact" w:before="276" w:after="0"/>
        <w:ind w:left="162" w:right="0" w:firstLine="29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Personal clave calificado: Hasta 15 puntos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otorgar a EL LICITANTE el puntaje indicado; la evaluación de este sub-rubro tomará 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cuenta el siguiente aspecto: </w:t>
      </w:r>
    </w:p>
    <w:p>
      <w:pPr>
        <w:autoSpaceDN w:val="0"/>
        <w:tabs>
          <w:tab w:pos="882" w:val="left"/>
        </w:tabs>
        <w:autoSpaceDE w:val="0"/>
        <w:widowControl/>
        <w:spacing w:line="276" w:lineRule="exact" w:before="292" w:after="0"/>
        <w:ind w:left="5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Curriculum Vitae del personal técnico principal a cargo de la Consultoría que demuestre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los estudios e investigaciones que sustentan su experiencia en el tema.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(15 puntos).</w:t>
      </w:r>
    </w:p>
    <w:p>
      <w:pPr>
        <w:autoSpaceDN w:val="0"/>
        <w:autoSpaceDE w:val="0"/>
        <w:widowControl/>
        <w:spacing w:line="276" w:lineRule="exact" w:before="276" w:after="0"/>
        <w:ind w:left="16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Los Peritos levantarán un informe donde se indicará el cumplimiento o no de los Pliegos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Condiciones Específicas. En el caso de no cumplimiento indicará, de forma individualizada las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razones. </w:t>
      </w:r>
    </w:p>
    <w:p>
      <w:pPr>
        <w:autoSpaceDN w:val="0"/>
        <w:autoSpaceDE w:val="0"/>
        <w:widowControl/>
        <w:spacing w:line="278" w:lineRule="exact" w:before="274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Los Peritos emitirán su informe al Comité de Compras y Contrataciones sobre los resultados de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evaluación de las Propuestas Técnicas “Sobre A”, a los fines de la recomendación final.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Evaluación Oferta Económica </w:t>
      </w:r>
    </w:p>
    <w:p>
      <w:pPr>
        <w:autoSpaceDN w:val="0"/>
        <w:autoSpaceDE w:val="0"/>
        <w:widowControl/>
        <w:spacing w:line="276" w:lineRule="exact" w:before="276" w:after="0"/>
        <w:ind w:left="16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 vez finalizada la evaluación de las Ofertas Técnicas se procederá a evaluar exclusivamente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las respectivas Ofertas Económicas “Sobre B” de los Oferentes que hayan cumplido con TODOS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los criterios señalados en el numeral 12. Criterios de calificación y, adicionalmente que hayan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superado un mínimo de [65] puntos en la evaluación de las Propuestas Técnicas.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Evaluación de la Oferta Económica más Conveniente </w:t>
      </w:r>
    </w:p>
    <w:p>
      <w:pPr>
        <w:autoSpaceDN w:val="0"/>
        <w:autoSpaceDE w:val="0"/>
        <w:widowControl/>
        <w:spacing w:line="276" w:lineRule="exact" w:before="276" w:after="0"/>
        <w:ind w:left="162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evaluación de la Propuesta Económica consistirá en asignar un puntaje de 100 establecido a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Oferta Económica de menor monto. Al resto de propuestas se le asignará puntaje según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siguiente fórmula: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 = Om x PMPE </w:t>
      </w:r>
    </w:p>
    <w:p>
      <w:pPr>
        <w:autoSpaceDN w:val="0"/>
        <w:autoSpaceDE w:val="0"/>
        <w:widowControl/>
        <w:spacing w:line="276" w:lineRule="exact" w:before="276" w:after="0"/>
        <w:ind w:left="162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Donde: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= Propuesta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 = Puntaje de la Propuesta Económica Oi = Propuesta Económica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Om = Propuesta Económica más baja </w:t>
      </w:r>
    </w:p>
    <w:p>
      <w:pPr>
        <w:sectPr>
          <w:pgSz w:w="12240" w:h="15840"/>
          <w:pgMar w:top="674" w:right="1266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PMPE = Puntaje Máximo de la Propuesta Económica. </w:t>
      </w:r>
    </w:p>
    <w:p>
      <w:pPr>
        <w:autoSpaceDN w:val="0"/>
        <w:autoSpaceDE w:val="0"/>
        <w:widowControl/>
        <w:spacing w:line="276" w:lineRule="exact" w:before="276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 puntaje de la Propuesta Económica se calculará tomando en consideración el puntaje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máximo para la Propuesta Económica de 100 puntos.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Evaluación Combinada: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Oferta Técnica y Oferta Económica </w:t>
      </w:r>
    </w:p>
    <w:p>
      <w:pPr>
        <w:autoSpaceDN w:val="0"/>
        <w:tabs>
          <w:tab w:pos="2882" w:val="left"/>
        </w:tabs>
        <w:autoSpaceDE w:val="0"/>
        <w:widowControl/>
        <w:spacing w:line="276" w:lineRule="exact" w:before="276" w:after="0"/>
        <w:ind w:left="1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 Criterio de evaluación para las Ofertas Combinadas es el siguiente: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Oferta Técnica ---------------- 70 puntos x 100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Oferta Económica ------------ 30 puntos x 100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100 puntos </w:t>
      </w:r>
    </w:p>
    <w:p>
      <w:pPr>
        <w:autoSpaceDN w:val="0"/>
        <w:autoSpaceDE w:val="0"/>
        <w:widowControl/>
        <w:spacing w:line="276" w:lineRule="exact" w:before="276" w:after="0"/>
        <w:ind w:left="162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Posteriormente, luego de aplicar la fórmula precedente, se procederá a la Adjudicación del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Oferente que haya obtenido el mayor puntaje en la sumatoria de la propuesta Técnica y Propuesta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Económica. </w:t>
      </w:r>
    </w:p>
    <w:p>
      <w:pPr>
        <w:autoSpaceDN w:val="0"/>
        <w:autoSpaceDE w:val="0"/>
        <w:widowControl/>
        <w:spacing w:line="266" w:lineRule="exact" w:before="562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DOCUMENTACIÓN A PRESENTAR </w:t>
      </w:r>
    </w:p>
    <w:p>
      <w:pPr>
        <w:autoSpaceDN w:val="0"/>
        <w:tabs>
          <w:tab w:pos="966" w:val="left"/>
          <w:tab w:pos="1316" w:val="left"/>
        </w:tabs>
        <w:autoSpaceDE w:val="0"/>
        <w:widowControl/>
        <w:spacing w:line="276" w:lineRule="exact" w:before="276" w:after="0"/>
        <w:ind w:left="6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Documentación Legal: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Formulario de Presentación de Oferta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(SNCC.F.034)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Formulario de Información sobre el Oferente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(SNCC.F.042)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Registro de Proveedores del Estado (RPE) con documentos legales- administrativos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actualizados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emitido por la Dirección General de Contrataciones Públicas. </w:t>
      </w:r>
    </w:p>
    <w:p>
      <w:pPr>
        <w:autoSpaceDN w:val="0"/>
        <w:autoSpaceDE w:val="0"/>
        <w:widowControl/>
        <w:spacing w:line="276" w:lineRule="exact" w:before="0" w:after="0"/>
        <w:ind w:left="1316" w:right="20" w:hanging="3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Certificación emitida por la Dirección General de Impuestos Internos (DGII),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donde se manifieste que el Oferente se encuentra al día en el pago de sus obligaciones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fiscales. (Será igualmente válido el último recibo de pago de la DGII). </w:t>
      </w:r>
    </w:p>
    <w:p>
      <w:pPr>
        <w:autoSpaceDN w:val="0"/>
        <w:autoSpaceDE w:val="0"/>
        <w:widowControl/>
        <w:spacing w:line="276" w:lineRule="exact" w:before="0" w:after="0"/>
        <w:ind w:left="1316" w:right="20" w:hanging="3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Certificación emitida por la Tesorería de la Seguridad Social (TSS),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donde 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manifieste que el Oferente se encuentra al día en el pago de sus obligaciones fiscales.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(Será igualmente válido el último recibo de pago de la TSS). </w:t>
      </w:r>
    </w:p>
    <w:p>
      <w:pPr>
        <w:autoSpaceDN w:val="0"/>
        <w:autoSpaceDE w:val="0"/>
        <w:widowControl/>
        <w:spacing w:line="266" w:lineRule="exact" w:before="10" w:after="0"/>
        <w:ind w:left="9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Registro Mercantil vigente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(Si aplica).</w:t>
      </w:r>
    </w:p>
    <w:p>
      <w:pPr>
        <w:autoSpaceDN w:val="0"/>
        <w:autoSpaceDE w:val="0"/>
        <w:widowControl/>
        <w:spacing w:line="266" w:lineRule="exact" w:before="10" w:after="0"/>
        <w:ind w:left="9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Copia de certificación de empresa MIPYME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si lo es. </w:t>
      </w:r>
    </w:p>
    <w:p>
      <w:pPr>
        <w:autoSpaceDN w:val="0"/>
        <w:tabs>
          <w:tab w:pos="1316" w:val="left"/>
        </w:tabs>
        <w:autoSpaceDE w:val="0"/>
        <w:widowControl/>
        <w:spacing w:line="266" w:lineRule="exact" w:before="10" w:after="0"/>
        <w:ind w:left="9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Acta de Asamblea General Ordinaria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con su respectiva Nómina de Presencia, 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que se nombra (n) el (los) gerente (s.) (Si aplica)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Acta o Poder de Representación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según corresponda, del organismo o persona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estatutariamente o por Asamblea autorizado para firmar en nombre y representación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la Sociedad. (Si aplica)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Declaración Jurada del Oferente notariada y legalizada por la Procuraduría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General de la República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en la que manifieste que no se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encuentra dentro de las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prohibiciones establecidas en el Artículo 14 de la Ley 340-06 y donde manifieste si tiene o no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juicio con el Estado Dominicano o sus entidades del Gobierno Central, de las Instituciones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Descentralizadas y Autónomas no financieras, y de las Instituciones Públicas de la Seguridad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Social, o si está sometida a un proceso de quiebra. </w:t>
      </w:r>
    </w:p>
    <w:p>
      <w:pPr>
        <w:autoSpaceDN w:val="0"/>
        <w:tabs>
          <w:tab w:pos="4400" w:val="left"/>
        </w:tabs>
        <w:autoSpaceDE w:val="0"/>
        <w:widowControl/>
        <w:spacing w:line="266" w:lineRule="exact" w:before="12" w:after="0"/>
        <w:ind w:left="3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Formulario de compromiso-ético-de-proveedores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966" w:val="left"/>
        </w:tabs>
        <w:autoSpaceDE w:val="0"/>
        <w:widowControl/>
        <w:spacing w:line="274" w:lineRule="exact" w:before="2" w:after="0"/>
        <w:ind w:left="62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Documentación Técnica: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Oferta Técnica (conforme a los términos de referencia suministrados) </w:t>
      </w:r>
    </w:p>
    <w:p>
      <w:pPr>
        <w:autoSpaceDN w:val="0"/>
        <w:autoSpaceDE w:val="0"/>
        <w:widowControl/>
        <w:spacing w:line="228" w:lineRule="exact" w:before="47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Certificación de RPE emitida en los últimos treinta (30) días previos a la fecha de presentación de ofertas. </w:t>
      </w:r>
    </w:p>
    <w:p>
      <w:pPr>
        <w:sectPr>
          <w:pgSz w:w="12240" w:h="15840"/>
          <w:pgMar w:top="674" w:right="1266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tabs>
          <w:tab w:pos="966" w:val="left"/>
          <w:tab w:pos="978" w:val="left"/>
          <w:tab w:pos="1316" w:val="left"/>
        </w:tabs>
        <w:autoSpaceDE w:val="0"/>
        <w:widowControl/>
        <w:spacing w:line="274" w:lineRule="exact" w:before="0" w:after="0"/>
        <w:ind w:left="626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Organización y Experiencia del Consultor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(SNCC.D.043)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Descripción del enfoque, la metodología y el plan de actividades para la ejecución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 trabajo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(SNCC.D.044)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Currículo del Personal Profesional propuesto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(SNCC.D.045)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 Experiencia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profesional del Personal Principal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(SNCC.D.048)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Contenido del sobre B 1.Formulario de Oferta Económica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Garantía de Seriedad de la Oferta,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correspondiente al uno por ciento (1%) del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monto total de la Oferta.</w:t>
      </w:r>
    </w:p>
    <w:p>
      <w:pPr>
        <w:autoSpaceDN w:val="0"/>
        <w:autoSpaceDE w:val="0"/>
        <w:widowControl/>
        <w:spacing w:line="276" w:lineRule="exact" w:before="276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Las Ofertas Económicas deberán ser presentadas en el formulario designado al efecto,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SNCC.F.033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 cualquier otro formato que contengas las informaciones de este.</w:t>
      </w:r>
    </w:p>
    <w:p>
      <w:pPr>
        <w:autoSpaceDN w:val="0"/>
        <w:autoSpaceDE w:val="0"/>
        <w:widowControl/>
        <w:spacing w:line="276" w:lineRule="exact" w:before="276" w:after="0"/>
        <w:ind w:left="276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Oferta deberá presentarse en pesos dominicanos (RD$). Los precios deberán expresarse en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dos decimales (XX.XX)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 tendrán que incluir todos los impuestos y gastos, transparentados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 implícitos según corresponda. Los precios no deberán presentar alteraciones ni correcciones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6" w:after="0"/>
        <w:ind w:left="27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 Oferente será responsable y pagará todos los impuestos gubernamentales, dentro y fuera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República Dominicana, relacionados con los servicios a ser prestados. Ninguna institución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sujeta a las disposiciones de la Ley que realice contrataciones podrá contratar o convenir sobre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disposiciones o cláusulas que dispongan sobre exenciones o exoneraciones de impuestos y otros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atributos, o dejar de pagarlos, sin la debida aprobación del Congreso Nacional. </w:t>
      </w:r>
    </w:p>
    <w:p>
      <w:pPr>
        <w:autoSpaceDN w:val="0"/>
        <w:autoSpaceDE w:val="0"/>
        <w:widowControl/>
        <w:spacing w:line="276" w:lineRule="exact" w:before="276" w:after="0"/>
        <w:ind w:left="27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 Oferente/Proponente que cotice en cualquier moneda distinta al peso dominicano (RD$),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se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auto-descalifica para ser adjudicatario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PRESENTACION DE GARANTIAS </w:t>
      </w:r>
    </w:p>
    <w:p>
      <w:pPr>
        <w:autoSpaceDN w:val="0"/>
        <w:autoSpaceDE w:val="0"/>
        <w:widowControl/>
        <w:spacing w:line="276" w:lineRule="exact" w:before="276" w:after="0"/>
        <w:ind w:left="276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Los importes correspondientes a las garantías deberán hacerse en la misma moneda utilizada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la presentación de la Oferta. Cualquier garantía presentada en una moneda diferente a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presentación en la Oferta será descalificada sin más trámite. </w:t>
      </w:r>
    </w:p>
    <w:p>
      <w:pPr>
        <w:autoSpaceDN w:val="0"/>
        <w:autoSpaceDE w:val="0"/>
        <w:widowControl/>
        <w:spacing w:line="266" w:lineRule="exact" w:before="286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 Oferente/Proponente deberá presentar las siguientes garantías: </w:t>
      </w:r>
    </w:p>
    <w:p>
      <w:pPr>
        <w:autoSpaceDN w:val="0"/>
        <w:tabs>
          <w:tab w:pos="626" w:val="left"/>
        </w:tabs>
        <w:autoSpaceDE w:val="0"/>
        <w:widowControl/>
        <w:spacing w:line="276" w:lineRule="exact" w:before="276" w:after="0"/>
        <w:ind w:left="276" w:right="259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a)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Garantía de Seriedad de la Oferta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Correspondiente al uno por ciento (1%) del monto total de la Oferta. </w:t>
      </w:r>
    </w:p>
    <w:p>
      <w:pPr>
        <w:autoSpaceDN w:val="0"/>
        <w:autoSpaceDE w:val="0"/>
        <w:widowControl/>
        <w:spacing w:line="276" w:lineRule="exact" w:before="0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Garantía de Seriedad de la Oferta se mantendrá vigente por el término de treinta (30) días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hábiles, contados a partir de la fecha del acto de apertura de Ofertas Técnicas. </w:t>
      </w:r>
    </w:p>
    <w:p>
      <w:pPr>
        <w:autoSpaceDN w:val="0"/>
        <w:autoSpaceDE w:val="0"/>
        <w:widowControl/>
        <w:spacing w:line="276" w:lineRule="exact" w:before="276" w:after="0"/>
        <w:ind w:left="276" w:right="20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PARRAFO 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Garantía de Seriedad de la Oferta será de cumplimiento obligatorio, mediante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 Póliza de Fianza, emitida por una compañía aseguradora de reconocida solvencia en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República Dominicana y vendrá incluida dentro de la Oferta Económica “Sobre B”. La omisión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 la presentación de la Oferta de la Garantía de Seriedad de la Oferta o cuando la misma fuera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insuficiente, conllevara la desestimación de la Oferta sin más trámite. </w:t>
      </w:r>
    </w:p>
    <w:p>
      <w:pPr>
        <w:autoSpaceDN w:val="0"/>
        <w:autoSpaceDE w:val="0"/>
        <w:widowControl/>
        <w:spacing w:line="266" w:lineRule="exact" w:before="286" w:after="0"/>
        <w:ind w:left="6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>b)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Garantía de Fiel Cumplimiento del Contrato. </w:t>
      </w:r>
    </w:p>
    <w:p>
      <w:pPr>
        <w:autoSpaceDN w:val="0"/>
        <w:autoSpaceDE w:val="0"/>
        <w:widowControl/>
        <w:spacing w:line="276" w:lineRule="exact" w:before="0" w:after="0"/>
        <w:ind w:left="27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 Adjudicatario cuyo contrato exceda el equivalente en Pesos Dominicanos de Diez Mil Dólares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los Estados Unidos de Norteamérica con 00/100 (US$10,000.00), está obligado a constituir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 Póliza de Fianzas emitida por una compañía aseguradora de reconocida solvencia en la </w:t>
      </w:r>
    </w:p>
    <w:p>
      <w:pPr>
        <w:sectPr>
          <w:pgSz w:w="12240" w:h="15840"/>
          <w:pgMar w:top="674" w:right="1266" w:bottom="6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7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República Dominicana, en el plazo de cinco (5) días hábiles, contados a partir de la Notificación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la Adjudicación, por el importe de CUATRO POR CIENTO (4%) del monto total del Contrato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intervenir, a disposición de la Entidad Contratante, cualquiera que haya sido el procedimiento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la forma de Adjudicación del Contrato. </w:t>
      </w:r>
    </w:p>
    <w:p>
      <w:pPr>
        <w:autoSpaceDN w:val="0"/>
        <w:autoSpaceDE w:val="0"/>
        <w:widowControl/>
        <w:spacing w:line="276" w:lineRule="exact" w:before="276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Garantía de Fiel Cumplimiento de Contrato se mantendrá vigente por un período de 10 meses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calendario. </w:t>
      </w:r>
    </w:p>
    <w:p>
      <w:pPr>
        <w:autoSpaceDN w:val="0"/>
        <w:autoSpaceDE w:val="0"/>
        <w:widowControl/>
        <w:spacing w:line="276" w:lineRule="exact" w:before="276" w:after="0"/>
        <w:ind w:left="27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no comparecencia del Oferente Adjudicatario a constituir la Garantía de Fiel Cumplimiento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Contrato, se entenderá que renuncia a la Adjudicación y se procederá a la ejecución de 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Garantía de Seriedad de la Oferta. </w:t>
      </w:r>
    </w:p>
    <w:p>
      <w:pPr>
        <w:autoSpaceDN w:val="0"/>
        <w:autoSpaceDE w:val="0"/>
        <w:widowControl/>
        <w:spacing w:line="266" w:lineRule="exact" w:before="286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CRONOGRAMA DE ACTIVIDADES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00750" cy="6064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06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674" w:right="1266" w:bottom="6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15.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PRESENTACIÓN DE PROPUESTAS </w:t>
      </w:r>
    </w:p>
    <w:p>
      <w:pPr>
        <w:autoSpaceDN w:val="0"/>
        <w:tabs>
          <w:tab w:pos="636" w:val="left"/>
          <w:tab w:pos="992" w:val="left"/>
          <w:tab w:pos="1440" w:val="left"/>
        </w:tabs>
        <w:autoSpaceDE w:val="0"/>
        <w:widowControl/>
        <w:spacing w:line="280" w:lineRule="exact" w:before="272" w:after="0"/>
        <w:ind w:left="276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 presentación de interés deberá contener: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Sobre A – Oferta técnica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Propuesta técnica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Hoja de vida del consultor principal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Copia de la Cédula de Identidad y Electoral </w:t>
      </w:r>
    </w:p>
    <w:p>
      <w:pPr>
        <w:autoSpaceDN w:val="0"/>
        <w:tabs>
          <w:tab w:pos="992" w:val="left"/>
          <w:tab w:pos="1440" w:val="left"/>
        </w:tabs>
        <w:autoSpaceDE w:val="0"/>
        <w:widowControl/>
        <w:spacing w:line="278" w:lineRule="exact" w:before="290" w:after="0"/>
        <w:ind w:left="636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Sobre B – Oferta financiera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 xml:space="preserve">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Propuesta financiera </w:t>
      </w:r>
    </w:p>
    <w:p>
      <w:pPr>
        <w:autoSpaceDN w:val="0"/>
        <w:autoSpaceDE w:val="0"/>
        <w:widowControl/>
        <w:spacing w:line="278" w:lineRule="exact" w:before="274" w:after="178"/>
        <w:ind w:left="16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Las propuestas deben ser remitidas en físico y/o a través del sistema electrónico de compras 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contrataciones, incluyendo una carta de interés dirigida al Dr. Rafael Enrique González Cruz,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 ejecutivo del CONAVIHSIDA.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765"/>
        <w:gridCol w:w="4765"/>
      </w:tblGrid>
      <w:tr>
        <w:trPr>
          <w:trHeight w:hRule="exact" w:val="56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Dirigidas a: 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12" w:after="0"/>
              <w:ind w:left="1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Sección de Compras y Licitaciones del CONAVIHSIDA. 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60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Consejo Nacional para el VIH y el Sida-CONAVIHSIDA. </w:t>
      </w:r>
    </w:p>
    <w:p>
      <w:pPr>
        <w:autoSpaceDN w:val="0"/>
        <w:autoSpaceDE w:val="0"/>
        <w:widowControl/>
        <w:spacing w:line="276" w:lineRule="exact" w:before="0" w:after="0"/>
        <w:ind w:left="1602" w:right="172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Av. Ortega y Gasset, Ed. CEDERHSA, Plaza de la Salud,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Ensanche La Fe, Santo Domingo, D.N. República Dominicana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TEL. (809) 732-7772, Ext. 290. </w:t>
      </w:r>
    </w:p>
    <w:p>
      <w:pPr>
        <w:autoSpaceDN w:val="0"/>
        <w:autoSpaceDE w:val="0"/>
        <w:widowControl/>
        <w:spacing w:line="244" w:lineRule="exact" w:before="284" w:after="0"/>
        <w:ind w:left="16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Las propuestas en físico deben remitirse en sobres rotulados y separados, a saber:</w:t>
      </w:r>
    </w:p>
    <w:p>
      <w:pPr>
        <w:autoSpaceDN w:val="0"/>
        <w:autoSpaceDE w:val="0"/>
        <w:widowControl/>
        <w:spacing w:line="246" w:lineRule="exact" w:before="562" w:after="172"/>
        <w:ind w:left="15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2060"/>
          <w:sz w:val="22"/>
        </w:rPr>
        <w:t xml:space="preserve">SOBRE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4.0" w:type="dxa"/>
      </w:tblPr>
      <w:tblGrid>
        <w:gridCol w:w="9530"/>
      </w:tblGrid>
      <w:tr>
        <w:trPr>
          <w:trHeight w:hRule="exact" w:val="1564"/>
        </w:trPr>
        <w:tc>
          <w:tcPr>
            <w:tcW w:type="dxa" w:w="76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u w:val="single"/>
              </w:rPr>
              <w:t>PROPUESTA TECNICA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40" w:right="70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ASISTENCIA TÉCNICA PARA PARA EL APOYO EN EL ANÁLISIS DE DATOS Y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PRODUCCIÓN DE INFORMACIÓN RUTINARIA PARA ALIMENTAR EL REPOSITORIO DE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ESTADÍSTICAS E INVESTIGACIONES EN ITS-VIH-SIDA (RESIN- CONVIHSIDA) </w:t>
            </w:r>
          </w:p>
        </w:tc>
      </w:tr>
    </w:tbl>
    <w:p>
      <w:pPr>
        <w:autoSpaceDN w:val="0"/>
        <w:autoSpaceDE w:val="0"/>
        <w:widowControl/>
        <w:spacing w:line="266" w:lineRule="exact" w:before="578" w:after="182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FF0000"/>
          <w:sz w:val="24"/>
        </w:rPr>
        <w:t>SOBRE 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4.0" w:type="dxa"/>
      </w:tblPr>
      <w:tblGrid>
        <w:gridCol w:w="9530"/>
      </w:tblGrid>
      <w:tr>
        <w:trPr>
          <w:trHeight w:hRule="exact" w:val="1428"/>
        </w:trPr>
        <w:tc>
          <w:tcPr>
            <w:tcW w:type="dxa" w:w="768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0" w:after="0"/>
              <w:ind w:left="140" w:right="0" w:firstLine="257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u w:val="single"/>
              </w:rPr>
              <w:t>PROPUESTA FINANCIERA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ASISTENCIA TÉCNICA PARA PARA EL APOYO EN EL ANÁLISIS DE DATOS Y PRODUCCIÓN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 INFORMACIÓN RUTINARIA PARA ALIMENTAR EL REPOSITORIO DE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ESTADÍSTICAS E INVESTIGACIONES EN ITS-VIH-SIDA (RESIN-CONVIHSIDA)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12" w:right="1270" w:bottom="1440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aidsreportingtool.unaids.org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