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A1-REPORT</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Evyn Brouwer – 100702629</w:t>
      </w:r>
    </w:p>
    <w:p w:rsidR="00000000" w:rsidDel="00000000" w:rsidP="00000000" w:rsidRDefault="00000000" w:rsidRPr="00000000" w14:paraId="00000003">
      <w:pPr>
        <w:jc w:val="center"/>
        <w:rPr>
          <w:sz w:val="20"/>
          <w:szCs w:val="20"/>
        </w:rPr>
      </w:pPr>
      <w:r w:rsidDel="00000000" w:rsidR="00000000" w:rsidRPr="00000000">
        <w:rPr>
          <w:sz w:val="20"/>
          <w:szCs w:val="20"/>
          <w:rtl w:val="0"/>
        </w:rPr>
        <w:t xml:space="preserve">Anthony Smiderle – 100695532</w:t>
      </w:r>
    </w:p>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Daniel Hong – 100623669</w:t>
      </w:r>
    </w:p>
    <w:p w:rsidR="00000000" w:rsidDel="00000000" w:rsidP="00000000" w:rsidRDefault="00000000" w:rsidRPr="00000000" w14:paraId="00000005">
      <w:pPr>
        <w:jc w:val="center"/>
        <w:rPr>
          <w:sz w:val="24"/>
          <w:szCs w:val="24"/>
          <w:u w:val="single"/>
        </w:rPr>
      </w:pPr>
      <w:r w:rsidDel="00000000" w:rsidR="00000000" w:rsidRPr="00000000">
        <w:rPr>
          <w:sz w:val="24"/>
          <w:szCs w:val="24"/>
          <w:u w:val="single"/>
          <w:rtl w:val="0"/>
        </w:rPr>
        <w:t xml:space="preserve">MATH &amp; ALGORITHM</w:t>
      </w:r>
    </w:p>
    <w:p w:rsidR="00000000" w:rsidDel="00000000" w:rsidP="00000000" w:rsidRDefault="00000000" w:rsidRPr="00000000" w14:paraId="00000006">
      <w:pPr>
        <w:rPr>
          <w:sz w:val="24"/>
          <w:szCs w:val="24"/>
        </w:rPr>
      </w:pPr>
      <w:r w:rsidDel="00000000" w:rsidR="00000000" w:rsidRPr="00000000">
        <w:rPr>
          <w:sz w:val="24"/>
          <w:szCs w:val="24"/>
          <w:rtl w:val="0"/>
        </w:rPr>
        <w:t xml:space="preserve">TF2 Lighting (Unimplemented):</w:t>
      </w:r>
    </w:p>
    <w:p w:rsidR="00000000" w:rsidDel="00000000" w:rsidP="00000000" w:rsidRDefault="00000000" w:rsidRPr="00000000" w14:paraId="00000007">
      <w:pPr>
        <w:rPr>
          <w:sz w:val="24"/>
          <w:szCs w:val="24"/>
          <w:u w:val="single"/>
        </w:rPr>
      </w:pPr>
      <w:r w:rsidDel="00000000" w:rsidR="00000000" w:rsidRPr="00000000">
        <w:rPr>
          <w:sz w:val="24"/>
          <w:szCs w:val="24"/>
          <w:u w:val="single"/>
        </w:rPr>
        <w:drawing>
          <wp:inline distB="114300" distT="114300" distL="114300" distR="114300">
            <wp:extent cx="3028950" cy="676275"/>
            <wp:effectExtent b="0" l="0" r="0" t="0"/>
            <wp:docPr id="2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028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k</w:t>
      </w:r>
      <w:r w:rsidDel="00000000" w:rsidR="00000000" w:rsidRPr="00000000">
        <w:rPr>
          <w:sz w:val="24"/>
          <w:szCs w:val="24"/>
          <w:vertAlign w:val="subscript"/>
          <w:rtl w:val="0"/>
        </w:rPr>
        <w:t xml:space="preserve">d</w:t>
      </w:r>
      <w:r w:rsidDel="00000000" w:rsidR="00000000" w:rsidRPr="00000000">
        <w:rPr>
          <w:sz w:val="24"/>
          <w:szCs w:val="24"/>
          <w:rtl w:val="0"/>
        </w:rPr>
        <w:t xml:space="preserve"> = albedo of the object sampled from the texture map</w:t>
      </w:r>
    </w:p>
    <w:p w:rsidR="00000000" w:rsidDel="00000000" w:rsidP="00000000" w:rsidRDefault="00000000" w:rsidRPr="00000000" w14:paraId="00000009">
      <w:pPr>
        <w:rPr>
          <w:sz w:val="24"/>
          <w:szCs w:val="24"/>
        </w:rPr>
      </w:pPr>
      <w:r w:rsidDel="00000000" w:rsidR="00000000" w:rsidRPr="00000000">
        <w:rPr>
          <w:sz w:val="24"/>
          <w:szCs w:val="24"/>
          <w:rtl w:val="0"/>
        </w:rPr>
        <w:t xml:space="preserve">a(n) = directional ambient lighting on the object as a function of the per pixel normal n</w:t>
      </w:r>
    </w:p>
    <w:p w:rsidR="00000000" w:rsidDel="00000000" w:rsidP="00000000" w:rsidRDefault="00000000" w:rsidRPr="00000000" w14:paraId="0000000A">
      <w:pPr>
        <w:rPr>
          <w:sz w:val="24"/>
          <w:szCs w:val="24"/>
        </w:rPr>
      </w:pPr>
      <w:r w:rsidDel="00000000" w:rsidR="00000000" w:rsidRPr="00000000">
        <w:rPr>
          <w:sz w:val="24"/>
          <w:szCs w:val="24"/>
          <w:rtl w:val="0"/>
        </w:rPr>
        <w:t xml:space="preserve">∑</w:t>
      </w:r>
      <w:r w:rsidDel="00000000" w:rsidR="00000000" w:rsidRPr="00000000">
        <w:rPr>
          <w:sz w:val="24"/>
          <w:szCs w:val="24"/>
          <w:vertAlign w:val="superscript"/>
          <w:rtl w:val="0"/>
        </w:rPr>
        <w:t xml:space="preserve">L</w:t>
      </w:r>
      <w:r w:rsidDel="00000000" w:rsidR="00000000" w:rsidRPr="00000000">
        <w:rPr>
          <w:sz w:val="24"/>
          <w:szCs w:val="24"/>
          <w:vertAlign w:val="subscript"/>
          <w:rtl w:val="0"/>
        </w:rPr>
        <w:t xml:space="preserve">i=1</w:t>
      </w:r>
      <w:r w:rsidDel="00000000" w:rsidR="00000000" w:rsidRPr="00000000">
        <w:rPr>
          <w:sz w:val="24"/>
          <w:szCs w:val="24"/>
          <w:rtl w:val="0"/>
        </w:rPr>
        <w:t xml:space="preserve"> = the summation of the following function for L = number of lights and i = light index</w:t>
      </w:r>
    </w:p>
    <w:p w:rsidR="00000000" w:rsidDel="00000000" w:rsidP="00000000" w:rsidRDefault="00000000" w:rsidRPr="00000000" w14:paraId="0000000B">
      <w:pPr>
        <w:rPr>
          <w:sz w:val="24"/>
          <w:szCs w:val="24"/>
        </w:rPr>
      </w:pPr>
      <w:r w:rsidDel="00000000" w:rsidR="00000000" w:rsidRPr="00000000">
        <w:rPr>
          <w:sz w:val="24"/>
          <w:szCs w:val="24"/>
          <w:rtl w:val="0"/>
        </w:rPr>
        <w:t xml:space="preserve">c</w:t>
      </w:r>
      <w:r w:rsidDel="00000000" w:rsidR="00000000" w:rsidRPr="00000000">
        <w:rPr>
          <w:sz w:val="24"/>
          <w:szCs w:val="24"/>
          <w:vertAlign w:val="subscript"/>
          <w:rtl w:val="0"/>
        </w:rPr>
        <w:t xml:space="preserve">i</w:t>
      </w:r>
      <w:r w:rsidDel="00000000" w:rsidR="00000000" w:rsidRPr="00000000">
        <w:rPr>
          <w:sz w:val="24"/>
          <w:szCs w:val="24"/>
          <w:rtl w:val="0"/>
        </w:rPr>
        <w:t xml:space="preserve"> = color of the light i</w:t>
      </w:r>
    </w:p>
    <w:p w:rsidR="00000000" w:rsidDel="00000000" w:rsidP="00000000" w:rsidRDefault="00000000" w:rsidRPr="00000000" w14:paraId="0000000C">
      <w:pPr>
        <w:rPr>
          <w:sz w:val="24"/>
          <w:szCs w:val="24"/>
        </w:rPr>
      </w:pPr>
      <w:r w:rsidDel="00000000" w:rsidR="00000000" w:rsidRPr="00000000">
        <w:rPr>
          <w:sz w:val="24"/>
          <w:szCs w:val="24"/>
          <w:rtl w:val="0"/>
        </w:rPr>
        <w:t xml:space="preserve">w = wrapping function that applies the 1D LUT below and multiplies the color output by 2 before clamping to 0-1 range</w:t>
      </w:r>
      <w:r w:rsidDel="00000000" w:rsidR="00000000" w:rsidRPr="00000000">
        <w:rPr>
          <w:sz w:val="24"/>
          <w:szCs w:val="24"/>
        </w:rPr>
        <w:drawing>
          <wp:inline distB="114300" distT="114300" distL="114300" distR="114300">
            <wp:extent cx="4933950" cy="504825"/>
            <wp:effectExtent b="0" l="0" r="0" t="0"/>
            <wp:docPr id="2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339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n dot l</w:t>
      </w:r>
      <w:r w:rsidDel="00000000" w:rsidR="00000000" w:rsidRPr="00000000">
        <w:rPr>
          <w:sz w:val="24"/>
          <w:szCs w:val="24"/>
          <w:vertAlign w:val="subscript"/>
          <w:rtl w:val="0"/>
        </w:rPr>
        <w:t xml:space="preserve">i</w:t>
      </w:r>
      <w:r w:rsidDel="00000000" w:rsidR="00000000" w:rsidRPr="00000000">
        <w:rPr>
          <w:sz w:val="24"/>
          <w:szCs w:val="24"/>
          <w:rtl w:val="0"/>
        </w:rPr>
        <w:t xml:space="preserve"> = Lambert term found through (N dot L) based on the following diagram:</w:t>
      </w:r>
    </w:p>
    <w:p w:rsidR="00000000" w:rsidDel="00000000" w:rsidP="00000000" w:rsidRDefault="00000000" w:rsidRPr="00000000" w14:paraId="0000000E">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92698" cy="1309688"/>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92698"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u w:val="single"/>
        </w:rPr>
      </w:pPr>
      <w:r w:rsidDel="00000000" w:rsidR="00000000" w:rsidRPr="00000000">
        <w:rPr>
          <w:sz w:val="24"/>
          <w:szCs w:val="24"/>
          <w:rtl w:val="0"/>
        </w:rPr>
        <w:t xml:space="preserve">a, b, y = scale, bias, and exponentiation which are set to  0.5, 0.5, 1 and for the purpose of TF2 lighting</w:t>
      </w:r>
      <w:r w:rsidDel="00000000" w:rsidR="00000000" w:rsidRPr="00000000">
        <w:rPr>
          <w:rtl w:val="0"/>
        </w:rPr>
      </w:r>
    </w:p>
    <w:p w:rsidR="00000000" w:rsidDel="00000000" w:rsidP="00000000" w:rsidRDefault="00000000" w:rsidRPr="00000000" w14:paraId="00000010">
      <w:pPr>
        <w:jc w:val="center"/>
        <w:rPr>
          <w:sz w:val="24"/>
          <w:szCs w:val="24"/>
          <w:u w:val="single"/>
        </w:rPr>
      </w:pPr>
      <w:r w:rsidDel="00000000" w:rsidR="00000000" w:rsidRPr="00000000">
        <w:rPr>
          <w:rtl w:val="0"/>
        </w:rPr>
      </w:r>
    </w:p>
    <w:p w:rsidR="00000000" w:rsidDel="00000000" w:rsidP="00000000" w:rsidRDefault="00000000" w:rsidRPr="00000000" w14:paraId="00000011">
      <w:pPr>
        <w:jc w:val="center"/>
        <w:rPr>
          <w:sz w:val="24"/>
          <w:szCs w:val="24"/>
          <w:u w:val="single"/>
        </w:rPr>
      </w:pPr>
      <w:r w:rsidDel="00000000" w:rsidR="00000000" w:rsidRPr="00000000">
        <w:rPr>
          <w:sz w:val="24"/>
          <w:szCs w:val="24"/>
          <w:u w:val="single"/>
          <w:rtl w:val="0"/>
        </w:rPr>
        <w:t xml:space="preserve">CODE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Post-Processing Frag Shader Pt. 1</w:t>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2590188" cy="2586038"/>
            <wp:effectExtent b="0" l="0" r="0" t="0"/>
            <wp:docPr id="3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59018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Theres a lot to unpack here, so lets start with framebuffers. A framebuffer with 2 colour buffers is used to have the regular screen texture and the bloom texture. Some offsets are calculated, and after sampling is complete a blur kernel is applied to the bloom texture (see below)</w:t>
      </w:r>
    </w:p>
    <w:p w:rsidR="00000000" w:rsidDel="00000000" w:rsidP="00000000" w:rsidRDefault="00000000" w:rsidRPr="00000000" w14:paraId="00000017">
      <w:pPr>
        <w:rPr>
          <w:sz w:val="24"/>
          <w:szCs w:val="24"/>
        </w:rPr>
      </w:pPr>
      <w:r w:rsidDel="00000000" w:rsidR="00000000" w:rsidRPr="00000000">
        <w:rPr>
          <w:sz w:val="24"/>
          <w:szCs w:val="24"/>
          <w:rtl w:val="0"/>
        </w:rPr>
        <w:t xml:space="preserve">Pt. 2</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2938463" cy="2574941"/>
            <wp:effectExtent b="0" l="0" r="0" t="0"/>
            <wp:docPr id="2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38463" cy="257494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After bloom is applied, HDR is applied to the bloom itself. Bloom is then added to the final colour if the “useBloom” bool is true. HDR is added to screen colour using exposure mapping. The LUTs are all combined, and work the same as the bloom colour with their respective bools. If the final colour is black, then we should use the blank LUT in combination with the screen colour.</w:t>
      </w:r>
    </w:p>
    <w:p w:rsidR="00000000" w:rsidDel="00000000" w:rsidP="00000000" w:rsidRDefault="00000000" w:rsidRPr="00000000" w14:paraId="0000001A">
      <w:pPr>
        <w:rPr>
          <w:sz w:val="24"/>
          <w:szCs w:val="24"/>
        </w:rPr>
      </w:pPr>
      <w:r w:rsidDel="00000000" w:rsidR="00000000" w:rsidRPr="00000000">
        <w:rPr>
          <w:sz w:val="24"/>
          <w:szCs w:val="24"/>
          <w:rtl w:val="0"/>
        </w:rPr>
        <w:t xml:space="preserve">Vertex</w:t>
      </w:r>
    </w:p>
    <w:p w:rsidR="00000000" w:rsidDel="00000000" w:rsidP="00000000" w:rsidRDefault="00000000" w:rsidRPr="00000000" w14:paraId="0000001B">
      <w:pPr>
        <w:rPr/>
      </w:pPr>
      <w:r w:rsidDel="00000000" w:rsidR="00000000" w:rsidRPr="00000000">
        <w:rPr/>
        <w:drawing>
          <wp:inline distB="0" distT="0" distL="0" distR="0">
            <wp:extent cx="2524744" cy="2823592"/>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24744" cy="282359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fragment shader sends the texture coordinates, view direction, frag position and TBN matrix to the fragment shader. Besides that, it combines model view and projection matrices with the input position to project the model into 3D space. The TBN matrix is used in order to achieve tangent-space normal mapping.</w:t>
      </w:r>
    </w:p>
    <w:p w:rsidR="00000000" w:rsidDel="00000000" w:rsidP="00000000" w:rsidRDefault="00000000" w:rsidRPr="00000000" w14:paraId="0000001D">
      <w:pPr>
        <w:rPr>
          <w:sz w:val="24"/>
          <w:szCs w:val="24"/>
          <w:u w:val="single"/>
        </w:rPr>
      </w:pPr>
      <w:bookmarkStart w:colFirst="0" w:colLast="0" w:name="_heading=h.gjdgxs" w:id="0"/>
      <w:bookmarkEnd w:id="0"/>
      <w:r w:rsidDel="00000000" w:rsidR="00000000" w:rsidRPr="00000000">
        <w:rPr>
          <w:sz w:val="24"/>
          <w:szCs w:val="24"/>
          <w:u w:val="single"/>
          <w:rtl w:val="0"/>
        </w:rPr>
        <w:t xml:space="preserve">Fragment</w:t>
      </w:r>
    </w:p>
    <w:p w:rsidR="00000000" w:rsidDel="00000000" w:rsidP="00000000" w:rsidRDefault="00000000" w:rsidRPr="00000000" w14:paraId="0000001E">
      <w:pPr>
        <w:rPr/>
      </w:pPr>
      <w:r w:rsidDel="00000000" w:rsidR="00000000" w:rsidRPr="00000000">
        <w:rPr/>
        <w:drawing>
          <wp:inline distB="114300" distT="114300" distL="114300" distR="114300">
            <wp:extent cx="1591113" cy="3290888"/>
            <wp:effectExtent b="0" l="0" r="0" t="0"/>
            <wp:docPr id="2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591113" cy="3290888"/>
                    </a:xfrm>
                    <a:prstGeom prst="rect"/>
                    <a:ln/>
                  </pic:spPr>
                </pic:pic>
              </a:graphicData>
            </a:graphic>
          </wp:inline>
        </w:drawing>
      </w:r>
      <w:r w:rsidDel="00000000" w:rsidR="00000000" w:rsidRPr="00000000">
        <w:rPr/>
        <w:drawing>
          <wp:inline distB="114300" distT="114300" distL="114300" distR="114300">
            <wp:extent cx="2709863" cy="3020593"/>
            <wp:effectExtent b="0" l="0" r="0" t="0"/>
            <wp:docPr id="3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09863" cy="30205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first screenshot just shows how we organize the data from the vert shader/C++ side of things in the frag shader. The 2 layout locations are for rendering to the screen texture / bloom texture respectively.</w:t>
      </w:r>
    </w:p>
    <w:p w:rsidR="00000000" w:rsidDel="00000000" w:rsidP="00000000" w:rsidRDefault="00000000" w:rsidRPr="00000000" w14:paraId="00000020">
      <w:pPr>
        <w:rPr/>
      </w:pPr>
      <w:r w:rsidDel="00000000" w:rsidR="00000000" w:rsidRPr="00000000">
        <w:rPr>
          <w:rtl w:val="0"/>
        </w:rPr>
        <w:t xml:space="preserve">The second screenshot shows in a nutshell how we calculate light, along with how bloom is done.</w:t>
      </w:r>
    </w:p>
    <w:p w:rsidR="00000000" w:rsidDel="00000000" w:rsidP="00000000" w:rsidRDefault="00000000" w:rsidRPr="00000000" w14:paraId="00000021">
      <w:pPr>
        <w:rPr/>
      </w:pPr>
      <w:r w:rsidDel="00000000" w:rsidR="00000000" w:rsidRPr="00000000">
        <w:rPr/>
        <w:drawing>
          <wp:inline distB="0" distT="0" distL="0" distR="0">
            <wp:extent cx="3815352" cy="2360544"/>
            <wp:effectExtent b="0" l="0" r="0" t="0"/>
            <wp:docPr id="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15352" cy="236054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Here we calculate rim lighting with some custom scaling parameters and attenuation, cause we thought it would look cool. Along with that is Phong shading, particularly a point light. reflection direction is calculated, then attenuation, and all the results are combined together with the light’s specific variables and the textures passed. Attenuation is combined with all the components, and then all components are multiplied by their bools in order to have our toggle effects.</w:t>
      </w:r>
    </w:p>
    <w:p w:rsidR="00000000" w:rsidDel="00000000" w:rsidP="00000000" w:rsidRDefault="00000000" w:rsidRPr="00000000" w14:paraId="00000023">
      <w:pPr>
        <w:rPr>
          <w:sz w:val="24"/>
          <w:szCs w:val="24"/>
          <w:u w:val="single"/>
        </w:rPr>
      </w:pPr>
      <w:r w:rsidDel="00000000" w:rsidR="00000000" w:rsidRPr="00000000">
        <w:rPr/>
        <w:drawing>
          <wp:inline distB="0" distT="0" distL="0" distR="0">
            <wp:extent cx="4474429" cy="1395391"/>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74429" cy="139539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u w:val="single"/>
        </w:rPr>
      </w:pPr>
      <w:r w:rsidDel="00000000" w:rsidR="00000000" w:rsidRPr="00000000">
        <w:rPr>
          <w:rtl w:val="0"/>
        </w:rPr>
      </w:r>
    </w:p>
    <w:p w:rsidR="00000000" w:rsidDel="00000000" w:rsidP="00000000" w:rsidRDefault="00000000" w:rsidRPr="00000000" w14:paraId="00000025">
      <w:pPr>
        <w:jc w:val="center"/>
        <w:rPr>
          <w:sz w:val="24"/>
          <w:szCs w:val="24"/>
          <w:u w:val="single"/>
        </w:rPr>
      </w:pPr>
      <w:r w:rsidDel="00000000" w:rsidR="00000000" w:rsidRPr="00000000">
        <w:rPr>
          <w:rtl w:val="0"/>
        </w:rPr>
      </w:r>
    </w:p>
    <w:p w:rsidR="00000000" w:rsidDel="00000000" w:rsidP="00000000" w:rsidRDefault="00000000" w:rsidRPr="00000000" w14:paraId="00000026">
      <w:pPr>
        <w:jc w:val="center"/>
        <w:rPr>
          <w:sz w:val="24"/>
          <w:szCs w:val="24"/>
          <w:u w:val="single"/>
        </w:rPr>
      </w:pPr>
      <w:r w:rsidDel="00000000" w:rsidR="00000000" w:rsidRPr="00000000">
        <w:rPr>
          <w:rtl w:val="0"/>
        </w:rPr>
      </w:r>
    </w:p>
    <w:p w:rsidR="00000000" w:rsidDel="00000000" w:rsidP="00000000" w:rsidRDefault="00000000" w:rsidRPr="00000000" w14:paraId="00000027">
      <w:pPr>
        <w:jc w:val="center"/>
        <w:rPr>
          <w:sz w:val="24"/>
          <w:szCs w:val="24"/>
          <w:u w:val="single"/>
        </w:rPr>
      </w:pPr>
      <w:r w:rsidDel="00000000" w:rsidR="00000000" w:rsidRPr="00000000">
        <w:rPr>
          <w:rtl w:val="0"/>
        </w:rPr>
      </w:r>
    </w:p>
    <w:p w:rsidR="00000000" w:rsidDel="00000000" w:rsidP="00000000" w:rsidRDefault="00000000" w:rsidRPr="00000000" w14:paraId="00000028">
      <w:pPr>
        <w:jc w:val="center"/>
        <w:rPr>
          <w:sz w:val="24"/>
          <w:szCs w:val="24"/>
          <w:u w:val="single"/>
        </w:rPr>
      </w:pPr>
      <w:r w:rsidDel="00000000" w:rsidR="00000000" w:rsidRPr="00000000">
        <w:rPr>
          <w:rtl w:val="0"/>
        </w:rPr>
      </w:r>
    </w:p>
    <w:p w:rsidR="00000000" w:rsidDel="00000000" w:rsidP="00000000" w:rsidRDefault="00000000" w:rsidRPr="00000000" w14:paraId="00000029">
      <w:pPr>
        <w:jc w:val="center"/>
        <w:rPr>
          <w:sz w:val="24"/>
          <w:szCs w:val="24"/>
          <w:u w:val="single"/>
        </w:rPr>
      </w:pPr>
      <w:r w:rsidDel="00000000" w:rsidR="00000000" w:rsidRPr="00000000">
        <w:rPr>
          <w:rtl w:val="0"/>
        </w:rPr>
      </w:r>
    </w:p>
    <w:p w:rsidR="00000000" w:rsidDel="00000000" w:rsidP="00000000" w:rsidRDefault="00000000" w:rsidRPr="00000000" w14:paraId="0000002A">
      <w:pPr>
        <w:jc w:val="center"/>
        <w:rPr>
          <w:sz w:val="24"/>
          <w:szCs w:val="24"/>
          <w:u w:val="single"/>
        </w:rPr>
      </w:pPr>
      <w:r w:rsidDel="00000000" w:rsidR="00000000" w:rsidRPr="00000000">
        <w:rPr>
          <w:rtl w:val="0"/>
        </w:rPr>
      </w:r>
    </w:p>
    <w:p w:rsidR="00000000" w:rsidDel="00000000" w:rsidP="00000000" w:rsidRDefault="00000000" w:rsidRPr="00000000" w14:paraId="0000002B">
      <w:pPr>
        <w:jc w:val="center"/>
        <w:rPr>
          <w:sz w:val="24"/>
          <w:szCs w:val="24"/>
          <w:u w:val="single"/>
        </w:rPr>
      </w:pPr>
      <w:r w:rsidDel="00000000" w:rsidR="00000000" w:rsidRPr="00000000">
        <w:rPr>
          <w:rtl w:val="0"/>
        </w:rPr>
      </w:r>
    </w:p>
    <w:p w:rsidR="00000000" w:rsidDel="00000000" w:rsidP="00000000" w:rsidRDefault="00000000" w:rsidRPr="00000000" w14:paraId="0000002C">
      <w:pPr>
        <w:jc w:val="center"/>
        <w:rPr>
          <w:sz w:val="24"/>
          <w:szCs w:val="24"/>
          <w:u w:val="single"/>
        </w:rPr>
      </w:pPr>
      <w:r w:rsidDel="00000000" w:rsidR="00000000" w:rsidRPr="00000000">
        <w:rPr>
          <w:sz w:val="24"/>
          <w:szCs w:val="24"/>
          <w:u w:val="single"/>
          <w:rtl w:val="0"/>
        </w:rPr>
        <w:t xml:space="preserve">Screenshots of Modes</w:t>
      </w:r>
    </w:p>
    <w:p w:rsidR="00000000" w:rsidDel="00000000" w:rsidP="00000000" w:rsidRDefault="00000000" w:rsidRPr="00000000" w14:paraId="0000002D">
      <w:pPr>
        <w:rPr>
          <w:sz w:val="24"/>
          <w:szCs w:val="24"/>
        </w:rPr>
      </w:pPr>
      <w:r w:rsidDel="00000000" w:rsidR="00000000" w:rsidRPr="00000000">
        <w:rPr/>
        <w:drawing>
          <wp:inline distB="114300" distT="114300" distL="114300" distR="114300">
            <wp:extent cx="2266950" cy="1343025"/>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266950" cy="1343025"/>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114300" distT="114300" distL="114300" distR="114300">
            <wp:extent cx="2266950" cy="1343025"/>
            <wp:effectExtent b="0" l="0" r="0" t="0"/>
            <wp:docPr id="3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266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No lighting </w:t>
        <w:tab/>
        <w:tab/>
        <w:tab/>
        <w:tab/>
        <w:t xml:space="preserve">                             Ambient Lighting </w:t>
      </w:r>
    </w:p>
    <w:p w:rsidR="00000000" w:rsidDel="00000000" w:rsidP="00000000" w:rsidRDefault="00000000" w:rsidRPr="00000000" w14:paraId="0000002F">
      <w:pPr>
        <w:rPr>
          <w:sz w:val="24"/>
          <w:szCs w:val="24"/>
        </w:rPr>
      </w:pPr>
      <w:r w:rsidDel="00000000" w:rsidR="00000000" w:rsidRPr="00000000">
        <w:rPr/>
        <w:drawing>
          <wp:inline distB="114300" distT="114300" distL="114300" distR="114300">
            <wp:extent cx="2371725" cy="1409700"/>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371725" cy="1409700"/>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114300" distT="114300" distL="114300" distR="114300">
            <wp:extent cx="2362200" cy="139065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3622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Specular Lighting </w:t>
        <w:tab/>
        <w:tab/>
        <w:tab/>
        <w:tab/>
        <w:tab/>
        <w:t xml:space="preserve">        Specular and Rim Lighting</w:t>
      </w:r>
    </w:p>
    <w:p w:rsidR="00000000" w:rsidDel="00000000" w:rsidP="00000000" w:rsidRDefault="00000000" w:rsidRPr="00000000" w14:paraId="00000031">
      <w:pPr>
        <w:rPr>
          <w:sz w:val="24"/>
          <w:szCs w:val="24"/>
        </w:rPr>
      </w:pPr>
      <w:r w:rsidDel="00000000" w:rsidR="00000000" w:rsidRPr="00000000">
        <w:rPr/>
        <w:drawing>
          <wp:inline distB="114300" distT="114300" distL="114300" distR="114300">
            <wp:extent cx="2476500" cy="1466850"/>
            <wp:effectExtent b="0" l="0" r="0" t="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476500" cy="1466850"/>
                    </a:xfrm>
                    <a:prstGeom prst="rect"/>
                    <a:ln/>
                  </pic:spPr>
                </pic:pic>
              </a:graphicData>
            </a:graphic>
          </wp:inline>
        </w:drawing>
      </w:r>
      <w:r w:rsidDel="00000000" w:rsidR="00000000" w:rsidRPr="00000000">
        <w:rPr>
          <w:sz w:val="24"/>
          <w:szCs w:val="24"/>
          <w:rtl w:val="0"/>
        </w:rPr>
        <w:t xml:space="preserve">                    </w:t>
      </w:r>
      <w:r w:rsidDel="00000000" w:rsidR="00000000" w:rsidRPr="00000000">
        <w:rPr/>
        <w:drawing>
          <wp:inline distB="114300" distT="114300" distL="114300" distR="114300">
            <wp:extent cx="2476500" cy="1457325"/>
            <wp:effectExtent b="0" l="0" r="0" t="0"/>
            <wp:docPr id="2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4765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Specular, Rim, and Ambient Lighting                                Warm Colour Grading</w:t>
      </w:r>
    </w:p>
    <w:p w:rsidR="00000000" w:rsidDel="00000000" w:rsidP="00000000" w:rsidRDefault="00000000" w:rsidRPr="00000000" w14:paraId="00000033">
      <w:pPr>
        <w:rPr>
          <w:sz w:val="24"/>
          <w:szCs w:val="24"/>
        </w:rPr>
      </w:pPr>
      <w:r w:rsidDel="00000000" w:rsidR="00000000" w:rsidRPr="00000000">
        <w:rPr/>
        <w:drawing>
          <wp:inline distB="114300" distT="114300" distL="114300" distR="114300">
            <wp:extent cx="2524125" cy="1504950"/>
            <wp:effectExtent b="0" l="0" r="0" t="0"/>
            <wp:docPr id="2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524125" cy="1504950"/>
                    </a:xfrm>
                    <a:prstGeom prst="rect"/>
                    <a:ln/>
                  </pic:spPr>
                </pic:pic>
              </a:graphicData>
            </a:graphic>
          </wp:inline>
        </w:drawing>
      </w:r>
      <w:r w:rsidDel="00000000" w:rsidR="00000000" w:rsidRPr="00000000">
        <w:rPr>
          <w:rtl w:val="0"/>
        </w:rPr>
        <w:t xml:space="preserve">          </w:t>
        <w:tab/>
      </w:r>
      <w:r w:rsidDel="00000000" w:rsidR="00000000" w:rsidRPr="00000000">
        <w:rPr/>
        <w:drawing>
          <wp:inline distB="114300" distT="114300" distL="114300" distR="114300">
            <wp:extent cx="2457450" cy="1447800"/>
            <wp:effectExtent b="0" l="0" r="0" t="0"/>
            <wp:docPr id="3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4574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Cool Colour Grading</w:t>
        <w:tab/>
        <w:tab/>
        <w:tab/>
        <w:tab/>
        <w:tab/>
        <w:tab/>
        <w:t xml:space="preserve">Custom Colour Grading</w:t>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4443413" cy="1855678"/>
            <wp:effectExtent b="0" l="0" r="0" t="0"/>
            <wp:docPr id="2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443413" cy="185567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Base</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4652963" cy="2205915"/>
            <wp:effectExtent b="0" l="0" r="0" t="0"/>
            <wp:docPr id="3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652963" cy="22059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Warm LUT</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4586288" cy="2085497"/>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586288" cy="208549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Cool LUT</w:t>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4672013" cy="2263852"/>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672013" cy="226385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Custom LUT</w:t>
      </w:r>
    </w:p>
    <w:p w:rsidR="00000000" w:rsidDel="00000000" w:rsidP="00000000" w:rsidRDefault="00000000" w:rsidRPr="00000000" w14:paraId="0000003D">
      <w:pPr>
        <w:rPr>
          <w:sz w:val="24"/>
          <w:szCs w:val="24"/>
        </w:rPr>
      </w:pPr>
      <w:r w:rsidDel="00000000" w:rsidR="00000000" w:rsidRPr="00000000">
        <w:rPr>
          <w:sz w:val="24"/>
          <w:szCs w:val="24"/>
          <w:rtl w:val="0"/>
        </w:rPr>
        <w:t xml:space="preserve">References:</w:t>
      </w:r>
    </w:p>
    <w:p w:rsidR="00000000" w:rsidDel="00000000" w:rsidP="00000000" w:rsidRDefault="00000000" w:rsidRPr="00000000" w14:paraId="0000003E">
      <w:pPr>
        <w:rPr>
          <w:sz w:val="24"/>
          <w:szCs w:val="24"/>
        </w:rPr>
      </w:pPr>
      <w:hyperlink r:id="rId29">
        <w:r w:rsidDel="00000000" w:rsidR="00000000" w:rsidRPr="00000000">
          <w:rPr>
            <w:color w:val="1155cc"/>
            <w:sz w:val="24"/>
            <w:szCs w:val="24"/>
            <w:u w:val="single"/>
            <w:rtl w:val="0"/>
          </w:rPr>
          <w:t xml:space="preserve">https://developer.nvidia.com/gpugems/gpugems2/part-iii-high-quality-rendering/chapter-24-using-lookup-tables-accelerate-color</w:t>
        </w:r>
      </w:hyperlink>
      <w:r w:rsidDel="00000000" w:rsidR="00000000" w:rsidRPr="00000000">
        <w:rPr>
          <w:sz w:val="24"/>
          <w:szCs w:val="24"/>
          <w:rtl w:val="0"/>
        </w:rPr>
        <w:t xml:space="preserve"> </w:t>
      </w:r>
    </w:p>
    <w:p w:rsidR="00000000" w:rsidDel="00000000" w:rsidP="00000000" w:rsidRDefault="00000000" w:rsidRPr="00000000" w14:paraId="0000003F">
      <w:pPr>
        <w:rPr>
          <w:sz w:val="24"/>
          <w:szCs w:val="24"/>
        </w:rPr>
      </w:pPr>
      <w:hyperlink r:id="rId30">
        <w:r w:rsidDel="00000000" w:rsidR="00000000" w:rsidRPr="00000000">
          <w:rPr>
            <w:color w:val="1155cc"/>
            <w:sz w:val="24"/>
            <w:szCs w:val="24"/>
            <w:u w:val="single"/>
            <w:rtl w:val="0"/>
          </w:rPr>
          <w:t xml:space="preserve">https://wwwimages2.adobe.com/content/dam/acom/en/products/speedgrade/cc/pdfs/cube-lut-specification-1.0.pdf</w:t>
        </w:r>
      </w:hyperlink>
      <w:r w:rsidDel="00000000" w:rsidR="00000000" w:rsidRPr="00000000">
        <w:rPr>
          <w:sz w:val="24"/>
          <w:szCs w:val="24"/>
          <w:rtl w:val="0"/>
        </w:rPr>
        <w:t xml:space="preserve"> </w:t>
      </w:r>
    </w:p>
    <w:p w:rsidR="00000000" w:rsidDel="00000000" w:rsidP="00000000" w:rsidRDefault="00000000" w:rsidRPr="00000000" w14:paraId="00000040">
      <w:pPr>
        <w:rPr>
          <w:sz w:val="24"/>
          <w:szCs w:val="24"/>
        </w:rPr>
      </w:pPr>
      <w:hyperlink r:id="rId31">
        <w:r w:rsidDel="00000000" w:rsidR="00000000" w:rsidRPr="00000000">
          <w:rPr>
            <w:color w:val="1155cc"/>
            <w:sz w:val="24"/>
            <w:szCs w:val="24"/>
            <w:u w:val="single"/>
            <w:rtl w:val="0"/>
          </w:rPr>
          <w:t xml:space="preserve">https://steamcdn-a.akamaihd.net/apps/valve/2007/NPAR07_IllustrativeRenderingInTeamFortress2.pdf</w:t>
        </w:r>
      </w:hyperlink>
      <w:r w:rsidDel="00000000" w:rsidR="00000000" w:rsidRPr="00000000">
        <w:rPr>
          <w:rtl w:val="0"/>
        </w:rPr>
      </w:r>
    </w:p>
    <w:p w:rsidR="00000000" w:rsidDel="00000000" w:rsidP="00000000" w:rsidRDefault="00000000" w:rsidRPr="00000000" w14:paraId="00000041">
      <w:pPr>
        <w:rPr>
          <w:sz w:val="24"/>
          <w:szCs w:val="24"/>
        </w:rPr>
      </w:pPr>
      <w:hyperlink r:id="rId32">
        <w:r w:rsidDel="00000000" w:rsidR="00000000" w:rsidRPr="00000000">
          <w:rPr>
            <w:color w:val="1155cc"/>
            <w:sz w:val="24"/>
            <w:szCs w:val="24"/>
            <w:u w:val="single"/>
            <w:rtl w:val="0"/>
          </w:rPr>
          <w:t xml:space="preserve">http://in2gpu.com/2014/07/02/rim-lighting/</w:t>
        </w:r>
      </w:hyperlink>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eveloper.nvidia.com/gpugems/gpugems2/part-iii-high-quality-rendering/chapter-24-using-lookup-tables-accelerate-color" TargetMode="External"/><Relationship Id="rId7" Type="http://schemas.openxmlformats.org/officeDocument/2006/relationships/image" Target="media/image13.png"/><Relationship Id="rId8" Type="http://schemas.openxmlformats.org/officeDocument/2006/relationships/image" Target="media/image9.png"/><Relationship Id="rId31" Type="http://schemas.openxmlformats.org/officeDocument/2006/relationships/hyperlink" Target="https://steamcdn-a.akamaihd.net/apps/valve/2007/NPAR07_IllustrativeRenderingInTeamFortress2.pdf" TargetMode="External"/><Relationship Id="rId30" Type="http://schemas.openxmlformats.org/officeDocument/2006/relationships/hyperlink" Target="https://wwwimages2.adobe.com/content/dam/acom/en/products/speedgrade/cc/pdfs/cube-lut-specification-1.0.pdf" TargetMode="External"/><Relationship Id="rId11" Type="http://schemas.openxmlformats.org/officeDocument/2006/relationships/image" Target="media/image10.png"/><Relationship Id="rId10" Type="http://schemas.openxmlformats.org/officeDocument/2006/relationships/image" Target="media/image19.png"/><Relationship Id="rId32" Type="http://schemas.openxmlformats.org/officeDocument/2006/relationships/hyperlink" Target="http://in2gpu.com/2014/07/02/rim-lighting/" TargetMode="External"/><Relationship Id="rId13" Type="http://schemas.openxmlformats.org/officeDocument/2006/relationships/image" Target="media/image16.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2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R/Gwx2Y9ruh1dMwNPkocCohYfA==">AMUW2mWk+2ro5w3x+f35fowcrYMBSWCTkUL01vIS3+/sgNMr7pzL+wNlbr9W1sNjFt3wVfxSVvA6CKXsO1OrnCQtYi/ZXzOsH2eIsyw5szGxGCW6z5tpPpFpdQBpSgepM5US0Tyx9tMY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2020-02-04T21:49:00Z</dcterms:created>
  <dc:creator>Evyn Brouwer</dc:creator>
</cp:coreProperties>
</file>