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2018F5" w:rsidRDefault="006223C6" w14:paraId="4E714873" w14:textId="77777777">
      <w:pPr>
        <w:widowControl w:val="0"/>
        <w:jc w:val="center"/>
        <w:rPr>
          <w:b/>
          <w:sz w:val="36"/>
          <w:szCs w:val="36"/>
        </w:rPr>
      </w:pPr>
      <w:r>
        <w:rPr>
          <w:noProof/>
        </w:rPr>
        <w:drawing>
          <wp:anchor distT="114300" distB="114300" distL="114300" distR="114300" simplePos="0" relativeHeight="251658240" behindDoc="1" locked="0" layoutInCell="1" hidden="0" allowOverlap="1" wp14:anchorId="4E7148D8" wp14:editId="4E7148D9">
            <wp:simplePos x="0" y="0"/>
            <wp:positionH relativeFrom="column">
              <wp:posOffset>1</wp:posOffset>
            </wp:positionH>
            <wp:positionV relativeFrom="paragraph">
              <wp:posOffset>114300</wp:posOffset>
            </wp:positionV>
            <wp:extent cx="3438525" cy="29432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38525" cy="2943225"/>
                    </a:xfrm>
                    <a:prstGeom prst="rect">
                      <a:avLst/>
                    </a:prstGeom>
                    <a:ln/>
                  </pic:spPr>
                </pic:pic>
              </a:graphicData>
            </a:graphic>
          </wp:anchor>
        </w:drawing>
      </w:r>
    </w:p>
    <w:p w:rsidR="002018F5" w:rsidRDefault="002018F5" w14:paraId="4E714874" w14:textId="77777777">
      <w:pPr>
        <w:widowControl w:val="0"/>
        <w:jc w:val="center"/>
        <w:rPr>
          <w:b/>
          <w:sz w:val="36"/>
          <w:szCs w:val="36"/>
        </w:rPr>
      </w:pPr>
    </w:p>
    <w:p w:rsidR="002018F5" w:rsidRDefault="002018F5" w14:paraId="4E714875" w14:textId="77777777">
      <w:pPr>
        <w:widowControl w:val="0"/>
        <w:jc w:val="center"/>
        <w:rPr>
          <w:b/>
          <w:sz w:val="36"/>
          <w:szCs w:val="36"/>
        </w:rPr>
      </w:pPr>
    </w:p>
    <w:p w:rsidR="002018F5" w:rsidRDefault="002018F5" w14:paraId="4E714876" w14:textId="77777777">
      <w:pPr>
        <w:widowControl w:val="0"/>
        <w:jc w:val="center"/>
        <w:rPr>
          <w:b/>
          <w:sz w:val="36"/>
          <w:szCs w:val="36"/>
        </w:rPr>
      </w:pPr>
    </w:p>
    <w:p w:rsidR="002018F5" w:rsidRDefault="002018F5" w14:paraId="4E714877" w14:textId="77777777">
      <w:pPr>
        <w:widowControl w:val="0"/>
        <w:jc w:val="center"/>
        <w:rPr>
          <w:b/>
          <w:sz w:val="36"/>
          <w:szCs w:val="36"/>
        </w:rPr>
      </w:pPr>
    </w:p>
    <w:p w:rsidR="002018F5" w:rsidRDefault="002018F5" w14:paraId="4E714878" w14:textId="77777777">
      <w:pPr>
        <w:widowControl w:val="0"/>
        <w:jc w:val="center"/>
        <w:rPr>
          <w:b/>
          <w:sz w:val="36"/>
          <w:szCs w:val="36"/>
        </w:rPr>
      </w:pPr>
    </w:p>
    <w:p w:rsidR="002018F5" w:rsidRDefault="002018F5" w14:paraId="4E714879" w14:textId="77777777">
      <w:pPr>
        <w:widowControl w:val="0"/>
        <w:jc w:val="center"/>
        <w:rPr>
          <w:b/>
          <w:sz w:val="36"/>
          <w:szCs w:val="36"/>
        </w:rPr>
      </w:pPr>
    </w:p>
    <w:p w:rsidR="002018F5" w:rsidRDefault="002018F5" w14:paraId="4E71487A" w14:textId="77777777">
      <w:pPr>
        <w:widowControl w:val="0"/>
        <w:jc w:val="center"/>
        <w:rPr>
          <w:b/>
          <w:sz w:val="36"/>
          <w:szCs w:val="36"/>
        </w:rPr>
      </w:pPr>
    </w:p>
    <w:p w:rsidR="002018F5" w:rsidRDefault="002018F5" w14:paraId="4E71487B" w14:textId="77777777">
      <w:pPr>
        <w:widowControl w:val="0"/>
        <w:jc w:val="center"/>
        <w:rPr>
          <w:b/>
          <w:sz w:val="36"/>
          <w:szCs w:val="36"/>
        </w:rPr>
      </w:pPr>
    </w:p>
    <w:p w:rsidR="002018F5" w:rsidRDefault="002018F5" w14:paraId="4E71487C" w14:textId="77777777">
      <w:pPr>
        <w:widowControl w:val="0"/>
        <w:jc w:val="center"/>
        <w:rPr>
          <w:b/>
          <w:sz w:val="36"/>
          <w:szCs w:val="36"/>
        </w:rPr>
      </w:pPr>
    </w:p>
    <w:p w:rsidR="002018F5" w:rsidRDefault="002018F5" w14:paraId="4E71487D" w14:textId="77777777">
      <w:pPr>
        <w:widowControl w:val="0"/>
        <w:jc w:val="center"/>
        <w:rPr>
          <w:b/>
          <w:sz w:val="36"/>
          <w:szCs w:val="36"/>
        </w:rPr>
      </w:pPr>
    </w:p>
    <w:p w:rsidR="002018F5" w:rsidRDefault="006223C6" w14:paraId="4E71487E" w14:textId="77777777">
      <w:pPr>
        <w:widowControl w:val="0"/>
        <w:jc w:val="center"/>
        <w:rPr>
          <w:b/>
          <w:sz w:val="36"/>
          <w:szCs w:val="36"/>
        </w:rPr>
      </w:pPr>
      <w:r>
        <w:rPr>
          <w:b/>
          <w:sz w:val="36"/>
          <w:szCs w:val="36"/>
        </w:rPr>
        <w:t>Cahier des charges des prestataires externes</w:t>
      </w:r>
    </w:p>
    <w:p w:rsidR="002018F5" w:rsidRDefault="006223C6" w14:paraId="4E71487F" w14:textId="77777777">
      <w:pPr>
        <w:widowControl w:val="0"/>
        <w:jc w:val="center"/>
        <w:rPr>
          <w:u w:val="single"/>
        </w:rPr>
      </w:pPr>
      <w:r>
        <w:rPr>
          <w:b/>
          <w:i/>
          <w:sz w:val="30"/>
          <w:szCs w:val="30"/>
        </w:rPr>
        <w:t>Exigences</w:t>
      </w:r>
      <w:r>
        <w:rPr>
          <w:b/>
          <w:i/>
          <w:sz w:val="36"/>
          <w:szCs w:val="36"/>
        </w:rPr>
        <w:t xml:space="preserve"> </w:t>
      </w:r>
      <w:r>
        <w:rPr>
          <w:b/>
          <w:i/>
          <w:sz w:val="30"/>
          <w:szCs w:val="30"/>
        </w:rPr>
        <w:t>de GD Biotech envers ses prestataires externes</w:t>
      </w:r>
    </w:p>
    <w:p w:rsidR="002018F5" w:rsidRDefault="002018F5" w14:paraId="4E714880" w14:textId="77777777">
      <w:pPr>
        <w:widowControl w:val="0"/>
        <w:jc w:val="center"/>
        <w:rPr>
          <w:u w:val="single"/>
        </w:rPr>
      </w:pPr>
    </w:p>
    <w:p w:rsidR="002018F5" w:rsidRDefault="006223C6" w14:paraId="4E714881" w14:textId="3921D9C9">
      <w:pPr>
        <w:widowControl w:val="0"/>
        <w:jc w:val="both"/>
      </w:pPr>
      <w:r w:rsidRPr="404B7EF7" w:rsidR="006223C6">
        <w:rPr>
          <w:lang w:val="fr-FR"/>
        </w:rPr>
        <w:t xml:space="preserve">Afin de satisfaire continuellement aux exigences de ses clients, GD Biotech met en place </w:t>
      </w:r>
      <w:r w:rsidRPr="404B7EF7" w:rsidR="006223C6">
        <w:rPr>
          <w:lang w:val="fr-FR"/>
        </w:rPr>
        <w:t>ce cahier</w:t>
      </w:r>
      <w:r w:rsidRPr="404B7EF7" w:rsidR="006223C6">
        <w:rPr>
          <w:lang w:val="fr-FR"/>
        </w:rPr>
        <w:t xml:space="preserve"> des charges, ayant pour objectif de définir le cadre de collaboration entre GD Biotech et ses prestataires externes afin de garantir un niveau de prestation assurant à GD Biotech le respect de la démarche qualité qu’il a mise en place. La prise en compte de ces exigences permettra à chaque partenaire de GD Biotech de contribuer à une collaboration durable. </w:t>
      </w:r>
    </w:p>
    <w:p w:rsidR="002018F5" w:rsidRDefault="006223C6" w14:paraId="4E714882" w14:textId="77777777">
      <w:pPr>
        <w:widowControl w:val="0"/>
        <w:jc w:val="cente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2018F5" w:rsidRDefault="002018F5" w14:paraId="4E714883" w14:textId="77777777">
      <w:pPr>
        <w:widowControl w:val="0"/>
        <w:jc w:val="center"/>
      </w:pPr>
    </w:p>
    <w:p w:rsidR="002018F5" w:rsidRDefault="006223C6" w14:paraId="4E714884" w14:textId="77777777">
      <w:pPr>
        <w:widowControl w:val="0"/>
        <w:jc w:val="both"/>
        <w:rPr>
          <w:b/>
        </w:rPr>
      </w:pPr>
      <w:r>
        <w:rPr>
          <w:b/>
        </w:rPr>
        <w:t>1/ OFFRE</w:t>
      </w:r>
    </w:p>
    <w:p w:rsidR="002018F5" w:rsidRDefault="006223C6" w14:paraId="4E714885" w14:textId="77777777">
      <w:pPr>
        <w:widowControl w:val="0"/>
        <w:tabs>
          <w:tab w:val="left" w:pos="425"/>
        </w:tabs>
        <w:spacing w:line="240" w:lineRule="auto"/>
        <w:jc w:val="both"/>
      </w:pPr>
      <w:r>
        <w:t>L’offre transmise par le prestataire mentionne obligatoirement le prix, et dans la mesure du possible les délais de livraison ou d’intervention, les conditions de paiement de la prestation. D’éventuelles conditions supplémentaires établies lors des échanges de négociations peuvent la compléter.</w:t>
      </w:r>
    </w:p>
    <w:p w:rsidR="002018F5" w:rsidRDefault="002018F5" w14:paraId="4E714886" w14:textId="77777777">
      <w:pPr>
        <w:widowControl w:val="0"/>
        <w:tabs>
          <w:tab w:val="left" w:pos="425"/>
        </w:tabs>
        <w:spacing w:line="240" w:lineRule="auto"/>
        <w:jc w:val="both"/>
      </w:pPr>
    </w:p>
    <w:p w:rsidR="002018F5" w:rsidRDefault="006223C6" w14:paraId="4E714887" w14:textId="77777777">
      <w:pPr>
        <w:widowControl w:val="0"/>
        <w:tabs>
          <w:tab w:val="left" w:pos="425"/>
        </w:tabs>
        <w:spacing w:line="240" w:lineRule="auto"/>
        <w:jc w:val="both"/>
        <w:rPr>
          <w:i/>
        </w:rPr>
      </w:pPr>
      <w:r>
        <w:rPr>
          <w:b/>
        </w:rPr>
        <w:t xml:space="preserve">2/ COMMANDE </w:t>
      </w:r>
    </w:p>
    <w:p w:rsidR="002018F5" w:rsidRDefault="006223C6" w14:paraId="4E714888" w14:textId="77777777">
      <w:pPr>
        <w:widowControl w:val="0"/>
        <w:tabs>
          <w:tab w:val="left" w:pos="425"/>
        </w:tabs>
        <w:spacing w:line="240" w:lineRule="auto"/>
        <w:jc w:val="both"/>
      </w:pPr>
      <w:r>
        <w:t>A réception du bon de commande, le prestataire externe dispose de 5 jours ouvrés pour accuser réception et faire parvenir ses conditions générales de vente. Pour tout écart, le prestataire s’engage à prévenir le signataire du bon de commande et tout autre contact de GD Biotech mentionné sur celui-ci.</w:t>
      </w:r>
    </w:p>
    <w:p w:rsidR="002018F5" w:rsidRDefault="002018F5" w14:paraId="4E714889" w14:textId="77777777">
      <w:pPr>
        <w:widowControl w:val="0"/>
        <w:tabs>
          <w:tab w:val="left" w:pos="425"/>
        </w:tabs>
        <w:spacing w:line="240" w:lineRule="auto"/>
        <w:jc w:val="both"/>
      </w:pPr>
    </w:p>
    <w:p w:rsidR="002018F5" w:rsidRDefault="006223C6" w14:paraId="4E71488A" w14:textId="77777777">
      <w:pPr>
        <w:widowControl w:val="0"/>
        <w:tabs>
          <w:tab w:val="left" w:pos="425"/>
        </w:tabs>
        <w:spacing w:line="240" w:lineRule="auto"/>
        <w:jc w:val="both"/>
      </w:pPr>
      <w:r>
        <w:rPr>
          <w:u w:val="single"/>
        </w:rPr>
        <w:t>Concernant les prestataires de service</w:t>
      </w:r>
      <w:r>
        <w:t xml:space="preserve"> : toutes les exigences GD Biotech sont spécifiées dans ses commandes. Toute spécification notifiée dans notre commande devra obligatoirement être retranscrite dans l’accusé de réception de la commande.</w:t>
      </w:r>
    </w:p>
    <w:p w:rsidR="002018F5" w:rsidRDefault="006223C6" w14:paraId="4E71488B" w14:textId="77777777">
      <w:pPr>
        <w:widowControl w:val="0"/>
        <w:tabs>
          <w:tab w:val="left" w:pos="425"/>
        </w:tabs>
        <w:spacing w:line="240" w:lineRule="auto"/>
        <w:jc w:val="both"/>
      </w:pPr>
      <w:r>
        <w:t>Le prestataire s’engage à réaliser une revue de contrat afin que toutes les exigences soient prises en compte et respectées tout au long de la prestation effectuée.</w:t>
      </w:r>
    </w:p>
    <w:p w:rsidR="002018F5" w:rsidRDefault="002018F5" w14:paraId="4E71488C" w14:textId="77777777">
      <w:pPr>
        <w:widowControl w:val="0"/>
        <w:tabs>
          <w:tab w:val="left" w:pos="425"/>
        </w:tabs>
        <w:spacing w:line="240" w:lineRule="auto"/>
        <w:jc w:val="both"/>
      </w:pPr>
    </w:p>
    <w:p w:rsidR="002018F5" w:rsidRDefault="002018F5" w14:paraId="4E71488D" w14:textId="77777777">
      <w:pPr>
        <w:widowControl w:val="0"/>
        <w:tabs>
          <w:tab w:val="left" w:pos="425"/>
        </w:tabs>
        <w:spacing w:line="240" w:lineRule="auto"/>
        <w:jc w:val="both"/>
      </w:pPr>
    </w:p>
    <w:p w:rsidR="002018F5" w:rsidRDefault="002018F5" w14:paraId="4E71488E" w14:textId="77777777">
      <w:pPr>
        <w:widowControl w:val="0"/>
        <w:tabs>
          <w:tab w:val="left" w:pos="425"/>
        </w:tabs>
        <w:spacing w:line="240" w:lineRule="auto"/>
        <w:jc w:val="both"/>
      </w:pPr>
    </w:p>
    <w:p w:rsidR="002018F5" w:rsidRDefault="006223C6" w14:paraId="4E71488F" w14:textId="77777777">
      <w:pPr>
        <w:widowControl w:val="0"/>
        <w:tabs>
          <w:tab w:val="left" w:pos="425"/>
        </w:tabs>
        <w:spacing w:line="240" w:lineRule="auto"/>
        <w:jc w:val="both"/>
        <w:rPr>
          <w:b/>
        </w:rPr>
      </w:pPr>
      <w:r>
        <w:rPr>
          <w:b/>
        </w:rPr>
        <w:t>3/ EXÉCUTION DE LA COMMANDE</w:t>
      </w:r>
    </w:p>
    <w:p w:rsidR="002018F5" w:rsidRDefault="006223C6" w14:paraId="4E714890" w14:textId="6FDE978A">
      <w:pPr>
        <w:widowControl w:val="0"/>
        <w:tabs>
          <w:tab w:val="left" w:pos="425"/>
        </w:tabs>
        <w:spacing w:line="240" w:lineRule="auto"/>
        <w:jc w:val="both"/>
      </w:pPr>
      <w:r>
        <w:lastRenderedPageBreak/>
        <w:t>Le prestataire externe</w:t>
      </w:r>
      <w:r w:rsidR="00D10540">
        <w:t xml:space="preserve"> doit mettre</w:t>
      </w:r>
      <w:r>
        <w:t xml:space="preserve"> en œuvre les moyens techniques et humains pour répondre aux exigences de GD Biotech. Les produits doivent être contrôlés par du personnel qualifié avant livraison. GD Biotech pourra demander un rapport de contrôle à la livraison ou tout autre document de preuve lié au contrôle du produit. Cette demande sera spécifiée au moment de la commande.</w:t>
      </w:r>
    </w:p>
    <w:p w:rsidR="002018F5" w:rsidRDefault="006223C6" w14:paraId="4E714891" w14:textId="77777777">
      <w:pPr>
        <w:widowControl w:val="0"/>
        <w:tabs>
          <w:tab w:val="left" w:pos="425"/>
        </w:tabs>
        <w:spacing w:line="240" w:lineRule="auto"/>
        <w:jc w:val="both"/>
      </w:pPr>
      <w:r>
        <w:t>Si le prestataire décide de sous-traiter la commande, la société GD Biotech devra en être informée. Le nom du sous-traitant devra être communiqué. Le prestataire devra obtenir l’accord de GD Biotech pour sous-traiter la commande. Dans tous les cas, les exigences décrites dans ce cahier des charges ainsi que dans nos commandes devront être retranscrites chez le prestataire sous-traitant.</w:t>
      </w:r>
    </w:p>
    <w:p w:rsidR="002018F5" w:rsidRDefault="002018F5" w14:paraId="4E714892" w14:textId="77777777">
      <w:pPr>
        <w:widowControl w:val="0"/>
        <w:tabs>
          <w:tab w:val="left" w:pos="425"/>
        </w:tabs>
        <w:spacing w:line="240" w:lineRule="auto"/>
        <w:jc w:val="both"/>
      </w:pPr>
    </w:p>
    <w:p w:rsidR="002018F5" w:rsidRDefault="006223C6" w14:paraId="4E714893" w14:textId="77777777">
      <w:pPr>
        <w:widowControl w:val="0"/>
        <w:tabs>
          <w:tab w:val="left" w:pos="425"/>
        </w:tabs>
        <w:spacing w:line="240" w:lineRule="auto"/>
        <w:jc w:val="both"/>
      </w:pPr>
      <w:r>
        <w:rPr>
          <w:b/>
        </w:rPr>
        <w:t xml:space="preserve">4/ DÉLAI </w:t>
      </w:r>
    </w:p>
    <w:p w:rsidR="002018F5" w:rsidRDefault="006223C6" w14:paraId="4E714894" w14:textId="77777777">
      <w:pPr>
        <w:widowControl w:val="0"/>
        <w:tabs>
          <w:tab w:val="left" w:pos="425"/>
        </w:tabs>
        <w:spacing w:line="240" w:lineRule="auto"/>
        <w:jc w:val="both"/>
      </w:pPr>
      <w:r>
        <w:t>Les délais sur la commande sont rendus à réception dans nos locaux. Le délai sur lequel le prestataire s’est engagé doit être tenu. Dans le cas contraire, il s’engage à communiquer au signataire du bon de commande et tout autre contact de GD Biotech mentionné sur celui-ci, le ou les nouveaux délais.</w:t>
      </w:r>
    </w:p>
    <w:p w:rsidR="002018F5" w:rsidRDefault="002018F5" w14:paraId="4E714895" w14:textId="77777777">
      <w:pPr>
        <w:widowControl w:val="0"/>
        <w:tabs>
          <w:tab w:val="left" w:pos="425"/>
        </w:tabs>
        <w:spacing w:line="240" w:lineRule="auto"/>
        <w:jc w:val="both"/>
      </w:pPr>
    </w:p>
    <w:p w:rsidR="002018F5" w:rsidRDefault="006223C6" w14:paraId="4E714896" w14:textId="77777777">
      <w:pPr>
        <w:widowControl w:val="0"/>
        <w:tabs>
          <w:tab w:val="left" w:pos="425"/>
        </w:tabs>
        <w:spacing w:line="240" w:lineRule="auto"/>
        <w:jc w:val="both"/>
        <w:rPr>
          <w:b/>
        </w:rPr>
      </w:pPr>
      <w:r>
        <w:rPr>
          <w:b/>
        </w:rPr>
        <w:t>5/ LIVRAISON DES PRODUITS</w:t>
      </w:r>
    </w:p>
    <w:p w:rsidR="002018F5" w:rsidRDefault="006223C6" w14:paraId="4E714897" w14:textId="77777777">
      <w:pPr>
        <w:widowControl w:val="0"/>
        <w:tabs>
          <w:tab w:val="left" w:pos="425"/>
        </w:tabs>
        <w:spacing w:line="240" w:lineRule="auto"/>
        <w:jc w:val="both"/>
      </w:pPr>
      <w:r>
        <w:t xml:space="preserve">L’adresse de livraison doit être clairement identifiable. Les produits livrés devront être emballés de sorte à être intégralement préservés de toute dégradation. Les produits devront être clairement identifiés. </w:t>
      </w:r>
    </w:p>
    <w:p w:rsidR="002018F5" w:rsidRDefault="006223C6" w14:paraId="4E714898" w14:textId="77777777">
      <w:pPr>
        <w:widowControl w:val="0"/>
        <w:tabs>
          <w:tab w:val="left" w:pos="425"/>
        </w:tabs>
        <w:spacing w:line="240" w:lineRule="auto"/>
        <w:jc w:val="both"/>
      </w:pPr>
      <w:r>
        <w:t xml:space="preserve">Dans le cas de livraison de pièces ou équipements, ceux-ci doivent être livrés propres, exempts de pollutions et de corps étrangers. </w:t>
      </w:r>
    </w:p>
    <w:p w:rsidR="002018F5" w:rsidRDefault="002018F5" w14:paraId="4E714899" w14:textId="77777777">
      <w:pPr>
        <w:widowControl w:val="0"/>
        <w:tabs>
          <w:tab w:val="left" w:pos="425"/>
        </w:tabs>
        <w:spacing w:line="240" w:lineRule="auto"/>
        <w:jc w:val="both"/>
      </w:pPr>
    </w:p>
    <w:p w:rsidR="002018F5" w:rsidRDefault="006223C6" w14:paraId="4E71489A" w14:textId="77777777">
      <w:pPr>
        <w:widowControl w:val="0"/>
        <w:tabs>
          <w:tab w:val="left" w:pos="425"/>
        </w:tabs>
        <w:spacing w:line="240" w:lineRule="auto"/>
        <w:jc w:val="both"/>
      </w:pPr>
      <w:r>
        <w:t xml:space="preserve">Toute livraison sera accompagnée des documents nécessaires dont : </w:t>
      </w:r>
    </w:p>
    <w:p w:rsidR="002018F5" w:rsidRDefault="006223C6" w14:paraId="4E71489B" w14:textId="77777777">
      <w:pPr>
        <w:widowControl w:val="0"/>
        <w:numPr>
          <w:ilvl w:val="0"/>
          <w:numId w:val="2"/>
        </w:numPr>
        <w:tabs>
          <w:tab w:val="left" w:pos="425"/>
        </w:tabs>
        <w:spacing w:line="240" w:lineRule="auto"/>
        <w:jc w:val="both"/>
        <w:rPr/>
      </w:pPr>
      <w:r w:rsidRPr="357F7703" w:rsidR="006223C6">
        <w:rPr>
          <w:lang w:val="fr-FR"/>
        </w:rPr>
        <w:t>le bon de livraison incluant à minima la référence de la commande, les quantités et la désignation,</w:t>
      </w:r>
    </w:p>
    <w:p w:rsidR="002018F5" w:rsidRDefault="006223C6" w14:paraId="4E71489C" w14:textId="77777777">
      <w:pPr>
        <w:widowControl w:val="0"/>
        <w:numPr>
          <w:ilvl w:val="0"/>
          <w:numId w:val="2"/>
        </w:numPr>
        <w:tabs>
          <w:tab w:val="left" w:pos="425"/>
        </w:tabs>
        <w:spacing w:line="240" w:lineRule="auto"/>
        <w:jc w:val="both"/>
        <w:rPr/>
      </w:pPr>
      <w:r w:rsidRPr="357F7703" w:rsidR="006223C6">
        <w:rPr>
          <w:lang w:val="fr-FR"/>
        </w:rPr>
        <w:t>une déclaration de conformité, ou à défaut un accès simple et rapide à son téléchargement.</w:t>
      </w:r>
    </w:p>
    <w:p w:rsidR="002018F5" w:rsidRDefault="006223C6" w14:paraId="4E71489D" w14:textId="77777777">
      <w:pPr>
        <w:widowControl w:val="0"/>
        <w:tabs>
          <w:tab w:val="left" w:pos="425"/>
        </w:tabs>
        <w:spacing w:line="240" w:lineRule="auto"/>
        <w:jc w:val="both"/>
      </w:pPr>
      <w:r>
        <w:t>En cas de manquement dans les documents, GD Biotech bloquera la réception des produits jusqu’à réception des documents demandés.</w:t>
      </w:r>
    </w:p>
    <w:p w:rsidR="002018F5" w:rsidRDefault="006223C6" w14:paraId="4E71489E" w14:textId="77777777">
      <w:pPr>
        <w:widowControl w:val="0"/>
        <w:tabs>
          <w:tab w:val="left" w:pos="425"/>
        </w:tabs>
        <w:spacing w:line="240" w:lineRule="auto"/>
        <w:jc w:val="both"/>
      </w:pPr>
      <w:r>
        <w:t>Les produits livrés sont soumis à acceptation par GD Biotech. A réception, tout produit non conforme sera signalé au prestataire externe dans les 20 jours ouvrés. Tout produit non conforme sera remplacé sous un délai convenu avec GD Biotech. Le prestataire externe aura la charge de procéder à l’enlèvement du produit non conforme.</w:t>
      </w:r>
    </w:p>
    <w:p w:rsidR="002018F5" w:rsidRDefault="002018F5" w14:paraId="4E71489F" w14:textId="77777777">
      <w:pPr>
        <w:widowControl w:val="0"/>
        <w:tabs>
          <w:tab w:val="left" w:pos="425"/>
        </w:tabs>
        <w:spacing w:line="240" w:lineRule="auto"/>
        <w:jc w:val="both"/>
      </w:pPr>
    </w:p>
    <w:p w:rsidR="002018F5" w:rsidRDefault="006223C6" w14:paraId="4E7148A0" w14:textId="77777777">
      <w:pPr>
        <w:widowControl w:val="0"/>
        <w:tabs>
          <w:tab w:val="left" w:pos="425"/>
        </w:tabs>
        <w:spacing w:line="240" w:lineRule="auto"/>
        <w:jc w:val="both"/>
        <w:rPr>
          <w:b/>
        </w:rPr>
      </w:pPr>
      <w:r>
        <w:rPr>
          <w:b/>
        </w:rPr>
        <w:t>6/ PRESTATION SUR SITE</w:t>
      </w:r>
    </w:p>
    <w:p w:rsidR="002018F5" w:rsidRDefault="006223C6" w14:paraId="4E7148A1" w14:textId="073DC79A">
      <w:pPr>
        <w:widowControl w:val="0"/>
        <w:tabs>
          <w:tab w:val="left" w:pos="425"/>
        </w:tabs>
        <w:spacing w:line="240" w:lineRule="auto"/>
        <w:jc w:val="both"/>
      </w:pPr>
      <w:r w:rsidRPr="4BA3C940" w:rsidR="006223C6">
        <w:rPr>
          <w:lang w:val="fr-FR"/>
        </w:rPr>
        <w:t>Tout personnel</w:t>
      </w:r>
      <w:r w:rsidRPr="4BA3C940" w:rsidR="006223C6">
        <w:rPr>
          <w:lang w:val="fr-FR"/>
        </w:rPr>
        <w:t xml:space="preserve"> extérieur à l’entreprise doit se présenter à l’accueil de la société GÈNES DIFFUSION pendant les heures d’ouverture (de 8h à 12h15 - de 13h30 à 17h00) afin de s’identifier auprès de l’hôtesse et lui faire part de l’objet de sa visite. Il est invité à patienter dans le hall d'accueil de la société. Une personne du service visité viendra prendre en charge le prestataire au niveau du hall de la société et l’invitera à l’accompagner dans la salle de réunion ou service adapté.</w:t>
      </w:r>
    </w:p>
    <w:p w:rsidR="002018F5" w:rsidRDefault="006223C6" w14:paraId="4E7148A2" w14:textId="77777777">
      <w:pPr>
        <w:widowControl w:val="0"/>
        <w:tabs>
          <w:tab w:val="left" w:pos="425"/>
        </w:tabs>
        <w:spacing w:line="240" w:lineRule="auto"/>
        <w:jc w:val="both"/>
      </w:pPr>
      <w:r w:rsidRPr="357F7703" w:rsidR="006223C6">
        <w:rPr>
          <w:lang w:val="fr-FR"/>
        </w:rPr>
        <w:t xml:space="preserve">GD Biotech a mis en place des mesures de sécurité en définissant des zones d’accès autorisées ou non à un personnel identifié, formé et compétent à appliquer et faire appliquer les consignes générales d’hygiène et de sécurité. Ainsi le prestataire externe devra pour toute nécessité d’accès aux zones soumises à autorisation d’accès : </w:t>
      </w:r>
    </w:p>
    <w:p w:rsidR="002018F5" w:rsidRDefault="006223C6" w14:paraId="4E7148A3" w14:textId="77777777">
      <w:pPr>
        <w:widowControl w:val="0"/>
        <w:numPr>
          <w:ilvl w:val="0"/>
          <w:numId w:val="3"/>
        </w:numPr>
        <w:tabs>
          <w:tab w:val="left" w:pos="425"/>
        </w:tabs>
        <w:spacing w:line="240" w:lineRule="auto"/>
        <w:jc w:val="both"/>
        <w:rPr/>
      </w:pPr>
      <w:r w:rsidRPr="357F7703" w:rsidR="006223C6">
        <w:rPr>
          <w:lang w:val="fr-FR"/>
        </w:rPr>
        <w:t>être informé de l’exposition aux risques,</w:t>
      </w:r>
    </w:p>
    <w:p w:rsidR="002018F5" w:rsidRDefault="006223C6" w14:paraId="4E7148A4" w14:textId="77777777">
      <w:pPr>
        <w:widowControl w:val="0"/>
        <w:numPr>
          <w:ilvl w:val="0"/>
          <w:numId w:val="3"/>
        </w:numPr>
        <w:tabs>
          <w:tab w:val="left" w:pos="425"/>
        </w:tabs>
        <w:spacing w:line="240" w:lineRule="auto"/>
        <w:jc w:val="both"/>
        <w:rPr/>
      </w:pPr>
      <w:r w:rsidRPr="357F7703" w:rsidR="006223C6">
        <w:rPr>
          <w:lang w:val="fr-FR"/>
        </w:rPr>
        <w:t>compléter un formulaire GDB_FORM_21_Accès aux zones soumises à autorisation,</w:t>
      </w:r>
    </w:p>
    <w:p w:rsidR="002018F5" w:rsidRDefault="006223C6" w14:paraId="4E7148A5" w14:textId="77777777">
      <w:pPr>
        <w:widowControl w:val="0"/>
        <w:numPr>
          <w:ilvl w:val="0"/>
          <w:numId w:val="3"/>
        </w:numPr>
        <w:tabs>
          <w:tab w:val="left" w:pos="425"/>
        </w:tabs>
        <w:spacing w:line="240" w:lineRule="auto"/>
        <w:jc w:val="both"/>
        <w:rPr/>
      </w:pPr>
      <w:bookmarkStart w:name="_Int_PvMDNvJp" w:id="570819023"/>
      <w:r w:rsidRPr="4BA3C940" w:rsidR="006223C6">
        <w:rPr>
          <w:lang w:val="fr-FR"/>
        </w:rPr>
        <w:t>être</w:t>
      </w:r>
      <w:bookmarkEnd w:id="570819023"/>
      <w:r w:rsidRPr="4BA3C940" w:rsidR="006223C6">
        <w:rPr>
          <w:lang w:val="fr-FR"/>
        </w:rPr>
        <w:t xml:space="preserve"> équipé par la personne du service qui l’accompagne,</w:t>
      </w:r>
    </w:p>
    <w:p w:rsidR="002018F5" w:rsidRDefault="006223C6" w14:paraId="4E7148A6" w14:textId="77777777">
      <w:pPr>
        <w:widowControl w:val="0"/>
        <w:numPr>
          <w:ilvl w:val="0"/>
          <w:numId w:val="3"/>
        </w:numPr>
        <w:tabs>
          <w:tab w:val="left" w:pos="425"/>
        </w:tabs>
        <w:spacing w:line="240" w:lineRule="auto"/>
        <w:jc w:val="both"/>
        <w:rPr/>
      </w:pPr>
      <w:r w:rsidRPr="357F7703" w:rsidR="006223C6">
        <w:rPr>
          <w:lang w:val="fr-FR"/>
        </w:rPr>
        <w:t>respecter les consignes de sécurité affichées (respect des pictogrammes) à l’entrée de la zone le temps de son intervention,</w:t>
      </w:r>
    </w:p>
    <w:p w:rsidR="002018F5" w:rsidRDefault="006223C6" w14:paraId="4E7148A7" w14:textId="77777777">
      <w:pPr>
        <w:widowControl w:val="0"/>
        <w:numPr>
          <w:ilvl w:val="0"/>
          <w:numId w:val="3"/>
        </w:numPr>
        <w:tabs>
          <w:tab w:val="left" w:pos="425"/>
        </w:tabs>
        <w:spacing w:line="240" w:lineRule="auto"/>
        <w:jc w:val="both"/>
        <w:rPr/>
      </w:pPr>
      <w:r w:rsidRPr="357F7703" w:rsidR="006223C6">
        <w:rPr>
          <w:lang w:val="fr-FR"/>
        </w:rPr>
        <w:t>signaler la fin de son intervention à la personne du service désignée.</w:t>
      </w:r>
    </w:p>
    <w:p w:rsidR="002018F5" w:rsidRDefault="006223C6" w14:paraId="4E7148A8" w14:textId="77777777">
      <w:pPr>
        <w:widowControl w:val="0"/>
        <w:tabs>
          <w:tab w:val="left" w:pos="425"/>
        </w:tabs>
        <w:spacing w:line="240" w:lineRule="auto"/>
        <w:jc w:val="both"/>
      </w:pPr>
      <w:r>
        <w:t xml:space="preserve">Tout écart aux exigences définies dans ce paragraphe fera l’objet d’une réclamation écrite au prestataire, qui s’engage à mener toutes les actions pour éradiquer la réapparition du </w:t>
      </w:r>
      <w:r>
        <w:lastRenderedPageBreak/>
        <w:t>problème.</w:t>
      </w:r>
    </w:p>
    <w:p w:rsidR="002018F5" w:rsidRDefault="002018F5" w14:paraId="4E7148A9" w14:textId="77777777">
      <w:pPr>
        <w:widowControl w:val="0"/>
        <w:tabs>
          <w:tab w:val="left" w:pos="425"/>
        </w:tabs>
        <w:spacing w:line="240" w:lineRule="auto"/>
        <w:jc w:val="both"/>
      </w:pPr>
    </w:p>
    <w:p w:rsidR="002018F5" w:rsidRDefault="006223C6" w14:paraId="4E7148AA" w14:textId="77777777">
      <w:pPr>
        <w:widowControl w:val="0"/>
        <w:tabs>
          <w:tab w:val="left" w:pos="425"/>
        </w:tabs>
        <w:spacing w:line="240" w:lineRule="auto"/>
        <w:jc w:val="both"/>
        <w:rPr>
          <w:b/>
        </w:rPr>
      </w:pPr>
      <w:r>
        <w:rPr>
          <w:b/>
        </w:rPr>
        <w:t>7/ DÉROGATION</w:t>
      </w:r>
    </w:p>
    <w:p w:rsidR="002018F5" w:rsidRDefault="006223C6" w14:paraId="4E7148AB" w14:textId="77777777">
      <w:pPr>
        <w:widowControl w:val="0"/>
        <w:tabs>
          <w:tab w:val="left" w:pos="425"/>
        </w:tabs>
        <w:spacing w:line="240" w:lineRule="auto"/>
        <w:jc w:val="both"/>
      </w:pPr>
      <w:r>
        <w:t xml:space="preserve">Tout produit n’étant pas strictement identique à ce qui est défini dans la commande doit faire l’objet de la part du prestataire externe d’une demande de dérogation écrite précisant le détail de l’écart. De son côté, GD Biotech fournira un accord écrit pour la dérogation au demandeur. Aucun produit en dérogation ne pourra être livré à GD Biotech sans cette demande validée par nos services. </w:t>
      </w:r>
    </w:p>
    <w:p w:rsidR="002018F5" w:rsidRDefault="002018F5" w14:paraId="4E7148AC" w14:textId="77777777">
      <w:pPr>
        <w:widowControl w:val="0"/>
        <w:tabs>
          <w:tab w:val="left" w:pos="425"/>
        </w:tabs>
        <w:spacing w:line="240" w:lineRule="auto"/>
        <w:jc w:val="both"/>
      </w:pPr>
    </w:p>
    <w:p w:rsidR="002018F5" w:rsidRDefault="006223C6" w14:paraId="4E7148AD" w14:textId="77777777">
      <w:pPr>
        <w:widowControl w:val="0"/>
        <w:tabs>
          <w:tab w:val="left" w:pos="425"/>
        </w:tabs>
        <w:spacing w:line="240" w:lineRule="auto"/>
        <w:jc w:val="both"/>
        <w:rPr>
          <w:b/>
        </w:rPr>
      </w:pPr>
      <w:r>
        <w:rPr>
          <w:b/>
        </w:rPr>
        <w:t>8/ CONFIDENTIALITÉ</w:t>
      </w:r>
    </w:p>
    <w:p w:rsidR="002018F5" w:rsidRDefault="006223C6" w14:paraId="4E7148AE" w14:textId="77777777">
      <w:pPr>
        <w:widowControl w:val="0"/>
        <w:tabs>
          <w:tab w:val="left" w:pos="425"/>
        </w:tabs>
        <w:spacing w:line="240" w:lineRule="auto"/>
        <w:jc w:val="both"/>
      </w:pPr>
      <w:r>
        <w:t>Le prestataire externe est chargé de garder confidentielles les informations qui lui sont fournies par GD Biotech (par courrier ou mail). Les plans, fichiers, spécifications techniques et tout autre document fournis sont et demeurent la propriété exclusive de GD Biotech.</w:t>
      </w:r>
    </w:p>
    <w:p w:rsidR="002018F5" w:rsidRDefault="002018F5" w14:paraId="4E7148AF" w14:textId="77777777">
      <w:pPr>
        <w:widowControl w:val="0"/>
        <w:tabs>
          <w:tab w:val="left" w:pos="425"/>
        </w:tabs>
        <w:spacing w:line="240" w:lineRule="auto"/>
        <w:jc w:val="both"/>
      </w:pPr>
    </w:p>
    <w:p w:rsidR="002018F5" w:rsidRDefault="006223C6" w14:paraId="4E7148B0" w14:textId="77777777">
      <w:pPr>
        <w:widowControl w:val="0"/>
        <w:tabs>
          <w:tab w:val="left" w:pos="425"/>
        </w:tabs>
        <w:spacing w:line="240" w:lineRule="auto"/>
        <w:jc w:val="both"/>
        <w:rPr>
          <w:b/>
        </w:rPr>
      </w:pPr>
      <w:r>
        <w:rPr>
          <w:b/>
        </w:rPr>
        <w:t>9/ IMPARTIALITÉ</w:t>
      </w:r>
    </w:p>
    <w:p w:rsidR="002018F5" w:rsidRDefault="006223C6" w14:paraId="4E7148B1" w14:textId="77777777">
      <w:pPr>
        <w:widowControl w:val="0"/>
        <w:tabs>
          <w:tab w:val="left" w:pos="425"/>
        </w:tabs>
        <w:spacing w:line="240" w:lineRule="auto"/>
        <w:jc w:val="both"/>
      </w:pPr>
      <w:r>
        <w:t xml:space="preserve">Le prestataire externe s’engage à traiter les commandes de GD Biotech en toute impartialité. </w:t>
      </w:r>
    </w:p>
    <w:p w:rsidR="002018F5" w:rsidRDefault="002018F5" w14:paraId="4E7148B2" w14:textId="77777777">
      <w:pPr>
        <w:widowControl w:val="0"/>
        <w:tabs>
          <w:tab w:val="left" w:pos="425"/>
        </w:tabs>
        <w:spacing w:line="240" w:lineRule="auto"/>
        <w:jc w:val="both"/>
      </w:pPr>
    </w:p>
    <w:p w:rsidR="002018F5" w:rsidRDefault="006223C6" w14:paraId="4E7148B3" w14:textId="77777777">
      <w:pPr>
        <w:widowControl w:val="0"/>
        <w:tabs>
          <w:tab w:val="left" w:pos="425"/>
        </w:tabs>
        <w:spacing w:line="240" w:lineRule="auto"/>
        <w:jc w:val="both"/>
        <w:rPr>
          <w:b/>
        </w:rPr>
      </w:pPr>
      <w:r>
        <w:rPr>
          <w:b/>
        </w:rPr>
        <w:t>10/ ÉVALUATION</w:t>
      </w:r>
    </w:p>
    <w:p w:rsidR="002018F5" w:rsidP="357F7703" w:rsidRDefault="006223C6" w14:paraId="4E7148B4" w14:textId="77777777">
      <w:pPr>
        <w:widowControl w:val="0"/>
        <w:tabs>
          <w:tab w:val="left" w:pos="425"/>
        </w:tabs>
        <w:spacing w:line="240" w:lineRule="auto"/>
        <w:jc w:val="both"/>
        <w:rPr>
          <w:b w:val="1"/>
          <w:bCs w:val="1"/>
          <w:lang w:val="fr-FR"/>
        </w:rPr>
      </w:pPr>
      <w:r w:rsidRPr="357F7703" w:rsidR="006223C6">
        <w:rPr>
          <w:lang w:val="fr-FR"/>
        </w:rPr>
        <w:t xml:space="preserve">Nos  prestataires externes sont évalués périodiquement selon les critères suivants : </w:t>
      </w:r>
    </w:p>
    <w:p w:rsidR="002018F5" w:rsidRDefault="006223C6" w14:paraId="4E7148B5" w14:textId="77777777">
      <w:pPr>
        <w:numPr>
          <w:ilvl w:val="0"/>
          <w:numId w:val="1"/>
        </w:numPr>
        <w:jc w:val="both"/>
        <w:rPr/>
      </w:pPr>
      <w:r w:rsidRPr="357F7703" w:rsidR="006223C6">
        <w:rPr>
          <w:lang w:val="fr-FR"/>
        </w:rPr>
        <w:t>l’ancienneté d'interaction,</w:t>
      </w:r>
    </w:p>
    <w:p w:rsidR="002018F5" w:rsidRDefault="006223C6" w14:paraId="4E7148B6" w14:textId="77777777">
      <w:pPr>
        <w:numPr>
          <w:ilvl w:val="0"/>
          <w:numId w:val="1"/>
        </w:numPr>
        <w:jc w:val="both"/>
        <w:rPr/>
      </w:pPr>
      <w:r w:rsidRPr="357F7703" w:rsidR="006223C6">
        <w:rPr>
          <w:lang w:val="fr-FR"/>
        </w:rPr>
        <w:t>panel de références,</w:t>
      </w:r>
    </w:p>
    <w:p w:rsidR="002018F5" w:rsidRDefault="006223C6" w14:paraId="4E7148B7" w14:textId="77777777">
      <w:pPr>
        <w:numPr>
          <w:ilvl w:val="0"/>
          <w:numId w:val="1"/>
        </w:numPr>
        <w:jc w:val="both"/>
        <w:rPr/>
      </w:pPr>
      <w:r w:rsidRPr="357F7703" w:rsidR="006223C6">
        <w:rPr>
          <w:lang w:val="fr-FR"/>
        </w:rPr>
        <w:t>proposition d’offres promotionnelles,</w:t>
      </w:r>
    </w:p>
    <w:p w:rsidR="002018F5" w:rsidRDefault="006223C6" w14:paraId="4E7148B8" w14:textId="77777777">
      <w:pPr>
        <w:numPr>
          <w:ilvl w:val="0"/>
          <w:numId w:val="1"/>
        </w:numPr>
        <w:jc w:val="both"/>
        <w:rPr/>
      </w:pPr>
      <w:r w:rsidRPr="357F7703" w:rsidR="006223C6">
        <w:rPr>
          <w:lang w:val="fr-FR"/>
        </w:rPr>
        <w:t>qualité de l’achalandage,</w:t>
      </w:r>
    </w:p>
    <w:p w:rsidR="002018F5" w:rsidRDefault="006223C6" w14:paraId="4E7148B9" w14:textId="77777777">
      <w:pPr>
        <w:numPr>
          <w:ilvl w:val="0"/>
          <w:numId w:val="1"/>
        </w:numPr>
        <w:jc w:val="both"/>
        <w:rPr/>
      </w:pPr>
      <w:r w:rsidRPr="357F7703" w:rsidR="006223C6">
        <w:rPr>
          <w:lang w:val="fr-FR"/>
        </w:rPr>
        <w:t>réactivité quant aux demandes de solutions d’urgence,</w:t>
      </w:r>
    </w:p>
    <w:p w:rsidR="002018F5" w:rsidRDefault="006223C6" w14:paraId="4E7148BA" w14:textId="77777777">
      <w:pPr>
        <w:numPr>
          <w:ilvl w:val="0"/>
          <w:numId w:val="1"/>
        </w:numPr>
        <w:jc w:val="both"/>
        <w:rPr/>
      </w:pPr>
      <w:r w:rsidRPr="404B7EF7" w:rsidR="006223C6">
        <w:rPr>
          <w:lang w:val="fr-FR"/>
        </w:rPr>
        <w:t>respect</w:t>
      </w:r>
      <w:r w:rsidRPr="404B7EF7" w:rsidR="006223C6">
        <w:rPr>
          <w:lang w:val="fr-FR"/>
        </w:rPr>
        <w:t xml:space="preserve"> des délais de livraison,</w:t>
      </w:r>
    </w:p>
    <w:p w:rsidR="002018F5" w:rsidRDefault="006223C6" w14:paraId="4E7148BB" w14:textId="77777777">
      <w:pPr>
        <w:numPr>
          <w:ilvl w:val="0"/>
          <w:numId w:val="1"/>
        </w:numPr>
        <w:jc w:val="both"/>
        <w:rPr/>
      </w:pPr>
      <w:r w:rsidRPr="404B7EF7" w:rsidR="006223C6">
        <w:rPr>
          <w:lang w:val="fr-FR"/>
        </w:rPr>
        <w:t>application</w:t>
      </w:r>
      <w:r w:rsidRPr="404B7EF7" w:rsidR="006223C6">
        <w:rPr>
          <w:lang w:val="fr-FR"/>
        </w:rPr>
        <w:t xml:space="preserve"> des tarifs négociés,</w:t>
      </w:r>
    </w:p>
    <w:p w:rsidR="002018F5" w:rsidRDefault="006223C6" w14:paraId="4E7148BC" w14:textId="77777777">
      <w:pPr>
        <w:numPr>
          <w:ilvl w:val="0"/>
          <w:numId w:val="1"/>
        </w:numPr>
        <w:jc w:val="both"/>
        <w:rPr/>
      </w:pPr>
      <w:r w:rsidRPr="404B7EF7" w:rsidR="006223C6">
        <w:rPr>
          <w:lang w:val="fr-FR"/>
        </w:rPr>
        <w:t>commercial</w:t>
      </w:r>
      <w:r w:rsidRPr="404B7EF7" w:rsidR="006223C6">
        <w:rPr>
          <w:lang w:val="fr-FR"/>
        </w:rPr>
        <w:t xml:space="preserve"> représentant le prestataire :</w:t>
      </w:r>
    </w:p>
    <w:p w:rsidR="002018F5" w:rsidRDefault="006223C6" w14:paraId="4E7148BD" w14:textId="77777777">
      <w:pPr>
        <w:numPr>
          <w:ilvl w:val="0"/>
          <w:numId w:val="4"/>
        </w:numPr>
        <w:jc w:val="both"/>
        <w:rPr/>
      </w:pPr>
      <w:r w:rsidRPr="404B7EF7" w:rsidR="006223C6">
        <w:rPr>
          <w:lang w:val="fr-FR"/>
        </w:rPr>
        <w:t>ancienneté</w:t>
      </w:r>
      <w:r w:rsidRPr="404B7EF7" w:rsidR="006223C6">
        <w:rPr>
          <w:lang w:val="fr-FR"/>
        </w:rPr>
        <w:t xml:space="preserve"> d'interaction,</w:t>
      </w:r>
    </w:p>
    <w:p w:rsidR="002018F5" w:rsidRDefault="006223C6" w14:paraId="4E7148BE" w14:textId="77777777">
      <w:pPr>
        <w:numPr>
          <w:ilvl w:val="0"/>
          <w:numId w:val="4"/>
        </w:numPr>
        <w:jc w:val="both"/>
        <w:rPr/>
      </w:pPr>
      <w:r w:rsidRPr="404B7EF7" w:rsidR="006223C6">
        <w:rPr>
          <w:lang w:val="fr-FR"/>
        </w:rPr>
        <w:t>facilité</w:t>
      </w:r>
      <w:r w:rsidRPr="404B7EF7" w:rsidR="006223C6">
        <w:rPr>
          <w:lang w:val="fr-FR"/>
        </w:rPr>
        <w:t xml:space="preserve"> de dialogue,</w:t>
      </w:r>
    </w:p>
    <w:p w:rsidR="002018F5" w:rsidRDefault="006223C6" w14:paraId="4E7148BF" w14:textId="77777777">
      <w:pPr>
        <w:numPr>
          <w:ilvl w:val="0"/>
          <w:numId w:val="4"/>
        </w:numPr>
        <w:jc w:val="both"/>
        <w:rPr/>
      </w:pPr>
      <w:r w:rsidRPr="404B7EF7" w:rsidR="006223C6">
        <w:rPr>
          <w:lang w:val="fr-FR"/>
        </w:rPr>
        <w:t>réactivité</w:t>
      </w:r>
      <w:r w:rsidRPr="404B7EF7" w:rsidR="006223C6">
        <w:rPr>
          <w:lang w:val="fr-FR"/>
        </w:rPr>
        <w:t>,</w:t>
      </w:r>
    </w:p>
    <w:p w:rsidR="002018F5" w:rsidRDefault="006223C6" w14:paraId="4E7148C0" w14:textId="77777777">
      <w:pPr>
        <w:numPr>
          <w:ilvl w:val="0"/>
          <w:numId w:val="4"/>
        </w:numPr>
        <w:jc w:val="both"/>
        <w:rPr/>
      </w:pPr>
      <w:r w:rsidRPr="404B7EF7" w:rsidR="006223C6">
        <w:rPr>
          <w:lang w:val="fr-FR"/>
        </w:rPr>
        <w:t>force</w:t>
      </w:r>
      <w:r w:rsidRPr="404B7EF7" w:rsidR="006223C6">
        <w:rPr>
          <w:lang w:val="fr-FR"/>
        </w:rPr>
        <w:t xml:space="preserve"> de proposition.</w:t>
      </w:r>
    </w:p>
    <w:p w:rsidR="002018F5" w:rsidRDefault="002018F5" w14:paraId="4E7148C1" w14:textId="77777777">
      <w:pPr>
        <w:jc w:val="both"/>
      </w:pPr>
    </w:p>
    <w:p w:rsidR="002018F5" w:rsidRDefault="002018F5" w14:paraId="4E7148C2" w14:textId="77777777">
      <w:pPr>
        <w:widowControl w:val="0"/>
        <w:rPr>
          <w:b/>
          <w:color w:val="0000FF"/>
          <w:sz w:val="36"/>
          <w:szCs w:val="36"/>
        </w:rPr>
      </w:pPr>
    </w:p>
    <w:p w:rsidR="002018F5" w:rsidRDefault="006223C6" w14:paraId="4E7148C3" w14:textId="77777777">
      <w:pPr>
        <w:widowControl w:val="0"/>
        <w:jc w:val="center"/>
        <w:rPr>
          <w:b/>
          <w:color w:val="0000FF"/>
          <w:sz w:val="36"/>
          <w:szCs w:val="36"/>
        </w:rPr>
      </w:pPr>
      <w:r>
        <w:br w:type="page"/>
      </w:r>
    </w:p>
    <w:p w:rsidR="002018F5" w:rsidRDefault="006223C6" w14:paraId="4E7148C4" w14:textId="77777777">
      <w:pPr>
        <w:widowControl w:val="0"/>
        <w:jc w:val="center"/>
        <w:rPr>
          <w:b/>
          <w:color w:val="0000FF"/>
          <w:sz w:val="36"/>
          <w:szCs w:val="36"/>
        </w:rPr>
      </w:pPr>
      <w:r>
        <w:rPr>
          <w:b/>
          <w:color w:val="0000FF"/>
          <w:sz w:val="36"/>
          <w:szCs w:val="36"/>
        </w:rPr>
        <w:lastRenderedPageBreak/>
        <w:t>ACCEPTATION DU CAHIER DES CHARGES</w:t>
      </w:r>
    </w:p>
    <w:p w:rsidR="002018F5" w:rsidP="404B7EF7" w:rsidRDefault="006223C6" w14:paraId="4E7148C5" w14:textId="77777777">
      <w:pPr>
        <w:widowControl w:val="0"/>
        <w:jc w:val="both"/>
        <w:rPr>
          <w:color w:val="0000FF"/>
          <w:lang w:val="fr-FR"/>
        </w:rPr>
      </w:pPr>
      <w:r w:rsidRPr="404B7EF7" w:rsidR="006223C6">
        <w:rPr>
          <w:color w:val="0000FF"/>
          <w:lang w:val="fr-FR"/>
        </w:rPr>
        <w:t xml:space="preserve">Le présent cahier des charges est soumis à l’acceptation du représentant de la société prestataire par voie numérique. Il est réputé </w:t>
      </w:r>
      <w:r w:rsidRPr="404B7EF7" w:rsidR="006223C6">
        <w:rPr>
          <w:color w:val="0000FF"/>
          <w:lang w:val="fr-FR"/>
        </w:rPr>
        <w:t>accepté</w:t>
      </w:r>
      <w:r w:rsidRPr="404B7EF7" w:rsidR="006223C6">
        <w:rPr>
          <w:color w:val="0000FF"/>
          <w:lang w:val="fr-FR"/>
        </w:rPr>
        <w:t xml:space="preserve"> dans son intégralité sauf dénonciation formulée par écrit sous 15 jours calendaires à compter de la date d’envoi du courrier de mise à disposition. </w:t>
      </w:r>
    </w:p>
    <w:p w:rsidR="002018F5" w:rsidRDefault="006223C6" w14:paraId="4E7148C6" w14:textId="77777777">
      <w:pPr>
        <w:widowControl w:val="0"/>
        <w:jc w:val="both"/>
        <w:rPr>
          <w:color w:val="0000FF"/>
        </w:rPr>
      </w:pPr>
      <w:r>
        <w:rPr>
          <w:color w:val="0000FF"/>
        </w:rPr>
        <w:t xml:space="preserve">Il est valable à compter de sa date d’envoi et pour une durée indéterminée. </w:t>
      </w:r>
    </w:p>
    <w:p w:rsidR="002018F5" w:rsidRDefault="006223C6" w14:paraId="4E7148C7" w14:textId="77777777">
      <w:pPr>
        <w:widowControl w:val="0"/>
        <w:jc w:val="both"/>
        <w:rPr>
          <w:color w:val="0000FF"/>
        </w:rPr>
      </w:pPr>
      <w:r>
        <w:rPr>
          <w:color w:val="0000FF"/>
        </w:rPr>
        <w:t>GD Biotech pourra y apporter, par voie d’avenants, toute modification qu’elle jugera utile.</w:t>
      </w:r>
    </w:p>
    <w:p w:rsidR="002018F5" w:rsidRDefault="002018F5" w14:paraId="4E7148C8" w14:textId="77777777">
      <w:pPr>
        <w:widowControl w:val="0"/>
        <w:jc w:val="both"/>
        <w:rPr>
          <w:color w:val="0000FF"/>
        </w:rPr>
      </w:pPr>
    </w:p>
    <w:tbl>
      <w:tblPr>
        <w:tblStyle w:val="a"/>
        <w:tblW w:w="9029"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rsidR="002018F5" w14:paraId="4E7148D0" w14:textId="77777777">
        <w:trPr>
          <w:jc w:val="center"/>
        </w:trPr>
        <w:tc>
          <w:tcPr>
            <w:tcW w:w="4514" w:type="dxa"/>
            <w:shd w:val="clear" w:color="auto" w:fill="auto"/>
            <w:tcMar>
              <w:top w:w="100" w:type="dxa"/>
              <w:left w:w="100" w:type="dxa"/>
              <w:bottom w:w="100" w:type="dxa"/>
              <w:right w:w="100" w:type="dxa"/>
            </w:tcMar>
            <w:vAlign w:val="center"/>
          </w:tcPr>
          <w:p w:rsidR="002018F5" w:rsidRDefault="006223C6" w14:paraId="4E7148C9" w14:textId="77777777">
            <w:pPr>
              <w:widowControl w:val="0"/>
              <w:jc w:val="both"/>
              <w:rPr>
                <w:b/>
                <w:color w:val="0000FF"/>
              </w:rPr>
            </w:pPr>
            <w:r>
              <w:rPr>
                <w:b/>
                <w:i/>
                <w:color w:val="0000FF"/>
              </w:rPr>
              <w:t>NOM ET ADRESSE DU PRESTATAIRE</w:t>
            </w:r>
          </w:p>
        </w:tc>
        <w:tc>
          <w:tcPr>
            <w:tcW w:w="4514" w:type="dxa"/>
            <w:shd w:val="clear" w:color="auto" w:fill="auto"/>
            <w:tcMar>
              <w:top w:w="100" w:type="dxa"/>
              <w:left w:w="100" w:type="dxa"/>
              <w:bottom w:w="100" w:type="dxa"/>
              <w:right w:w="100" w:type="dxa"/>
            </w:tcMar>
            <w:vAlign w:val="center"/>
          </w:tcPr>
          <w:p w:rsidR="002018F5" w:rsidRDefault="002018F5" w14:paraId="4E7148CA" w14:textId="77777777">
            <w:pPr>
              <w:widowControl w:val="0"/>
              <w:pBdr>
                <w:top w:val="nil"/>
                <w:left w:val="nil"/>
                <w:bottom w:val="nil"/>
                <w:right w:val="nil"/>
                <w:between w:val="nil"/>
              </w:pBdr>
              <w:spacing w:line="240" w:lineRule="auto"/>
              <w:jc w:val="both"/>
              <w:rPr>
                <w:b/>
                <w:color w:val="0000FF"/>
              </w:rPr>
            </w:pPr>
          </w:p>
          <w:p w:rsidR="002018F5" w:rsidRDefault="002018F5" w14:paraId="4E7148CB" w14:textId="77777777">
            <w:pPr>
              <w:widowControl w:val="0"/>
              <w:pBdr>
                <w:top w:val="nil"/>
                <w:left w:val="nil"/>
                <w:bottom w:val="nil"/>
                <w:right w:val="nil"/>
                <w:between w:val="nil"/>
              </w:pBdr>
              <w:spacing w:line="240" w:lineRule="auto"/>
              <w:jc w:val="both"/>
              <w:rPr>
                <w:b/>
                <w:color w:val="0000FF"/>
              </w:rPr>
            </w:pPr>
          </w:p>
          <w:p w:rsidR="002018F5" w:rsidRDefault="002018F5" w14:paraId="4E7148CC" w14:textId="77777777">
            <w:pPr>
              <w:widowControl w:val="0"/>
              <w:pBdr>
                <w:top w:val="nil"/>
                <w:left w:val="nil"/>
                <w:bottom w:val="nil"/>
                <w:right w:val="nil"/>
                <w:between w:val="nil"/>
              </w:pBdr>
              <w:spacing w:line="240" w:lineRule="auto"/>
              <w:jc w:val="both"/>
              <w:rPr>
                <w:b/>
                <w:color w:val="0000FF"/>
              </w:rPr>
            </w:pPr>
          </w:p>
          <w:p w:rsidR="002018F5" w:rsidRDefault="002018F5" w14:paraId="4E7148CE" w14:textId="77777777">
            <w:pPr>
              <w:widowControl w:val="0"/>
              <w:pBdr>
                <w:top w:val="nil"/>
                <w:left w:val="nil"/>
                <w:bottom w:val="nil"/>
                <w:right w:val="nil"/>
                <w:between w:val="nil"/>
              </w:pBdr>
              <w:spacing w:line="240" w:lineRule="auto"/>
              <w:jc w:val="both"/>
              <w:rPr>
                <w:b/>
                <w:color w:val="0000FF"/>
              </w:rPr>
            </w:pPr>
          </w:p>
          <w:p w:rsidR="002018F5" w:rsidRDefault="002018F5" w14:paraId="4E7148CF" w14:textId="77777777">
            <w:pPr>
              <w:widowControl w:val="0"/>
              <w:pBdr>
                <w:top w:val="nil"/>
                <w:left w:val="nil"/>
                <w:bottom w:val="nil"/>
                <w:right w:val="nil"/>
                <w:between w:val="nil"/>
              </w:pBdr>
              <w:spacing w:line="240" w:lineRule="auto"/>
              <w:jc w:val="both"/>
              <w:rPr>
                <w:b/>
                <w:color w:val="0000FF"/>
              </w:rPr>
            </w:pPr>
          </w:p>
        </w:tc>
      </w:tr>
      <w:tr w:rsidR="002018F5" w14:paraId="4E7148D3" w14:textId="77777777">
        <w:trPr>
          <w:jc w:val="center"/>
        </w:trPr>
        <w:tc>
          <w:tcPr>
            <w:tcW w:w="4514" w:type="dxa"/>
            <w:shd w:val="clear" w:color="auto" w:fill="auto"/>
            <w:tcMar>
              <w:top w:w="100" w:type="dxa"/>
              <w:left w:w="100" w:type="dxa"/>
              <w:bottom w:w="100" w:type="dxa"/>
              <w:right w:w="100" w:type="dxa"/>
            </w:tcMar>
            <w:vAlign w:val="center"/>
          </w:tcPr>
          <w:p w:rsidR="002018F5" w:rsidRDefault="006223C6" w14:paraId="4E7148D1" w14:textId="77777777">
            <w:pPr>
              <w:widowControl w:val="0"/>
              <w:pBdr>
                <w:top w:val="nil"/>
                <w:left w:val="nil"/>
                <w:bottom w:val="nil"/>
                <w:right w:val="nil"/>
                <w:between w:val="nil"/>
              </w:pBdr>
              <w:spacing w:line="240" w:lineRule="auto"/>
              <w:jc w:val="both"/>
              <w:rPr>
                <w:b/>
                <w:color w:val="0000FF"/>
              </w:rPr>
            </w:pPr>
            <w:r>
              <w:rPr>
                <w:b/>
                <w:i/>
                <w:color w:val="0000FF"/>
              </w:rPr>
              <w:t>DATE</w:t>
            </w:r>
          </w:p>
        </w:tc>
        <w:tc>
          <w:tcPr>
            <w:tcW w:w="4514" w:type="dxa"/>
            <w:shd w:val="clear" w:color="auto" w:fill="auto"/>
            <w:tcMar>
              <w:top w:w="100" w:type="dxa"/>
              <w:left w:w="100" w:type="dxa"/>
              <w:bottom w:w="100" w:type="dxa"/>
              <w:right w:w="100" w:type="dxa"/>
            </w:tcMar>
            <w:vAlign w:val="center"/>
          </w:tcPr>
          <w:p w:rsidR="002018F5" w:rsidRDefault="006223C6" w14:paraId="4E7148D2" w14:textId="77777777">
            <w:pPr>
              <w:widowControl w:val="0"/>
              <w:pBdr>
                <w:top w:val="nil"/>
                <w:left w:val="nil"/>
                <w:bottom w:val="nil"/>
                <w:right w:val="nil"/>
                <w:between w:val="nil"/>
              </w:pBdr>
              <w:spacing w:line="240" w:lineRule="auto"/>
              <w:ind w:left="720"/>
              <w:jc w:val="both"/>
              <w:rPr>
                <w:b/>
                <w:color w:val="0000FF"/>
              </w:rPr>
            </w:pPr>
            <w:r>
              <w:rPr>
                <w:b/>
                <w:color w:val="0000FF"/>
              </w:rPr>
              <w:t xml:space="preserve"> </w:t>
            </w:r>
          </w:p>
        </w:tc>
      </w:tr>
      <w:tr w:rsidR="002018F5" w14:paraId="4E7148D6" w14:textId="77777777">
        <w:trPr>
          <w:trHeight w:val="1463"/>
          <w:jc w:val="center"/>
        </w:trPr>
        <w:tc>
          <w:tcPr>
            <w:tcW w:w="4514" w:type="dxa"/>
            <w:shd w:val="clear" w:color="auto" w:fill="auto"/>
            <w:tcMar>
              <w:top w:w="100" w:type="dxa"/>
              <w:left w:w="100" w:type="dxa"/>
              <w:bottom w:w="100" w:type="dxa"/>
              <w:right w:w="100" w:type="dxa"/>
            </w:tcMar>
            <w:vAlign w:val="center"/>
          </w:tcPr>
          <w:p w:rsidR="002018F5" w:rsidRDefault="006223C6" w14:paraId="4E7148D4" w14:textId="77777777">
            <w:pPr>
              <w:widowControl w:val="0"/>
              <w:pBdr>
                <w:top w:val="nil"/>
                <w:left w:val="nil"/>
                <w:bottom w:val="nil"/>
                <w:right w:val="nil"/>
                <w:between w:val="nil"/>
              </w:pBdr>
              <w:spacing w:line="240" w:lineRule="auto"/>
              <w:jc w:val="both"/>
              <w:rPr>
                <w:b/>
                <w:color w:val="0000FF"/>
              </w:rPr>
            </w:pPr>
            <w:r>
              <w:rPr>
                <w:b/>
                <w:i/>
                <w:color w:val="0000FF"/>
              </w:rPr>
              <w:t>SIGNATURE</w:t>
            </w:r>
          </w:p>
        </w:tc>
        <w:tc>
          <w:tcPr>
            <w:tcW w:w="4514" w:type="dxa"/>
            <w:shd w:val="clear" w:color="auto" w:fill="auto"/>
            <w:tcMar>
              <w:top w:w="100" w:type="dxa"/>
              <w:left w:w="100" w:type="dxa"/>
              <w:bottom w:w="100" w:type="dxa"/>
              <w:right w:w="100" w:type="dxa"/>
            </w:tcMar>
            <w:vAlign w:val="center"/>
          </w:tcPr>
          <w:p w:rsidRPr="000C32E0" w:rsidR="002018F5" w:rsidRDefault="002018F5" w14:paraId="4E7148D5" w14:textId="3D7BF5D0">
            <w:pPr>
              <w:widowControl w:val="0"/>
              <w:pBdr>
                <w:top w:val="nil"/>
                <w:left w:val="nil"/>
                <w:bottom w:val="nil"/>
                <w:right w:val="nil"/>
                <w:between w:val="nil"/>
              </w:pBdr>
              <w:spacing w:line="240" w:lineRule="auto"/>
              <w:jc w:val="both"/>
              <w:rPr>
                <w:b/>
                <w:color w:val="000000" w:themeColor="text1"/>
              </w:rPr>
            </w:pPr>
          </w:p>
        </w:tc>
      </w:tr>
    </w:tbl>
    <w:p w:rsidR="002018F5" w:rsidRDefault="002018F5" w14:paraId="4E7148D7" w14:textId="77777777">
      <w:pPr>
        <w:widowControl w:val="0"/>
        <w:rPr>
          <w:color w:val="0000FF"/>
        </w:rPr>
      </w:pPr>
    </w:p>
    <w:sectPr w:rsidR="002018F5">
      <w:footerReference w:type="default" r:id="rId11"/>
      <w:pgSz w:w="11909" w:h="16834" w:orient="portrait"/>
      <w:pgMar w:top="1440" w:right="1440" w:bottom="1440" w:left="1440" w:header="720" w:footer="720" w:gutter="0"/>
      <w:pgNumType w:start="1"/>
      <w:cols w:space="720"/>
      <w:headerReference w:type="default" r:id="R86e307316790400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D58FA" w:rsidRDefault="008D58FA" w14:paraId="2BFA09B5" w14:textId="77777777">
      <w:pPr>
        <w:spacing w:line="240" w:lineRule="auto"/>
      </w:pPr>
      <w:r>
        <w:separator/>
      </w:r>
    </w:p>
  </w:endnote>
  <w:endnote w:type="continuationSeparator" w:id="0">
    <w:p w:rsidR="008D58FA" w:rsidRDefault="008D58FA" w14:paraId="3E97FEC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18F5" w:rsidRDefault="006223C6" w14:paraId="4E7148DA" w14:textId="07E530D2">
    <w:pPr>
      <w:rPr>
        <w:rFonts w:ascii="Roboto" w:hAnsi="Roboto" w:eastAsia="Roboto" w:cs="Roboto"/>
        <w:b/>
        <w:sz w:val="20"/>
        <w:szCs w:val="20"/>
      </w:rPr>
    </w:pPr>
    <w:r>
      <w:rPr>
        <w:rFonts w:ascii="Roboto" w:hAnsi="Roboto" w:eastAsia="Roboto" w:cs="Roboto"/>
        <w:b/>
        <w:sz w:val="20"/>
        <w:szCs w:val="20"/>
      </w:rPr>
      <w:t>GDB_FORM_58_Cahier des charges des prestataires externes_v1.</w:t>
    </w:r>
    <w:r w:rsidR="00223F67">
      <w:rPr>
        <w:rFonts w:ascii="Roboto" w:hAnsi="Roboto" w:eastAsia="Roboto" w:cs="Roboto"/>
        <w:b/>
        <w:sz w:val="20"/>
        <w:szCs w:val="20"/>
      </w:rPr>
      <w:t>2</w:t>
    </w:r>
  </w:p>
  <w:p w:rsidR="002018F5" w:rsidRDefault="006223C6" w14:paraId="4E7148DB" w14:textId="0A68CC15">
    <w:pPr>
      <w:ind w:left="-1133"/>
      <w:jc w:val="right"/>
      <w:rPr>
        <w:rFonts w:ascii="Roboto" w:hAnsi="Roboto" w:eastAsia="Roboto" w:cs="Roboto"/>
        <w:b/>
        <w:sz w:val="20"/>
        <w:szCs w:val="20"/>
      </w:rPr>
    </w:pPr>
    <w:r>
      <w:rPr>
        <w:rFonts w:ascii="Roboto" w:hAnsi="Roboto" w:eastAsia="Roboto" w:cs="Roboto"/>
        <w:b/>
        <w:sz w:val="20"/>
        <w:szCs w:val="20"/>
      </w:rPr>
      <w:fldChar w:fldCharType="begin"/>
    </w:r>
    <w:r>
      <w:rPr>
        <w:rFonts w:ascii="Roboto" w:hAnsi="Roboto" w:eastAsia="Roboto" w:cs="Roboto"/>
        <w:b/>
        <w:sz w:val="20"/>
        <w:szCs w:val="20"/>
      </w:rPr>
      <w:instrText>PAGE</w:instrText>
    </w:r>
    <w:r>
      <w:rPr>
        <w:rFonts w:ascii="Roboto" w:hAnsi="Roboto" w:eastAsia="Roboto" w:cs="Roboto"/>
        <w:b/>
        <w:sz w:val="20"/>
        <w:szCs w:val="20"/>
      </w:rPr>
      <w:fldChar w:fldCharType="separate"/>
    </w:r>
    <w:r w:rsidR="00AB0B38">
      <w:rPr>
        <w:rFonts w:ascii="Roboto" w:hAnsi="Roboto" w:eastAsia="Roboto" w:cs="Roboto"/>
        <w:b/>
        <w:noProof/>
        <w:sz w:val="20"/>
        <w:szCs w:val="20"/>
      </w:rPr>
      <w:t>1</w:t>
    </w:r>
    <w:r>
      <w:rPr>
        <w:rFonts w:ascii="Roboto" w:hAnsi="Roboto" w:eastAsia="Roboto" w:cs="Roboto"/>
        <w:b/>
        <w:sz w:val="20"/>
        <w:szCs w:val="20"/>
      </w:rPr>
      <w:fldChar w:fldCharType="end"/>
    </w:r>
    <w:r>
      <w:rPr>
        <w:rFonts w:ascii="Roboto" w:hAnsi="Roboto" w:eastAsia="Roboto" w:cs="Roboto"/>
        <w:b/>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D58FA" w:rsidRDefault="008D58FA" w14:paraId="3348A1E1" w14:textId="77777777">
      <w:pPr>
        <w:spacing w:line="240" w:lineRule="auto"/>
      </w:pPr>
      <w:r>
        <w:separator/>
      </w:r>
    </w:p>
  </w:footnote>
  <w:footnote w:type="continuationSeparator" w:id="0">
    <w:p w:rsidR="008D58FA" w:rsidRDefault="008D58FA" w14:paraId="641890B9" w14:textId="77777777">
      <w:pPr>
        <w:spacing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404B7EF7" w:rsidTr="404B7EF7" w14:paraId="116CCA9A">
      <w:trPr>
        <w:trHeight w:val="300"/>
      </w:trPr>
      <w:tc>
        <w:tcPr>
          <w:tcW w:w="3005" w:type="dxa"/>
          <w:tcMar/>
        </w:tcPr>
        <w:p w:rsidR="404B7EF7" w:rsidP="404B7EF7" w:rsidRDefault="404B7EF7" w14:paraId="053A6D37" w14:textId="4B2D2CBF">
          <w:pPr>
            <w:pStyle w:val="En-tte"/>
            <w:bidi w:val="0"/>
            <w:ind w:left="-115"/>
            <w:jc w:val="left"/>
          </w:pPr>
        </w:p>
      </w:tc>
      <w:tc>
        <w:tcPr>
          <w:tcW w:w="3005" w:type="dxa"/>
          <w:tcMar/>
        </w:tcPr>
        <w:p w:rsidR="404B7EF7" w:rsidP="404B7EF7" w:rsidRDefault="404B7EF7" w14:paraId="5BF18D13" w14:textId="6BB10F52">
          <w:pPr>
            <w:pStyle w:val="En-tte"/>
            <w:bidi w:val="0"/>
            <w:jc w:val="center"/>
          </w:pPr>
        </w:p>
      </w:tc>
      <w:tc>
        <w:tcPr>
          <w:tcW w:w="3005" w:type="dxa"/>
          <w:tcMar/>
        </w:tcPr>
        <w:p w:rsidR="404B7EF7" w:rsidP="404B7EF7" w:rsidRDefault="404B7EF7" w14:paraId="278AA51D" w14:textId="4FA6D255">
          <w:pPr>
            <w:pStyle w:val="En-tte"/>
            <w:bidi w:val="0"/>
            <w:ind w:right="-115"/>
            <w:jc w:val="right"/>
          </w:pPr>
        </w:p>
      </w:tc>
    </w:tr>
  </w:tbl>
  <w:p w:rsidR="404B7EF7" w:rsidP="404B7EF7" w:rsidRDefault="404B7EF7" w14:paraId="6D17B5E8" w14:textId="2C9F342E">
    <w:pPr>
      <w:pStyle w:val="En-tte"/>
      <w:bidi w:val="0"/>
    </w:pPr>
  </w:p>
</w:hdr>
</file>

<file path=word/intelligence2.xml><?xml version="1.0" encoding="utf-8"?>
<int2:intelligence xmlns:int2="http://schemas.microsoft.com/office/intelligence/2020/intelligence">
  <int2:observations>
    <int2:bookmark int2:bookmarkName="_Int_PvMDNvJp" int2:invalidationBookmarkName="" int2:hashCode="ayMBWfIiwdTxw9" int2:id="OGzXslz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16D23"/>
    <w:multiLevelType w:val="multilevel"/>
    <w:tmpl w:val="6688C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22869"/>
    <w:multiLevelType w:val="multilevel"/>
    <w:tmpl w:val="2016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F45D68"/>
    <w:multiLevelType w:val="multilevel"/>
    <w:tmpl w:val="558E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3F0530"/>
    <w:multiLevelType w:val="multilevel"/>
    <w:tmpl w:val="839448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35816245">
    <w:abstractNumId w:val="2"/>
  </w:num>
  <w:num w:numId="2" w16cid:durableId="2068335044">
    <w:abstractNumId w:val="0"/>
  </w:num>
  <w:num w:numId="3" w16cid:durableId="1855463083">
    <w:abstractNumId w:val="1"/>
  </w:num>
  <w:num w:numId="4" w16cid:durableId="9858153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8F5"/>
    <w:rsid w:val="000C32E0"/>
    <w:rsid w:val="002018F5"/>
    <w:rsid w:val="00223F67"/>
    <w:rsid w:val="00254AAF"/>
    <w:rsid w:val="0054610A"/>
    <w:rsid w:val="005B7D62"/>
    <w:rsid w:val="006223C6"/>
    <w:rsid w:val="00673F7F"/>
    <w:rsid w:val="007D32AE"/>
    <w:rsid w:val="008D58FA"/>
    <w:rsid w:val="00A96269"/>
    <w:rsid w:val="00AB0B38"/>
    <w:rsid w:val="00C860EF"/>
    <w:rsid w:val="00D10540"/>
    <w:rsid w:val="00D56A1C"/>
    <w:rsid w:val="00E85D29"/>
    <w:rsid w:val="00F0278E"/>
    <w:rsid w:val="357F7703"/>
    <w:rsid w:val="404B7EF7"/>
    <w:rsid w:val="4BA3C940"/>
    <w:rsid w:val="659175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4873"/>
  <w15:docId w15:val="{D59A6760-E1EF-4223-B023-7AA9F9FA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F0278E"/>
    <w:pPr>
      <w:tabs>
        <w:tab w:val="center" w:pos="4536"/>
        <w:tab w:val="right" w:pos="9072"/>
      </w:tabs>
      <w:spacing w:line="240" w:lineRule="auto"/>
    </w:pPr>
  </w:style>
  <w:style w:type="character" w:styleId="En-tteCar" w:customStyle="1">
    <w:name w:val="En-tête Car"/>
    <w:basedOn w:val="Policepardfaut"/>
    <w:link w:val="En-tte"/>
    <w:uiPriority w:val="99"/>
    <w:rsid w:val="00F0278E"/>
  </w:style>
  <w:style w:type="paragraph" w:styleId="Pieddepage">
    <w:name w:val="footer"/>
    <w:basedOn w:val="Normal"/>
    <w:link w:val="PieddepageCar"/>
    <w:uiPriority w:val="99"/>
    <w:unhideWhenUsed/>
    <w:rsid w:val="00F0278E"/>
    <w:pPr>
      <w:tabs>
        <w:tab w:val="center" w:pos="4536"/>
        <w:tab w:val="right" w:pos="9072"/>
      </w:tabs>
      <w:spacing w:line="240" w:lineRule="auto"/>
    </w:pPr>
  </w:style>
  <w:style w:type="character" w:styleId="PieddepageCar" w:customStyle="1">
    <w:name w:val="Pied de page Car"/>
    <w:basedOn w:val="Policepardfaut"/>
    <w:link w:val="Pieddepage"/>
    <w:uiPriority w:val="99"/>
    <w:rsid w:val="00F0278E"/>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xml" Id="R86e307316790400b" /><Relationship Type="http://schemas.microsoft.com/office/2020/10/relationships/intelligence" Target="intelligence2.xml" Id="R5e52da2d23ab49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2b8d2fe-584e-491d-ab11-5bb092808c81">
      <UserInfo>
        <DisplayName>Sophie MERLIN</DisplayName>
        <AccountId>12</AccountId>
        <AccountType/>
      </UserInfo>
    </SharedWithUsers>
    <lcf76f155ced4ddcb4097134ff3c332f xmlns="5c47aca6-1557-4609-88b8-7e43a186391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7BD23681514447A5E42678A657A689" ma:contentTypeVersion="12" ma:contentTypeDescription="Crée un document." ma:contentTypeScope="" ma:versionID="515b5f20a883f93da2de608783c94196">
  <xsd:schema xmlns:xsd="http://www.w3.org/2001/XMLSchema" xmlns:xs="http://www.w3.org/2001/XMLSchema" xmlns:p="http://schemas.microsoft.com/office/2006/metadata/properties" xmlns:ns2="5c47aca6-1557-4609-88b8-7e43a186391a" xmlns:ns3="82b8d2fe-584e-491d-ab11-5bb092808c81" targetNamespace="http://schemas.microsoft.com/office/2006/metadata/properties" ma:root="true" ma:fieldsID="3f1ffd1e4a740c2d0b3921dc8576dfe1" ns2:_="" ns3:_="">
    <xsd:import namespace="5c47aca6-1557-4609-88b8-7e43a186391a"/>
    <xsd:import namespace="82b8d2fe-584e-491d-ab11-5bb092808c8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7aca6-1557-4609-88b8-7e43a1863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70d0b43a-888d-4f30-8ac0-e2761c1647a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b8d2fe-584e-491d-ab11-5bb092808c81"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45CA6-5C0A-4426-9E7B-A930B8BA1BA8}">
  <ds:schemaRefs>
    <ds:schemaRef ds:uri="http://schemas.microsoft.com/office/2006/metadata/properties"/>
    <ds:schemaRef ds:uri="http://schemas.microsoft.com/office/infopath/2007/PartnerControls"/>
    <ds:schemaRef ds:uri="82b8d2fe-584e-491d-ab11-5bb092808c81"/>
    <ds:schemaRef ds:uri="5c47aca6-1557-4609-88b8-7e43a186391a"/>
  </ds:schemaRefs>
</ds:datastoreItem>
</file>

<file path=customXml/itemProps2.xml><?xml version="1.0" encoding="utf-8"?>
<ds:datastoreItem xmlns:ds="http://schemas.openxmlformats.org/officeDocument/2006/customXml" ds:itemID="{8CB4768C-0332-4691-849E-A82C095B674D}">
  <ds:schemaRefs>
    <ds:schemaRef ds:uri="http://schemas.microsoft.com/sharepoint/v3/contenttype/forms"/>
  </ds:schemaRefs>
</ds:datastoreItem>
</file>

<file path=customXml/itemProps3.xml><?xml version="1.0" encoding="utf-8"?>
<ds:datastoreItem xmlns:ds="http://schemas.openxmlformats.org/officeDocument/2006/customXml" ds:itemID="{97E72405-8FD1-4C8E-BFF2-A081B8C114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Sophie MERLIN</cp:lastModifiedBy>
  <cp:revision>13</cp:revision>
  <cp:lastPrinted>2024-09-11T12:14:00Z</cp:lastPrinted>
  <dcterms:created xsi:type="dcterms:W3CDTF">2023-09-18T12:42:00Z</dcterms:created>
  <dcterms:modified xsi:type="dcterms:W3CDTF">2024-09-18T06:55:19Z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0x010100CE7BD23681514447A5E42678A657A689</vt:lpwstr>
  </property>
  <property fmtid="{D5CDD505-2E9C-101B-9397-08002B2CF9AE}" pid="3" name="Order">
    <vt:r8>4400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