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F7C8" w14:textId="77777777" w:rsidR="00AF1725" w:rsidRDefault="00AF17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AF1725" w14:paraId="376214EC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75B364BB" w14:textId="77777777" w:rsidR="00AF1725" w:rsidRDefault="00AE1BA5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C5929" w14:textId="77777777" w:rsidR="00AF1725" w:rsidRDefault="00AE1BA5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MF1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06656439" w14:textId="77777777" w:rsidR="00AF1725" w:rsidRDefault="00AF1725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7AC28897" w14:textId="77777777" w:rsidR="00AF1725" w:rsidRDefault="00AE1BA5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13FEF74E" w14:textId="77777777" w:rsidR="00AF1725" w:rsidRDefault="00AE1BA5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AF1725" w14:paraId="737FB49E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C9744E" w14:textId="77777777" w:rsidR="00AF1725" w:rsidRDefault="00AF1725">
            <w:pPr>
              <w:keepNext/>
              <w:rPr>
                <w:sz w:val="2"/>
                <w:szCs w:val="2"/>
              </w:rPr>
            </w:pPr>
          </w:p>
        </w:tc>
      </w:tr>
      <w:tr w:rsidR="00AF1725" w14:paraId="28E619CE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0540FAE7" w14:textId="77777777" w:rsidR="00AF1725" w:rsidRDefault="00AF1725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AF1725" w14:paraId="18CDF62C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1E78BBEB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AF1725" w14:paraId="3CED717C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69BA9F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2927EC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AF1725" w14:paraId="2F4E58D3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C277956" w14:textId="77777777" w:rsidR="00AF1725" w:rsidRDefault="00AE1BA5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166C989" w14:textId="77777777" w:rsidR="00AF1725" w:rsidRDefault="00AE1BA5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§4.1.4 et 4.1.5</w:t>
            </w:r>
          </w:p>
        </w:tc>
      </w:tr>
      <w:tr w:rsidR="00AF1725" w14:paraId="7B19D687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6BB25823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33EC2D7A" w14:textId="77777777" w:rsidR="00AF1725" w:rsidRDefault="00AE1BA5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699776B" w14:textId="77777777" w:rsidR="00AF1725" w:rsidRDefault="00AE1BA5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86EC08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AF1725" w14:paraId="4491C905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9480144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4A6549DF" w14:textId="77777777" w:rsidR="00AF1725" w:rsidRDefault="00AE1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Dans l’analyse de risques liés à l’impartialité, le conflit d’intérêt pour le directeur et la responsable qualité n’a pas été pris en compte. Le directeur de GD Biotech est également directement de GD </w:t>
            </w:r>
            <w:r>
              <w:rPr>
                <w:color w:val="000000"/>
                <w:sz w:val="20"/>
                <w:szCs w:val="20"/>
              </w:rPr>
              <w:t>SAS, unique client du laboratoire. De même la référente qualité de GD Biotech est mise à disposition du service génétique de GD SAS qui envoie les échantillons</w:t>
            </w:r>
          </w:p>
          <w:p w14:paraId="2ACFC462" w14:textId="77777777" w:rsidR="00AF1725" w:rsidRDefault="00AE1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 manque des dispositions concernant les remontées du personnel sur d’éventuels conflits d’inté</w:t>
            </w:r>
            <w:r>
              <w:rPr>
                <w:color w:val="000000"/>
                <w:sz w:val="20"/>
                <w:szCs w:val="20"/>
              </w:rPr>
              <w:t xml:space="preserve">rêt. </w:t>
            </w:r>
          </w:p>
          <w:p w14:paraId="7FADAB4E" w14:textId="77777777" w:rsidR="00AF1725" w:rsidRDefault="00AF1725">
            <w:pPr>
              <w:rPr>
                <w:sz w:val="20"/>
                <w:szCs w:val="20"/>
              </w:rPr>
            </w:pPr>
          </w:p>
        </w:tc>
      </w:tr>
      <w:tr w:rsidR="00AF1725" w14:paraId="7EF8D7A7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7D99E0F" w14:textId="77777777" w:rsidR="00AF1725" w:rsidRDefault="00AE1BA5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629165BC" w14:textId="77777777" w:rsidR="00AF1725" w:rsidRDefault="00AE1BA5">
            <w:pPr>
              <w:keepNext/>
              <w:spacing w:before="40"/>
            </w:pPr>
            <w:r>
              <w:rPr>
                <w:sz w:val="20"/>
                <w:szCs w:val="20"/>
              </w:rPr>
              <w:t>Ne pas responsabiliser la direction et compromettre la fiabilité des essais</w:t>
            </w:r>
          </w:p>
        </w:tc>
      </w:tr>
      <w:tr w:rsidR="00AF1725" w14:paraId="559E0591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2B761343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6BCDB2E6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D551F49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AF1725" w14:paraId="65E5BC6E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48618C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5D2F17B" w14:textId="77777777" w:rsidR="00AF1725" w:rsidRDefault="00AE1BA5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id="5" w:name="tyjcwt" w:colFirst="0" w:colLast="0"/>
            <w:bookmarkEnd w:id="5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86C94E" w14:textId="77777777" w:rsidR="00AF1725" w:rsidRDefault="00AE1BA5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r>
              <w:rPr>
                <w:b/>
                <w:sz w:val="18"/>
                <w:szCs w:val="18"/>
              </w:rPr>
              <w:t>☐</w:t>
            </w:r>
          </w:p>
        </w:tc>
      </w:tr>
      <w:tr w:rsidR="00AF1725" w14:paraId="7FEED3D6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97AB4FB" w14:textId="77777777" w:rsidR="00AF1725" w:rsidRDefault="00AE1BA5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337DE60A" w14:textId="77777777" w:rsidR="00AF1725" w:rsidRDefault="00AE1BA5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6" w:name="1t3h5sf" w:colFirst="0" w:colLast="0"/>
            <w:bookmarkEnd w:id="6"/>
            <w:r>
              <w:rPr>
                <w:sz w:val="20"/>
                <w:szCs w:val="20"/>
              </w:rPr>
              <w:t>     </w:t>
            </w:r>
          </w:p>
        </w:tc>
      </w:tr>
      <w:tr w:rsidR="00AF1725" w14:paraId="5D834086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0841C084" w14:textId="77777777" w:rsidR="00AF1725" w:rsidRDefault="00AF1725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AF1725" w14:paraId="6C848CCE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0F4F33D8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AF1725" w14:paraId="7CDA4A97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41AA28A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AF1725" w14:paraId="4A3AADF1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D6C877A" w14:textId="77777777" w:rsidR="00AF1725" w:rsidRDefault="00AE1BA5">
            <w:pPr>
              <w:keepNext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pas d’impact connu - Les prélèvements (échantillons) étant transmis au laboratoire avec pour identifiant un Code à barres, aucune identification précise de l’éleveur, technicien, etc… ne peut être mise en évidence au moment de traiter le prélèvement en </w:t>
            </w:r>
            <w:r>
              <w:rPr>
                <w:sz w:val="20"/>
                <w:szCs w:val="20"/>
              </w:rPr>
              <w:t>question. Ils sont pris en charge selon les dispositions d’organisation propres au laboratoire.</w:t>
            </w:r>
          </w:p>
          <w:p w14:paraId="279640A4" w14:textId="77777777" w:rsidR="00AF1725" w:rsidRDefault="00AF1725">
            <w:pPr>
              <w:keepNext/>
              <w:spacing w:before="60"/>
              <w:rPr>
                <w:sz w:val="20"/>
                <w:szCs w:val="20"/>
              </w:rPr>
            </w:pPr>
          </w:p>
        </w:tc>
      </w:tr>
      <w:tr w:rsidR="00AF1725" w14:paraId="6DB09A1E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2FD2A3" w14:textId="77777777" w:rsidR="00AF1725" w:rsidRDefault="00AE1BA5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AF1725" w14:paraId="6F47D3B5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B15681C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Mauvaise interprétation des chapitres 4.1.4 et 4.1.5 de la norme. Les risques de conflit d’intérêt n’ont pas été identifiés du fait de l’absence de déclaration à signature de la charte d’impartialité par chaque salarié intervenant dans la production de gén</w:t>
            </w:r>
            <w:r>
              <w:rPr>
                <w:sz w:val="20"/>
                <w:szCs w:val="20"/>
              </w:rPr>
              <w:t xml:space="preserve">otypage GD Scan en janvier </w:t>
            </w:r>
            <w:proofErr w:type="gramStart"/>
            <w:r>
              <w:rPr>
                <w:sz w:val="20"/>
                <w:szCs w:val="20"/>
              </w:rPr>
              <w:t>2022 ,</w:t>
            </w:r>
            <w:proofErr w:type="gramEnd"/>
            <w:r>
              <w:rPr>
                <w:sz w:val="20"/>
                <w:szCs w:val="20"/>
              </w:rPr>
              <w:t xml:space="preserve"> et de la déclaration de politique qualité qui reconnaît l’impartialité comme élément fondamental dans la mise en place du SMQ. L’analyse des risques liés à l’impartialité est restée trop </w:t>
            </w:r>
            <w:proofErr w:type="gramStart"/>
            <w:r>
              <w:rPr>
                <w:sz w:val="20"/>
                <w:szCs w:val="20"/>
              </w:rPr>
              <w:t>générale..</w:t>
            </w:r>
            <w:proofErr w:type="gramEnd"/>
          </w:p>
        </w:tc>
      </w:tr>
      <w:tr w:rsidR="00AF1725" w14:paraId="75843696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191C948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0E392D1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AF1725" w14:paraId="47375E42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6C2F1073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</w:p>
          <w:p w14:paraId="649704A3" w14:textId="77777777" w:rsidR="00AF1725" w:rsidRDefault="00AE1BA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Rédaction de déclaration de conflit d’intérêt concernant le Directeur Général de GD Biotech et GD SAS - </w:t>
            </w:r>
            <w:r>
              <w:rPr>
                <w:color w:val="0000FF"/>
                <w:sz w:val="20"/>
                <w:szCs w:val="20"/>
              </w:rPr>
              <w:t>GDB_FI_51_Déclaration de conflit d’intérêt - Directeur général</w:t>
            </w:r>
          </w:p>
          <w:p w14:paraId="1099BA9C" w14:textId="77777777" w:rsidR="00AF1725" w:rsidRDefault="00AE1BA5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Revue de l’organisation suite à l’audit, la référente qualité n’intervient plus dans la réception et transmission des prélèvements. Son bureau restant au niveau du service génétique, une déclar</w:t>
            </w:r>
            <w:r>
              <w:rPr>
                <w:sz w:val="20"/>
                <w:szCs w:val="20"/>
              </w:rPr>
              <w:t>ation de conflit d’intérêt du fait de sa proximité géographique avec le client principal sera rédigée.</w:t>
            </w:r>
          </w:p>
          <w:p w14:paraId="74989A88" w14:textId="77777777" w:rsidR="00AF1725" w:rsidRDefault="00AE1BA5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Réaliser une analyse des risques liés à l’impartialité plus poussée</w:t>
            </w:r>
          </w:p>
          <w:p w14:paraId="1D6D4586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2/ </w:t>
            </w:r>
          </w:p>
          <w:p w14:paraId="0410F1BC" w14:textId="77777777" w:rsidR="00AF1725" w:rsidRDefault="00AE1BA5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Mise en place d’un entretien qualité annuel avec formulaire support </w:t>
            </w:r>
            <w:r>
              <w:rPr>
                <w:color w:val="0000FF"/>
                <w:sz w:val="20"/>
                <w:szCs w:val="20"/>
              </w:rPr>
              <w:t xml:space="preserve">GDB_FORM_55_Support Entretien qualité </w:t>
            </w:r>
            <w:proofErr w:type="gramStart"/>
            <w:r>
              <w:rPr>
                <w:color w:val="0000FF"/>
                <w:sz w:val="20"/>
                <w:szCs w:val="20"/>
              </w:rPr>
              <w:t xml:space="preserve">annuel </w:t>
            </w:r>
            <w:r>
              <w:rPr>
                <w:sz w:val="20"/>
                <w:szCs w:val="20"/>
              </w:rPr>
              <w:t xml:space="preserve"> incluant</w:t>
            </w:r>
            <w:proofErr w:type="gramEnd"/>
            <w:r>
              <w:rPr>
                <w:sz w:val="20"/>
                <w:szCs w:val="20"/>
              </w:rPr>
              <w:t xml:space="preserve">  une partie impartialité - confidentialité dont les résultats seront analysés et exploités.</w:t>
            </w: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9167AC9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0E71416C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janvier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29E77BE4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sz w:val="20"/>
                <w:szCs w:val="20"/>
              </w:rPr>
            </w:pPr>
          </w:p>
          <w:p w14:paraId="3088A163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42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04A4185A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2646EFD1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sz w:val="20"/>
                <w:szCs w:val="20"/>
              </w:rPr>
            </w:pPr>
          </w:p>
          <w:p w14:paraId="0A6AE478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42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mai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41CB8445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379E1924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AF1725" w14:paraId="69A5B32B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3227DE32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Karine LE ROUX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E84044C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09/03/2023</w:t>
            </w:r>
          </w:p>
        </w:tc>
      </w:tr>
      <w:tr w:rsidR="00AF1725" w14:paraId="290F4AA7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4D7777A" w14:textId="77777777" w:rsidR="00AF1725" w:rsidRDefault="00AF1725">
            <w:pPr>
              <w:rPr>
                <w:sz w:val="2"/>
                <w:szCs w:val="2"/>
              </w:rPr>
            </w:pPr>
          </w:p>
        </w:tc>
      </w:tr>
    </w:tbl>
    <w:p w14:paraId="4AAFBF82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5352CC12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2A6BB352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0CB1008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932C213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AF1725" w14:paraId="75D74118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7B4C0B19" w14:textId="77777777" w:rsidR="00AF1725" w:rsidRDefault="00AE1BA5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2AC44" w14:textId="77777777" w:rsidR="00AF1725" w:rsidRDefault="00AE1BA5">
            <w:pPr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11A77769" w14:textId="77777777" w:rsidR="00AF1725" w:rsidRDefault="00AE1BA5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609CAE4A" w14:textId="77777777" w:rsidR="00AF1725" w:rsidRDefault="00AE1BA5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5DE92B5B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AF1725" w14:paraId="6AE45066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53122CA" w14:textId="77777777" w:rsidR="00AF1725" w:rsidRDefault="00AF172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59108C54" w14:textId="77777777" w:rsidR="00AF1725" w:rsidRDefault="00AF1725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AF1725" w14:paraId="5133056B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53ED49BF" w14:textId="77777777" w:rsidR="00AF1725" w:rsidRDefault="00AE1BA5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AF1725" w14:paraId="3FCFF579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2D63BC54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63CAFEA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7" w:name="4d34og8" w:colFirst="0" w:colLast="0"/>
            <w:bookmarkEnd w:id="7"/>
            <w:r>
              <w:rPr>
                <w:b/>
                <w:sz w:val="22"/>
                <w:szCs w:val="22"/>
              </w:rPr>
              <w:t>☒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1359633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AF1725" w14:paraId="083EBE32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8FFB8" w14:textId="77777777" w:rsidR="00AF1725" w:rsidRDefault="00AE1BA5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7C470ABC" w14:textId="77777777" w:rsidR="00AF1725" w:rsidRDefault="00AE1BA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le point 2, l’entretien qualité annuel </w:t>
            </w:r>
            <w:proofErr w:type="spellStart"/>
            <w:r>
              <w:rPr>
                <w:sz w:val="20"/>
                <w:szCs w:val="20"/>
              </w:rPr>
              <w:t>est il</w:t>
            </w:r>
            <w:proofErr w:type="spellEnd"/>
            <w:r>
              <w:rPr>
                <w:sz w:val="20"/>
                <w:szCs w:val="20"/>
              </w:rPr>
              <w:t xml:space="preserve"> vraiment nécessaire ?</w:t>
            </w:r>
            <w:bookmarkStart w:id="8" w:name="_GoBack"/>
            <w:bookmarkEnd w:id="8"/>
          </w:p>
          <w:p w14:paraId="4C73C6C8" w14:textId="77777777" w:rsidR="00AF1725" w:rsidRDefault="00AF172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109DC37F" w14:textId="77777777" w:rsidR="00AF1725" w:rsidRDefault="00AF172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0F6194A4" w14:textId="77777777" w:rsidR="00AF1725" w:rsidRDefault="00AF172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2D8FFF37" w14:textId="77777777" w:rsidR="00AF1725" w:rsidRDefault="00AF172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AF1725" w14:paraId="1759C415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6A133624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E10E2D5" w14:textId="77777777" w:rsidR="00AF1725" w:rsidRDefault="00AE1BA5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68DB0AD3" w14:textId="77777777" w:rsidR="00AF1725" w:rsidRDefault="00AE1BA5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☒</w:t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63B2DD3" w14:textId="77777777" w:rsidR="00AF1725" w:rsidRDefault="00AF1725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AF1725" w14:paraId="3B16AEC4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69C41798" w14:textId="77777777" w:rsidR="00AF1725" w:rsidRDefault="00AE1BA5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22CA0460" w14:textId="77777777" w:rsidR="00AF1725" w:rsidRDefault="00AE1BA5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9" w:name="2s8eyo1" w:colFirst="0" w:colLast="0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AF1725" w14:paraId="1CC281FB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703B7183" w14:textId="77777777" w:rsidR="00AF1725" w:rsidRDefault="00AE1BA5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337EA667" w14:textId="77777777" w:rsidR="00AF1725" w:rsidRDefault="00AE1BA5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0" w:name="17dp8vu" w:colFirst="0" w:colLast="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AF1725" w14:paraId="06E2C662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6D013560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626990BE" w14:textId="77777777" w:rsidR="00AF1725" w:rsidRDefault="00AE1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date : 14/03/22 </w:t>
            </w:r>
          </w:p>
        </w:tc>
      </w:tr>
    </w:tbl>
    <w:p w14:paraId="44E14CA8" w14:textId="77777777" w:rsidR="00AF1725" w:rsidRDefault="00AF172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AF1725">
      <w:headerReference w:type="default" r:id="rId10"/>
      <w:footerReference w:type="default" r:id="rId11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FEA16" w14:textId="77777777" w:rsidR="00000000" w:rsidRDefault="00AE1BA5">
      <w:r>
        <w:separator/>
      </w:r>
    </w:p>
  </w:endnote>
  <w:endnote w:type="continuationSeparator" w:id="0">
    <w:p w14:paraId="5AB2ABEE" w14:textId="77777777" w:rsidR="00000000" w:rsidRDefault="00AE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70928" w14:textId="77777777" w:rsidR="00AF1725" w:rsidRDefault="00AF172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A9207" w14:textId="77777777" w:rsidR="00000000" w:rsidRDefault="00AE1BA5">
      <w:r>
        <w:separator/>
      </w:r>
    </w:p>
  </w:footnote>
  <w:footnote w:type="continuationSeparator" w:id="0">
    <w:p w14:paraId="0954E942" w14:textId="77777777" w:rsidR="00000000" w:rsidRDefault="00AE1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E04AD" w14:textId="77777777" w:rsidR="00AF1725" w:rsidRDefault="00AF172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AF1725" w14:paraId="73227769" w14:textId="77777777">
      <w:trPr>
        <w:cantSplit/>
      </w:trPr>
      <w:tc>
        <w:tcPr>
          <w:tcW w:w="9014" w:type="dxa"/>
        </w:tcPr>
        <w:p w14:paraId="08D64987" w14:textId="77777777" w:rsidR="00AF1725" w:rsidRDefault="00AE1B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1FCF6A01" w14:textId="77777777" w:rsidR="00AF1725" w:rsidRDefault="00AF17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0C4BE930" w14:textId="77777777" w:rsidR="00AF1725" w:rsidRDefault="00AF17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0DBA"/>
    <w:multiLevelType w:val="multilevel"/>
    <w:tmpl w:val="8398FF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54607"/>
    <w:multiLevelType w:val="multilevel"/>
    <w:tmpl w:val="66ECD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26A8A"/>
    <w:multiLevelType w:val="multilevel"/>
    <w:tmpl w:val="08F27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A6A0F"/>
    <w:multiLevelType w:val="multilevel"/>
    <w:tmpl w:val="143E0D4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25"/>
    <w:rsid w:val="00AE1BA5"/>
    <w:rsid w:val="00A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9273"/>
  <w15:docId w15:val="{7C62B273-12CF-4E92-AD73-4A5EA60C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12582-F08E-464A-83D9-A3947264E701}"/>
</file>

<file path=customXml/itemProps2.xml><?xml version="1.0" encoding="utf-8"?>
<ds:datastoreItem xmlns:ds="http://schemas.openxmlformats.org/officeDocument/2006/customXml" ds:itemID="{A57EC562-9069-4B26-9D8F-E84B0C558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8CA96-23CC-4E8D-9BF9-328840C6CD1B}">
  <ds:schemaRefs>
    <ds:schemaRef ds:uri="http://purl.org/dc/elements/1.1/"/>
    <ds:schemaRef ds:uri="http://schemas.microsoft.com/office/2006/metadata/properties"/>
    <ds:schemaRef ds:uri="50906d9f-ea57-49b8-83c5-4382722f92a9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1e8333d-18f3-4f32-b093-aa27758df93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2933</Characters>
  <Application>Microsoft Office Word</Application>
  <DocSecurity>4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FOUCHER Magali</cp:lastModifiedBy>
  <cp:revision>2</cp:revision>
  <dcterms:created xsi:type="dcterms:W3CDTF">2023-06-08T19:44:00Z</dcterms:created>
  <dcterms:modified xsi:type="dcterms:W3CDTF">2023-06-08T19:44:00Z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