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E823" w14:textId="77777777" w:rsidR="00FA4F9C" w:rsidRDefault="00FA4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FA4F9C" w14:paraId="061BD1D2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523E637A" w14:textId="77777777" w:rsidR="00FA4F9C" w:rsidRDefault="00877171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B1437" w14:textId="77777777" w:rsidR="00FA4F9C" w:rsidRDefault="00877171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MF6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12C3541B" w14:textId="77777777" w:rsidR="00FA4F9C" w:rsidRDefault="00FA4F9C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6A7E4647" w14:textId="77777777" w:rsidR="00FA4F9C" w:rsidRDefault="00877171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095B1406" w14:textId="77777777" w:rsidR="00FA4F9C" w:rsidRDefault="00877171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FA4F9C" w14:paraId="4D3D430E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4D1C22" w14:textId="77777777" w:rsidR="00FA4F9C" w:rsidRDefault="00FA4F9C">
            <w:pPr>
              <w:keepNext/>
              <w:rPr>
                <w:sz w:val="2"/>
                <w:szCs w:val="2"/>
              </w:rPr>
            </w:pPr>
          </w:p>
        </w:tc>
      </w:tr>
      <w:tr w:rsidR="00FA4F9C" w14:paraId="0500D06D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42424FEB" w14:textId="77777777" w:rsidR="00FA4F9C" w:rsidRDefault="00FA4F9C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FA4F9C" w14:paraId="7D69E572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0B48A836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FA4F9C" w14:paraId="3AFCBC9E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9451B4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F0F5A01" w14:textId="77777777" w:rsidR="00FA4F9C" w:rsidRDefault="00FA4F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FA4F9C" w14:paraId="602DB694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CDCD4BD" w14:textId="77777777" w:rsidR="00FA4F9C" w:rsidRDefault="0087717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EDA1A40" w14:textId="77777777" w:rsidR="00FA4F9C" w:rsidRDefault="00877171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§6.6.1 et 6.6.2</w:t>
            </w:r>
          </w:p>
        </w:tc>
      </w:tr>
      <w:tr w:rsidR="00FA4F9C" w14:paraId="4DF6D6DF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54C247D9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3C4B21E1" w14:textId="77777777" w:rsidR="00FA4F9C" w:rsidRDefault="0087717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5F8A9C" w14:textId="77777777" w:rsidR="00FA4F9C" w:rsidRDefault="0087717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553C4A" w14:textId="77777777" w:rsidR="00FA4F9C" w:rsidRDefault="00FA4F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FA4F9C" w14:paraId="56F3C9FA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19E09BF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76E8AAF7" w14:textId="77777777" w:rsidR="00FA4F9C" w:rsidRDefault="008771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laboratoire n’a pas de critères pour évaluer la surveillance de performances et la réévaluation de ses fournisseurs</w:t>
            </w:r>
          </w:p>
        </w:tc>
      </w:tr>
      <w:tr w:rsidR="00FA4F9C" w14:paraId="73EF261B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1986C96" w14:textId="77777777" w:rsidR="00FA4F9C" w:rsidRDefault="00877171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2F8A9E7E" w14:textId="77777777" w:rsidR="00FA4F9C" w:rsidRDefault="00877171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Avoir des fournisseurs avec des produits ou services non performants pour le laboratoire.</w:t>
            </w:r>
          </w:p>
        </w:tc>
      </w:tr>
      <w:tr w:rsidR="00FA4F9C" w14:paraId="217438CC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3895CDF3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660AABBB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6B1793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FA4F9C" w14:paraId="7A4FD357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2B3AE26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2C9895" w14:textId="77777777" w:rsidR="00FA4F9C" w:rsidRDefault="00877171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4" w:name="2et92p0" w:colFirst="0" w:colLast="0"/>
            <w:bookmarkEnd w:id="4"/>
            <w:r>
              <w:rPr>
                <w:smallCaps/>
              </w:rPr>
              <w:t xml:space="preserve"> </w:t>
            </w:r>
            <w:bookmarkStart w:id="5" w:name="kix.ynabppe7o4y3" w:colFirst="0" w:colLast="0"/>
            <w:bookmarkStart w:id="6" w:name="kix.wchs82p76qy5" w:colFirst="0" w:colLast="0"/>
            <w:bookmarkEnd w:id="5"/>
            <w:bookmarkEnd w:id="6"/>
            <w:r>
              <w:rPr>
                <w:smallCaps/>
              </w:rPr>
              <w:t xml:space="preserve"> </w:t>
            </w:r>
            <w:bookmarkStart w:id="7" w:name="kix.a2y0fze8wbjd" w:colFirst="0" w:colLast="0"/>
            <w:bookmarkEnd w:id="7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3E66F7C" w14:textId="77777777" w:rsidR="00FA4F9C" w:rsidRDefault="00877171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8" w:name="tyjcwt" w:colFirst="0" w:colLast="0"/>
            <w:bookmarkEnd w:id="8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FA4F9C" w14:paraId="7BC63C25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36BB500" w14:textId="77777777" w:rsidR="00FA4F9C" w:rsidRDefault="00877171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360BBFB4" w14:textId="77777777" w:rsidR="00FA4F9C" w:rsidRDefault="00877171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9" w:name="3dy6vkm" w:colFirst="0" w:colLast="0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FA4F9C" w14:paraId="7F3E5DA2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7EFE5CE3" w14:textId="77777777" w:rsidR="00FA4F9C" w:rsidRDefault="00FA4F9C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FA4F9C" w14:paraId="53C411DA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169B02B8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FA4F9C" w14:paraId="728021AB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EDBD33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FA4F9C" w14:paraId="51BE6C23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8989CA6" w14:textId="77777777" w:rsidR="00FA4F9C" w:rsidRDefault="00877171">
            <w:pPr>
              <w:keepNext/>
              <w:tabs>
                <w:tab w:val="center" w:pos="4536"/>
                <w:tab w:val="right" w:pos="9072"/>
              </w:tabs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l’optimisation</w:t>
            </w:r>
            <w:proofErr w:type="gramEnd"/>
            <w:r>
              <w:rPr>
                <w:sz w:val="20"/>
                <w:szCs w:val="20"/>
              </w:rPr>
              <w:t xml:space="preserve"> des achats étant un axe d’amélioration défini lors de la revue de direction n°1 (08/07/2022), le responsable achat a réalisé un travail relatif à l’évaluation et la sélection des fournisseurs. La réalisation étant récente, la surveillance de</w:t>
            </w:r>
            <w:r>
              <w:rPr>
                <w:sz w:val="20"/>
                <w:szCs w:val="20"/>
              </w:rPr>
              <w:t xml:space="preserve"> performance et la réévaluation de ses fournisseurs n’aurait pas été réalisée avant l’audit du 12 et 13 janvier. Il n’y a pas d’impact à déclarer concernant cet écart à la date de réalisation de l’audit. </w:t>
            </w:r>
          </w:p>
        </w:tc>
      </w:tr>
      <w:tr w:rsidR="00FA4F9C" w14:paraId="7A58282D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14760C5" w14:textId="77777777" w:rsidR="00FA4F9C" w:rsidRDefault="00877171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FA4F9C" w14:paraId="5941E36C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30A328C" w14:textId="77777777" w:rsidR="00FA4F9C" w:rsidRDefault="00877171">
            <w:pPr>
              <w:keepNext/>
              <w:tabs>
                <w:tab w:val="center" w:pos="4536"/>
                <w:tab w:val="right" w:pos="9072"/>
              </w:tabs>
              <w:spacing w:before="60"/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prise en compte de la totalité des exigences du point 6.6.2 de la norme. Une partie du point b) (surveillance de performance et </w:t>
            </w:r>
            <w:proofErr w:type="spellStart"/>
            <w:r>
              <w:rPr>
                <w:sz w:val="20"/>
                <w:szCs w:val="20"/>
              </w:rPr>
              <w:t>réevauluation</w:t>
            </w:r>
            <w:proofErr w:type="spellEnd"/>
            <w:r>
              <w:rPr>
                <w:sz w:val="20"/>
                <w:szCs w:val="20"/>
              </w:rPr>
              <w:t xml:space="preserve">) a été omise, l’évaluation et sélection sont prises en compte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>GDB</w:t>
            </w:r>
            <w:proofErr w:type="gramEnd"/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 xml:space="preserve">_FORM_41_Recherche de nouvelles références </w:t>
            </w:r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 xml:space="preserve">consommables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et </w:t>
            </w:r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>GDB_ENR_60_Mise en concurrence fournisseurs consommables_v1.0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).</w:t>
            </w:r>
          </w:p>
        </w:tc>
      </w:tr>
      <w:tr w:rsidR="00FA4F9C" w14:paraId="447A034A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FBE99C6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1E1E37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FA4F9C" w14:paraId="0FBE1D06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17DD0986" w14:textId="77777777" w:rsidR="00FA4F9C" w:rsidRDefault="00877171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Réviser </w:t>
            </w:r>
            <w:r>
              <w:rPr>
                <w:rFonts w:ascii="Roboto" w:eastAsia="Roboto" w:hAnsi="Roboto" w:cs="Roboto"/>
                <w:color w:val="0000FF"/>
                <w:sz w:val="21"/>
                <w:szCs w:val="21"/>
                <w:highlight w:val="white"/>
              </w:rPr>
              <w:t>GDB_ENR_60_Mise en concurrence fournisseurs consommables</w:t>
            </w:r>
            <w:r>
              <w:rPr>
                <w:sz w:val="20"/>
                <w:szCs w:val="20"/>
              </w:rPr>
              <w:t xml:space="preserve"> pour y ajouter les éléments manquants</w:t>
            </w:r>
          </w:p>
          <w:p w14:paraId="15C312C7" w14:textId="77777777" w:rsidR="00FA4F9C" w:rsidRDefault="00877171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Planifier la surveillance de performance et la </w:t>
            </w:r>
            <w:proofErr w:type="spellStart"/>
            <w:r>
              <w:rPr>
                <w:sz w:val="20"/>
                <w:szCs w:val="20"/>
              </w:rPr>
              <w:t>réevaluation</w:t>
            </w:r>
            <w:proofErr w:type="spellEnd"/>
            <w:r>
              <w:rPr>
                <w:sz w:val="20"/>
                <w:szCs w:val="20"/>
              </w:rPr>
              <w:t xml:space="preserve"> des fournisseurs</w:t>
            </w:r>
          </w:p>
          <w:p w14:paraId="77B41F80" w14:textId="77777777" w:rsidR="00FA4F9C" w:rsidRDefault="00FA4F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4296F14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54973C97" w14:textId="77777777" w:rsidR="00FA4F9C" w:rsidRDefault="00FA4F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48FC3D07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FA4F9C" w14:paraId="3EEF1D6B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0B6C1CBD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Sophie MERLIN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9742EB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16/03/2023</w:t>
            </w:r>
          </w:p>
        </w:tc>
      </w:tr>
      <w:tr w:rsidR="00FA4F9C" w14:paraId="52EBBBB4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64868DC" w14:textId="77777777" w:rsidR="00FA4F9C" w:rsidRDefault="00FA4F9C">
            <w:pPr>
              <w:rPr>
                <w:sz w:val="2"/>
                <w:szCs w:val="2"/>
              </w:rPr>
            </w:pPr>
          </w:p>
        </w:tc>
      </w:tr>
    </w:tbl>
    <w:p w14:paraId="388CC4EE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B6B9E74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AAA8043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A07660E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48E2E726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FA4F9C" w14:paraId="10DDF49A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43CA8242" w14:textId="77777777" w:rsidR="00FA4F9C" w:rsidRDefault="00877171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F591" w14:textId="77777777" w:rsidR="00FA4F9C" w:rsidRDefault="00877171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10" w:name="_1t3h5sf" w:colFirst="0" w:colLast="0"/>
            <w:bookmarkEnd w:id="10"/>
            <w:r>
              <w:rPr>
                <w:b/>
                <w:sz w:val="20"/>
                <w:szCs w:val="20"/>
              </w:rPr>
              <w:t>MF6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0C20A27B" w14:textId="77777777" w:rsidR="00FA4F9C" w:rsidRDefault="00877171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5B060440" w14:textId="77777777" w:rsidR="00FA4F9C" w:rsidRDefault="00877171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2DFD7A42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FA4F9C" w14:paraId="5F16BCEE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048064C" w14:textId="77777777" w:rsidR="00FA4F9C" w:rsidRDefault="00FA4F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16268706" w14:textId="77777777" w:rsidR="00FA4F9C" w:rsidRDefault="00FA4F9C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FA4F9C" w14:paraId="68A1E15A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065AE8CE" w14:textId="77777777" w:rsidR="00FA4F9C" w:rsidRDefault="00877171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FA4F9C" w14:paraId="0C5CCEB3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254F3494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A0E768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11" w:name="4d34og8" w:colFirst="0" w:colLast="0"/>
            <w:bookmarkEnd w:id="11"/>
            <w:r>
              <w:rPr>
                <w:rFonts w:ascii="Segoe UI Symbol" w:hAnsi="Segoe UI Symbol" w:cs="Segoe UI Symbol"/>
                <w:b/>
                <w:sz w:val="22"/>
                <w:szCs w:val="22"/>
              </w:rPr>
              <w:t>☒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9DA7239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FA4F9C" w14:paraId="4969ACD0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26245" w14:textId="77777777" w:rsidR="00FA4F9C" w:rsidRDefault="00877171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4230E894" w14:textId="77777777" w:rsidR="00FA4F9C" w:rsidRDefault="0087717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695744BD" w14:textId="77777777" w:rsidR="00FA4F9C" w:rsidRDefault="00FA4F9C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53F4F1BB" w14:textId="77777777" w:rsidR="00FA4F9C" w:rsidRDefault="00FA4F9C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6EA826D" w14:textId="77777777" w:rsidR="00FA4F9C" w:rsidRDefault="00FA4F9C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1D9A743B" w14:textId="77777777" w:rsidR="00FA4F9C" w:rsidRDefault="00FA4F9C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FA4F9C" w14:paraId="7F1DF717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61775EF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D1451E0" w14:textId="77777777" w:rsidR="00FA4F9C" w:rsidRDefault="00877171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F95E88D" w14:textId="77777777" w:rsidR="00FA4F9C" w:rsidRDefault="00877171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</w:rPr>
              <w:t>☐</w:t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072B8A" w14:textId="77777777" w:rsidR="00FA4F9C" w:rsidRDefault="00FA4F9C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FA4F9C" w14:paraId="6FF834C4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3B9D22C5" w14:textId="77777777" w:rsidR="00FA4F9C" w:rsidRDefault="0087717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164BAB52" w14:textId="77777777" w:rsidR="00FA4F9C" w:rsidRDefault="0087717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2" w:name="2s8eyo1" w:colFirst="0" w:colLast="0"/>
            <w:bookmarkEnd w:id="12"/>
            <w:r>
              <w:rPr>
                <w:sz w:val="20"/>
                <w:szCs w:val="20"/>
              </w:rPr>
              <w:t>     </w:t>
            </w:r>
          </w:p>
        </w:tc>
      </w:tr>
      <w:tr w:rsidR="00FA4F9C" w14:paraId="0EA43B1B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200D2416" w14:textId="77777777" w:rsidR="00FA4F9C" w:rsidRDefault="0087717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332E3496" w14:textId="77777777" w:rsidR="00FA4F9C" w:rsidRDefault="0087717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3" w:name="17dp8vu" w:colFirst="0" w:colLast="0"/>
            <w:bookmarkEnd w:id="13"/>
            <w:r>
              <w:rPr>
                <w:sz w:val="20"/>
                <w:szCs w:val="20"/>
              </w:rPr>
              <w:t>     </w:t>
            </w:r>
          </w:p>
        </w:tc>
      </w:tr>
      <w:tr w:rsidR="00FA4F9C" w14:paraId="4F7B54C3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4D7C41C4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3D691" w14:textId="77777777" w:rsidR="00FA4F9C" w:rsidRDefault="008771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4" w:name="_GoBack"/>
            <w:bookmarkEnd w:id="14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496F9FBF" w14:textId="77777777" w:rsidR="00FA4F9C" w:rsidRDefault="00FA4F9C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FA4F9C">
      <w:headerReference w:type="default" r:id="rId7"/>
      <w:footerReference w:type="default" r:id="rId8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F1EE" w14:textId="77777777" w:rsidR="00000000" w:rsidRDefault="00877171">
      <w:r>
        <w:separator/>
      </w:r>
    </w:p>
  </w:endnote>
  <w:endnote w:type="continuationSeparator" w:id="0">
    <w:p w14:paraId="3CC1F564" w14:textId="77777777" w:rsidR="00000000" w:rsidRDefault="0087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Roboto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EF25C" w14:textId="77777777" w:rsidR="00FA4F9C" w:rsidRDefault="00FA4F9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5E43" w14:textId="77777777" w:rsidR="00000000" w:rsidRDefault="00877171">
      <w:r>
        <w:separator/>
      </w:r>
    </w:p>
  </w:footnote>
  <w:footnote w:type="continuationSeparator" w:id="0">
    <w:p w14:paraId="18D42067" w14:textId="77777777" w:rsidR="00000000" w:rsidRDefault="0087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53F2" w14:textId="77777777" w:rsidR="00FA4F9C" w:rsidRDefault="00FA4F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FA4F9C" w14:paraId="7C65671A" w14:textId="77777777">
      <w:trPr>
        <w:cantSplit/>
      </w:trPr>
      <w:tc>
        <w:tcPr>
          <w:tcW w:w="9014" w:type="dxa"/>
        </w:tcPr>
        <w:p w14:paraId="69155409" w14:textId="77777777" w:rsidR="00FA4F9C" w:rsidRDefault="008771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7245D766" w14:textId="77777777" w:rsidR="00FA4F9C" w:rsidRDefault="00FA4F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593144CF" w14:textId="77777777" w:rsidR="00FA4F9C" w:rsidRDefault="00FA4F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BF1"/>
    <w:multiLevelType w:val="multilevel"/>
    <w:tmpl w:val="04244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9C"/>
    <w:rsid w:val="00877171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72F5"/>
  <w15:docId w15:val="{F37B54EB-253B-4062-93AD-A34B3BDC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11D45-681D-4403-9D09-18C5E840C538}"/>
</file>

<file path=customXml/itemProps2.xml><?xml version="1.0" encoding="utf-8"?>
<ds:datastoreItem xmlns:ds="http://schemas.openxmlformats.org/officeDocument/2006/customXml" ds:itemID="{E5CB34BE-46D7-442A-B595-1C4BB0E1A9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2051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2023-06-08T20:02:00Z</dcterms:created>
  <dcterms:modified xsi:type="dcterms:W3CDTF">2023-06-08T20:02:00Z</dcterms:modified>
</cp:coreProperties>
</file>