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C187" w14:textId="77777777" w:rsidR="007B6745" w:rsidRDefault="007B674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7B6745" w14:paraId="2814DA30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45275240" w14:textId="77777777" w:rsidR="007B6745" w:rsidRDefault="00C92B7B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8B44FC" w14:textId="77777777" w:rsidR="007B6745" w:rsidRDefault="00C92B7B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MF9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49E221F5" w14:textId="77777777" w:rsidR="007B6745" w:rsidRDefault="007B6745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033D8681" w14:textId="77777777" w:rsidR="007B6745" w:rsidRDefault="00C92B7B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6A5DB5D0" w14:textId="77777777" w:rsidR="007B6745" w:rsidRDefault="00C92B7B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7B6745" w14:paraId="6A870A2D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30323F3" w14:textId="77777777" w:rsidR="007B6745" w:rsidRDefault="007B6745">
            <w:pPr>
              <w:keepNext/>
              <w:rPr>
                <w:sz w:val="2"/>
                <w:szCs w:val="2"/>
              </w:rPr>
            </w:pPr>
          </w:p>
        </w:tc>
      </w:tr>
      <w:tr w:rsidR="007B6745" w14:paraId="27E00174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599E4593" w14:textId="77777777" w:rsidR="007B6745" w:rsidRDefault="007B6745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7B6745" w14:paraId="5E997D5B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57A48BF1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7B6745" w14:paraId="0ACFCE6A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16AFFF9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0EACD39" w14:textId="77777777" w:rsidR="007B6745" w:rsidRDefault="007B67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7B6745" w14:paraId="017EA661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12E6FA7" w14:textId="77777777" w:rsidR="007B6745" w:rsidRDefault="00C92B7B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D7E4DE2" w14:textId="77777777" w:rsidR="007B6745" w:rsidRDefault="00C92B7B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</w:t>
            </w:r>
            <w:r>
              <w:rPr>
                <w:i/>
              </w:rPr>
              <w:t xml:space="preserve"> </w:t>
            </w:r>
            <w:r>
              <w:t>8.3</w:t>
            </w:r>
          </w:p>
        </w:tc>
      </w:tr>
      <w:tr w:rsidR="007B6745" w14:paraId="346D9979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72C19174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06F61485" w14:textId="77777777" w:rsidR="007B6745" w:rsidRDefault="00C92B7B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97DD742" w14:textId="77777777" w:rsidR="007B6745" w:rsidRDefault="00C92B7B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B7C781" w14:textId="77777777" w:rsidR="007B6745" w:rsidRDefault="007B67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7B6745" w14:paraId="1926122B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BA5893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488E60D8" w14:textId="77777777" w:rsidR="007B6745" w:rsidRDefault="00C92B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laboratoire n’a aucune disposition sur la gestion des documents externes (veille des documents externes, réception des documents externes). Aucun document d’exigence du COFRAC n’a été pris en compte</w:t>
            </w:r>
            <w:r>
              <w:rPr>
                <w:sz w:val="20"/>
                <w:szCs w:val="20"/>
              </w:rPr>
              <w:t xml:space="preserve"> dans le système documentaire</w:t>
            </w:r>
            <w:r>
              <w:t>.</w:t>
            </w:r>
          </w:p>
        </w:tc>
      </w:tr>
      <w:tr w:rsidR="007B6745" w14:paraId="4594BC84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493AAF9" w14:textId="77777777" w:rsidR="007B6745" w:rsidRDefault="00C92B7B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10130ADF" w14:textId="77777777" w:rsidR="007B6745" w:rsidRDefault="00C92B7B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pas prendre en compte de nouvelles exigences dans des documents externes mis à jour.</w:t>
            </w:r>
          </w:p>
        </w:tc>
      </w:tr>
      <w:tr w:rsidR="007B6745" w14:paraId="6F0B2930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7610F3EF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036B0BD1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CB10B4C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7B6745" w14:paraId="248121A5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A381AB0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5649C57" w14:textId="77777777" w:rsidR="007B6745" w:rsidRDefault="00C92B7B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proofErr w:type="gramStart"/>
            <w:r>
              <w:rPr>
                <w:b/>
                <w:smallCaps/>
              </w:rPr>
              <w:t>O</w:t>
            </w:r>
            <w:r>
              <w:rPr>
                <w:smallCaps/>
              </w:rPr>
              <w:t>ui</w:t>
            </w:r>
            <w:bookmarkStart w:id="4" w:name="2et92p0" w:colFirst="0" w:colLast="0"/>
            <w:bookmarkEnd w:id="4"/>
            <w:r>
              <w:rPr>
                <w:smallCaps/>
              </w:rPr>
              <w:t xml:space="preserve"> </w:t>
            </w:r>
            <w:bookmarkStart w:id="5" w:name="kix.kelm3193c9l7" w:colFirst="0" w:colLast="0"/>
            <w:bookmarkEnd w:id="5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  <w:proofErr w:type="gramEnd"/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FCE9D9B" w14:textId="77777777" w:rsidR="007B6745" w:rsidRDefault="00C92B7B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rPr>
                <w:b/>
              </w:rPr>
              <w:t xml:space="preserve"> </w:t>
            </w:r>
            <w:bookmarkStart w:id="6" w:name="tyjcwt" w:colFirst="0" w:colLast="0"/>
            <w:bookmarkEnd w:id="6"/>
            <w:r>
              <w:rPr>
                <w:b/>
                <w:sz w:val="18"/>
                <w:szCs w:val="18"/>
              </w:rPr>
              <w:t>☐</w:t>
            </w:r>
          </w:p>
        </w:tc>
      </w:tr>
      <w:tr w:rsidR="007B6745" w14:paraId="7FAD4981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08F484B8" w14:textId="77777777" w:rsidR="007B6745" w:rsidRDefault="00C92B7B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27944F27" w14:textId="77777777" w:rsidR="007B6745" w:rsidRDefault="00C92B7B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7" w:name="3dy6vkm" w:colFirst="0" w:colLast="0"/>
            <w:bookmarkEnd w:id="7"/>
            <w:r>
              <w:rPr>
                <w:sz w:val="20"/>
                <w:szCs w:val="20"/>
              </w:rPr>
              <w:t>     </w:t>
            </w:r>
            <w:proofErr w:type="gramStart"/>
            <w:r>
              <w:rPr>
                <w:sz w:val="20"/>
                <w:szCs w:val="20"/>
              </w:rPr>
              <w:t>les</w:t>
            </w:r>
            <w:proofErr w:type="gramEnd"/>
            <w:r>
              <w:rPr>
                <w:sz w:val="20"/>
                <w:szCs w:val="20"/>
              </w:rPr>
              <w:t xml:space="preserve"> documents externes n’étaient pas inclus  au système documentaire (mise à part la norme NF EN ISO/IEC 17025) mais présents  dans le bureau de la référente qualité (LAB REF 02- LAB REF 05- LAB REF 06-LAB REF 07- LAB REF 08-</w:t>
            </w:r>
            <w:r>
              <w:rPr>
                <w:sz w:val="20"/>
                <w:szCs w:val="20"/>
              </w:rPr>
              <w:t xml:space="preserve">  LAB GTA 86 - GEN REF 10) dans leur dernière révision publiée. </w:t>
            </w:r>
          </w:p>
        </w:tc>
      </w:tr>
      <w:tr w:rsidR="007B6745" w14:paraId="681787A5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35E9DEDD" w14:textId="77777777" w:rsidR="007B6745" w:rsidRDefault="007B6745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7B6745" w14:paraId="5F793CCC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69BBAA18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7B6745" w14:paraId="2BBEE420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91E5565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7B6745" w14:paraId="70EA4B08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554270B2" w14:textId="77777777" w:rsidR="007B6745" w:rsidRDefault="007B6745">
            <w:pPr>
              <w:keepNext/>
              <w:spacing w:before="60"/>
              <w:rPr>
                <w:sz w:val="20"/>
                <w:szCs w:val="20"/>
              </w:rPr>
            </w:pPr>
          </w:p>
        </w:tc>
      </w:tr>
      <w:tr w:rsidR="007B6745" w14:paraId="1E92EB34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74D6119" w14:textId="77777777" w:rsidR="007B6745" w:rsidRDefault="00C92B7B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7B6745" w14:paraId="4C3F381E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0555EBAE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Mauvaise interprétation du point 8.3.1 de la norme. Confusion entre document provenant de prestataires externes et documents externes. Non intégration des documents.</w:t>
            </w:r>
          </w:p>
        </w:tc>
      </w:tr>
      <w:tr w:rsidR="007B6745" w14:paraId="243F89EC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058C2CC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835D52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7B6745" w14:paraId="227BA8C7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349AD829" w14:textId="77777777" w:rsidR="007B6745" w:rsidRDefault="00C92B7B">
            <w:pPr>
              <w:keepNext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Formation à la norme ISO 17025 (2017) du référent qualité </w:t>
            </w:r>
          </w:p>
          <w:p w14:paraId="336363ED" w14:textId="77777777" w:rsidR="007B6745" w:rsidRDefault="007B6745">
            <w:pPr>
              <w:keepNext/>
              <w:ind w:left="720"/>
              <w:rPr>
                <w:sz w:val="20"/>
                <w:szCs w:val="20"/>
              </w:rPr>
            </w:pPr>
          </w:p>
          <w:p w14:paraId="06FD5C6F" w14:textId="77777777" w:rsidR="007B6745" w:rsidRDefault="00C92B7B">
            <w:pPr>
              <w:keepNext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Rédiger un document relatif à la gestion des documents externes</w:t>
            </w:r>
          </w:p>
          <w:p w14:paraId="40CFBFED" w14:textId="77777777" w:rsidR="007B6745" w:rsidRDefault="007B6745">
            <w:pPr>
              <w:keepNext/>
              <w:ind w:left="720"/>
              <w:rPr>
                <w:sz w:val="20"/>
                <w:szCs w:val="20"/>
              </w:rPr>
            </w:pPr>
          </w:p>
          <w:p w14:paraId="7D02CA60" w14:textId="77777777" w:rsidR="007B6745" w:rsidRDefault="00C92B7B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Intégration des documents suivants au système documentaire : </w:t>
            </w:r>
          </w:p>
          <w:p w14:paraId="6F1AB890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REF 02</w:t>
            </w:r>
          </w:p>
          <w:p w14:paraId="6F275788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REF 05</w:t>
            </w:r>
          </w:p>
          <w:p w14:paraId="5355F9E9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REF 06</w:t>
            </w:r>
          </w:p>
          <w:p w14:paraId="24614314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REF 07</w:t>
            </w:r>
          </w:p>
          <w:p w14:paraId="42570B2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REF 08</w:t>
            </w:r>
          </w:p>
          <w:p w14:paraId="20542D3E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 GTA 86</w:t>
            </w:r>
          </w:p>
          <w:p w14:paraId="585854F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 REF 10</w:t>
            </w:r>
          </w:p>
          <w:p w14:paraId="4FC0D02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 REF 11</w:t>
            </w:r>
          </w:p>
          <w:p w14:paraId="32FEB0D4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VIM</w:t>
            </w: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6FD2791F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et 7 mars 2023</w:t>
            </w:r>
          </w:p>
          <w:p w14:paraId="787D9EBB" w14:textId="77777777" w:rsidR="007B6745" w:rsidRDefault="007B67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063F7189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avril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  <w:p w14:paraId="4AF34326" w14:textId="77777777" w:rsidR="007B6745" w:rsidRDefault="007B67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7163F35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mars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7B6745" w14:paraId="3692BF95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7D068F1D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Karine LE ROUX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FAD4DE8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10/03/2023</w:t>
            </w:r>
          </w:p>
        </w:tc>
      </w:tr>
      <w:tr w:rsidR="007B6745" w14:paraId="602A540A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6CC8C2C" w14:textId="77777777" w:rsidR="007B6745" w:rsidRDefault="007B6745">
            <w:pPr>
              <w:rPr>
                <w:sz w:val="2"/>
                <w:szCs w:val="2"/>
              </w:rPr>
            </w:pPr>
          </w:p>
        </w:tc>
      </w:tr>
    </w:tbl>
    <w:p w14:paraId="52E6FE97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2C1C379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5E74998D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A339097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673EBD94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7B6745" w14:paraId="64F96AF2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6CFBD6F7" w14:textId="77777777" w:rsidR="007B6745" w:rsidRDefault="00C92B7B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72B9C5" w14:textId="77777777" w:rsidR="007B6745" w:rsidRDefault="00C92B7B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8" w:name="_1t3h5sf" w:colFirst="0" w:colLast="0"/>
            <w:bookmarkEnd w:id="8"/>
            <w:r>
              <w:rPr>
                <w:b/>
                <w:sz w:val="20"/>
                <w:szCs w:val="20"/>
              </w:rPr>
              <w:t>MF9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104D6DBF" w14:textId="77777777" w:rsidR="007B6745" w:rsidRDefault="00C92B7B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0577EE30" w14:textId="77777777" w:rsidR="007B6745" w:rsidRDefault="00C92B7B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4F88B901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7B6745" w14:paraId="302FB6B4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4B2E3534" w14:textId="77777777" w:rsidR="007B6745" w:rsidRDefault="007B6745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46BBDD90" w14:textId="77777777" w:rsidR="007B6745" w:rsidRDefault="007B6745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7B6745" w14:paraId="38F5AA27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3180E59E" w14:textId="77777777" w:rsidR="007B6745" w:rsidRDefault="00C92B7B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7B6745" w14:paraId="7E121A20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438D6625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22947A53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9" w:name="4d34og8" w:colFirst="0" w:colLast="0"/>
            <w:bookmarkEnd w:id="9"/>
            <w:r>
              <w:rPr>
                <w:b/>
                <w:color w:val="000000"/>
                <w:sz w:val="18"/>
                <w:szCs w:val="18"/>
              </w:rPr>
              <w:sym w:font="Wingdings" w:char="F078"/>
            </w:r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352596AC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7B6745" w14:paraId="62A6F955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812F12" w14:textId="77777777" w:rsidR="007B6745" w:rsidRDefault="00C92B7B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51F77950" w14:textId="77777777" w:rsidR="007B6745" w:rsidRDefault="00C92B7B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1DF5DF9C" w14:textId="77777777" w:rsidR="007B6745" w:rsidRDefault="007B674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7C902C93" w14:textId="77777777" w:rsidR="007B6745" w:rsidRDefault="007B674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420AF97D" w14:textId="77777777" w:rsidR="007B6745" w:rsidRDefault="007B674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3A121471" w14:textId="77777777" w:rsidR="007B6745" w:rsidRDefault="007B6745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7B6745" w14:paraId="36301D81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3AB81A41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43D40A6D" w14:textId="77777777" w:rsidR="007B6745" w:rsidRDefault="00C92B7B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38A0D722" w14:textId="77777777" w:rsidR="007B6745" w:rsidRDefault="00C92B7B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sym w:font="Wingdings" w:char="F078"/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0D69FD89" w14:textId="77777777" w:rsidR="007B6745" w:rsidRDefault="007B6745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7B6745" w14:paraId="2C87F6A8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6EE8A232" w14:textId="77777777" w:rsidR="007B6745" w:rsidRDefault="00C92B7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6DA34B2D" w14:textId="77777777" w:rsidR="007B6745" w:rsidRDefault="00C92B7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0" w:name="2s8eyo1" w:colFirst="0" w:colLast="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7B6745" w14:paraId="48FBEEBD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770E67DD" w14:textId="77777777" w:rsidR="007B6745" w:rsidRDefault="00C92B7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7EB38B82" w14:textId="77777777" w:rsidR="007B6745" w:rsidRDefault="00C92B7B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1" w:name="17dp8vu" w:colFirst="0" w:colLast="0"/>
            <w:bookmarkEnd w:id="11"/>
            <w:r>
              <w:rPr>
                <w:sz w:val="20"/>
                <w:szCs w:val="20"/>
              </w:rPr>
              <w:t>     </w:t>
            </w:r>
          </w:p>
        </w:tc>
      </w:tr>
      <w:tr w:rsidR="007B6745" w14:paraId="1B2E9A03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0402B3E3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76BBBC2A" w14:textId="77777777" w:rsidR="007B6745" w:rsidRDefault="00C92B7B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2" w:name="_GoBack"/>
            <w:bookmarkEnd w:id="12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65D71737" w14:textId="77777777" w:rsidR="007B6745" w:rsidRDefault="007B6745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7B6745">
      <w:headerReference w:type="default" r:id="rId10"/>
      <w:footerReference w:type="default" r:id="rId11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2F7BD" w14:textId="77777777" w:rsidR="00000000" w:rsidRDefault="00C92B7B">
      <w:r>
        <w:separator/>
      </w:r>
    </w:p>
  </w:endnote>
  <w:endnote w:type="continuationSeparator" w:id="0">
    <w:p w14:paraId="5D0B496F" w14:textId="77777777" w:rsidR="00000000" w:rsidRDefault="00C9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87702" w14:textId="77777777" w:rsidR="007B6745" w:rsidRDefault="007B6745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1571B2" w14:textId="77777777" w:rsidR="00000000" w:rsidRDefault="00C92B7B">
      <w:r>
        <w:separator/>
      </w:r>
    </w:p>
  </w:footnote>
  <w:footnote w:type="continuationSeparator" w:id="0">
    <w:p w14:paraId="4B228F70" w14:textId="77777777" w:rsidR="00000000" w:rsidRDefault="00C92B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A71A7" w14:textId="77777777" w:rsidR="007B6745" w:rsidRDefault="007B6745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7B6745" w14:paraId="5DDFFF9A" w14:textId="77777777">
      <w:trPr>
        <w:cantSplit/>
      </w:trPr>
      <w:tc>
        <w:tcPr>
          <w:tcW w:w="9014" w:type="dxa"/>
        </w:tcPr>
        <w:p w14:paraId="38D6F1DB" w14:textId="77777777" w:rsidR="007B6745" w:rsidRDefault="00C92B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29091E66" w14:textId="77777777" w:rsidR="007B6745" w:rsidRDefault="007B674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755D9AE6" w14:textId="77777777" w:rsidR="007B6745" w:rsidRDefault="007B6745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26650E"/>
    <w:multiLevelType w:val="multilevel"/>
    <w:tmpl w:val="21729C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745"/>
    <w:rsid w:val="007B6745"/>
    <w:rsid w:val="00C9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8A818"/>
  <w15:docId w15:val="{D385461D-B090-4A6A-B983-110DC146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C6C96-78B2-48D4-A497-D5CCE37ED9FD}"/>
</file>

<file path=customXml/itemProps2.xml><?xml version="1.0" encoding="utf-8"?>
<ds:datastoreItem xmlns:ds="http://schemas.openxmlformats.org/officeDocument/2006/customXml" ds:itemID="{A924330E-1170-415B-BF1D-5A2221673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B5A38E-01BA-4B0C-B843-E17E1B256178}">
  <ds:schemaRefs>
    <ds:schemaRef ds:uri="http://purl.org/dc/elements/1.1/"/>
    <ds:schemaRef ds:uri="http://schemas.microsoft.com/office/2006/metadata/properties"/>
    <ds:schemaRef ds:uri="a1e8333d-18f3-4f32-b093-aa27758df93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50906d9f-ea57-49b8-83c5-4382722f92a9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1945</Characters>
  <Application>Microsoft Office Word</Application>
  <DocSecurity>4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Magali FOUCHER</dc:creator>
  <cp:lastModifiedBy>FOUCHER Magali</cp:lastModifiedBy>
  <cp:revision>2</cp:revision>
  <dcterms:created xsi:type="dcterms:W3CDTF">2023-06-21T19:34:00Z</dcterms:created>
  <dcterms:modified xsi:type="dcterms:W3CDTF">2023-06-21T19:34:00Z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