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Arial" w:cs="Arial" w:eastAsia="Arial" w:hAnsi="Arial"/>
          <w:b/>
          <w:bCs/>
          <w:color w:val="B8541F"/>
          <w:sz w:val="32"/>
          <w:szCs w:val="32"/>
        </w:rPr>
        <w:t xml:space="preserve">PROMETHEUS EDUCATION SYSTEMS</w:t>
      </w:r>
    </w:p>
    <w:p>
      <w:pPr>
        <w:spacing w:after="20"/>
      </w:pPr>
      <w:r>
        <w:rPr>
          <w:rFonts w:ascii="Arial" w:cs="Arial" w:eastAsia="Arial" w:hAnsi="Arial"/>
          <w:color w:val="78716C"/>
          <w:sz w:val="22"/>
          <w:szCs w:val="22"/>
        </w:rPr>
        <w:t xml:space="preserve">Business Plan Overview 2026–2031</w:t>
      </w:r>
    </w:p>
    <w:p>
      <w:pPr>
        <w:pBdr>
          <w:bottom w:val="single" w:color="B8541F" w:sz="6" w:space="8"/>
        </w:pBdr>
        <w:spacing w:after="200"/>
      </w:pPr>
      <w:r>
        <w:rPr>
          <w:rFonts w:ascii="Arial" w:cs="Arial" w:eastAsia="Arial" w:hAnsi="Arial"/>
          <w:i/>
          <w:iCs/>
          <w:color w:val="78716C"/>
          <w:sz w:val="16"/>
          <w:szCs w:val="16"/>
        </w:rPr>
        <w:t xml:space="preserve">Simplified version for general readership  |  Confidential</w:t>
      </w:r>
    </w:p>
    <w:p>
      <w:pPr>
        <w:pStyle w:val="Heading1"/>
      </w:pPr>
      <w:r>
        <w:t xml:space="preserve">What We Do</w:t>
      </w:r>
    </w:p>
    <w:p>
      <w:pPr>
        <w:spacing w:after="100"/>
      </w:pPr>
      <w:r>
        <w:rPr>
          <w:rFonts w:ascii="Arial" w:cs="Arial" w:eastAsia="Arial" w:hAnsi="Arial"/>
          <w:color w:val="1C1917"/>
          <w:sz w:val="20"/>
          <w:szCs w:val="20"/>
        </w:rPr>
        <w:t xml:space="preserve">PES is a training technology company based in the UAE. We use artificial intelligence to produce professional training materials for government and defence organisations — the kind of materials that normally take specialist teams weeks or months to create.</w:t>
      </w:r>
      <w:r>
        <w:rPr>
          <w:rFonts w:ascii="Arial" w:cs="Arial" w:eastAsia="Arial" w:hAnsi="Arial"/>
          <w:b/>
          <w:bCs/>
          <w:color w:val="B8541F"/>
          <w:sz w:val="16"/>
          <w:szCs w:val="16"/>
          <w:vertAlign w:val="superscript"/>
        </w:rPr>
        <w:t xml:space="preserve">[1]</w:t>
      </w:r>
    </w:p>
    <w:p>
      <w:pPr>
        <w:spacing w:after="100"/>
      </w:pPr>
      <w:r>
        <w:rPr>
          <w:rFonts w:ascii="Arial" w:cs="Arial" w:eastAsia="Arial" w:hAnsi="Arial"/>
          <w:color w:val="1C1917"/>
          <w:sz w:val="20"/>
          <w:szCs w:val="20"/>
        </w:rPr>
        <w:t xml:space="preserve">Our main product, </w:t>
      </w:r>
      <w:r>
        <w:rPr>
          <w:rFonts w:ascii="Arial" w:cs="Arial" w:eastAsia="Arial" w:hAnsi="Arial"/>
          <w:b/>
          <w:bCs/>
          <w:color w:val="1C1917"/>
          <w:sz w:val="20"/>
          <w:szCs w:val="20"/>
        </w:rPr>
        <w:t xml:space="preserve">Prometheus Forge</w:t>
      </w:r>
      <w:r>
        <w:rPr>
          <w:rFonts w:ascii="Arial" w:cs="Arial" w:eastAsia="Arial" w:hAnsi="Arial"/>
          <w:color w:val="1C1917"/>
          <w:sz w:val="20"/>
          <w:szCs w:val="20"/>
        </w:rPr>
        <w:t xml:space="preserve">, generates complete training packages (presentations, lesson plans, facilitator guides, assessments, timetables) in </w:t>
      </w:r>
      <w:r>
        <w:rPr>
          <w:rFonts w:ascii="Arial" w:cs="Arial" w:eastAsia="Arial" w:hAnsi="Arial"/>
          <w:b/>
          <w:bCs/>
          <w:color w:val="1C1917"/>
          <w:sz w:val="20"/>
          <w:szCs w:val="20"/>
        </w:rPr>
        <w:t xml:space="preserve">minutes rather than months</w:t>
      </w:r>
      <w:r>
        <w:rPr>
          <w:rFonts w:ascii="Arial" w:cs="Arial" w:eastAsia="Arial" w:hAnsi="Arial"/>
          <w:color w:val="1C1917"/>
          <w:sz w:val="20"/>
          <w:szCs w:val="20"/>
        </w:rPr>
        <w:t xml:space="preserve">. Every output is reviewed by a qualified person before use. We also produce bespoke standalone tools and plan a longer-term research academy (Year 5+).</w:t>
      </w:r>
    </w:p>
    <w:p>
      <w:pPr>
        <w:pStyle w:val="Heading1"/>
      </w:pPr>
      <w:r>
        <w:t xml:space="preserve">The Opportunity</w:t>
      </w:r>
    </w:p>
    <w:p>
      <w:pPr>
        <w:spacing w:after="100"/>
      </w:pPr>
      <w:r>
        <w:rPr>
          <w:rFonts w:ascii="Arial" w:cs="Arial" w:eastAsia="Arial" w:hAnsi="Arial"/>
          <w:color w:val="1C1917"/>
          <w:sz w:val="20"/>
          <w:szCs w:val="20"/>
        </w:rPr>
        <w:t xml:space="preserve">Producing training materials for defence organisations is extremely slow. Research by the Chapman Alliance (249 organisations, ~4,000 professionals) found that one hour of advanced interactive training content can require </w:t>
      </w:r>
      <w:r>
        <w:rPr>
          <w:rFonts w:ascii="Arial" w:cs="Arial" w:eastAsia="Arial" w:hAnsi="Arial"/>
          <w:b/>
          <w:bCs/>
          <w:color w:val="1C1917"/>
          <w:sz w:val="20"/>
          <w:szCs w:val="20"/>
        </w:rPr>
        <w:t xml:space="preserve">up to 716 hours of development effort</w:t>
      </w:r>
      <w:r>
        <w:rPr>
          <w:rFonts w:ascii="Arial" w:cs="Arial" w:eastAsia="Arial" w:hAnsi="Arial"/>
          <w:color w:val="1C1917"/>
          <w:sz w:val="20"/>
          <w:szCs w:val="20"/>
        </w:rPr>
        <w:t xml:space="preserve">.</w:t>
      </w:r>
      <w:r>
        <w:rPr>
          <w:rFonts w:ascii="Arial" w:cs="Arial" w:eastAsia="Arial" w:hAnsi="Arial"/>
          <w:b/>
          <w:bCs/>
          <w:color w:val="B8541F"/>
          <w:sz w:val="16"/>
          <w:szCs w:val="16"/>
          <w:vertAlign w:val="superscript"/>
        </w:rPr>
        <w:t xml:space="preserve">[1]</w:t>
      </w:r>
      <w:r>
        <w:rPr>
          <w:rFonts w:ascii="Arial" w:cs="Arial" w:eastAsia="Arial" w:hAnsi="Arial"/>
          <w:color w:val="1C1917"/>
          <w:sz w:val="20"/>
          <w:szCs w:val="20"/>
        </w:rPr>
        <w:t xml:space="preserve"> Even basic e-learning takes 49–125 hours per finished hour.</w:t>
      </w:r>
      <w:r>
        <w:rPr>
          <w:rFonts w:ascii="Arial" w:cs="Arial" w:eastAsia="Arial" w:hAnsi="Arial"/>
          <w:b/>
          <w:bCs/>
          <w:color w:val="B8541F"/>
          <w:sz w:val="16"/>
          <w:szCs w:val="16"/>
          <w:vertAlign w:val="superscript"/>
        </w:rPr>
        <w:t xml:space="preserve">[1]</w:t>
      </w:r>
    </w:p>
    <w:p>
      <w:pPr>
        <w:spacing w:after="100"/>
      </w:pPr>
      <w:r>
        <w:rPr>
          <w:rFonts w:ascii="Arial" w:cs="Arial" w:eastAsia="Arial" w:hAnsi="Arial"/>
          <w:color w:val="1C1917"/>
          <w:sz w:val="20"/>
          <w:szCs w:val="20"/>
        </w:rPr>
        <w:t xml:space="preserve">The global military simulation and virtual training market was valued at </w:t>
      </w:r>
      <w:r>
        <w:rPr>
          <w:rFonts w:ascii="Arial" w:cs="Arial" w:eastAsia="Arial" w:hAnsi="Arial"/>
          <w:b/>
          <w:bCs/>
          <w:color w:val="1C1917"/>
          <w:sz w:val="20"/>
          <w:szCs w:val="20"/>
        </w:rPr>
        <w:t xml:space="preserve">$14.5 billion</w:t>
      </w:r>
      <w:r>
        <w:rPr>
          <w:rFonts w:ascii="Arial" w:cs="Arial" w:eastAsia="Arial" w:hAnsi="Arial"/>
          <w:color w:val="1C1917"/>
          <w:sz w:val="20"/>
          <w:szCs w:val="20"/>
        </w:rPr>
        <w:t xml:space="preserve"> in 2024, projected to reach $17.9 billion by 2030 at 3.5% CAGR.</w:t>
      </w:r>
      <w:r>
        <w:rPr>
          <w:rFonts w:ascii="Arial" w:cs="Arial" w:eastAsia="Arial" w:hAnsi="Arial"/>
          <w:b/>
          <w:bCs/>
          <w:color w:val="B8541F"/>
          <w:sz w:val="16"/>
          <w:szCs w:val="16"/>
          <w:vertAlign w:val="superscript"/>
        </w:rPr>
        <w:t xml:space="preserve">[5]</w:t>
      </w:r>
      <w:r>
        <w:rPr>
          <w:rFonts w:ascii="Arial" w:cs="Arial" w:eastAsia="Arial" w:hAnsi="Arial"/>
          <w:color w:val="1C1917"/>
          <w:sz w:val="20"/>
          <w:szCs w:val="20"/>
        </w:rPr>
        <w:t xml:space="preserve"> Other analysts give $12.9B–$14.5B with 3.5%–7.85% CAGR.</w:t>
      </w:r>
      <w:r>
        <w:rPr>
          <w:rFonts w:ascii="Arial" w:cs="Arial" w:eastAsia="Arial" w:hAnsi="Arial"/>
          <w:b/>
          <w:bCs/>
          <w:color w:val="B8541F"/>
          <w:sz w:val="16"/>
          <w:szCs w:val="16"/>
          <w:vertAlign w:val="superscript"/>
        </w:rPr>
        <w:t xml:space="preserve">[6][8][9]</w:t>
      </w:r>
      <w:r>
        <w:rPr>
          <w:rFonts w:ascii="Arial" w:cs="Arial" w:eastAsia="Arial" w:hAnsi="Arial"/>
          <w:color w:val="1C1917"/>
          <w:sz w:val="20"/>
          <w:szCs w:val="20"/>
        </w:rPr>
        <w:t xml:space="preserve"> GCC nations spent approximately $90.8 billion on defence in 2023.</w:t>
      </w:r>
      <w:r>
        <w:rPr>
          <w:rFonts w:ascii="Arial" w:cs="Arial" w:eastAsia="Arial" w:hAnsi="Arial"/>
          <w:b/>
          <w:bCs/>
          <w:color w:val="B8541F"/>
          <w:sz w:val="16"/>
          <w:szCs w:val="16"/>
          <w:vertAlign w:val="superscript"/>
        </w:rPr>
        <w:t xml:space="preserve">[10][11]</w:t>
      </w:r>
    </w:p>
    <w:p>
      <w:pPr>
        <w:spacing w:after="100"/>
      </w:pPr>
      <w:r>
        <w:rPr>
          <w:rFonts w:ascii="Arial" w:cs="Arial" w:eastAsia="Arial" w:hAnsi="Arial"/>
          <w:color w:val="1C1917"/>
          <w:sz w:val="20"/>
          <w:szCs w:val="20"/>
        </w:rPr>
        <w:t xml:space="preserve">No product currently combines AI speed with defence-specific knowledge, structured quality assurance, and complete training package output in a single workflow. That is PES’s space.</w:t>
      </w:r>
    </w:p>
    <w:p>
      <w:pPr>
        <w:pStyle w:val="Heading1"/>
      </w:pPr>
      <w:r>
        <w:t xml:space="preserve">How We Grow</w:t>
      </w:r>
    </w:p>
    <w:p>
      <w:pPr>
        <w:spacing w:after="100"/>
      </w:pPr>
      <w:r>
        <w:rPr>
          <w:rFonts w:ascii="Arial" w:cs="Arial" w:eastAsia="Arial" w:hAnsi="Arial"/>
          <w:color w:val="1C1917"/>
          <w:sz w:val="20"/>
          <w:szCs w:val="20"/>
        </w:rPr>
        <w:t xml:space="preserve">PES has an established relationship with </w:t>
      </w:r>
      <w:r>
        <w:rPr>
          <w:rFonts w:ascii="Arial" w:cs="Arial" w:eastAsia="Arial" w:hAnsi="Arial"/>
          <w:b/>
          <w:bCs/>
          <w:color w:val="1C1917"/>
          <w:sz w:val="20"/>
          <w:szCs w:val="20"/>
        </w:rPr>
        <w:t xml:space="preserve">Rabdan Academy</w:t>
      </w:r>
      <w:r>
        <w:rPr>
          <w:rFonts w:ascii="Arial" w:cs="Arial" w:eastAsia="Arial" w:hAnsi="Arial"/>
          <w:color w:val="1C1917"/>
          <w:sz w:val="20"/>
          <w:szCs w:val="20"/>
        </w:rPr>
        <w:t xml:space="preserve">, a government-owned institution in Abu Dhabi (est. 2013) specialising in safety, security, defence, and crisis management.</w:t>
      </w:r>
      <w:r>
        <w:rPr>
          <w:rFonts w:ascii="Arial" w:cs="Arial" w:eastAsia="Arial" w:hAnsi="Arial"/>
          <w:b/>
          <w:bCs/>
          <w:color w:val="B8541F"/>
          <w:sz w:val="16"/>
          <w:szCs w:val="16"/>
          <w:vertAlign w:val="superscript"/>
        </w:rPr>
        <w:t xml:space="preserve">[12][13]</w:t>
      </w:r>
      <w:r>
        <w:rPr>
          <w:rFonts w:ascii="Arial" w:cs="Arial" w:eastAsia="Arial" w:hAnsi="Arial"/>
          <w:color w:val="1C1917"/>
          <w:sz w:val="20"/>
          <w:szCs w:val="20"/>
        </w:rPr>
        <w:t xml:space="preserve"> We expand first across the Gulf, then into UK, Australia, and Singapore.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C1917"/>
          <w:sz w:val="20"/>
          <w:szCs w:val="20"/>
        </w:rPr>
        <w:t xml:space="preserve">Customers 1–2:</w:t>
      </w:r>
      <w:r>
        <w:rPr>
          <w:rFonts w:ascii="Arial" w:cs="Arial" w:eastAsia="Arial" w:hAnsi="Arial"/>
          <w:color w:val="1C1917"/>
          <w:sz w:val="20"/>
          <w:szCs w:val="20"/>
        </w:rPr>
        <w:t xml:space="preserve"> Direct relationships with Rabdan Academy and adjacent Gulf institutions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C1917"/>
          <w:sz w:val="20"/>
          <w:szCs w:val="20"/>
        </w:rPr>
        <w:t xml:space="preserve">Customers 3–5:</w:t>
      </w:r>
      <w:r>
        <w:rPr>
          <w:rFonts w:ascii="Arial" w:cs="Arial" w:eastAsia="Arial" w:hAnsi="Arial"/>
          <w:color w:val="1C1917"/>
          <w:sz w:val="20"/>
          <w:szCs w:val="20"/>
        </w:rPr>
        <w:t xml:space="preserve"> Wider Gulf region via referrals, conferences, and subcontracting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C1917"/>
          <w:sz w:val="20"/>
          <w:szCs w:val="20"/>
        </w:rPr>
        <w:t xml:space="preserve">Customers 6–10:</w:t>
      </w:r>
      <w:r>
        <w:rPr>
          <w:rFonts w:ascii="Arial" w:cs="Arial" w:eastAsia="Arial" w:hAnsi="Arial"/>
          <w:color w:val="1C1917"/>
          <w:sz w:val="20"/>
          <w:szCs w:val="20"/>
        </w:rPr>
        <w:t xml:space="preserve"> At least one non-Gulf market, via partnerships</w:t>
      </w:r>
    </w:p>
    <w:p>
      <w:pPr>
        <w:pStyle w:val="Heading2"/>
      </w:pPr>
      <w:r>
        <w:t xml:space="preserve">Revenue Streams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  <w:gridCol w:w="2746"/>
      </w:tblGrid>
      <w:tr>
        <w:tc>
          <w:tcPr>
            <w:tcW w:type="dxa" w:w="2400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shd w:fill="8E3F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Stream</w:t>
            </w:r>
          </w:p>
        </w:tc>
        <w:tc>
          <w:tcPr>
            <w:tcW w:type="dxa" w:w="4600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shd w:fill="8E3F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746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shd w:fill="8E3F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Typical Value [P]</w:t>
            </w:r>
          </w:p>
        </w:tc>
      </w:tr>
      <w:tr>
        <w:tc>
          <w:tcPr>
            <w:tcW w:type="dxa" w:w="2400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18"/>
                <w:szCs w:val="18"/>
              </w:rPr>
              <w:t xml:space="preserve">Platform Licences</w:t>
            </w:r>
          </w:p>
        </w:tc>
        <w:tc>
          <w:tcPr>
            <w:tcW w:type="dxa" w:w="4600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Annual Forge subscription</w:t>
            </w:r>
          </w:p>
        </w:tc>
        <w:tc>
          <w:tcPr>
            <w:tcW w:type="dxa" w:w="2746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$80K–$200K/year</w:t>
            </w:r>
          </w:p>
        </w:tc>
      </w:tr>
      <w:tr>
        <w:tc>
          <w:tcPr>
            <w:tcW w:type="dxa" w:w="2400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18"/>
                <w:szCs w:val="18"/>
              </w:rPr>
              <w:t xml:space="preserve">Implementation</w:t>
            </w:r>
          </w:p>
        </w:tc>
        <w:tc>
          <w:tcPr>
            <w:tcW w:type="dxa" w:w="4600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Initial setup, configuration</w:t>
            </w:r>
          </w:p>
        </w:tc>
        <w:tc>
          <w:tcPr>
            <w:tcW w:type="dxa" w:w="2746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$20K–$50K one-off</w:t>
            </w:r>
          </w:p>
        </w:tc>
      </w:tr>
      <w:tr>
        <w:tc>
          <w:tcPr>
            <w:tcW w:type="dxa" w:w="2400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18"/>
                <w:szCs w:val="18"/>
              </w:rPr>
              <w:t xml:space="preserve">Standalone Tools</w:t>
            </w:r>
          </w:p>
        </w:tc>
        <w:tc>
          <w:tcPr>
            <w:tcW w:type="dxa" w:w="4600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Bespoke analytics, training tools</w:t>
            </w:r>
          </w:p>
        </w:tc>
        <w:tc>
          <w:tcPr>
            <w:tcW w:type="dxa" w:w="2746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$5K–$50K each</w:t>
            </w:r>
          </w:p>
        </w:tc>
      </w:tr>
      <w:tr>
        <w:tc>
          <w:tcPr>
            <w:tcW w:type="dxa" w:w="2400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18"/>
                <w:szCs w:val="18"/>
              </w:rPr>
              <w:t xml:space="preserve">Prof. Services</w:t>
            </w:r>
          </w:p>
        </w:tc>
        <w:tc>
          <w:tcPr>
            <w:tcW w:type="dxa" w:w="4600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Custom content, expert coordination</w:t>
            </w:r>
          </w:p>
        </w:tc>
        <w:tc>
          <w:tcPr>
            <w:tcW w:type="dxa" w:w="2746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Per engagement</w:t>
            </w:r>
          </w:p>
        </w:tc>
      </w:tr>
    </w:tbl>
    <w:p>
      <w:pPr>
        <w:pStyle w:val="Heading1"/>
      </w:pPr>
      <w:r>
        <w:t xml:space="preserve">Financial Projections [P]</w:t>
      </w:r>
    </w:p>
    <w:p>
      <w:pPr>
        <w:pStyle w:val="Heading2"/>
      </w:pPr>
      <w:r>
        <w:t xml:space="preserve">Year 1 — Foundation (2026–2027)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315"/>
        <w:gridCol w:w="2316"/>
        <w:gridCol w:w="2315"/>
      </w:tblGrid>
      <w:tr>
        <w:tc>
          <w:tcPr>
            <w:tcW w:type="dxa" w:w="2800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shd w:fill="8E3F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315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shd w:fill="8E3F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Conservative</w:t>
            </w:r>
          </w:p>
        </w:tc>
        <w:tc>
          <w:tcPr>
            <w:tcW w:type="dxa" w:w="2316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shd w:fill="8E3F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 Case</w:t>
            </w:r>
          </w:p>
        </w:tc>
        <w:tc>
          <w:tcPr>
            <w:tcW w:type="dxa" w:w="2315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shd w:fill="8E3F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Upside</w:t>
            </w:r>
          </w:p>
        </w:tc>
      </w:tr>
      <w:tr>
        <w:tc>
          <w:tcPr>
            <w:tcW w:type="dxa" w:w="2800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18"/>
                <w:szCs w:val="18"/>
              </w:rPr>
              <w:t xml:space="preserve">Revenue</w:t>
            </w:r>
          </w:p>
        </w:tc>
        <w:tc>
          <w:tcPr>
            <w:tcW w:type="dxa" w:w="2315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$0–$60K</w:t>
            </w:r>
          </w:p>
        </w:tc>
        <w:tc>
          <w:tcPr>
            <w:tcW w:type="dxa" w:w="2316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$80–$150K</w:t>
            </w:r>
          </w:p>
        </w:tc>
        <w:tc>
          <w:tcPr>
            <w:tcW w:type="dxa" w:w="2315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$150–$220K</w:t>
            </w:r>
          </w:p>
        </w:tc>
      </w:tr>
      <w:tr>
        <w:tc>
          <w:tcPr>
            <w:tcW w:type="dxa" w:w="2800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18"/>
                <w:szCs w:val="18"/>
              </w:rPr>
              <w:t xml:space="preserve">Team</w:t>
            </w:r>
          </w:p>
        </w:tc>
        <w:tc>
          <w:tcPr>
            <w:tcW w:type="dxa" w:w="2315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Founder only</w:t>
            </w:r>
          </w:p>
        </w:tc>
        <w:tc>
          <w:tcPr>
            <w:tcW w:type="dxa" w:w="2316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Founder + 1</w:t>
            </w:r>
          </w:p>
        </w:tc>
        <w:tc>
          <w:tcPr>
            <w:tcW w:type="dxa" w:w="2315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Founder + 1–2</w:t>
            </w:r>
          </w:p>
        </w:tc>
      </w:tr>
      <w:tr>
        <w:tc>
          <w:tcPr>
            <w:tcW w:type="dxa" w:w="2800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18"/>
                <w:szCs w:val="18"/>
              </w:rPr>
              <w:t xml:space="preserve">Key milestone</w:t>
            </w:r>
          </w:p>
        </w:tc>
        <w:tc>
          <w:tcPr>
            <w:tcW w:type="dxa" w:w="2315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Incorporation, first LOI</w:t>
            </w:r>
          </w:p>
        </w:tc>
        <w:tc>
          <w:tcPr>
            <w:tcW w:type="dxa" w:w="2316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First paid pilot</w:t>
            </w:r>
          </w:p>
        </w:tc>
        <w:tc>
          <w:tcPr>
            <w:tcW w:type="dxa" w:w="2315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2 paid engagements</w:t>
            </w:r>
          </w:p>
        </w:tc>
      </w:tr>
    </w:tbl>
    <w:p>
      <w:pPr>
        <w:pStyle w:val="Heading2"/>
      </w:pPr>
      <w:r>
        <w:t xml:space="preserve">Year 3 — Traction (2028–2029)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315"/>
        <w:gridCol w:w="2316"/>
        <w:gridCol w:w="2315"/>
      </w:tblGrid>
      <w:tr>
        <w:tc>
          <w:tcPr>
            <w:tcW w:type="dxa" w:w="2800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shd w:fill="8E3F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315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shd w:fill="8E3F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Conservative</w:t>
            </w:r>
          </w:p>
        </w:tc>
        <w:tc>
          <w:tcPr>
            <w:tcW w:type="dxa" w:w="2316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shd w:fill="8E3F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 Case</w:t>
            </w:r>
          </w:p>
        </w:tc>
        <w:tc>
          <w:tcPr>
            <w:tcW w:type="dxa" w:w="2315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shd w:fill="8E3F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Upside</w:t>
            </w:r>
          </w:p>
        </w:tc>
      </w:tr>
      <w:tr>
        <w:tc>
          <w:tcPr>
            <w:tcW w:type="dxa" w:w="2800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18"/>
                <w:szCs w:val="18"/>
              </w:rPr>
              <w:t xml:space="preserve">Revenue</w:t>
            </w:r>
          </w:p>
        </w:tc>
        <w:tc>
          <w:tcPr>
            <w:tcW w:type="dxa" w:w="2315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$250–$500K</w:t>
            </w:r>
          </w:p>
        </w:tc>
        <w:tc>
          <w:tcPr>
            <w:tcW w:type="dxa" w:w="2316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$600–$900K</w:t>
            </w:r>
          </w:p>
        </w:tc>
        <w:tc>
          <w:tcPr>
            <w:tcW w:type="dxa" w:w="2315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$1.0–$1.3M</w:t>
            </w:r>
          </w:p>
        </w:tc>
      </w:tr>
      <w:tr>
        <w:tc>
          <w:tcPr>
            <w:tcW w:type="dxa" w:w="2800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18"/>
                <w:szCs w:val="18"/>
              </w:rPr>
              <w:t xml:space="preserve">Platform licences</w:t>
            </w:r>
          </w:p>
        </w:tc>
        <w:tc>
          <w:tcPr>
            <w:tcW w:type="dxa" w:w="2315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1–2</w:t>
            </w:r>
          </w:p>
        </w:tc>
        <w:tc>
          <w:tcPr>
            <w:tcW w:type="dxa" w:w="2316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2–3</w:t>
            </w:r>
          </w:p>
        </w:tc>
        <w:tc>
          <w:tcPr>
            <w:tcW w:type="dxa" w:w="2315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3–4</w:t>
            </w:r>
          </w:p>
        </w:tc>
      </w:tr>
      <w:tr>
        <w:tc>
          <w:tcPr>
            <w:tcW w:type="dxa" w:w="2800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18"/>
                <w:szCs w:val="18"/>
              </w:rPr>
              <w:t xml:space="preserve">Team</w:t>
            </w:r>
          </w:p>
        </w:tc>
        <w:tc>
          <w:tcPr>
            <w:tcW w:type="dxa" w:w="2315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3–4 people</w:t>
            </w:r>
          </w:p>
        </w:tc>
        <w:tc>
          <w:tcPr>
            <w:tcW w:type="dxa" w:w="2316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4–5 people</w:t>
            </w:r>
          </w:p>
        </w:tc>
        <w:tc>
          <w:tcPr>
            <w:tcW w:type="dxa" w:w="2315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5–6 people</w:t>
            </w:r>
          </w:p>
        </w:tc>
      </w:tr>
      <w:tr>
        <w:tc>
          <w:tcPr>
            <w:tcW w:type="dxa" w:w="2800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18"/>
                <w:szCs w:val="18"/>
              </w:rPr>
              <w:t xml:space="preserve">Key milestone</w:t>
            </w:r>
          </w:p>
        </w:tc>
        <w:tc>
          <w:tcPr>
            <w:tcW w:type="dxa" w:w="2315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2+ clients, 1 region</w:t>
            </w:r>
          </w:p>
        </w:tc>
        <w:tc>
          <w:tcPr>
            <w:tcW w:type="dxa" w:w="2316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3+ clients, non-Gulf</w:t>
            </w:r>
          </w:p>
        </w:tc>
        <w:tc>
          <w:tcPr>
            <w:tcW w:type="dxa" w:w="2315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4+ clients, 2+ regions</w:t>
            </w:r>
          </w:p>
        </w:tc>
      </w:tr>
    </w:tbl>
    <w:p>
      <w:pPr>
        <w:pStyle w:val="Heading2"/>
      </w:pPr>
      <w:r>
        <w:t xml:space="preserve">Year 5 — Scale (2030–2031)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315"/>
        <w:gridCol w:w="2316"/>
        <w:gridCol w:w="2315"/>
      </w:tblGrid>
      <w:tr>
        <w:tc>
          <w:tcPr>
            <w:tcW w:type="dxa" w:w="2800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shd w:fill="8E3F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Metric</w:t>
            </w:r>
          </w:p>
        </w:tc>
        <w:tc>
          <w:tcPr>
            <w:tcW w:type="dxa" w:w="2315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shd w:fill="8E3F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Conservative</w:t>
            </w:r>
          </w:p>
        </w:tc>
        <w:tc>
          <w:tcPr>
            <w:tcW w:type="dxa" w:w="2316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shd w:fill="8E3F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Base Case</w:t>
            </w:r>
          </w:p>
        </w:tc>
        <w:tc>
          <w:tcPr>
            <w:tcW w:type="dxa" w:w="2315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shd w:fill="8E3F1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Upside</w:t>
            </w:r>
          </w:p>
        </w:tc>
      </w:tr>
      <w:tr>
        <w:tc>
          <w:tcPr>
            <w:tcW w:type="dxa" w:w="2800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18"/>
                <w:szCs w:val="18"/>
              </w:rPr>
              <w:t xml:space="preserve">Revenue</w:t>
            </w:r>
          </w:p>
        </w:tc>
        <w:tc>
          <w:tcPr>
            <w:tcW w:type="dxa" w:w="2315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$1.0–$2.0M</w:t>
            </w:r>
          </w:p>
        </w:tc>
        <w:tc>
          <w:tcPr>
            <w:tcW w:type="dxa" w:w="2316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$2.5–$3.5M</w:t>
            </w:r>
          </w:p>
        </w:tc>
        <w:tc>
          <w:tcPr>
            <w:tcW w:type="dxa" w:w="2315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$4.0–$5.0M+</w:t>
            </w:r>
          </w:p>
        </w:tc>
      </w:tr>
      <w:tr>
        <w:tc>
          <w:tcPr>
            <w:tcW w:type="dxa" w:w="2800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18"/>
                <w:szCs w:val="18"/>
              </w:rPr>
              <w:t xml:space="preserve">Platform licences</w:t>
            </w:r>
          </w:p>
        </w:tc>
        <w:tc>
          <w:tcPr>
            <w:tcW w:type="dxa" w:w="2315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3–5</w:t>
            </w:r>
          </w:p>
        </w:tc>
        <w:tc>
          <w:tcPr>
            <w:tcW w:type="dxa" w:w="2316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5–7</w:t>
            </w:r>
          </w:p>
        </w:tc>
        <w:tc>
          <w:tcPr>
            <w:tcW w:type="dxa" w:w="2315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7–10</w:t>
            </w:r>
          </w:p>
        </w:tc>
      </w:tr>
      <w:tr>
        <w:tc>
          <w:tcPr>
            <w:tcW w:type="dxa" w:w="2800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18"/>
                <w:szCs w:val="18"/>
              </w:rPr>
              <w:t xml:space="preserve">Team</w:t>
            </w:r>
          </w:p>
        </w:tc>
        <w:tc>
          <w:tcPr>
            <w:tcW w:type="dxa" w:w="2315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5–8 people</w:t>
            </w:r>
          </w:p>
        </w:tc>
        <w:tc>
          <w:tcPr>
            <w:tcW w:type="dxa" w:w="2316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8–12 people</w:t>
            </w:r>
          </w:p>
        </w:tc>
        <w:tc>
          <w:tcPr>
            <w:tcW w:type="dxa" w:w="2315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12–16 people</w:t>
            </w:r>
          </w:p>
        </w:tc>
      </w:tr>
      <w:tr>
        <w:tc>
          <w:tcPr>
            <w:tcW w:type="dxa" w:w="2800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C1917"/>
                <w:sz w:val="18"/>
                <w:szCs w:val="18"/>
              </w:rPr>
              <w:t xml:space="preserve">Key milestone</w:t>
            </w:r>
          </w:p>
        </w:tc>
        <w:tc>
          <w:tcPr>
            <w:tcW w:type="dxa" w:w="2315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Profitable, 2–3 regions</w:t>
            </w:r>
          </w:p>
        </w:tc>
        <w:tc>
          <w:tcPr>
            <w:tcW w:type="dxa" w:w="2316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5+ clients, Academy</w:t>
            </w:r>
          </w:p>
        </w:tc>
        <w:tc>
          <w:tcPr>
            <w:tcW w:type="dxa" w:w="2315"/>
            <w:tcBorders>
              <w:top w:val="single" w:color="E2E0DC" w:sz="1"/>
              <w:left w:val="single" w:color="E2E0DC" w:sz="1"/>
              <w:bottom w:val="single" w:color="E2E0DC" w:sz="1"/>
              <w:right w:val="single" w:color="E2E0DC" w:sz="1"/>
            </w:tcBorders>
            <w:shd w:fill="F5F5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C1917"/>
                <w:sz w:val="18"/>
                <w:szCs w:val="18"/>
              </w:rPr>
              <w:t xml:space="preserve">7+ clients, 3+ regions</w:t>
            </w:r>
          </w:p>
        </w:tc>
      </w:tr>
    </w:tbl>
    <w:p>
      <w:pPr>
        <w:pStyle w:val="Heading1"/>
      </w:pPr>
      <w:r>
        <w:t xml:space="preserve">How We Scale</w:t>
      </w:r>
    </w:p>
    <w:p>
      <w:pPr>
        <w:spacing w:after="100"/>
      </w:pPr>
      <w:r>
        <w:rPr>
          <w:rFonts w:ascii="Arial" w:cs="Arial" w:eastAsia="Arial" w:hAnsi="Arial"/>
          <w:color w:val="1C1917"/>
          <w:sz w:val="20"/>
          <w:szCs w:val="20"/>
        </w:rPr>
        <w:t xml:space="preserve">Hiring is tied to business triggers: first contractor at 2 active customers, first full-time hire at 3. </w:t>
      </w:r>
      <w:r>
        <w:rPr>
          <w:rFonts w:ascii="Arial" w:cs="Arial" w:eastAsia="Arial" w:hAnsi="Arial"/>
          <w:b/>
          <w:bCs/>
          <w:color w:val="1C1917"/>
          <w:sz w:val="20"/>
          <w:szCs w:val="20"/>
        </w:rPr>
        <w:t xml:space="preserve">For larger deployments</w:t>
      </w:r>
      <w:r>
        <w:rPr>
          <w:rFonts w:ascii="Arial" w:cs="Arial" w:eastAsia="Arial" w:hAnsi="Arial"/>
          <w:color w:val="1C1917"/>
          <w:sz w:val="20"/>
          <w:szCs w:val="20"/>
        </w:rPr>
        <w:t xml:space="preserve"> (e.g. a client requiring 5–10 people), PES combines core staff with vetted specialist contractors — standard practice in defence contracting. Contractor roles convert to permanent positions as revenue stabilises.</w:t>
      </w:r>
    </w:p>
    <w:p>
      <w:pPr>
        <w:pStyle w:val="Heading1"/>
      </w:pPr>
      <w:r>
        <w:t xml:space="preserve">Key Risks and Mitigations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C1917"/>
          <w:sz w:val="20"/>
          <w:szCs w:val="20"/>
        </w:rPr>
        <w:t xml:space="preserve">Founder dependency: </w:t>
      </w:r>
      <w:r>
        <w:rPr>
          <w:rFonts w:ascii="Arial" w:cs="Arial" w:eastAsia="Arial" w:hAnsi="Arial"/>
          <w:color w:val="1C1917"/>
          <w:sz w:val="20"/>
          <w:szCs w:val="20"/>
        </w:rPr>
        <w:t xml:space="preserve">Mitigated by early hiring triggers and director-level colleagues already identified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C1917"/>
          <w:sz w:val="20"/>
          <w:szCs w:val="20"/>
        </w:rPr>
        <w:t xml:space="preserve">Long procurement cycles: </w:t>
      </w:r>
      <w:r>
        <w:rPr>
          <w:rFonts w:ascii="Arial" w:cs="Arial" w:eastAsia="Arial" w:hAnsi="Arial"/>
          <w:color w:val="1C1917"/>
          <w:sz w:val="20"/>
          <w:szCs w:val="20"/>
        </w:rPr>
        <w:t xml:space="preserve">Standalone tools generate near-term revenue while platform sales mature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C1917"/>
          <w:sz w:val="20"/>
          <w:szCs w:val="20"/>
        </w:rPr>
        <w:t xml:space="preserve">Competition from larger firms: </w:t>
      </w:r>
      <w:r>
        <w:rPr>
          <w:rFonts w:ascii="Arial" w:cs="Arial" w:eastAsia="Arial" w:hAnsi="Arial"/>
          <w:color w:val="1C1917"/>
          <w:sz w:val="20"/>
          <w:szCs w:val="20"/>
        </w:rPr>
        <w:t xml:space="preserve">First-mover window must be exploited through rapid market penetration</w:t>
      </w:r>
      <w:r>
        <w:rPr>
          <w:rFonts w:ascii="Arial" w:cs="Arial" w:eastAsia="Arial" w:hAnsi="Arial"/>
          <w:b/>
          <w:bCs/>
          <w:color w:val="B8541F"/>
          <w:sz w:val="16"/>
          <w:szCs w:val="16"/>
          <w:vertAlign w:val="superscript"/>
        </w:rPr>
        <w:t xml:space="preserve">[3]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C1917"/>
          <w:sz w:val="20"/>
          <w:szCs w:val="20"/>
        </w:rPr>
        <w:t xml:space="preserve">AI provider dependency: </w:t>
      </w:r>
      <w:r>
        <w:rPr>
          <w:rFonts w:ascii="Arial" w:cs="Arial" w:eastAsia="Arial" w:hAnsi="Arial"/>
          <w:color w:val="1C1917"/>
          <w:sz w:val="20"/>
          <w:szCs w:val="20"/>
        </w:rPr>
        <w:t xml:space="preserve">Architecture designed for model flexibility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b/>
          <w:bCs/>
          <w:color w:val="1C1917"/>
          <w:sz w:val="20"/>
          <w:szCs w:val="20"/>
        </w:rPr>
        <w:t xml:space="preserve">Regional concentration: </w:t>
      </w:r>
      <w:r>
        <w:rPr>
          <w:rFonts w:ascii="Arial" w:cs="Arial" w:eastAsia="Arial" w:hAnsi="Arial"/>
          <w:color w:val="1C1917"/>
          <w:sz w:val="20"/>
          <w:szCs w:val="20"/>
        </w:rPr>
        <w:t xml:space="preserve">Expansion to non-Gulf markets planned from Year 2–3</w:t>
      </w:r>
    </w:p>
    <w:p>
      <w:pPr>
        <w:pStyle w:val="Heading2"/>
      </w:pPr>
      <w:r>
        <w:t xml:space="preserve">Investment Position</w:t>
      </w:r>
    </w:p>
    <w:p>
      <w:pPr>
        <w:spacing w:after="100"/>
      </w:pPr>
      <w:r>
        <w:rPr>
          <w:rFonts w:ascii="Arial" w:cs="Arial" w:eastAsia="Arial" w:hAnsi="Arial"/>
          <w:color w:val="1C1917"/>
          <w:sz w:val="20"/>
          <w:szCs w:val="20"/>
        </w:rPr>
        <w:t xml:space="preserve">PES is open to investment (maximum 10% equity dilution) where the investor brings strategic value beyond capital. The business is designed to be viable on organic revenue.</w:t>
      </w:r>
    </w:p>
    <w:p>
      <w:pPr>
        <w:pBdr>
          <w:top w:val="single" w:color="B8541F" w:sz="6" w:space="8"/>
        </w:pBdr>
        <w:spacing w:before="400"/>
      </w:pPr>
      <w:r>
        <w:rPr>
          <w:rFonts w:ascii="Arial" w:cs="Arial" w:eastAsia="Arial" w:hAnsi="Arial"/>
          <w:b/>
          <w:bCs/>
          <w:color w:val="B8541F"/>
          <w:sz w:val="28"/>
          <w:szCs w:val="28"/>
        </w:rPr>
        <w:t xml:space="preserve">ENCLOSURE: References &amp; Sources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8716C"/>
          <w:sz w:val="18"/>
          <w:szCs w:val="18"/>
        </w:rPr>
        <w:t xml:space="preserve">Items marked [P] denote PES internal projections, pricing, or estimates — not externally sourced.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78716C"/>
          <w:sz w:val="18"/>
          <w:szCs w:val="18"/>
        </w:rPr>
        <w:t xml:space="preserve">[1] Chapman, B. (2010). How Long Does it Take to Create Learning? Chapman Alliance LLC. Survey of 249 organisations / 3,947 professionals. Development ratios: 49:1 (basic) to 716:1 (advanced interactive with simulations/games). ILT: 22:1 to 82:1. CC BY-NC 3.0. slideshare.net/bchapman_utah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78716C"/>
          <w:sz w:val="18"/>
          <w:szCs w:val="18"/>
        </w:rPr>
        <w:t xml:space="preserve">[2] Kapp, K. &amp; Defelice, R. (2009, updated 2017). E-Learning Development Time Estimates. Corroborates Chapman with 28–364 hrs/hr. Summarised at elearningart.com/development-calculator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78716C"/>
          <w:sz w:val="18"/>
          <w:szCs w:val="18"/>
        </w:rPr>
        <w:t xml:space="preserve">[3] Mordor Intelligence (2025). Military Simulation and Training Market. $13.62B (2025), 5.24% CAGR. Key players: CAE, Thales, Rheinmetall. mordorintelligence.com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78716C"/>
          <w:sz w:val="18"/>
          <w:szCs w:val="18"/>
        </w:rPr>
        <w:t xml:space="preserve">[4] Competitor descriptions from company websites: sanalabs.com, docebo.com, 360learning.com, cae.com, 4cstrategies.com.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78716C"/>
          <w:sz w:val="18"/>
          <w:szCs w:val="18"/>
        </w:rPr>
        <w:t xml:space="preserve">[5] ResearchAndMarkets.com (Dec 2025). Military Simulation and Virtual Training – Global Strategic Business Report. $14.5B (2024), $17.9B by 2030, 3.5% CAGR. Via Yahoo Finance / GlobeNewsWire.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78716C"/>
          <w:sz w:val="18"/>
          <w:szCs w:val="18"/>
        </w:rPr>
        <w:t xml:space="preserve">[6] GM Insights (2025). Military Simulation and Training Market. $13.7B (2024), 5.3% CAGR to $22.8B by 2034. gminsights.com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78716C"/>
          <w:sz w:val="18"/>
          <w:szCs w:val="18"/>
        </w:rPr>
        <w:t xml:space="preserve">[7] IISS (Feb 2026). The Military Balance 2026. Global defence spending: $2.63T (2025), up from $2.48T (2024). iiss.org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78716C"/>
          <w:sz w:val="18"/>
          <w:szCs w:val="18"/>
        </w:rPr>
        <w:t xml:space="preserve">[8] Spherical Insights (Apr 2024). Military Simulation and Training Market to 2033. $13.58B (2023), 4.91% CAGR. sphericalinsights.com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78716C"/>
          <w:sz w:val="18"/>
          <w:szCs w:val="18"/>
        </w:rPr>
        <w:t xml:space="preserve">[9] Arizton Advisory (2025). Military Simulation and Training Market. $13.39B (2024), 7.85% CAGR. arizton.com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78716C"/>
          <w:sz w:val="18"/>
          <w:szCs w:val="18"/>
        </w:rPr>
        <w:t xml:space="preserve">[10] Mordor Intelligence (2025). GCC Defence Market. $90.8B (2023), +5.2% YoY. Saudi Arabia: $75.8B citing SIPRI. mordorintelligence.com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78716C"/>
          <w:sz w:val="18"/>
          <w:szCs w:val="18"/>
        </w:rPr>
        <w:t xml:space="preserve">[11] SIPRI. Military Expenditure Database. sipri.org/databases/milex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78716C"/>
          <w:sz w:val="18"/>
          <w:szCs w:val="18"/>
        </w:rPr>
        <w:t xml:space="preserve">[12] Rabdan Academy official website. Government-owned, est. 2013 under Law No. 7. SSDEC specialisation. ra.ac.ae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78716C"/>
          <w:sz w:val="18"/>
          <w:szCs w:val="18"/>
        </w:rPr>
        <w:t xml:space="preserve">[13] Wikipedia. Rabdan Academy. UAE CAA accredited. QS Stars 5-star (Teaching, Employability). en.wikipedia.org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color w:val="8E3F14"/>
          <w:sz w:val="22"/>
          <w:szCs w:val="22"/>
        </w:rPr>
        <w:t xml:space="preserve">Verification Notes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C1917"/>
          <w:sz w:val="20"/>
          <w:szCs w:val="20"/>
        </w:rPr>
        <w:t xml:space="preserve">700 hours claim: </w:t>
      </w:r>
      <w:r>
        <w:rPr>
          <w:rFonts w:ascii="Arial" w:cs="Arial" w:eastAsia="Arial" w:hAnsi="Arial"/>
          <w:color w:val="1C1917"/>
          <w:sz w:val="20"/>
          <w:szCs w:val="20"/>
        </w:rPr>
        <w:t xml:space="preserve">The original plan cited “up to 700 person-hours.” Chapman Alliance (2010) reports 716 hours at Level 3 (advanced). The plan’s figure is slightly conservative. Note: this applies to the most complex content; typical interactive e-learning averages 184 hours; basic is 49–125 hours.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C1917"/>
          <w:sz w:val="20"/>
          <w:szCs w:val="20"/>
        </w:rPr>
        <w:t xml:space="preserve">Market size: </w:t>
      </w:r>
      <w:r>
        <w:rPr>
          <w:rFonts w:ascii="Arial" w:cs="Arial" w:eastAsia="Arial" w:hAnsi="Arial"/>
          <w:color w:val="1C1917"/>
          <w:sz w:val="20"/>
          <w:szCs w:val="20"/>
        </w:rPr>
        <w:t xml:space="preserve">$14.5B / 3.5% CAGR matches ResearchAndMarkets.com (Dec 2025) precisely. Other analysts report $12.9B–$14.5B with 3.5%–7.85% CAGR. Variation reflects scope differences. The cited figure is defensible.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1C1917"/>
          <w:sz w:val="20"/>
          <w:szCs w:val="20"/>
        </w:rPr>
        <w:t xml:space="preserve">[P] items: </w:t>
      </w:r>
      <w:r>
        <w:rPr>
          <w:rFonts w:ascii="Arial" w:cs="Arial" w:eastAsia="Arial" w:hAnsi="Arial"/>
          <w:color w:val="1C1917"/>
          <w:sz w:val="20"/>
          <w:szCs w:val="20"/>
        </w:rPr>
        <w:t xml:space="preserve">All financial projections, pricing, operational estimates, investment terms, and hiring triggers are PES internal planning figures, informed by the Founder’s experience but not independently audited.</w:t>
      </w:r>
    </w:p>
    <w:p>
      <w:pPr>
        <w:pBdr>
          <w:top w:val="single" w:color="B8541F" w:sz="4" w:space="8"/>
        </w:pBdr>
        <w:spacing w:before="300"/>
      </w:pPr>
      <w:r>
        <w:rPr>
          <w:rFonts w:ascii="Arial" w:cs="Arial" w:eastAsia="Arial" w:hAnsi="Arial"/>
          <w:i/>
          <w:iCs/>
          <w:color w:val="78716C"/>
          <w:sz w:val="16"/>
          <w:szCs w:val="16"/>
        </w:rPr>
        <w:t xml:space="preserve">Prometheus Education Systems — Business Plan Overview 2026–2031 — CONFIDENTIAL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1917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B8541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8E3F1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2026-04-02T16:38:07.993Z</dcterms:created>
  <dcterms:modified xsi:type="dcterms:W3CDTF">2026-04-02T16:38:07.993Z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