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6 : Les outils numériques (الأدوات الرقمية)</w:t>
      </w:r>
    </w:p>
    <w:p>
      <w:r>
        <w:rPr>
          <w:rFonts w:ascii="Calibri" w:hAnsi="Calibri" w:cs="Calibri"/>
          <w:b/>
          <w:sz w:val="22"/>
        </w:rPr>
        <w:t>Leçon 55 : Le tableau de bord (لوحة القيادة)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قراءة منظمة للوحة تعرض عدة مؤشرات مع فهم التحديث والمسؤولية والسياق؛ ربط اللوحة بالأهداف التشغيلية دون اختلاق اتجاهات؛ الانتقال نحو الموديل 7 حول التواصل المهني بلغات أجنبية — دون وعد أداة تقنية واحدة لكل المقاولات.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اللوحة: ملخص للقرار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Tableau de bord</w:t>
      </w:r>
      <w:r>
        <w:rPr>
          <w:rFonts w:ascii="Calibri" w:hAnsi="Calibri" w:cs="Calibri"/>
          <w:b w:val="0"/>
          <w:sz w:val="22"/>
          <w:rtl/>
        </w:rPr>
        <w:t xml:space="preserve"> (لوحة قيادة) كتجمع </w:t>
      </w:r>
      <w:r>
        <w:rPr>
          <w:rFonts w:ascii="Calibri" w:hAnsi="Calibri" w:cs="Calibri"/>
          <w:b/>
          <w:sz w:val="22"/>
          <w:rtl/>
        </w:rPr>
        <w:t>عدة KPI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رسوم</w:t>
      </w:r>
      <w:r>
        <w:rPr>
          <w:rFonts w:ascii="Calibri" w:hAnsi="Calibri" w:cs="Calibri"/>
          <w:b w:val="0"/>
          <w:sz w:val="22"/>
          <w:rtl/>
        </w:rPr>
        <w:t xml:space="preserve"> ف</w:t>
      </w:r>
      <w:r>
        <w:rPr>
          <w:rFonts w:ascii="Calibri" w:hAnsi="Calibri" w:cs="Calibri"/>
          <w:b/>
          <w:sz w:val="22"/>
          <w:rtl/>
        </w:rPr>
        <w:t>صفحة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شاشة</w:t>
      </w:r>
      <w:r>
        <w:rPr>
          <w:rFonts w:ascii="Calibri" w:hAnsi="Calibri" w:cs="Calibri"/>
          <w:b w:val="0"/>
          <w:sz w:val="22"/>
          <w:rtl/>
        </w:rPr>
        <w:t xml:space="preserve"> — الهدف: </w:t>
      </w:r>
      <w:r>
        <w:rPr>
          <w:rFonts w:ascii="Calibri" w:hAnsi="Calibri" w:cs="Calibri"/>
          <w:b/>
          <w:sz w:val="22"/>
          <w:rtl/>
        </w:rPr>
        <w:t>نظرة سريعة</w:t>
      </w:r>
      <w:r>
        <w:rPr>
          <w:rFonts w:ascii="Calibri" w:hAnsi="Calibri" w:cs="Calibri"/>
          <w:b w:val="0"/>
          <w:sz w:val="22"/>
          <w:rtl/>
        </w:rPr>
        <w:t xml:space="preserve"> + </w:t>
      </w:r>
      <w:r>
        <w:rPr>
          <w:rFonts w:ascii="Calibri" w:hAnsi="Calibri" w:cs="Calibri"/>
          <w:b/>
          <w:sz w:val="22"/>
          <w:rtl/>
        </w:rPr>
        <w:t>تنبيه</w:t>
      </w:r>
      <w:r>
        <w:rPr>
          <w:rFonts w:ascii="Calibri" w:hAnsi="Calibri" w:cs="Calibri"/>
          <w:b w:val="0"/>
          <w:sz w:val="22"/>
          <w:rtl/>
        </w:rPr>
        <w:t xml:space="preserve"> إيلا شي مؤشر </w:t>
      </w:r>
      <w:r>
        <w:rPr>
          <w:rFonts w:ascii="Calibri" w:hAnsi="Calibri" w:cs="Calibri"/>
          <w:b/>
          <w:sz w:val="22"/>
          <w:rtl/>
        </w:rPr>
        <w:t>خرج</w:t>
      </w:r>
      <w:r>
        <w:rPr>
          <w:rFonts w:ascii="Calibri" w:hAnsi="Calibri" w:cs="Calibri"/>
          <w:b w:val="0"/>
          <w:sz w:val="22"/>
          <w:rtl/>
        </w:rPr>
        <w:t xml:space="preserve"> عن </w:t>
      </w:r>
      <w:r>
        <w:rPr>
          <w:rFonts w:ascii="Calibri" w:hAnsi="Calibri" w:cs="Calibri"/>
          <w:b/>
          <w:sz w:val="22"/>
          <w:rtl/>
        </w:rPr>
        <w:t>حد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 نوعي: لوحة </w:t>
      </w:r>
      <w:r>
        <w:rPr>
          <w:rFonts w:ascii="Calibri" w:hAnsi="Calibri" w:cs="Calibri"/>
          <w:b/>
          <w:sz w:val="22"/>
          <w:rtl/>
        </w:rPr>
        <w:t>مشروع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الميزانية</w:t>
      </w:r>
      <w:r>
        <w:rPr>
          <w:rFonts w:ascii="Calibri" w:hAnsi="Calibri" w:cs="Calibri"/>
          <w:b w:val="0"/>
          <w:sz w:val="22"/>
          <w:rtl/>
        </w:rPr>
        <w:t xml:space="preserve"> مستهلكة، </w:t>
      </w:r>
      <w:r>
        <w:rPr>
          <w:rFonts w:ascii="Calibri" w:hAnsi="Calibri" w:cs="Calibri"/>
          <w:b/>
          <w:sz w:val="22"/>
          <w:rtl/>
        </w:rPr>
        <w:t>المهام</w:t>
      </w:r>
      <w:r>
        <w:rPr>
          <w:rFonts w:ascii="Calibri" w:hAnsi="Calibri" w:cs="Calibri"/>
          <w:b w:val="0"/>
          <w:sz w:val="22"/>
          <w:rtl/>
        </w:rPr>
        <w:t xml:space="preserve"> المتأخرة، </w:t>
      </w:r>
      <w:r>
        <w:rPr>
          <w:rFonts w:ascii="Calibri" w:hAnsi="Calibri" w:cs="Calibri"/>
          <w:b/>
          <w:sz w:val="22"/>
          <w:rtl/>
        </w:rPr>
        <w:t>مخاطر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كل جزء</w:t>
      </w:r>
      <w:r>
        <w:rPr>
          <w:rFonts w:ascii="Calibri" w:hAnsi="Calibri" w:cs="Calibri"/>
          <w:b w:val="0"/>
          <w:sz w:val="22"/>
          <w:rtl/>
        </w:rPr>
        <w:t xml:space="preserve"> خاص يكون </w:t>
      </w:r>
      <w:r>
        <w:rPr>
          <w:rFonts w:ascii="Calibri" w:hAnsi="Calibri" w:cs="Calibri"/>
          <w:b/>
          <w:sz w:val="22"/>
          <w:rtl/>
        </w:rPr>
        <w:t>له تعريف</w:t>
      </w:r>
      <w:r>
        <w:rPr>
          <w:rFonts w:ascii="Calibri" w:hAnsi="Calibri" w:cs="Calibri"/>
          <w:b w:val="0"/>
          <w:sz w:val="22"/>
          <w:rtl/>
        </w:rPr>
        <w:t xml:space="preserve"> (تسول إن لزم).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كيفاش تقرأ بعقل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تاريخ التحديث</w:t>
      </w:r>
      <w:r>
        <w:rPr>
          <w:rFonts w:ascii="Calibri" w:hAnsi="Calibri" w:cs="Calibri"/>
          <w:b w:val="0"/>
          <w:sz w:val="22"/>
          <w:rtl/>
        </w:rPr>
        <w:t xml:space="preserve">: واش الأرقام </w:t>
      </w:r>
      <w:r>
        <w:rPr>
          <w:rFonts w:ascii="Calibri" w:hAnsi="Calibri" w:cs="Calibri"/>
          <w:b/>
          <w:sz w:val="22"/>
          <w:rtl/>
        </w:rPr>
        <w:t>دابا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الشهر الماضي؟</w:t>
      </w:r>
      <w:r>
        <w:rPr>
          <w:rFonts w:ascii="Calibri" w:hAnsi="Calibri" w:cs="Calibri"/>
          <w:b w:val="0"/>
          <w:sz w:val="22"/>
          <w:rtl/>
        </w:rPr>
        <w:t xml:space="preserve"> — قرار على </w:t>
      </w:r>
      <w:r>
        <w:rPr>
          <w:rFonts w:ascii="Calibri" w:hAnsi="Calibri" w:cs="Calibri"/>
          <w:b/>
          <w:sz w:val="22"/>
          <w:rtl/>
        </w:rPr>
        <w:t>بيانات قديمة</w:t>
      </w:r>
      <w:r>
        <w:rPr>
          <w:rFonts w:ascii="Calibri" w:hAnsi="Calibri" w:cs="Calibri"/>
          <w:b w:val="0"/>
          <w:sz w:val="22"/>
          <w:rtl/>
        </w:rPr>
        <w:t xml:space="preserve"> كيوقع أخطاء.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الفلتر</w:t>
      </w:r>
      <w:r>
        <w:rPr>
          <w:rFonts w:ascii="Calibri" w:hAnsi="Calibri" w:cs="Calibri"/>
          <w:b w:val="0"/>
          <w:sz w:val="22"/>
          <w:rtl/>
        </w:rPr>
        <w:t xml:space="preserve">: لوحة </w:t>
      </w:r>
      <w:r>
        <w:rPr>
          <w:rFonts w:ascii="Calibri" w:hAnsi="Calibri" w:cs="Calibri"/>
          <w:b/>
          <w:sz w:val="22"/>
          <w:rtl/>
        </w:rPr>
        <w:t>فرع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مجموعة</w:t>
      </w:r>
      <w:r>
        <w:rPr>
          <w:rFonts w:ascii="Calibri" w:hAnsi="Calibri" w:cs="Calibri"/>
          <w:b w:val="0"/>
          <w:sz w:val="22"/>
          <w:rtl/>
        </w:rPr>
        <w:t xml:space="preserve"> كاملة؟ — </w:t>
      </w:r>
      <w:r>
        <w:rPr>
          <w:rFonts w:ascii="Calibri" w:hAnsi="Calibri" w:cs="Calibri"/>
          <w:b/>
          <w:sz w:val="22"/>
          <w:rtl/>
        </w:rPr>
        <w:t>السياق</w:t>
      </w:r>
      <w:r>
        <w:rPr>
          <w:rFonts w:ascii="Calibri" w:hAnsi="Calibri" w:cs="Calibri"/>
          <w:b w:val="0"/>
          <w:sz w:val="22"/>
          <w:rtl/>
        </w:rPr>
        <w:t xml:space="preserve"> كيغيّر التفسير.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اللون الأحمر</w:t>
      </w:r>
      <w:r>
        <w:rPr>
          <w:rFonts w:ascii="Calibri" w:hAnsi="Calibri" w:cs="Calibri"/>
          <w:b w:val="0"/>
          <w:sz w:val="22"/>
          <w:rtl/>
        </w:rPr>
        <w:t xml:space="preserve"> مشي دائماً « كارثة » — أحياناً </w:t>
      </w:r>
      <w:r>
        <w:rPr>
          <w:rFonts w:ascii="Calibri" w:hAnsi="Calibri" w:cs="Calibri"/>
          <w:b/>
          <w:sz w:val="22"/>
          <w:rtl/>
        </w:rPr>
        <w:t>عتبة</w:t>
      </w:r>
      <w:r>
        <w:rPr>
          <w:rFonts w:ascii="Calibri" w:hAnsi="Calibri" w:cs="Calibri"/>
          <w:b w:val="0"/>
          <w:sz w:val="22"/>
          <w:rtl/>
        </w:rPr>
        <w:t xml:space="preserve"> (seuil) </w:t>
      </w:r>
      <w:r>
        <w:rPr>
          <w:rFonts w:ascii="Calibri" w:hAnsi="Calibri" w:cs="Calibri"/>
          <w:b/>
          <w:sz w:val="22"/>
          <w:rtl/>
        </w:rPr>
        <w:t>مضبوطة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سول</w:t>
      </w:r>
      <w:r>
        <w:rPr>
          <w:rFonts w:ascii="Calibri" w:hAnsi="Calibri" w:cs="Calibri"/>
          <w:b w:val="0"/>
          <w:sz w:val="22"/>
          <w:rtl/>
        </w:rPr>
        <w:t xml:space="preserve"> قبل ما </w:t>
      </w:r>
      <w:r>
        <w:rPr>
          <w:rFonts w:ascii="Calibri" w:hAnsi="Calibri" w:cs="Calibri"/>
          <w:b/>
          <w:sz w:val="22"/>
          <w:rtl/>
        </w:rPr>
        <w:t>تذعر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فالسطاج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إيلا عطاوك </w:t>
      </w:r>
      <w:r>
        <w:rPr>
          <w:rFonts w:ascii="Calibri" w:hAnsi="Calibri" w:cs="Calibri"/>
          <w:b/>
          <w:sz w:val="22"/>
          <w:rtl/>
        </w:rPr>
        <w:t>صلاحية</w:t>
      </w:r>
      <w:r>
        <w:rPr>
          <w:rFonts w:ascii="Calibri" w:hAnsi="Calibri" w:cs="Calibri"/>
          <w:b w:val="0"/>
          <w:sz w:val="22"/>
          <w:rtl/>
        </w:rPr>
        <w:t xml:space="preserve"> تشوف لوحة — </w:t>
      </w:r>
      <w:r>
        <w:rPr>
          <w:rFonts w:ascii="Calibri" w:hAnsi="Calibri" w:cs="Calibri"/>
          <w:b/>
          <w:sz w:val="22"/>
          <w:rtl/>
        </w:rPr>
        <w:t>راقب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شنو يهمك</w:t>
      </w:r>
      <w:r>
        <w:rPr>
          <w:rFonts w:ascii="Calibri" w:hAnsi="Calibri" w:cs="Calibri"/>
          <w:b w:val="0"/>
          <w:sz w:val="22"/>
          <w:rtl/>
        </w:rPr>
        <w:t xml:space="preserve"> فمهمتك؛ </w:t>
      </w:r>
      <w:r>
        <w:rPr>
          <w:rFonts w:ascii="Calibri" w:hAnsi="Calibri" w:cs="Calibri"/>
          <w:b/>
          <w:sz w:val="22"/>
          <w:rtl/>
        </w:rPr>
        <w:t>ما تسرّبش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لقطات</w:t>
      </w:r>
      <w:r>
        <w:rPr>
          <w:rFonts w:ascii="Calibri" w:hAnsi="Calibri" w:cs="Calibri"/>
          <w:b w:val="0"/>
          <w:sz w:val="22"/>
          <w:rtl/>
        </w:rPr>
        <w:t xml:space="preserve"> خارج الشركة بلا </w:t>
      </w:r>
      <w:r>
        <w:rPr>
          <w:rFonts w:ascii="Calibri" w:hAnsi="Calibri" w:cs="Calibri"/>
          <w:b/>
          <w:sz w:val="22"/>
          <w:rtl/>
        </w:rPr>
        <w:t>إذن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تدوين</w:t>
      </w:r>
      <w:r>
        <w:rPr>
          <w:rFonts w:ascii="Calibri" w:hAnsi="Calibri" w:cs="Calibri"/>
          <w:b w:val="0"/>
          <w:sz w:val="22"/>
          <w:rtl/>
        </w:rPr>
        <w:t xml:space="preserve">: ملاحظة واحدة </w:t>
      </w:r>
      <w:r>
        <w:rPr>
          <w:rFonts w:ascii="Calibri" w:hAnsi="Calibri" w:cs="Calibri"/>
          <w:b/>
          <w:sz w:val="22"/>
          <w:rtl/>
        </w:rPr>
        <w:t>مهنية</w:t>
      </w:r>
      <w:r>
        <w:rPr>
          <w:rFonts w:ascii="Calibri" w:hAnsi="Calibri" w:cs="Calibri"/>
          <w:b w:val="0"/>
          <w:sz w:val="22"/>
          <w:rtl/>
        </w:rPr>
        <w:t xml:space="preserve"> فالتقرير — « تابعت </w:t>
      </w:r>
      <w:r>
        <w:rPr>
          <w:rFonts w:ascii="Calibri" w:hAnsi="Calibri" w:cs="Calibri"/>
          <w:b/>
          <w:sz w:val="22"/>
          <w:rtl/>
        </w:rPr>
        <w:t>مؤشر X</w:t>
      </w:r>
      <w:r>
        <w:rPr>
          <w:rFonts w:ascii="Calibri" w:hAnsi="Calibri" w:cs="Calibri"/>
          <w:b w:val="0"/>
          <w:sz w:val="22"/>
          <w:rtl/>
        </w:rPr>
        <w:t xml:space="preserve"> فالاجتماع الأسبوعي » — كيبان </w:t>
      </w:r>
      <w:r>
        <w:rPr>
          <w:rFonts w:ascii="Calibri" w:hAnsi="Calibri" w:cs="Calibri"/>
          <w:b/>
          <w:sz w:val="22"/>
          <w:rtl/>
        </w:rPr>
        <w:t>نضج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حدود الأداة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ماشي كل مقاولة</w:t>
      </w:r>
      <w:r>
        <w:rPr>
          <w:rFonts w:ascii="Calibri" w:hAnsi="Calibri" w:cs="Calibri"/>
          <w:b w:val="0"/>
          <w:sz w:val="22"/>
          <w:rtl/>
        </w:rPr>
        <w:t xml:space="preserve"> عندها </w:t>
      </w:r>
      <w:r>
        <w:rPr>
          <w:rFonts w:ascii="Calibri" w:hAnsi="Calibri" w:cs="Calibri"/>
          <w:b/>
          <w:sz w:val="22"/>
          <w:rtl/>
        </w:rPr>
        <w:t>Power BI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لوحة فاخرة</w:t>
      </w:r>
      <w:r>
        <w:rPr>
          <w:rFonts w:ascii="Calibri" w:hAnsi="Calibri" w:cs="Calibri"/>
          <w:b w:val="0"/>
          <w:sz w:val="22"/>
          <w:rtl/>
        </w:rPr>
        <w:t xml:space="preserve"> — أحياناً </w:t>
      </w:r>
      <w:r>
        <w:rPr>
          <w:rFonts w:ascii="Calibri" w:hAnsi="Calibri" w:cs="Calibri"/>
          <w:b/>
          <w:sz w:val="22"/>
          <w:rtl/>
        </w:rPr>
        <w:t>Excel</w:t>
      </w:r>
      <w:r>
        <w:rPr>
          <w:rFonts w:ascii="Calibri" w:hAnsi="Calibri" w:cs="Calibri"/>
          <w:b w:val="0"/>
          <w:sz w:val="22"/>
          <w:rtl/>
        </w:rPr>
        <w:t xml:space="preserve"> مطبوع — </w:t>
      </w:r>
      <w:r>
        <w:rPr>
          <w:rFonts w:ascii="Calibri" w:hAnsi="Calibri" w:cs="Calibri"/>
          <w:b/>
          <w:sz w:val="22"/>
          <w:rtl/>
        </w:rPr>
        <w:t>المهارة</w:t>
      </w:r>
      <w:r>
        <w:rPr>
          <w:rFonts w:ascii="Calibri" w:hAnsi="Calibri" w:cs="Calibri"/>
          <w:b w:val="0"/>
          <w:sz w:val="22"/>
          <w:rtl/>
        </w:rPr>
        <w:t xml:space="preserve"> هي </w:t>
      </w:r>
      <w:r>
        <w:rPr>
          <w:rFonts w:ascii="Calibri" w:hAnsi="Calibri" w:cs="Calibri"/>
          <w:b/>
          <w:sz w:val="22"/>
          <w:rtl/>
        </w:rPr>
        <w:t>فهم المنطق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اسم البرنامج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le Module 7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اللوحة</w:t>
      </w:r>
      <w:r>
        <w:rPr>
          <w:rFonts w:ascii="Calibri" w:hAnsi="Calibri" w:cs="Calibri"/>
          <w:b w:val="0"/>
          <w:sz w:val="22"/>
          <w:rtl/>
        </w:rPr>
        <w:t xml:space="preserve"> كتجمّع </w:t>
      </w:r>
      <w:r>
        <w:rPr>
          <w:rFonts w:ascii="Calibri" w:hAnsi="Calibri" w:cs="Calibri"/>
          <w:b/>
          <w:sz w:val="22"/>
          <w:rtl/>
        </w:rPr>
        <w:t>KPI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سياق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تاريخ التحديث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فلتر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فرع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كل</w:t>
      </w:r>
      <w:r>
        <w:rPr>
          <w:rFonts w:ascii="Calibri" w:hAnsi="Calibri" w:cs="Calibri"/>
          <w:b w:val="0"/>
          <w:sz w:val="22"/>
          <w:rtl/>
        </w:rPr>
        <w:t xml:space="preserve"> — القراءة </w:t>
      </w:r>
      <w:r>
        <w:rPr>
          <w:rFonts w:ascii="Calibri" w:hAnsi="Calibri" w:cs="Calibri"/>
          <w:b/>
          <w:sz w:val="22"/>
          <w:rtl/>
        </w:rPr>
        <w:t>هادئة</w:t>
      </w:r>
      <w:r>
        <w:rPr>
          <w:rFonts w:ascii="Calibri" w:hAnsi="Calibri" w:cs="Calibri"/>
          <w:b w:val="0"/>
          <w:sz w:val="22"/>
          <w:rtl/>
        </w:rPr>
        <w:t xml:space="preserve"> قبل </w:t>
      </w:r>
      <w:r>
        <w:rPr>
          <w:rFonts w:ascii="Calibri" w:hAnsi="Calibri" w:cs="Calibri"/>
          <w:b/>
          <w:sz w:val="22"/>
          <w:rtl/>
        </w:rPr>
        <w:t>الاستنتاج</w:t>
      </w:r>
      <w:r>
        <w:rPr>
          <w:rFonts w:ascii="Calibri" w:hAnsi="Calibri" w:cs="Calibri"/>
          <w:b w:val="0"/>
          <w:sz w:val="22"/>
          <w:rtl/>
        </w:rPr>
        <w:t xml:space="preserve">. </w:t>
      </w:r>
      <w:r>
        <w:rPr>
          <w:rFonts w:ascii="Calibri" w:hAnsi="Calibri" w:cs="Calibri"/>
          <w:b/>
          <w:sz w:val="22"/>
          <w:rtl/>
        </w:rPr>
        <w:t>السرية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ما تنشرش</w:t>
      </w:r>
      <w:r>
        <w:rPr>
          <w:rFonts w:ascii="Calibri" w:hAnsi="Calibri" w:cs="Calibri"/>
          <w:b w:val="0"/>
          <w:sz w:val="22"/>
          <w:rtl/>
        </w:rPr>
        <w:t xml:space="preserve"> لقطات بلا </w:t>
      </w:r>
      <w:r>
        <w:rPr>
          <w:rFonts w:ascii="Calibri" w:hAnsi="Calibri" w:cs="Calibri"/>
          <w:b/>
          <w:sz w:val="22"/>
          <w:rtl/>
        </w:rPr>
        <w:t>إذن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اللون الأحمر</w:t>
      </w:r>
      <w:r>
        <w:rPr>
          <w:rFonts w:ascii="Calibri" w:hAnsi="Calibri" w:cs="Calibri"/>
          <w:b w:val="0"/>
          <w:sz w:val="22"/>
          <w:rtl/>
        </w:rPr>
        <w:t xml:space="preserve"> أحياناً </w:t>
      </w:r>
      <w:r>
        <w:rPr>
          <w:rFonts w:ascii="Calibri" w:hAnsi="Calibri" w:cs="Calibri"/>
          <w:b/>
          <w:sz w:val="22"/>
          <w:rtl/>
        </w:rPr>
        <w:t>عتبة</w:t>
      </w:r>
      <w:r>
        <w:rPr>
          <w:rFonts w:ascii="Calibri" w:hAnsi="Calibri" w:cs="Calibri"/>
          <w:b w:val="0"/>
          <w:sz w:val="22"/>
          <w:rtl/>
        </w:rPr>
        <w:t xml:space="preserve"> (seuil) مضبوطة — </w:t>
      </w:r>
      <w:r>
        <w:rPr>
          <w:rFonts w:ascii="Calibri" w:hAnsi="Calibri" w:cs="Calibri"/>
          <w:b/>
          <w:sz w:val="22"/>
          <w:rtl/>
        </w:rPr>
        <w:t>سول</w:t>
      </w:r>
      <w:r>
        <w:rPr>
          <w:rFonts w:ascii="Calibri" w:hAnsi="Calibri" w:cs="Calibri"/>
          <w:b w:val="0"/>
          <w:sz w:val="22"/>
          <w:rtl/>
        </w:rPr>
        <w:t xml:space="preserve"> قبل </w:t>
      </w:r>
      <w:r>
        <w:rPr>
          <w:rFonts w:ascii="Calibri" w:hAnsi="Calibri" w:cs="Calibri"/>
          <w:b/>
          <w:sz w:val="22"/>
          <w:rtl/>
        </w:rPr>
        <w:t>الذعر</w:t>
      </w:r>
      <w:r>
        <w:rPr>
          <w:rFonts w:ascii="Calibri" w:hAnsi="Calibri" w:cs="Calibri"/>
          <w:b w:val="0"/>
          <w:sz w:val="22"/>
          <w:rtl/>
        </w:rPr>
        <w:t xml:space="preserve">. </w:t>
      </w:r>
      <w:r>
        <w:rPr>
          <w:rFonts w:ascii="Calibri" w:hAnsi="Calibri" w:cs="Calibri"/>
          <w:b/>
          <w:sz w:val="22"/>
          <w:rtl/>
        </w:rPr>
        <w:t>المهارة</w:t>
      </w:r>
      <w:r>
        <w:rPr>
          <w:rFonts w:ascii="Calibri" w:hAnsi="Calibri" w:cs="Calibri"/>
          <w:b w:val="0"/>
          <w:sz w:val="22"/>
          <w:rtl/>
        </w:rPr>
        <w:t xml:space="preserve"> الكبيرة: </w:t>
      </w:r>
      <w:r>
        <w:rPr>
          <w:rFonts w:ascii="Calibri" w:hAnsi="Calibri" w:cs="Calibri"/>
          <w:b/>
          <w:sz w:val="22"/>
          <w:rtl/>
        </w:rPr>
        <w:t>المنطق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اسم البرنامج</w:t>
      </w:r>
      <w:r>
        <w:rPr>
          <w:rFonts w:ascii="Calibri" w:hAnsi="Calibri" w:cs="Calibri"/>
          <w:b w:val="0"/>
          <w:sz w:val="22"/>
          <w:rtl/>
        </w:rPr>
        <w:t xml:space="preserve"> — من هنا نمشيو للغات.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تفسير</w:t>
      </w:r>
      <w:r>
        <w:rPr>
          <w:rFonts w:ascii="Calibri" w:hAnsi="Calibri" w:cs="Calibri"/>
          <w:b w:val="0"/>
          <w:sz w:val="22"/>
          <w:rtl/>
        </w:rPr>
        <w:t xml:space="preserve"> بلا تعريف المؤشر؛ </w:t>
      </w:r>
      <w:r>
        <w:rPr>
          <w:rFonts w:ascii="Calibri" w:hAnsi="Calibri" w:cs="Calibri"/>
          <w:b/>
          <w:sz w:val="22"/>
          <w:rtl/>
        </w:rPr>
        <w:t>تسريب</w:t>
      </w:r>
      <w:r>
        <w:rPr>
          <w:rFonts w:ascii="Calibri" w:hAnsi="Calibri" w:cs="Calibri"/>
          <w:b w:val="0"/>
          <w:sz w:val="22"/>
          <w:rtl/>
        </w:rPr>
        <w:t xml:space="preserve"> لقطات؛ </w:t>
      </w:r>
      <w:r>
        <w:rPr>
          <w:rFonts w:ascii="Calibri" w:hAnsi="Calibri" w:cs="Calibri"/>
          <w:b/>
          <w:sz w:val="22"/>
          <w:rtl/>
        </w:rPr>
        <w:t>خلط</w:t>
      </w:r>
      <w:r>
        <w:rPr>
          <w:rFonts w:ascii="Calibri" w:hAnsi="Calibri" w:cs="Calibri"/>
          <w:b w:val="0"/>
          <w:sz w:val="22"/>
          <w:rtl/>
        </w:rPr>
        <w:t xml:space="preserve"> فرع و</w:t>
      </w:r>
      <w:r>
        <w:rPr>
          <w:rFonts w:ascii="Calibri" w:hAnsi="Calibri" w:cs="Calibri"/>
          <w:b/>
          <w:sz w:val="22"/>
          <w:rtl/>
        </w:rPr>
        <w:t>كل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ذعر</w:t>
      </w:r>
      <w:r>
        <w:rPr>
          <w:rFonts w:ascii="Calibri" w:hAnsi="Calibri" w:cs="Calibri"/>
          <w:b w:val="0"/>
          <w:sz w:val="22"/>
          <w:rtl/>
        </w:rPr>
        <w:t xml:space="preserve"> من مؤشر أحمر بلا سؤال.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الموديل 7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فرنسية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إنجليزية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مهنية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إيميل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اجتماع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تعبير واضح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الأدوات الرقمية</w:t>
      </w:r>
      <w:r>
        <w:rPr>
          <w:rFonts w:ascii="Calibri" w:hAnsi="Calibri" w:cs="Calibri"/>
          <w:b w:val="0"/>
          <w:sz w:val="22"/>
          <w:rtl/>
        </w:rPr>
        <w:t xml:space="preserve"> كتكمّل، </w:t>
      </w:r>
      <w:r>
        <w:rPr>
          <w:rFonts w:ascii="Calibri" w:hAnsi="Calibri" w:cs="Calibri"/>
          <w:b/>
          <w:sz w:val="22"/>
          <w:rtl/>
        </w:rPr>
        <w:t>التواصل</w:t>
      </w:r>
      <w:r>
        <w:rPr>
          <w:rFonts w:ascii="Calibri" w:hAnsi="Calibri" w:cs="Calibri"/>
          <w:b w:val="0"/>
          <w:sz w:val="22"/>
          <w:rtl/>
        </w:rPr>
        <w:t xml:space="preserve"> كيبقى </w:t>
      </w:r>
      <w:r>
        <w:rPr>
          <w:rFonts w:ascii="Calibri" w:hAnsi="Calibri" w:cs="Calibri"/>
          <w:b/>
          <w:sz w:val="22"/>
          <w:rtl/>
        </w:rPr>
        <w:t>بشري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6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(الخاتمة)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بهاد الموديل 6 كنكمّلو </w:t>
      </w:r>
      <w:r>
        <w:rPr>
          <w:rFonts w:ascii="Calibri" w:hAnsi="Calibri" w:cs="Calibri"/>
          <w:b/>
          <w:sz w:val="22"/>
          <w:rtl/>
        </w:rPr>
        <w:t>الأدوات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الIA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القياس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اللوحات</w:t>
      </w:r>
      <w:r>
        <w:rPr>
          <w:rFonts w:ascii="Calibri" w:hAnsi="Calibri" w:cs="Calibri"/>
          <w:b w:val="0"/>
          <w:sz w:val="22"/>
          <w:rtl/>
        </w:rPr>
        <w:t xml:space="preserve">. </w:t>
      </w:r>
      <w:r>
        <w:rPr>
          <w:rFonts w:ascii="Calibri" w:hAnsi="Calibri" w:cs="Calibri"/>
          <w:b/>
          <w:sz w:val="22"/>
          <w:rtl/>
        </w:rPr>
        <w:t>proM7</w:t>
      </w:r>
      <w:r>
        <w:rPr>
          <w:rFonts w:ascii="Calibri" w:hAnsi="Calibri" w:cs="Calibri"/>
          <w:b w:val="0"/>
          <w:sz w:val="22"/>
          <w:rtl/>
        </w:rPr>
        <w:t xml:space="preserve"> كتعطي </w:t>
      </w:r>
      <w:r>
        <w:rPr>
          <w:rFonts w:ascii="Calibri" w:hAnsi="Calibri" w:cs="Calibri"/>
          <w:b/>
          <w:sz w:val="22"/>
          <w:rtl/>
        </w:rPr>
        <w:t>ثقافة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برنامج وحيد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فالموديل الجاي غادي نهضرو على </w:t>
      </w:r>
      <w:r>
        <w:rPr>
          <w:rFonts w:ascii="Calibri" w:hAnsi="Calibri" w:cs="Calibri"/>
          <w:b/>
          <w:sz w:val="22"/>
          <w:rtl/>
        </w:rPr>
        <w:t>الفرنسية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الإنجليزية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المهنية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مفتاح</w:t>
      </w:r>
      <w:r>
        <w:rPr>
          <w:rFonts w:ascii="Calibri" w:hAnsi="Calibri" w:cs="Calibri"/>
          <w:b w:val="0"/>
          <w:sz w:val="22"/>
          <w:rtl/>
        </w:rPr>
        <w:t xml:space="preserve"> للسوق والمقابلات. بالتوفيق.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