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3B292" w14:textId="77777777" w:rsidR="00865416" w:rsidRPr="001A0B18" w:rsidRDefault="00865416" w:rsidP="000D6C1E">
      <w:pPr>
        <w:jc w:val="center"/>
        <w:rPr>
          <w:b/>
          <w:bCs/>
          <w:sz w:val="20"/>
          <w:szCs w:val="20"/>
          <w:u w:val="single"/>
        </w:rPr>
      </w:pPr>
      <w:r w:rsidRPr="001A0B18">
        <w:rPr>
          <w:b/>
          <w:bCs/>
          <w:sz w:val="20"/>
          <w:szCs w:val="20"/>
          <w:u w:val="single"/>
        </w:rPr>
        <w:t>Development of a Fingerprint-Authenticated E-Voting System to Strengthen Electoral Integrity in the UK</w:t>
      </w:r>
    </w:p>
    <w:p w14:paraId="2D0A8AC9" w14:textId="35BC6321" w:rsidR="008512B9" w:rsidRPr="001A0B18" w:rsidRDefault="000D6C1E" w:rsidP="000D6C1E">
      <w:pPr>
        <w:jc w:val="center"/>
        <w:rPr>
          <w:rFonts w:ascii="Calibri" w:hAnsi="Calibri" w:cs="Calibri"/>
          <w:sz w:val="20"/>
          <w:szCs w:val="20"/>
        </w:rPr>
      </w:pPr>
      <w:r w:rsidRPr="001A0B18">
        <w:rPr>
          <w:sz w:val="20"/>
          <w:szCs w:val="20"/>
        </w:rPr>
        <w:t>Alexander J. Gordon</w:t>
      </w:r>
      <w:r w:rsidRPr="001A0B18">
        <w:rPr>
          <w:sz w:val="20"/>
          <w:szCs w:val="20"/>
        </w:rPr>
        <w:br/>
        <w:t>ID: 2502331</w:t>
      </w:r>
      <w:r w:rsidRPr="001A0B18">
        <w:rPr>
          <w:sz w:val="20"/>
          <w:szCs w:val="20"/>
        </w:rPr>
        <w:br/>
        <w:t>AC40001 Honours Project</w:t>
      </w:r>
      <w:r w:rsidRPr="001A0B18">
        <w:rPr>
          <w:sz w:val="20"/>
          <w:szCs w:val="20"/>
        </w:rPr>
        <w:br/>
        <w:t xml:space="preserve">BSc (Hons) Computing Science </w:t>
      </w:r>
      <w:r w:rsidRPr="001A0B18">
        <w:rPr>
          <w:color w:val="EE0000"/>
          <w:sz w:val="20"/>
          <w:szCs w:val="20"/>
        </w:rPr>
        <w:br/>
      </w:r>
      <w:r w:rsidRPr="001A0B18">
        <w:rPr>
          <w:sz w:val="20"/>
          <w:szCs w:val="20"/>
        </w:rPr>
        <w:t>University of Dundee, 2026</w:t>
      </w:r>
      <w:r w:rsidRPr="001A0B18">
        <w:rPr>
          <w:sz w:val="20"/>
          <w:szCs w:val="20"/>
        </w:rPr>
        <w:br/>
        <w:t xml:space="preserve">Supervisor: </w:t>
      </w:r>
      <w:r w:rsidRPr="001A0B18">
        <w:rPr>
          <w:rFonts w:ascii="Calibri" w:hAnsi="Calibri" w:cs="Calibri"/>
          <w:sz w:val="20"/>
          <w:szCs w:val="20"/>
        </w:rPr>
        <w:t>Oluwafemi</w:t>
      </w:r>
      <w:r w:rsidRPr="001A0B18">
        <w:rPr>
          <w:rFonts w:ascii="Calibri" w:hAnsi="Calibri" w:cs="Calibri"/>
          <w:b/>
          <w:bCs/>
          <w:sz w:val="20"/>
          <w:szCs w:val="20"/>
        </w:rPr>
        <w:t xml:space="preserve"> </w:t>
      </w:r>
      <w:r w:rsidRPr="001A0B18">
        <w:rPr>
          <w:rFonts w:ascii="Calibri" w:hAnsi="Calibri" w:cs="Calibri"/>
          <w:sz w:val="20"/>
          <w:szCs w:val="20"/>
        </w:rPr>
        <w:t>Samuel</w:t>
      </w:r>
    </w:p>
    <w:p w14:paraId="61089146" w14:textId="6ED30C82" w:rsidR="003A1E9A" w:rsidRPr="001A0B18" w:rsidRDefault="003A1E9A" w:rsidP="000D6C1E">
      <w:pPr>
        <w:jc w:val="center"/>
        <w:rPr>
          <w:rFonts w:ascii="Calibri" w:hAnsi="Calibri" w:cs="Calibri"/>
          <w:color w:val="EE0000"/>
          <w:sz w:val="20"/>
          <w:szCs w:val="20"/>
        </w:rPr>
      </w:pPr>
    </w:p>
    <w:p w14:paraId="70E4983D" w14:textId="433C3DFE" w:rsidR="009B36C8" w:rsidRDefault="009B36C8" w:rsidP="00B829EB">
      <w:pPr>
        <w:rPr>
          <w:rFonts w:ascii="Calibri" w:hAnsi="Calibri" w:cs="Calibri"/>
          <w:i/>
          <w:iCs/>
          <w:sz w:val="20"/>
          <w:szCs w:val="20"/>
        </w:rPr>
      </w:pPr>
      <w:r>
        <w:rPr>
          <w:rFonts w:ascii="Calibri" w:hAnsi="Calibri" w:cs="Calibri"/>
          <w:sz w:val="20"/>
          <w:szCs w:val="20"/>
        </w:rPr>
        <w:t xml:space="preserve">Abstract – </w:t>
      </w:r>
      <w:r w:rsidRPr="009B36C8">
        <w:rPr>
          <w:rFonts w:ascii="Calibri" w:hAnsi="Calibri" w:cs="Calibri"/>
          <w:i/>
          <w:iCs/>
          <w:sz w:val="20"/>
          <w:szCs w:val="20"/>
        </w:rPr>
        <w:t>The UK's current voting system relies on paper ballots and manual counting, leaving it vulnerable to voter impersonation, ballot tampering, and slow results. This project aims to design and develop a fingerprin</w:t>
      </w:r>
      <w:r>
        <w:rPr>
          <w:rFonts w:ascii="Calibri" w:hAnsi="Calibri" w:cs="Calibri"/>
          <w:i/>
          <w:iCs/>
          <w:sz w:val="20"/>
          <w:szCs w:val="20"/>
        </w:rPr>
        <w:t xml:space="preserve">t </w:t>
      </w:r>
      <w:r w:rsidRPr="009B36C8">
        <w:rPr>
          <w:rFonts w:ascii="Calibri" w:hAnsi="Calibri" w:cs="Calibri"/>
          <w:i/>
          <w:iCs/>
          <w:sz w:val="20"/>
          <w:szCs w:val="20"/>
        </w:rPr>
        <w:t xml:space="preserve">authenticated electronic voting system to address these weaknesses while preserving the secrecy of the ballot. The system consists of two desktop applications and a cloud-hosted server, allowing polling station staff to manage devices and voters to authenticate and cast their ballot using their fingerprint. Security measures including encryption at rest, encrypted transmission, and anonymous vote storage were integrated throughout. Two rounds of user evaluation were conducted, with feedback driving a significant redesign of the </w:t>
      </w:r>
      <w:r>
        <w:rPr>
          <w:rFonts w:ascii="Calibri" w:hAnsi="Calibri" w:cs="Calibri"/>
          <w:i/>
          <w:iCs/>
          <w:sz w:val="20"/>
          <w:szCs w:val="20"/>
        </w:rPr>
        <w:t>voting staff</w:t>
      </w:r>
      <w:r w:rsidRPr="009B36C8">
        <w:rPr>
          <w:rFonts w:ascii="Calibri" w:hAnsi="Calibri" w:cs="Calibri"/>
          <w:i/>
          <w:iCs/>
          <w:sz w:val="20"/>
          <w:szCs w:val="20"/>
        </w:rPr>
        <w:t xml:space="preserve"> interface. The results demonstrate that the system is functional and the voting process intuitive for users. If work were to continue, the most important next steps would be improving accessibility for users with degraded fingerprints, scaling the server to handle national</w:t>
      </w:r>
      <w:r>
        <w:rPr>
          <w:rFonts w:ascii="Calibri" w:hAnsi="Calibri" w:cs="Calibri"/>
          <w:i/>
          <w:iCs/>
          <w:sz w:val="20"/>
          <w:szCs w:val="20"/>
        </w:rPr>
        <w:t xml:space="preserve"> </w:t>
      </w:r>
      <w:r w:rsidRPr="009B36C8">
        <w:rPr>
          <w:rFonts w:ascii="Calibri" w:hAnsi="Calibri" w:cs="Calibri"/>
          <w:i/>
          <w:iCs/>
          <w:sz w:val="20"/>
          <w:szCs w:val="20"/>
        </w:rPr>
        <w:t>level traffic, and ensuring full compliance with UK GDPR data retention requirements before deployment.</w:t>
      </w:r>
      <w:r w:rsidR="00727C2B">
        <w:rPr>
          <w:rFonts w:ascii="Calibri" w:hAnsi="Calibri" w:cs="Calibri"/>
          <w:i/>
          <w:iCs/>
          <w:sz w:val="20"/>
          <w:szCs w:val="20"/>
        </w:rPr>
        <w:t xml:space="preserve"> </w:t>
      </w:r>
    </w:p>
    <w:p w14:paraId="4EC6F20E" w14:textId="00AC6F6C" w:rsidR="00727C2B" w:rsidRPr="006649C0" w:rsidRDefault="001E2CE6" w:rsidP="00D51AA6">
      <w:pPr>
        <w:rPr>
          <w:rFonts w:ascii="Calibri" w:hAnsi="Calibri" w:cs="Calibri"/>
          <w:color w:val="EE0000"/>
          <w:sz w:val="24"/>
          <w:szCs w:val="24"/>
        </w:rPr>
      </w:pPr>
      <w:r>
        <w:rPr>
          <w:rFonts w:ascii="Calibri" w:hAnsi="Calibri" w:cs="Calibri"/>
          <w:i/>
          <w:iCs/>
          <w:sz w:val="20"/>
          <w:szCs w:val="20"/>
        </w:rPr>
        <w:t xml:space="preserve">To view the code for testing and the system use this GitHub link: </w:t>
      </w:r>
      <w:r w:rsidRPr="001E2CE6">
        <w:rPr>
          <w:rFonts w:ascii="Calibri" w:hAnsi="Calibri" w:cs="Calibri"/>
          <w:i/>
          <w:iCs/>
          <w:sz w:val="20"/>
          <w:szCs w:val="20"/>
        </w:rPr>
        <w:t>https://github.com/Pronamel/Fingerprint-Authenticated-E-Voting-System.git</w:t>
      </w:r>
    </w:p>
    <w:p w14:paraId="5A34C915" w14:textId="7E392244" w:rsidR="00B829EB" w:rsidRPr="00B829EB" w:rsidRDefault="00F77C30" w:rsidP="00B829EB">
      <w:pPr>
        <w:rPr>
          <w:rFonts w:ascii="Calibri" w:hAnsi="Calibri" w:cs="Calibri"/>
          <w:sz w:val="20"/>
          <w:szCs w:val="20"/>
        </w:rPr>
      </w:pPr>
      <w:r>
        <w:rPr>
          <w:rFonts w:ascii="Calibri" w:hAnsi="Calibri" w:cs="Calibri"/>
          <w:sz w:val="20"/>
          <w:szCs w:val="20"/>
        </w:rPr>
        <w:br/>
      </w:r>
      <w:r w:rsidR="00B829EB" w:rsidRPr="00B829EB">
        <w:rPr>
          <w:rFonts w:ascii="Calibri" w:hAnsi="Calibri" w:cs="Calibri"/>
          <w:b/>
          <w:bCs/>
          <w:sz w:val="20"/>
          <w:szCs w:val="20"/>
        </w:rPr>
        <w:t>1 Introduction</w:t>
      </w:r>
    </w:p>
    <w:p w14:paraId="6F0B213A" w14:textId="5121F07E" w:rsidR="00C401DB" w:rsidRPr="00C401DB" w:rsidRDefault="00C401DB" w:rsidP="00C401DB">
      <w:pPr>
        <w:rPr>
          <w:rFonts w:ascii="Calibri" w:hAnsi="Calibri" w:cs="Calibri"/>
          <w:sz w:val="20"/>
          <w:szCs w:val="20"/>
        </w:rPr>
      </w:pPr>
      <w:r w:rsidRPr="00C401DB">
        <w:rPr>
          <w:rFonts w:ascii="Calibri" w:hAnsi="Calibri" w:cs="Calibri"/>
          <w:sz w:val="20"/>
          <w:szCs w:val="20"/>
        </w:rPr>
        <w:t>Voting in the United Kingdom has developed from a restricted, property</w:t>
      </w:r>
      <w:r w:rsidRPr="00C401DB">
        <w:rPr>
          <w:rFonts w:ascii="Calibri" w:hAnsi="Calibri" w:cs="Calibri"/>
          <w:sz w:val="20"/>
          <w:szCs w:val="20"/>
        </w:rPr>
        <w:noBreakHyphen/>
        <w:t>based franchise into a universal suffrage system shaped by successive Reform Acts and the introduction of the secret ballot in 1872</w:t>
      </w:r>
      <w:r w:rsidR="00F41612">
        <w:rPr>
          <w:rFonts w:ascii="Calibri" w:hAnsi="Calibri" w:cs="Calibri"/>
          <w:sz w:val="20"/>
          <w:szCs w:val="20"/>
        </w:rPr>
        <w:t xml:space="preserve"> [10]</w:t>
      </w:r>
      <w:r w:rsidRPr="00C401DB">
        <w:rPr>
          <w:rFonts w:ascii="Calibri" w:hAnsi="Calibri" w:cs="Calibri"/>
          <w:sz w:val="20"/>
          <w:szCs w:val="20"/>
        </w:rPr>
        <w:t>. Despite this long history of democratic expansion, UK elections still rely on paper ballots and manual counting, a process that carries several structural vulnerabilities. Voter impersonation remains difficult to detect under the current identification model, manual counting introduces delays and opportunities for human error, and postal voting presents documented risks of undue influence and misrepresentation. These limitations highlight the need for a more secure and efficient approach to voter authentication and ballot handling.</w:t>
      </w:r>
    </w:p>
    <w:p w14:paraId="1906AC8D" w14:textId="77777777" w:rsidR="00C401DB" w:rsidRPr="00C401DB" w:rsidRDefault="00C401DB" w:rsidP="00C401DB">
      <w:pPr>
        <w:rPr>
          <w:rFonts w:ascii="Calibri" w:hAnsi="Calibri" w:cs="Calibri"/>
          <w:sz w:val="20"/>
          <w:szCs w:val="20"/>
        </w:rPr>
      </w:pPr>
      <w:r w:rsidRPr="00C401DB">
        <w:rPr>
          <w:rFonts w:ascii="Calibri" w:hAnsi="Calibri" w:cs="Calibri"/>
          <w:sz w:val="20"/>
          <w:szCs w:val="20"/>
        </w:rPr>
        <w:t>In response to these challenges, this project aims to design and evaluate an electronic voting system that enhances voter authentication through biometric verification and safeguards user information through encryption and database structure. By mitigating the risks of ballot tampering and impersonation, and by removing delays associated with manual counting, the proposed system seeks to deliver a more secure, reliable, and efficient voting process.</w:t>
      </w:r>
    </w:p>
    <w:p w14:paraId="30166814" w14:textId="77777777" w:rsidR="00C401DB" w:rsidRPr="00C401DB" w:rsidRDefault="00C401DB" w:rsidP="00C401DB">
      <w:pPr>
        <w:rPr>
          <w:rFonts w:ascii="Calibri" w:hAnsi="Calibri" w:cs="Calibri"/>
          <w:sz w:val="20"/>
          <w:szCs w:val="20"/>
        </w:rPr>
      </w:pPr>
      <w:r w:rsidRPr="00C401DB">
        <w:rPr>
          <w:rFonts w:ascii="Calibri" w:hAnsi="Calibri" w:cs="Calibri"/>
          <w:sz w:val="20"/>
          <w:szCs w:val="20"/>
        </w:rPr>
        <w:t>Biometric authentication addresses these vulnerabilities by verifying identity in a way that cannot be easily forged or transferred. Unlike a signature or a photo ID card, a fingerprint is unique to the individual and cannot be lent, stolen, or replicated under normal circumstances. Integrating fingerprint authentication into the voting process therefore removes dependency on forgeable identifiers and ensures that only a registered voter can cast a ballot in their name. Crucially, this verification can be performed without linking the vote itself to the voter, preserving the secrecy of the ballot that is fundamental to democratic elections.</w:t>
      </w:r>
    </w:p>
    <w:p w14:paraId="66A38C59" w14:textId="77777777" w:rsidR="00C401DB" w:rsidRPr="00C401DB" w:rsidRDefault="00C401DB" w:rsidP="00C401DB">
      <w:pPr>
        <w:rPr>
          <w:rFonts w:ascii="Calibri" w:hAnsi="Calibri" w:cs="Calibri"/>
          <w:sz w:val="20"/>
          <w:szCs w:val="20"/>
        </w:rPr>
      </w:pPr>
      <w:r w:rsidRPr="00C401DB">
        <w:rPr>
          <w:rFonts w:ascii="Calibri" w:hAnsi="Calibri" w:cs="Calibri"/>
          <w:sz w:val="20"/>
          <w:szCs w:val="20"/>
        </w:rPr>
        <w:t>The system developed for this project, referred to throughout as the Biometric E</w:t>
      </w:r>
      <w:r w:rsidRPr="00C401DB">
        <w:rPr>
          <w:rFonts w:ascii="Calibri" w:hAnsi="Calibri" w:cs="Calibri"/>
          <w:sz w:val="20"/>
          <w:szCs w:val="20"/>
        </w:rPr>
        <w:noBreakHyphen/>
        <w:t>Voting System, comprises three integrated components. The Official App is operated by polling station staff and enables device management, voter registration, and real</w:t>
      </w:r>
      <w:r w:rsidRPr="00C401DB">
        <w:rPr>
          <w:rFonts w:ascii="Calibri" w:hAnsi="Calibri" w:cs="Calibri"/>
          <w:sz w:val="20"/>
          <w:szCs w:val="20"/>
        </w:rPr>
        <w:noBreakHyphen/>
        <w:t xml:space="preserve">time monitoring of station activity. The </w:t>
      </w:r>
      <w:proofErr w:type="spellStart"/>
      <w:r w:rsidRPr="00C401DB">
        <w:rPr>
          <w:rFonts w:ascii="Calibri" w:hAnsi="Calibri" w:cs="Calibri"/>
          <w:sz w:val="20"/>
          <w:szCs w:val="20"/>
        </w:rPr>
        <w:t>SecureVote</w:t>
      </w:r>
      <w:proofErr w:type="spellEnd"/>
      <w:r w:rsidRPr="00C401DB">
        <w:rPr>
          <w:rFonts w:ascii="Calibri" w:hAnsi="Calibri" w:cs="Calibri"/>
          <w:sz w:val="20"/>
          <w:szCs w:val="20"/>
        </w:rPr>
        <w:t xml:space="preserve"> App is used by voters at the polling terminal to authenticate via fingerprint and cast their ballot. A cloud</w:t>
      </w:r>
      <w:r w:rsidRPr="00C401DB">
        <w:rPr>
          <w:rFonts w:ascii="Calibri" w:hAnsi="Calibri" w:cs="Calibri"/>
          <w:sz w:val="20"/>
          <w:szCs w:val="20"/>
        </w:rPr>
        <w:noBreakHyphen/>
        <w:t xml:space="preserve">hosted server </w:t>
      </w:r>
      <w:r w:rsidRPr="00C401DB">
        <w:rPr>
          <w:rFonts w:ascii="Calibri" w:hAnsi="Calibri" w:cs="Calibri"/>
          <w:sz w:val="20"/>
          <w:szCs w:val="20"/>
        </w:rPr>
        <w:lastRenderedPageBreak/>
        <w:t>coordinates all communication between the applications, performs fingerprint matching, and stores votes in a manner that prevents any link to individual voters.</w:t>
      </w:r>
    </w:p>
    <w:p w14:paraId="2B4C1E4E" w14:textId="28ABC2D9" w:rsidR="00C401DB" w:rsidRPr="00C401DB" w:rsidRDefault="00C401DB" w:rsidP="00C401DB">
      <w:pPr>
        <w:rPr>
          <w:rFonts w:ascii="Calibri" w:hAnsi="Calibri" w:cs="Calibri"/>
          <w:sz w:val="20"/>
          <w:szCs w:val="20"/>
        </w:rPr>
      </w:pPr>
      <w:r w:rsidRPr="00C401DB">
        <w:rPr>
          <w:rFonts w:ascii="Calibri" w:hAnsi="Calibri" w:cs="Calibri"/>
          <w:sz w:val="20"/>
          <w:szCs w:val="20"/>
        </w:rPr>
        <w:t>The Research and Background stage</w:t>
      </w:r>
      <w:r w:rsidR="00D154B9">
        <w:rPr>
          <w:rFonts w:ascii="Calibri" w:hAnsi="Calibri" w:cs="Calibri"/>
          <w:sz w:val="20"/>
          <w:szCs w:val="20"/>
        </w:rPr>
        <w:t xml:space="preserve"> of this project</w:t>
      </w:r>
      <w:r w:rsidRPr="00C401DB">
        <w:rPr>
          <w:rFonts w:ascii="Calibri" w:hAnsi="Calibri" w:cs="Calibri"/>
          <w:sz w:val="20"/>
          <w:szCs w:val="20"/>
        </w:rPr>
        <w:t xml:space="preserve"> established the limitations of the current UK voting system and examined international precedents in electronic and biometric voting, with particular attention to the systems implemented in Brazil and India</w:t>
      </w:r>
      <w:r w:rsidR="00D154B9">
        <w:rPr>
          <w:rFonts w:ascii="Calibri" w:hAnsi="Calibri" w:cs="Calibri"/>
          <w:sz w:val="20"/>
          <w:szCs w:val="20"/>
        </w:rPr>
        <w:t xml:space="preserve"> [1][2]</w:t>
      </w:r>
      <w:r w:rsidRPr="00C401DB">
        <w:rPr>
          <w:rFonts w:ascii="Calibri" w:hAnsi="Calibri" w:cs="Calibri"/>
          <w:sz w:val="20"/>
          <w:szCs w:val="20"/>
        </w:rPr>
        <w:t>. This phase also included an in</w:t>
      </w:r>
      <w:r w:rsidRPr="00C401DB">
        <w:rPr>
          <w:rFonts w:ascii="Calibri" w:hAnsi="Calibri" w:cs="Calibri"/>
          <w:sz w:val="20"/>
          <w:szCs w:val="20"/>
        </w:rPr>
        <w:noBreakHyphen/>
        <w:t>depth review of available biometric technologies, alongside the ethical, legal, and accessibility considerations that any such system must address.</w:t>
      </w:r>
    </w:p>
    <w:p w14:paraId="2233665D" w14:textId="77777777" w:rsidR="00C401DB" w:rsidRPr="00C401DB" w:rsidRDefault="00C401DB" w:rsidP="00C401DB">
      <w:pPr>
        <w:rPr>
          <w:rFonts w:ascii="Calibri" w:hAnsi="Calibri" w:cs="Calibri"/>
          <w:sz w:val="20"/>
          <w:szCs w:val="20"/>
        </w:rPr>
      </w:pPr>
      <w:r w:rsidRPr="00C401DB">
        <w:rPr>
          <w:rFonts w:ascii="Calibri" w:hAnsi="Calibri" w:cs="Calibri"/>
          <w:sz w:val="20"/>
          <w:szCs w:val="20"/>
        </w:rPr>
        <w:t>Building on this foundation, the Specification and Design stage defined the system’s functional and non</w:t>
      </w:r>
      <w:r w:rsidRPr="00C401DB">
        <w:rPr>
          <w:rFonts w:ascii="Calibri" w:hAnsi="Calibri" w:cs="Calibri"/>
          <w:sz w:val="20"/>
          <w:szCs w:val="20"/>
        </w:rPr>
        <w:noBreakHyphen/>
        <w:t xml:space="preserve">functional requirements using a </w:t>
      </w:r>
      <w:proofErr w:type="spellStart"/>
      <w:r w:rsidRPr="00C401DB">
        <w:rPr>
          <w:rFonts w:ascii="Calibri" w:hAnsi="Calibri" w:cs="Calibri"/>
          <w:sz w:val="20"/>
          <w:szCs w:val="20"/>
        </w:rPr>
        <w:t>MoSCoW</w:t>
      </w:r>
      <w:proofErr w:type="spellEnd"/>
      <w:r w:rsidRPr="00C401DB">
        <w:rPr>
          <w:rFonts w:ascii="Calibri" w:hAnsi="Calibri" w:cs="Calibri"/>
          <w:sz w:val="20"/>
          <w:szCs w:val="20"/>
        </w:rPr>
        <w:t xml:space="preserve"> prioritisation framework. High</w:t>
      </w:r>
      <w:r w:rsidRPr="00C401DB">
        <w:rPr>
          <w:rFonts w:ascii="Calibri" w:hAnsi="Calibri" w:cs="Calibri"/>
          <w:sz w:val="20"/>
          <w:szCs w:val="20"/>
        </w:rPr>
        <w:noBreakHyphen/>
        <w:t>fidelity interface mock</w:t>
      </w:r>
      <w:r w:rsidRPr="00C401DB">
        <w:rPr>
          <w:rFonts w:ascii="Calibri" w:hAnsi="Calibri" w:cs="Calibri"/>
          <w:sz w:val="20"/>
          <w:szCs w:val="20"/>
        </w:rPr>
        <w:noBreakHyphen/>
        <w:t>ups for both applications were produced to guide development and to gather early user feedback on usability and layout.</w:t>
      </w:r>
    </w:p>
    <w:p w14:paraId="28EAB0F7" w14:textId="605ECC3B" w:rsidR="00C401DB" w:rsidRPr="00C401DB" w:rsidRDefault="00C401DB" w:rsidP="00C401DB">
      <w:pPr>
        <w:rPr>
          <w:rFonts w:ascii="Calibri" w:hAnsi="Calibri" w:cs="Calibri"/>
          <w:sz w:val="20"/>
          <w:szCs w:val="20"/>
        </w:rPr>
      </w:pPr>
      <w:r w:rsidRPr="00C401DB">
        <w:rPr>
          <w:rFonts w:ascii="Calibri" w:hAnsi="Calibri" w:cs="Calibri"/>
          <w:sz w:val="20"/>
          <w:szCs w:val="20"/>
        </w:rPr>
        <w:t>The Implementation stage proceeded iteratively, beginning with the database layer, followed by server development, and concluding with the two client applications. Security features such as encryption at rest, transport</w:t>
      </w:r>
      <w:r w:rsidRPr="00C401DB">
        <w:rPr>
          <w:rFonts w:ascii="Calibri" w:hAnsi="Calibri" w:cs="Calibri"/>
          <w:sz w:val="20"/>
          <w:szCs w:val="20"/>
        </w:rPr>
        <w:noBreakHyphen/>
        <w:t>layer protection, and biometric matching were integrated alongside to ensure information protection and user verification across the system.</w:t>
      </w:r>
    </w:p>
    <w:p w14:paraId="4E93A987" w14:textId="77777777" w:rsidR="00C401DB" w:rsidRPr="00C401DB" w:rsidRDefault="00C401DB" w:rsidP="00C401DB">
      <w:pPr>
        <w:rPr>
          <w:rFonts w:ascii="Calibri" w:hAnsi="Calibri" w:cs="Calibri"/>
          <w:sz w:val="20"/>
          <w:szCs w:val="20"/>
        </w:rPr>
      </w:pPr>
      <w:r w:rsidRPr="00C401DB">
        <w:rPr>
          <w:rFonts w:ascii="Calibri" w:hAnsi="Calibri" w:cs="Calibri"/>
          <w:sz w:val="20"/>
          <w:szCs w:val="20"/>
        </w:rPr>
        <w:t>Finally, the Evaluation stage assessed the system through two rounds of user surveys conducted at different points in development. The findings informed a substantial redesign of the Official App interface and highlighted areas requiring further refinement before the system could be considered suitable for deployment.</w:t>
      </w:r>
    </w:p>
    <w:p w14:paraId="13C29B0F" w14:textId="7EB0EDB2" w:rsidR="000E382A" w:rsidRDefault="00C401DB" w:rsidP="00C401DB">
      <w:pPr>
        <w:rPr>
          <w:rFonts w:eastAsiaTheme="majorEastAsia" w:cstheme="majorBidi"/>
          <w:b/>
          <w:bCs/>
          <w:sz w:val="20"/>
          <w:szCs w:val="20"/>
        </w:rPr>
      </w:pPr>
      <w:r w:rsidRPr="00C401DB">
        <w:rPr>
          <w:rFonts w:ascii="Calibri" w:hAnsi="Calibri" w:cs="Calibri"/>
          <w:sz w:val="20"/>
          <w:szCs w:val="20"/>
        </w:rPr>
        <w:t>Overall, this project demonstrates how biometric authentication and secure digital infrastructure can address long</w:t>
      </w:r>
      <w:r w:rsidRPr="00C401DB">
        <w:rPr>
          <w:rFonts w:ascii="Calibri" w:hAnsi="Calibri" w:cs="Calibri"/>
          <w:sz w:val="20"/>
          <w:szCs w:val="20"/>
        </w:rPr>
        <w:noBreakHyphen/>
        <w:t>standing weaknesses in the UK’s paper</w:t>
      </w:r>
      <w:r w:rsidRPr="00C401DB">
        <w:rPr>
          <w:rFonts w:ascii="Calibri" w:hAnsi="Calibri" w:cs="Calibri"/>
          <w:sz w:val="20"/>
          <w:szCs w:val="20"/>
        </w:rPr>
        <w:noBreakHyphen/>
        <w:t>based voting process. By integrating modern security measures with established electoral principles, it offers a framework for a more resilient and efficient voting system.</w:t>
      </w:r>
    </w:p>
    <w:p w14:paraId="48501865" w14:textId="6BC9C78C" w:rsidR="00C401DB" w:rsidRPr="001A0B18" w:rsidRDefault="00C401DB" w:rsidP="00C401DB">
      <w:pPr>
        <w:rPr>
          <w:b/>
          <w:bCs/>
          <w:sz w:val="20"/>
          <w:szCs w:val="20"/>
        </w:rPr>
      </w:pPr>
      <w:r>
        <w:rPr>
          <w:rFonts w:eastAsiaTheme="majorEastAsia" w:cstheme="majorBidi"/>
          <w:b/>
          <w:bCs/>
          <w:sz w:val="20"/>
          <w:szCs w:val="20"/>
        </w:rPr>
        <w:t>2 Background</w:t>
      </w:r>
    </w:p>
    <w:p w14:paraId="2BC34D9E" w14:textId="77777777" w:rsidR="000E382A" w:rsidRPr="001A0B18" w:rsidRDefault="000E382A" w:rsidP="000E382A">
      <w:pPr>
        <w:pStyle w:val="Heading2"/>
        <w:spacing w:line="240" w:lineRule="auto"/>
        <w:rPr>
          <w:rFonts w:asciiTheme="minorHAnsi" w:hAnsiTheme="minorHAnsi"/>
          <w:b/>
          <w:bCs/>
          <w:color w:val="auto"/>
          <w:sz w:val="20"/>
          <w:szCs w:val="20"/>
        </w:rPr>
      </w:pPr>
      <w:r w:rsidRPr="001A0B18">
        <w:rPr>
          <w:rFonts w:asciiTheme="minorHAnsi" w:hAnsiTheme="minorHAnsi"/>
          <w:b/>
          <w:bCs/>
          <w:color w:val="auto"/>
          <w:sz w:val="20"/>
          <w:szCs w:val="20"/>
        </w:rPr>
        <w:t>2.1 Current System in the UK</w:t>
      </w:r>
    </w:p>
    <w:p w14:paraId="7E855E97" w14:textId="77777777" w:rsidR="000E382A" w:rsidRPr="001A0B18" w:rsidRDefault="000E382A" w:rsidP="000E382A">
      <w:pPr>
        <w:spacing w:line="240" w:lineRule="auto"/>
        <w:rPr>
          <w:rFonts w:ascii="Calibri" w:hAnsi="Calibri" w:cs="Calibri"/>
          <w:color w:val="000000" w:themeColor="text1"/>
          <w:sz w:val="20"/>
          <w:szCs w:val="20"/>
        </w:rPr>
      </w:pPr>
      <w:r w:rsidRPr="001A0B18">
        <w:rPr>
          <w:rFonts w:ascii="Calibri" w:hAnsi="Calibri" w:cs="Calibri"/>
          <w:color w:val="000000" w:themeColor="text1"/>
          <w:sz w:val="20"/>
          <w:szCs w:val="20"/>
        </w:rPr>
        <w:t xml:space="preserve">A general election in the UK is a process by which the public elects the 650 Members of Parliament [9]. Elections are typically held every five years </w:t>
      </w:r>
      <w:r>
        <w:rPr>
          <w:rFonts w:ascii="Calibri" w:hAnsi="Calibri" w:cs="Calibri"/>
          <w:color w:val="000000" w:themeColor="text1"/>
          <w:sz w:val="20"/>
          <w:szCs w:val="20"/>
        </w:rPr>
        <w:t xml:space="preserve">and involve around 48.21 million voters </w:t>
      </w:r>
      <w:r w:rsidRPr="001A0B18">
        <w:rPr>
          <w:rFonts w:ascii="Calibri" w:hAnsi="Calibri" w:cs="Calibri"/>
          <w:color w:val="000000" w:themeColor="text1"/>
          <w:sz w:val="20"/>
          <w:szCs w:val="20"/>
        </w:rPr>
        <w:t>[9]. Before anyone can vote, they must be registered on the electoral roll, be aged 18 or over on polling day, and be a British, Irish, or qualifying Commonwealth citizen [9]. Since 2023, voters are also required to bring accepted photographic identification to their polling station [9].</w:t>
      </w:r>
    </w:p>
    <w:p w14:paraId="5D8ACFE6" w14:textId="77777777" w:rsidR="000E382A" w:rsidRPr="001A0B18" w:rsidRDefault="000E382A" w:rsidP="000E382A">
      <w:pPr>
        <w:spacing w:line="240" w:lineRule="auto"/>
        <w:rPr>
          <w:rFonts w:ascii="Calibri" w:hAnsi="Calibri" w:cs="Calibri"/>
          <w:color w:val="000000" w:themeColor="text1"/>
          <w:sz w:val="20"/>
          <w:szCs w:val="20"/>
        </w:rPr>
      </w:pPr>
      <w:r w:rsidRPr="001A0B18">
        <w:rPr>
          <w:rFonts w:ascii="Calibri" w:hAnsi="Calibri" w:cs="Calibri"/>
          <w:color w:val="000000" w:themeColor="text1"/>
          <w:sz w:val="20"/>
          <w:szCs w:val="20"/>
        </w:rPr>
        <w:t>The UK is divided into 650 constituencies, each representing a geographic area [9]. Each constituency elects one Member of Parliament (MP) [9]. Voters do not vote directly for a Prime Minister or party, but for a single candidate in their local constituency [9]. The candidate who receives the most votes wins the seat [9]. This is known as the First Past the Post (FPTP) system [9]. The party winning the most seats across all 650 constituencies forms the government, with its leader becoming Prime Minister [9].</w:t>
      </w:r>
    </w:p>
    <w:p w14:paraId="31568CF0" w14:textId="77777777" w:rsidR="000E382A" w:rsidRPr="001A0B18" w:rsidRDefault="000E382A" w:rsidP="000E382A">
      <w:pPr>
        <w:spacing w:line="240" w:lineRule="auto"/>
        <w:rPr>
          <w:rFonts w:ascii="Calibri" w:hAnsi="Calibri" w:cs="Calibri"/>
          <w:color w:val="000000" w:themeColor="text1"/>
          <w:sz w:val="20"/>
          <w:szCs w:val="20"/>
        </w:rPr>
      </w:pPr>
      <w:r w:rsidRPr="001A0B18">
        <w:rPr>
          <w:rFonts w:ascii="Calibri" w:hAnsi="Calibri" w:cs="Calibri"/>
          <w:color w:val="000000" w:themeColor="text1"/>
          <w:sz w:val="20"/>
          <w:szCs w:val="20"/>
        </w:rPr>
        <w:t>For most people, casting a ballot means visiting their designated polling station on election day, which runs from 7am to 10pm [9]. Upon arrival, voters present their photo ID, give their name and address to staff, and are handed a ballot paper [9]. The voter then enters a private booth, marks a single ‘X’ next to their chosen candidate, and places the completed ballot in a sealed box [9]. The entire process is supervised, ensuring the secrecy of each vote [9].</w:t>
      </w:r>
    </w:p>
    <w:p w14:paraId="6069999E" w14:textId="1A5C86A2" w:rsidR="000E382A" w:rsidRPr="001A0B18" w:rsidRDefault="000E382A" w:rsidP="000E382A">
      <w:pPr>
        <w:spacing w:line="240" w:lineRule="auto"/>
        <w:rPr>
          <w:rFonts w:ascii="Calibri" w:hAnsi="Calibri" w:cs="Calibri"/>
          <w:color w:val="000000" w:themeColor="text1"/>
          <w:sz w:val="20"/>
          <w:szCs w:val="20"/>
        </w:rPr>
      </w:pPr>
      <w:r w:rsidRPr="001A0B18">
        <w:rPr>
          <w:rFonts w:ascii="Calibri" w:hAnsi="Calibri" w:cs="Calibri"/>
          <w:color w:val="000000" w:themeColor="text1"/>
          <w:sz w:val="20"/>
          <w:szCs w:val="20"/>
        </w:rPr>
        <w:t xml:space="preserve">Voters unable to attend a polling station can apply for a postal vote, which is available to anyone </w:t>
      </w:r>
      <w:r w:rsidR="003B6217">
        <w:rPr>
          <w:rFonts w:ascii="Calibri" w:hAnsi="Calibri" w:cs="Calibri"/>
          <w:color w:val="000000" w:themeColor="text1"/>
          <w:sz w:val="20"/>
          <w:szCs w:val="20"/>
        </w:rPr>
        <w:t>upon</w:t>
      </w:r>
      <w:r w:rsidRPr="001A0B18">
        <w:rPr>
          <w:rFonts w:ascii="Calibri" w:hAnsi="Calibri" w:cs="Calibri"/>
          <w:color w:val="000000" w:themeColor="text1"/>
          <w:sz w:val="20"/>
          <w:szCs w:val="20"/>
        </w:rPr>
        <w:t xml:space="preserve"> request [9]. A ballot paper is sent to the voter's registered address, marked, and returned by post or hand before polls close [9]. </w:t>
      </w:r>
    </w:p>
    <w:p w14:paraId="4E3738B6" w14:textId="31275AE2" w:rsidR="000E382A" w:rsidRPr="001A0B18" w:rsidRDefault="000E382A" w:rsidP="000E382A">
      <w:pPr>
        <w:spacing w:line="240" w:lineRule="auto"/>
        <w:rPr>
          <w:rFonts w:ascii="Calibri" w:hAnsi="Calibri" w:cs="Calibri"/>
          <w:color w:val="000000" w:themeColor="text1"/>
          <w:sz w:val="20"/>
          <w:szCs w:val="20"/>
        </w:rPr>
      </w:pPr>
      <w:r w:rsidRPr="001A0B18">
        <w:rPr>
          <w:rFonts w:ascii="Calibri" w:hAnsi="Calibri" w:cs="Calibri"/>
          <w:color w:val="000000" w:themeColor="text1"/>
          <w:sz w:val="20"/>
          <w:szCs w:val="20"/>
        </w:rPr>
        <w:t>Once polls close, ballot boxes are transported to central counting venue</w:t>
      </w:r>
      <w:r w:rsidR="003B6217">
        <w:rPr>
          <w:rFonts w:ascii="Calibri" w:hAnsi="Calibri" w:cs="Calibri"/>
          <w:color w:val="000000" w:themeColor="text1"/>
          <w:sz w:val="20"/>
          <w:szCs w:val="20"/>
        </w:rPr>
        <w:t>s</w:t>
      </w:r>
      <w:r w:rsidRPr="001A0B18">
        <w:rPr>
          <w:rFonts w:ascii="Calibri" w:hAnsi="Calibri" w:cs="Calibri"/>
          <w:color w:val="000000" w:themeColor="text1"/>
          <w:sz w:val="20"/>
          <w:szCs w:val="20"/>
        </w:rPr>
        <w:t>. Results are announced constituency by constituency, with the national picture typically becoming clear in the early hours of the following morning.</w:t>
      </w:r>
    </w:p>
    <w:p w14:paraId="378770B0" w14:textId="77777777" w:rsidR="000E382A" w:rsidRPr="001A0B18" w:rsidRDefault="000E382A" w:rsidP="000E382A">
      <w:pPr>
        <w:pStyle w:val="Heading2"/>
        <w:spacing w:line="240" w:lineRule="auto"/>
        <w:rPr>
          <w:rFonts w:asciiTheme="minorHAnsi" w:hAnsiTheme="minorHAnsi"/>
          <w:b/>
          <w:bCs/>
          <w:color w:val="auto"/>
          <w:sz w:val="20"/>
          <w:szCs w:val="20"/>
        </w:rPr>
      </w:pPr>
      <w:r w:rsidRPr="001A0B18">
        <w:rPr>
          <w:rFonts w:asciiTheme="minorHAnsi" w:hAnsiTheme="minorHAnsi"/>
          <w:b/>
          <w:bCs/>
          <w:color w:val="auto"/>
          <w:sz w:val="20"/>
          <w:szCs w:val="20"/>
        </w:rPr>
        <w:t xml:space="preserve">2.2 Limitations </w:t>
      </w:r>
    </w:p>
    <w:p w14:paraId="61FAF038" w14:textId="7023E573" w:rsidR="000E382A" w:rsidRPr="001A0B18" w:rsidRDefault="000E382A" w:rsidP="000E382A">
      <w:pPr>
        <w:spacing w:line="240" w:lineRule="auto"/>
        <w:rPr>
          <w:rFonts w:ascii="Calibri" w:hAnsi="Calibri" w:cs="Calibri"/>
          <w:sz w:val="20"/>
          <w:szCs w:val="20"/>
        </w:rPr>
      </w:pPr>
      <w:r w:rsidRPr="001A0B18">
        <w:rPr>
          <w:rFonts w:ascii="Calibri" w:hAnsi="Calibri" w:cs="Calibri"/>
          <w:color w:val="000000" w:themeColor="text1"/>
          <w:sz w:val="20"/>
          <w:szCs w:val="20"/>
        </w:rPr>
        <w:t>Prior to development</w:t>
      </w:r>
      <w:r w:rsidR="003B6217">
        <w:rPr>
          <w:rFonts w:ascii="Calibri" w:hAnsi="Calibri" w:cs="Calibri"/>
          <w:color w:val="000000" w:themeColor="text1"/>
          <w:sz w:val="20"/>
          <w:szCs w:val="20"/>
        </w:rPr>
        <w:t xml:space="preserve"> of the system</w:t>
      </w:r>
      <w:r w:rsidRPr="001A0B18">
        <w:rPr>
          <w:rFonts w:ascii="Calibri" w:hAnsi="Calibri" w:cs="Calibri"/>
          <w:color w:val="000000" w:themeColor="text1"/>
          <w:sz w:val="20"/>
          <w:szCs w:val="20"/>
        </w:rPr>
        <w:t>, it was critical to establish the necessity of a biometric electronic voting system in the UK. T</w:t>
      </w:r>
      <w:r w:rsidRPr="001A0B18">
        <w:rPr>
          <w:rFonts w:ascii="Calibri" w:hAnsi="Calibri" w:cs="Calibri"/>
          <w:sz w:val="20"/>
          <w:szCs w:val="20"/>
        </w:rPr>
        <w:t xml:space="preserve">hree key </w:t>
      </w:r>
      <w:r w:rsidR="003B6217">
        <w:rPr>
          <w:rFonts w:ascii="Calibri" w:hAnsi="Calibri" w:cs="Calibri"/>
          <w:sz w:val="20"/>
          <w:szCs w:val="20"/>
        </w:rPr>
        <w:t>problems</w:t>
      </w:r>
      <w:r w:rsidRPr="001A0B18">
        <w:rPr>
          <w:rFonts w:ascii="Calibri" w:hAnsi="Calibri" w:cs="Calibri"/>
          <w:sz w:val="20"/>
          <w:szCs w:val="20"/>
        </w:rPr>
        <w:t xml:space="preserve"> were found within the UK electoral system</w:t>
      </w:r>
      <w:r w:rsidR="003B6217">
        <w:rPr>
          <w:rFonts w:ascii="Calibri" w:hAnsi="Calibri" w:cs="Calibri"/>
          <w:sz w:val="20"/>
          <w:szCs w:val="20"/>
        </w:rPr>
        <w:t>:</w:t>
      </w:r>
      <w:r w:rsidRPr="001A0B18">
        <w:rPr>
          <w:rFonts w:ascii="Calibri" w:hAnsi="Calibri" w:cs="Calibri"/>
          <w:sz w:val="20"/>
          <w:szCs w:val="20"/>
        </w:rPr>
        <w:t xml:space="preserve"> voter impersonation, ballot </w:t>
      </w:r>
      <w:r w:rsidRPr="001A0B18">
        <w:rPr>
          <w:rFonts w:ascii="Calibri" w:hAnsi="Calibri" w:cs="Calibri"/>
          <w:sz w:val="20"/>
          <w:szCs w:val="20"/>
        </w:rPr>
        <w:lastRenderedPageBreak/>
        <w:t xml:space="preserve">tampering and slow vote counting [15] [6]. The UK continues to rely heavily on paper ballots and manual counting, a voting system that has changed very little since 1888 (Electoral Commission, 2025; Open Rights Group, 2025) [7]. While confirmed cases of postal vote impersonation are reported to be very low, with under 1000 being convicted between 2008 to 2013, the current system makes impersonation difficult to detect or prove [6]. This is due to voters typically being identified only by name, address and signature [6].  An additional concern with postal voting relates to language barriers, whereby voters who require assistance may depend on third parties for interpretation, thereby increasing the risk of undue influence or misrepresentation in the casting of the ballot [6]. Furthermore, family pressure can heavily influence a voter’s choice when the family are able to see each other’s ballots [6]. All these factors make it impossible </w:t>
      </w:r>
      <w:r w:rsidR="003E2B46">
        <w:rPr>
          <w:rFonts w:ascii="Calibri" w:hAnsi="Calibri" w:cs="Calibri"/>
          <w:sz w:val="20"/>
          <w:szCs w:val="20"/>
        </w:rPr>
        <w:t>to ignore</w:t>
      </w:r>
      <w:r w:rsidRPr="001A0B18">
        <w:rPr>
          <w:rFonts w:ascii="Calibri" w:hAnsi="Calibri" w:cs="Calibri"/>
          <w:sz w:val="20"/>
          <w:szCs w:val="20"/>
        </w:rPr>
        <w:t xml:space="preserve"> an issue with its security and authenticity</w:t>
      </w:r>
      <w:r w:rsidR="003E2B46">
        <w:rPr>
          <w:rFonts w:ascii="Calibri" w:hAnsi="Calibri" w:cs="Calibri"/>
          <w:sz w:val="20"/>
          <w:szCs w:val="20"/>
        </w:rPr>
        <w:t xml:space="preserve"> of the current voting system in the UK</w:t>
      </w:r>
      <w:r w:rsidRPr="001A0B18">
        <w:rPr>
          <w:rFonts w:ascii="Calibri" w:hAnsi="Calibri" w:cs="Calibri"/>
          <w:sz w:val="20"/>
          <w:szCs w:val="20"/>
        </w:rPr>
        <w:t xml:space="preserve">. </w:t>
      </w:r>
    </w:p>
    <w:p w14:paraId="72DE7DD7" w14:textId="07E598E4" w:rsidR="000E382A" w:rsidRPr="001A0B18" w:rsidRDefault="000E382A" w:rsidP="000E382A">
      <w:pPr>
        <w:spacing w:line="240" w:lineRule="auto"/>
        <w:rPr>
          <w:rFonts w:ascii="Calibri" w:hAnsi="Calibri" w:cs="Calibri"/>
          <w:sz w:val="20"/>
          <w:szCs w:val="20"/>
        </w:rPr>
      </w:pPr>
      <w:r w:rsidRPr="001A0B18">
        <w:rPr>
          <w:rFonts w:ascii="Calibri" w:hAnsi="Calibri" w:cs="Calibri"/>
          <w:sz w:val="20"/>
          <w:szCs w:val="20"/>
        </w:rPr>
        <w:t>Ballot tampering is also a concern due to the physical handling of paper ballots, particularly during transportation and counting [6]. Although safeguards exist, reliance on human handling introduces the possibility of error or misconduct [6]</w:t>
      </w:r>
      <w:r>
        <w:rPr>
          <w:rFonts w:ascii="Calibri" w:hAnsi="Calibri" w:cs="Calibri"/>
          <w:sz w:val="20"/>
          <w:szCs w:val="20"/>
        </w:rPr>
        <w:t>.</w:t>
      </w:r>
      <w:r w:rsidRPr="001A0B18">
        <w:rPr>
          <w:rFonts w:ascii="Calibri" w:hAnsi="Calibri" w:cs="Calibri"/>
          <w:sz w:val="20"/>
          <w:szCs w:val="20"/>
        </w:rPr>
        <w:t xml:space="preserve"> Additionally, manual counting of millions of ballots is</w:t>
      </w:r>
      <w:r w:rsidR="00B31A9D">
        <w:rPr>
          <w:rFonts w:ascii="Calibri" w:hAnsi="Calibri" w:cs="Calibri"/>
          <w:sz w:val="20"/>
          <w:szCs w:val="20"/>
        </w:rPr>
        <w:t xml:space="preserve"> costly and</w:t>
      </w:r>
      <w:r w:rsidRPr="001A0B18">
        <w:rPr>
          <w:rFonts w:ascii="Calibri" w:hAnsi="Calibri" w:cs="Calibri"/>
          <w:sz w:val="20"/>
          <w:szCs w:val="20"/>
        </w:rPr>
        <w:t xml:space="preserve"> time consuming, with recounts in close elections further delaying results, increasing costs and creating uncertainty that can lead to challenges to electoral integrity [8].</w:t>
      </w:r>
    </w:p>
    <w:p w14:paraId="5C8E97B7" w14:textId="77777777" w:rsidR="000E382A" w:rsidRPr="001A0B18" w:rsidRDefault="000E382A" w:rsidP="000E382A">
      <w:pPr>
        <w:pStyle w:val="NormalWeb"/>
        <w:spacing w:after="0" w:afterAutospacing="0"/>
        <w:rPr>
          <w:rFonts w:ascii="Calibri" w:hAnsi="Calibri" w:cs="Calibri"/>
          <w:sz w:val="20"/>
          <w:szCs w:val="20"/>
        </w:rPr>
      </w:pPr>
      <w:r w:rsidRPr="001A0B18">
        <w:rPr>
          <w:rFonts w:ascii="Calibri" w:hAnsi="Calibri" w:cs="Calibri"/>
          <w:sz w:val="20"/>
          <w:szCs w:val="20"/>
        </w:rPr>
        <w:t xml:space="preserve">Public trust is essential to the effective functioning of government. Unexpected delays or perceived weaknesses in election security can reduce confidence in outcomes, even when no wrongdoing has occurred. In a modern country such as the UK, a voting system that appears slow or outdated risks increasing public suspicion and disengagement. </w:t>
      </w:r>
    </w:p>
    <w:p w14:paraId="655F35FF" w14:textId="77777777" w:rsidR="000E382A" w:rsidRPr="001A0B18" w:rsidRDefault="000E382A" w:rsidP="000E382A">
      <w:pPr>
        <w:pStyle w:val="Heading2"/>
        <w:spacing w:line="240" w:lineRule="auto"/>
        <w:rPr>
          <w:rFonts w:asciiTheme="minorHAnsi" w:hAnsiTheme="minorHAnsi"/>
          <w:b/>
          <w:bCs/>
          <w:color w:val="auto"/>
          <w:sz w:val="20"/>
          <w:szCs w:val="20"/>
        </w:rPr>
      </w:pPr>
      <w:r w:rsidRPr="001A0B18">
        <w:rPr>
          <w:rFonts w:asciiTheme="minorHAnsi" w:hAnsiTheme="minorHAnsi"/>
          <w:b/>
          <w:bCs/>
          <w:color w:val="auto"/>
          <w:sz w:val="20"/>
          <w:szCs w:val="20"/>
        </w:rPr>
        <w:t>2.3 Existing Electronic Voting Systems</w:t>
      </w:r>
      <w:r w:rsidRPr="001A0B18">
        <w:rPr>
          <w:rFonts w:asciiTheme="minorHAnsi" w:hAnsiTheme="minorHAnsi"/>
          <w:b/>
          <w:bCs/>
          <w:color w:val="auto"/>
          <w:sz w:val="20"/>
          <w:szCs w:val="20"/>
        </w:rPr>
        <w:tab/>
      </w:r>
    </w:p>
    <w:p w14:paraId="10A774C5" w14:textId="5927F44B" w:rsidR="000E382A" w:rsidRPr="001A0B18" w:rsidRDefault="000E382A" w:rsidP="000E382A">
      <w:pPr>
        <w:tabs>
          <w:tab w:val="left" w:pos="2292"/>
        </w:tabs>
        <w:spacing w:line="240" w:lineRule="auto"/>
        <w:rPr>
          <w:rFonts w:ascii="Calibri" w:hAnsi="Calibri" w:cs="Calibri"/>
          <w:color w:val="000000" w:themeColor="text1"/>
          <w:sz w:val="20"/>
          <w:szCs w:val="20"/>
        </w:rPr>
      </w:pPr>
      <w:r w:rsidRPr="001A0B18">
        <w:rPr>
          <w:rFonts w:ascii="Calibri" w:hAnsi="Calibri" w:cs="Calibri"/>
          <w:color w:val="000000" w:themeColor="text1"/>
          <w:sz w:val="20"/>
          <w:szCs w:val="20"/>
        </w:rPr>
        <w:t>After identifying the limitations inherent in the British voting system, the researcher examined biometric electronic voting (E</w:t>
      </w:r>
      <w:r w:rsidRPr="001A0B18">
        <w:rPr>
          <w:rFonts w:ascii="Calibri" w:hAnsi="Calibri" w:cs="Calibri"/>
          <w:color w:val="000000" w:themeColor="text1"/>
          <w:sz w:val="20"/>
          <w:szCs w:val="20"/>
        </w:rPr>
        <w:noBreakHyphen/>
        <w:t xml:space="preserve">voting) models </w:t>
      </w:r>
      <w:r w:rsidR="00B31A9D">
        <w:rPr>
          <w:rFonts w:ascii="Calibri" w:hAnsi="Calibri" w:cs="Calibri"/>
          <w:color w:val="000000" w:themeColor="text1"/>
          <w:sz w:val="20"/>
          <w:szCs w:val="20"/>
        </w:rPr>
        <w:t xml:space="preserve">already </w:t>
      </w:r>
      <w:r w:rsidRPr="001A0B18">
        <w:rPr>
          <w:rFonts w:ascii="Calibri" w:hAnsi="Calibri" w:cs="Calibri"/>
          <w:color w:val="000000" w:themeColor="text1"/>
          <w:sz w:val="20"/>
          <w:szCs w:val="20"/>
        </w:rPr>
        <w:t>developed and implemented by governments internationally. Among the systems reviewed, the biometric E</w:t>
      </w:r>
      <w:r w:rsidRPr="001A0B18">
        <w:rPr>
          <w:rFonts w:ascii="Calibri" w:hAnsi="Calibri" w:cs="Calibri"/>
          <w:color w:val="000000" w:themeColor="text1"/>
          <w:sz w:val="20"/>
          <w:szCs w:val="20"/>
        </w:rPr>
        <w:noBreakHyphen/>
        <w:t>voting systems adopted in Brazil and India were determined to be the most relevant for comparative analysis. [1][3].</w:t>
      </w:r>
    </w:p>
    <w:p w14:paraId="03376A15" w14:textId="77777777" w:rsidR="000E382A" w:rsidRPr="001A0B18" w:rsidRDefault="000E382A" w:rsidP="000E382A">
      <w:pPr>
        <w:pStyle w:val="Heading3"/>
        <w:spacing w:line="240" w:lineRule="auto"/>
        <w:rPr>
          <w:b/>
          <w:bCs/>
          <w:color w:val="auto"/>
          <w:sz w:val="20"/>
          <w:szCs w:val="20"/>
        </w:rPr>
      </w:pPr>
      <w:r w:rsidRPr="001A0B18">
        <w:rPr>
          <w:b/>
          <w:bCs/>
          <w:color w:val="auto"/>
          <w:sz w:val="20"/>
          <w:szCs w:val="20"/>
        </w:rPr>
        <w:t xml:space="preserve">2.3.1 India </w:t>
      </w:r>
    </w:p>
    <w:p w14:paraId="7FED6A29" w14:textId="77777777" w:rsidR="000E382A" w:rsidRPr="001A0B18" w:rsidRDefault="000E382A" w:rsidP="000E382A">
      <w:pPr>
        <w:tabs>
          <w:tab w:val="left" w:pos="2292"/>
        </w:tabs>
        <w:spacing w:line="240" w:lineRule="auto"/>
        <w:rPr>
          <w:rFonts w:ascii="Calibri" w:hAnsi="Calibri" w:cs="Calibri"/>
          <w:color w:val="000000" w:themeColor="text1"/>
          <w:sz w:val="20"/>
          <w:szCs w:val="20"/>
        </w:rPr>
      </w:pPr>
      <w:r w:rsidRPr="001A0B18">
        <w:rPr>
          <w:rFonts w:ascii="Calibri" w:hAnsi="Calibri" w:cs="Calibri"/>
          <w:color w:val="000000" w:themeColor="text1"/>
          <w:sz w:val="20"/>
          <w:szCs w:val="20"/>
        </w:rPr>
        <w:t>India currently uses an electronic voting system without biometric authentication, choosing not to integrate the Aadhaar system alongside it [3]. Aadhaar is India’s national biometric identification programme, which holds fingerprint, iris, and facial data for over one billion citizens linked to a unique 12 digit identification number. However, the Aadhaar system was excluded from consideration due to its reliance on a centralised database, which creates the potential to link an individual voter to their ballot, thereby compromising the anonymity of the electoral process [3]. A further vulnerability of this centralised architecture is its susceptibility to linkage attacks, in which information from multiple datasets can be combined to re</w:t>
      </w:r>
      <w:r w:rsidRPr="001A0B18">
        <w:rPr>
          <w:rFonts w:ascii="Calibri" w:hAnsi="Calibri" w:cs="Calibri"/>
          <w:color w:val="000000" w:themeColor="text1"/>
          <w:sz w:val="20"/>
          <w:szCs w:val="20"/>
        </w:rPr>
        <w:noBreakHyphen/>
        <w:t>identify individuals within anonymised records [3]. Owing to these risks, particularly the threat to constitutional privacy protections and the possibility that biometric linkage could undermine the secrecy of the ballot, the Indian government determined that Aadhaar was too insecure to be fully integrated into the national voting system [3]. In addition to rejecting its use in elections, the government subsequently imposed restrictions on the scope of Aadhaar’s application in other domains [3].</w:t>
      </w:r>
    </w:p>
    <w:p w14:paraId="520EB27D" w14:textId="77777777" w:rsidR="000E382A" w:rsidRPr="001A0B18" w:rsidRDefault="000E382A" w:rsidP="000E382A">
      <w:pPr>
        <w:pStyle w:val="Heading3"/>
        <w:rPr>
          <w:b/>
          <w:bCs/>
          <w:color w:val="auto"/>
          <w:sz w:val="20"/>
          <w:szCs w:val="20"/>
        </w:rPr>
      </w:pPr>
      <w:r w:rsidRPr="001A0B18">
        <w:rPr>
          <w:b/>
          <w:bCs/>
          <w:color w:val="auto"/>
          <w:sz w:val="20"/>
          <w:szCs w:val="20"/>
        </w:rPr>
        <w:t>2.3.2 Brazil</w:t>
      </w:r>
    </w:p>
    <w:p w14:paraId="18E23F1A" w14:textId="36AA97CC" w:rsidR="000E382A" w:rsidRPr="001A0B18" w:rsidRDefault="000E382A" w:rsidP="000E382A">
      <w:pPr>
        <w:tabs>
          <w:tab w:val="left" w:pos="2292"/>
        </w:tabs>
        <w:spacing w:line="240" w:lineRule="auto"/>
        <w:rPr>
          <w:rFonts w:ascii="Calibri" w:hAnsi="Calibri" w:cs="Calibri"/>
          <w:color w:val="000000" w:themeColor="text1"/>
          <w:sz w:val="20"/>
          <w:szCs w:val="20"/>
        </w:rPr>
      </w:pPr>
      <w:r w:rsidRPr="001A0B18">
        <w:rPr>
          <w:rFonts w:ascii="Calibri" w:hAnsi="Calibri" w:cs="Calibri"/>
          <w:color w:val="000000" w:themeColor="text1"/>
          <w:sz w:val="20"/>
          <w:szCs w:val="20"/>
        </w:rPr>
        <w:t xml:space="preserve">Unlike India, Brazil fully integrated biometric fingerprint authentication into their electronic voting system, known as the </w:t>
      </w:r>
      <w:r w:rsidRPr="001A0B18">
        <w:rPr>
          <w:rFonts w:ascii="Calibri" w:hAnsi="Calibri" w:cs="Calibri"/>
          <w:i/>
          <w:iCs/>
          <w:color w:val="000000" w:themeColor="text1"/>
          <w:sz w:val="20"/>
          <w:szCs w:val="20"/>
        </w:rPr>
        <w:t xml:space="preserve">Urna </w:t>
      </w:r>
      <w:proofErr w:type="spellStart"/>
      <w:r w:rsidRPr="001A0B18">
        <w:rPr>
          <w:rFonts w:ascii="Calibri" w:hAnsi="Calibri" w:cs="Calibri"/>
          <w:i/>
          <w:iCs/>
          <w:color w:val="000000" w:themeColor="text1"/>
          <w:sz w:val="20"/>
          <w:szCs w:val="20"/>
        </w:rPr>
        <w:t>Eletrônica</w:t>
      </w:r>
      <w:proofErr w:type="spellEnd"/>
      <w:r w:rsidRPr="001A0B18">
        <w:rPr>
          <w:rFonts w:ascii="Calibri" w:hAnsi="Calibri" w:cs="Calibri"/>
          <w:color w:val="000000" w:themeColor="text1"/>
          <w:sz w:val="20"/>
          <w:szCs w:val="20"/>
        </w:rPr>
        <w:t xml:space="preserve"> [1]. Brazil's transition to this system was not immediate, but rather a staged process spanning over a decade. The country first moved away from paper ballots entirely in 2000, becoming the first nation to conduct elections </w:t>
      </w:r>
      <w:r w:rsidR="00B31A9D">
        <w:rPr>
          <w:rFonts w:ascii="Calibri" w:hAnsi="Calibri" w:cs="Calibri"/>
          <w:color w:val="000000" w:themeColor="text1"/>
          <w:sz w:val="20"/>
          <w:szCs w:val="20"/>
        </w:rPr>
        <w:t>fully</w:t>
      </w:r>
      <w:r w:rsidRPr="001A0B18">
        <w:rPr>
          <w:rFonts w:ascii="Calibri" w:hAnsi="Calibri" w:cs="Calibri"/>
          <w:color w:val="000000" w:themeColor="text1"/>
          <w:sz w:val="20"/>
          <w:szCs w:val="20"/>
        </w:rPr>
        <w:t xml:space="preserve"> electronically [1]. Biometric authentication was then introduced as a separate layer, piloted in 2008 across three municipalities before being integrated into a new biometric capable voting system in 2012 [1]. This phased approach allowed the infrastructure to mature before biometrics were added, reducing the risk of failure [1].</w:t>
      </w:r>
    </w:p>
    <w:p w14:paraId="3A9B8C2E" w14:textId="77777777" w:rsidR="000E382A" w:rsidRPr="001A0B18" w:rsidRDefault="000E382A" w:rsidP="000E382A">
      <w:pPr>
        <w:tabs>
          <w:tab w:val="left" w:pos="2292"/>
        </w:tabs>
        <w:spacing w:line="240" w:lineRule="auto"/>
        <w:rPr>
          <w:rFonts w:ascii="Calibri" w:hAnsi="Calibri" w:cs="Calibri"/>
          <w:color w:val="000000" w:themeColor="text1"/>
          <w:sz w:val="20"/>
          <w:szCs w:val="20"/>
        </w:rPr>
      </w:pPr>
      <w:r w:rsidRPr="001A0B18">
        <w:rPr>
          <w:rFonts w:ascii="Calibri" w:hAnsi="Calibri" w:cs="Calibri"/>
          <w:color w:val="000000" w:themeColor="text1"/>
          <w:sz w:val="20"/>
          <w:szCs w:val="20"/>
        </w:rPr>
        <w:t>The electronic system dramatically increased the speed of vote counting, with results available within hours of polls closing across a country of over 200 million voters [1]. The system also demonstrated strong accessibility considerations, incorporating audio guidance for visually impaired voters [1].</w:t>
      </w:r>
    </w:p>
    <w:p w14:paraId="7C5DA257" w14:textId="088EC08A" w:rsidR="000E382A" w:rsidRPr="001A0B18" w:rsidRDefault="000E382A" w:rsidP="000E382A">
      <w:pPr>
        <w:tabs>
          <w:tab w:val="left" w:pos="2292"/>
        </w:tabs>
        <w:spacing w:line="240" w:lineRule="auto"/>
        <w:rPr>
          <w:rFonts w:ascii="Calibri" w:hAnsi="Calibri" w:cs="Calibri"/>
          <w:color w:val="000000" w:themeColor="text1"/>
          <w:sz w:val="20"/>
          <w:szCs w:val="20"/>
        </w:rPr>
      </w:pPr>
      <w:r w:rsidRPr="001A0B18">
        <w:rPr>
          <w:rFonts w:ascii="Calibri" w:hAnsi="Calibri" w:cs="Calibri"/>
          <w:color w:val="000000" w:themeColor="text1"/>
          <w:sz w:val="20"/>
          <w:szCs w:val="20"/>
        </w:rPr>
        <w:t xml:space="preserve">However, the Brazilian system also presented notable shortcomings. A significant weakness identified was the incomplete biometric coverage of the electorate; not all voters had been biometrically registered, meaning manual identification checks remained as a fallback, undermining the consistency of the biometric layer [1]. A </w:t>
      </w:r>
      <w:r w:rsidRPr="001A0B18">
        <w:rPr>
          <w:rFonts w:ascii="Calibri" w:hAnsi="Calibri" w:cs="Calibri"/>
          <w:color w:val="000000" w:themeColor="text1"/>
          <w:sz w:val="20"/>
          <w:szCs w:val="20"/>
        </w:rPr>
        <w:lastRenderedPageBreak/>
        <w:t>further concern was the absence of a paper audit trail, as critics argued there was no independent mechanism for voters to verify their vote had been correctly recorded, raising transparency concerns [1]. Additionally, fingerprint recognition accuracy was found to be unreliable for elderly voters and those with manual occupations. This is due to natural fingerprint degradation resulting</w:t>
      </w:r>
      <w:r w:rsidR="008537C9">
        <w:rPr>
          <w:rFonts w:ascii="Calibri" w:hAnsi="Calibri" w:cs="Calibri"/>
          <w:color w:val="000000" w:themeColor="text1"/>
          <w:sz w:val="20"/>
          <w:szCs w:val="20"/>
        </w:rPr>
        <w:t xml:space="preserve"> in</w:t>
      </w:r>
      <w:r w:rsidRPr="001A0B18">
        <w:rPr>
          <w:rFonts w:ascii="Calibri" w:hAnsi="Calibri" w:cs="Calibri"/>
          <w:color w:val="000000" w:themeColor="text1"/>
          <w:sz w:val="20"/>
          <w:szCs w:val="20"/>
        </w:rPr>
        <w:t xml:space="preserve"> failed authentications at the polling station [1]. The centralised nature of the biometric database also raised privacy concerns, echoing some of the issues identified in the Indian Aadhaar system [1].</w:t>
      </w:r>
    </w:p>
    <w:p w14:paraId="2F29D772" w14:textId="77777777" w:rsidR="000E382A" w:rsidRPr="001A0B18" w:rsidRDefault="000E382A" w:rsidP="000E382A">
      <w:pPr>
        <w:pStyle w:val="Heading3"/>
        <w:rPr>
          <w:b/>
          <w:bCs/>
          <w:color w:val="auto"/>
          <w:sz w:val="20"/>
          <w:szCs w:val="20"/>
        </w:rPr>
      </w:pPr>
      <w:r w:rsidRPr="001A0B18">
        <w:rPr>
          <w:b/>
          <w:bCs/>
          <w:color w:val="auto"/>
          <w:sz w:val="20"/>
          <w:szCs w:val="20"/>
        </w:rPr>
        <w:t>2.4 Biometric Scanners</w:t>
      </w:r>
    </w:p>
    <w:p w14:paraId="733B035B" w14:textId="77777777" w:rsidR="000E382A" w:rsidRPr="001A0B18" w:rsidRDefault="000E382A" w:rsidP="000E382A">
      <w:pPr>
        <w:spacing w:line="240" w:lineRule="auto"/>
        <w:rPr>
          <w:rFonts w:ascii="Calibri" w:hAnsi="Calibri" w:cs="Calibri"/>
          <w:sz w:val="20"/>
          <w:szCs w:val="20"/>
        </w:rPr>
      </w:pPr>
      <w:r w:rsidRPr="001A0B18">
        <w:rPr>
          <w:rFonts w:ascii="Calibri" w:hAnsi="Calibri" w:cs="Calibri"/>
          <w:sz w:val="20"/>
          <w:szCs w:val="20"/>
        </w:rPr>
        <w:t>The literature identifies three biometric methods as the most widely researched and deployed options for identity verification in electronic voting systems: fingerprint scanning, facial recognition, and iris scanning [12]. Evaluations of these technologies typically focus on performance metrics such as the False Acceptance Rate (FAR), which is central to assessing system reliability. In addition to the FAR, the analysis also considers the financial implications of each modality, as nationwide deployment necessitates substantial investment in specialised hardware and supporting infrastructure.</w:t>
      </w:r>
    </w:p>
    <w:p w14:paraId="39FCBD2F" w14:textId="77777777" w:rsidR="000E382A" w:rsidRPr="001A0B18" w:rsidRDefault="000E382A" w:rsidP="000E382A">
      <w:pPr>
        <w:spacing w:line="240" w:lineRule="auto"/>
        <w:rPr>
          <w:rFonts w:ascii="Calibri" w:hAnsi="Calibri" w:cs="Calibri"/>
          <w:sz w:val="20"/>
          <w:szCs w:val="20"/>
        </w:rPr>
      </w:pPr>
      <w:r w:rsidRPr="001A0B18">
        <w:rPr>
          <w:rFonts w:ascii="Calibri" w:hAnsi="Calibri" w:cs="Calibri"/>
          <w:sz w:val="20"/>
          <w:szCs w:val="20"/>
        </w:rPr>
        <w:t>Biometric scanners themselves do not perform the comparison between a captured biometric and a stored reference. Instead, the scanner captures the biometric data and converts it into a digital template, with the comparison carried out by external matching software. Research therefore emphasises that evaluating a biometric system requires assessing both the quality of the scanner and the performance of the matching software [12].</w:t>
      </w:r>
    </w:p>
    <w:p w14:paraId="2FF2891E" w14:textId="77777777" w:rsidR="000E382A" w:rsidRPr="001A0B18" w:rsidRDefault="000E382A" w:rsidP="000E382A">
      <w:pPr>
        <w:spacing w:line="240" w:lineRule="auto"/>
        <w:rPr>
          <w:rFonts w:ascii="Calibri" w:hAnsi="Calibri" w:cs="Calibri"/>
          <w:sz w:val="20"/>
          <w:szCs w:val="20"/>
        </w:rPr>
      </w:pPr>
      <w:r w:rsidRPr="001A0B18">
        <w:rPr>
          <w:rFonts w:ascii="Calibri" w:hAnsi="Calibri" w:cs="Calibri"/>
          <w:sz w:val="20"/>
          <w:szCs w:val="20"/>
        </w:rPr>
        <w:t>The key metric used to evaluate matching software performance is the FAR, which refers to the likelihood that the system incorrectly matches a captured template to a stored template belonging to a different individual</w:t>
      </w:r>
      <w:r>
        <w:rPr>
          <w:rFonts w:ascii="Calibri" w:hAnsi="Calibri" w:cs="Calibri"/>
          <w:sz w:val="20"/>
          <w:szCs w:val="20"/>
        </w:rPr>
        <w:t xml:space="preserve"> [52]</w:t>
      </w:r>
      <w:r w:rsidRPr="001A0B18">
        <w:rPr>
          <w:rFonts w:ascii="Calibri" w:hAnsi="Calibri" w:cs="Calibri"/>
          <w:sz w:val="20"/>
          <w:szCs w:val="20"/>
        </w:rPr>
        <w:t>. A high FAR indicates an unreliable system unsuitable for security critical applications [12].</w:t>
      </w:r>
    </w:p>
    <w:tbl>
      <w:tblPr>
        <w:tblStyle w:val="TableGrid"/>
        <w:tblpPr w:leftFromText="180" w:rightFromText="180" w:vertAnchor="text" w:horzAnchor="margin" w:tblpXSpec="center" w:tblpY="397"/>
        <w:tblW w:w="8378" w:type="dxa"/>
        <w:tblLook w:val="04A0" w:firstRow="1" w:lastRow="0" w:firstColumn="1" w:lastColumn="0" w:noHBand="0" w:noVBand="1"/>
      </w:tblPr>
      <w:tblGrid>
        <w:gridCol w:w="2598"/>
        <w:gridCol w:w="2598"/>
        <w:gridCol w:w="3182"/>
      </w:tblGrid>
      <w:tr w:rsidR="000E382A" w:rsidRPr="001A0B18" w14:paraId="567D791F" w14:textId="77777777" w:rsidTr="008C4E96">
        <w:trPr>
          <w:trHeight w:val="564"/>
        </w:trPr>
        <w:tc>
          <w:tcPr>
            <w:tcW w:w="2598" w:type="dxa"/>
          </w:tcPr>
          <w:p w14:paraId="068323F6" w14:textId="77777777" w:rsidR="000E382A" w:rsidRPr="001A0B18" w:rsidRDefault="000E382A" w:rsidP="008C4E96">
            <w:pPr>
              <w:jc w:val="center"/>
              <w:rPr>
                <w:rFonts w:ascii="Calibri" w:hAnsi="Calibri" w:cs="Calibri"/>
                <w:b/>
                <w:bCs/>
                <w:sz w:val="20"/>
                <w:szCs w:val="20"/>
              </w:rPr>
            </w:pPr>
            <w:r w:rsidRPr="001A0B18">
              <w:rPr>
                <w:rFonts w:ascii="Calibri" w:hAnsi="Calibri" w:cs="Calibri"/>
                <w:b/>
                <w:bCs/>
                <w:sz w:val="20"/>
                <w:szCs w:val="20"/>
              </w:rPr>
              <w:t>Scanner Type</w:t>
            </w:r>
          </w:p>
        </w:tc>
        <w:tc>
          <w:tcPr>
            <w:tcW w:w="2598" w:type="dxa"/>
          </w:tcPr>
          <w:p w14:paraId="70074298" w14:textId="77777777" w:rsidR="000E382A" w:rsidRPr="001A0B18" w:rsidRDefault="000E382A" w:rsidP="008C4E96">
            <w:pPr>
              <w:jc w:val="center"/>
              <w:rPr>
                <w:rFonts w:ascii="Calibri" w:hAnsi="Calibri" w:cs="Calibri"/>
                <w:b/>
                <w:bCs/>
                <w:sz w:val="20"/>
                <w:szCs w:val="20"/>
              </w:rPr>
            </w:pPr>
            <w:r w:rsidRPr="001A0B18">
              <w:rPr>
                <w:rFonts w:ascii="Calibri" w:hAnsi="Calibri" w:cs="Calibri"/>
                <w:b/>
                <w:bCs/>
                <w:sz w:val="20"/>
                <w:szCs w:val="20"/>
              </w:rPr>
              <w:t>Price Range (USD)</w:t>
            </w:r>
          </w:p>
        </w:tc>
        <w:tc>
          <w:tcPr>
            <w:tcW w:w="3182" w:type="dxa"/>
          </w:tcPr>
          <w:p w14:paraId="6192C431" w14:textId="77777777" w:rsidR="000E382A" w:rsidRPr="001A0B18" w:rsidRDefault="000E382A" w:rsidP="008C4E96">
            <w:pPr>
              <w:rPr>
                <w:rFonts w:ascii="Calibri" w:hAnsi="Calibri" w:cs="Calibri"/>
                <w:b/>
                <w:bCs/>
                <w:sz w:val="20"/>
                <w:szCs w:val="20"/>
              </w:rPr>
            </w:pPr>
            <w:r w:rsidRPr="001A0B18">
              <w:rPr>
                <w:rFonts w:ascii="Calibri" w:hAnsi="Calibri" w:cs="Calibri"/>
                <w:b/>
                <w:bCs/>
                <w:sz w:val="20"/>
                <w:szCs w:val="20"/>
              </w:rPr>
              <w:t>False Acceptance Rate Range (%)</w:t>
            </w:r>
          </w:p>
        </w:tc>
      </w:tr>
      <w:tr w:rsidR="000E382A" w:rsidRPr="001A0B18" w14:paraId="52740187" w14:textId="77777777" w:rsidTr="008C4E96">
        <w:trPr>
          <w:trHeight w:val="282"/>
        </w:trPr>
        <w:tc>
          <w:tcPr>
            <w:tcW w:w="2598" w:type="dxa"/>
          </w:tcPr>
          <w:p w14:paraId="269C74A1" w14:textId="77777777" w:rsidR="000E382A" w:rsidRPr="001A0B18" w:rsidRDefault="000E382A" w:rsidP="008C4E96">
            <w:pPr>
              <w:jc w:val="center"/>
              <w:rPr>
                <w:rFonts w:ascii="Calibri" w:hAnsi="Calibri" w:cs="Calibri"/>
                <w:sz w:val="20"/>
                <w:szCs w:val="20"/>
              </w:rPr>
            </w:pPr>
            <w:r w:rsidRPr="001A0B18">
              <w:rPr>
                <w:rFonts w:ascii="Calibri" w:hAnsi="Calibri" w:cs="Calibri"/>
                <w:sz w:val="20"/>
                <w:szCs w:val="20"/>
              </w:rPr>
              <w:t xml:space="preserve">Iris </w:t>
            </w:r>
          </w:p>
        </w:tc>
        <w:tc>
          <w:tcPr>
            <w:tcW w:w="2598" w:type="dxa"/>
          </w:tcPr>
          <w:p w14:paraId="5B32FA36" w14:textId="77777777" w:rsidR="000E382A" w:rsidRPr="001A0B18" w:rsidRDefault="000E382A" w:rsidP="008C4E96">
            <w:pPr>
              <w:jc w:val="center"/>
              <w:rPr>
                <w:rFonts w:ascii="Calibri" w:hAnsi="Calibri" w:cs="Calibri"/>
                <w:sz w:val="20"/>
                <w:szCs w:val="20"/>
              </w:rPr>
            </w:pPr>
            <w:r w:rsidRPr="001A0B18">
              <w:rPr>
                <w:rFonts w:ascii="Calibri" w:hAnsi="Calibri" w:cs="Calibri"/>
                <w:sz w:val="20"/>
                <w:szCs w:val="20"/>
              </w:rPr>
              <w:t>1500 – 3000</w:t>
            </w:r>
          </w:p>
        </w:tc>
        <w:tc>
          <w:tcPr>
            <w:tcW w:w="3182" w:type="dxa"/>
          </w:tcPr>
          <w:p w14:paraId="4DB5CC86" w14:textId="77777777" w:rsidR="000E382A" w:rsidRPr="001A0B18" w:rsidRDefault="000E382A" w:rsidP="008C4E96">
            <w:pPr>
              <w:jc w:val="center"/>
              <w:rPr>
                <w:rFonts w:ascii="Calibri" w:hAnsi="Calibri" w:cs="Calibri"/>
                <w:sz w:val="20"/>
                <w:szCs w:val="20"/>
              </w:rPr>
            </w:pPr>
            <w:r w:rsidRPr="001A0B18">
              <w:rPr>
                <w:rFonts w:ascii="Calibri" w:hAnsi="Calibri" w:cs="Calibri"/>
                <w:sz w:val="20"/>
                <w:szCs w:val="20"/>
              </w:rPr>
              <w:t>0.0001 – 0.01</w:t>
            </w:r>
          </w:p>
        </w:tc>
      </w:tr>
      <w:tr w:rsidR="000E382A" w:rsidRPr="001A0B18" w14:paraId="11077401" w14:textId="77777777" w:rsidTr="008C4E96">
        <w:trPr>
          <w:trHeight w:val="282"/>
        </w:trPr>
        <w:tc>
          <w:tcPr>
            <w:tcW w:w="2598" w:type="dxa"/>
          </w:tcPr>
          <w:p w14:paraId="476B7182" w14:textId="77777777" w:rsidR="000E382A" w:rsidRPr="001A0B18" w:rsidRDefault="000E382A" w:rsidP="008C4E96">
            <w:pPr>
              <w:jc w:val="center"/>
              <w:rPr>
                <w:rFonts w:ascii="Calibri" w:hAnsi="Calibri" w:cs="Calibri"/>
                <w:sz w:val="20"/>
                <w:szCs w:val="20"/>
              </w:rPr>
            </w:pPr>
            <w:r w:rsidRPr="001A0B18">
              <w:rPr>
                <w:rFonts w:ascii="Calibri" w:hAnsi="Calibri" w:cs="Calibri"/>
                <w:sz w:val="20"/>
                <w:szCs w:val="20"/>
              </w:rPr>
              <w:t>Face</w:t>
            </w:r>
          </w:p>
        </w:tc>
        <w:tc>
          <w:tcPr>
            <w:tcW w:w="2598" w:type="dxa"/>
          </w:tcPr>
          <w:p w14:paraId="7FEE5D6B" w14:textId="77777777" w:rsidR="000E382A" w:rsidRPr="001A0B18" w:rsidRDefault="000E382A" w:rsidP="008C4E96">
            <w:pPr>
              <w:jc w:val="center"/>
              <w:rPr>
                <w:rFonts w:ascii="Calibri" w:hAnsi="Calibri" w:cs="Calibri"/>
                <w:sz w:val="20"/>
                <w:szCs w:val="20"/>
              </w:rPr>
            </w:pPr>
            <w:r w:rsidRPr="001A0B18">
              <w:rPr>
                <w:rFonts w:ascii="Calibri" w:hAnsi="Calibri" w:cs="Calibri"/>
                <w:sz w:val="20"/>
                <w:szCs w:val="20"/>
              </w:rPr>
              <w:t>1000 – 2500</w:t>
            </w:r>
          </w:p>
        </w:tc>
        <w:tc>
          <w:tcPr>
            <w:tcW w:w="3182" w:type="dxa"/>
          </w:tcPr>
          <w:p w14:paraId="7682BFDD" w14:textId="77777777" w:rsidR="000E382A" w:rsidRPr="001A0B18" w:rsidRDefault="000E382A" w:rsidP="008C4E96">
            <w:pPr>
              <w:jc w:val="center"/>
              <w:rPr>
                <w:rFonts w:ascii="Calibri" w:hAnsi="Calibri" w:cs="Calibri"/>
                <w:sz w:val="20"/>
                <w:szCs w:val="20"/>
              </w:rPr>
            </w:pPr>
            <w:r w:rsidRPr="001A0B18">
              <w:rPr>
                <w:rFonts w:ascii="Calibri" w:hAnsi="Calibri" w:cs="Calibri"/>
                <w:sz w:val="20"/>
                <w:szCs w:val="20"/>
              </w:rPr>
              <w:t>0.1 – 1.0</w:t>
            </w:r>
          </w:p>
        </w:tc>
      </w:tr>
      <w:tr w:rsidR="000E382A" w:rsidRPr="001A0B18" w14:paraId="0CE33289" w14:textId="77777777" w:rsidTr="008C4E96">
        <w:trPr>
          <w:trHeight w:val="282"/>
        </w:trPr>
        <w:tc>
          <w:tcPr>
            <w:tcW w:w="2598" w:type="dxa"/>
          </w:tcPr>
          <w:p w14:paraId="65FA016F" w14:textId="77777777" w:rsidR="000E382A" w:rsidRPr="001A0B18" w:rsidRDefault="000E382A" w:rsidP="008C4E96">
            <w:pPr>
              <w:jc w:val="center"/>
              <w:rPr>
                <w:rFonts w:ascii="Calibri" w:hAnsi="Calibri" w:cs="Calibri"/>
                <w:sz w:val="20"/>
                <w:szCs w:val="20"/>
              </w:rPr>
            </w:pPr>
            <w:r w:rsidRPr="001A0B18">
              <w:rPr>
                <w:rFonts w:ascii="Calibri" w:hAnsi="Calibri" w:cs="Calibri"/>
                <w:sz w:val="20"/>
                <w:szCs w:val="20"/>
              </w:rPr>
              <w:t>Fingerprint</w:t>
            </w:r>
          </w:p>
        </w:tc>
        <w:tc>
          <w:tcPr>
            <w:tcW w:w="2598" w:type="dxa"/>
          </w:tcPr>
          <w:p w14:paraId="4315EC92" w14:textId="77777777" w:rsidR="000E382A" w:rsidRPr="001A0B18" w:rsidRDefault="000E382A" w:rsidP="008C4E96">
            <w:pPr>
              <w:jc w:val="center"/>
              <w:rPr>
                <w:rFonts w:ascii="Calibri" w:hAnsi="Calibri" w:cs="Calibri"/>
                <w:sz w:val="20"/>
                <w:szCs w:val="20"/>
              </w:rPr>
            </w:pPr>
            <w:r w:rsidRPr="001A0B18">
              <w:rPr>
                <w:rFonts w:ascii="Calibri" w:hAnsi="Calibri" w:cs="Calibri"/>
                <w:sz w:val="20"/>
                <w:szCs w:val="20"/>
              </w:rPr>
              <w:t>200 – 1500</w:t>
            </w:r>
          </w:p>
        </w:tc>
        <w:tc>
          <w:tcPr>
            <w:tcW w:w="3182" w:type="dxa"/>
          </w:tcPr>
          <w:p w14:paraId="3B21706F" w14:textId="77777777" w:rsidR="000E382A" w:rsidRPr="001A0B18" w:rsidRDefault="000E382A" w:rsidP="008C4E96">
            <w:pPr>
              <w:jc w:val="center"/>
              <w:rPr>
                <w:rFonts w:ascii="Calibri" w:hAnsi="Calibri" w:cs="Calibri"/>
                <w:sz w:val="20"/>
                <w:szCs w:val="20"/>
              </w:rPr>
            </w:pPr>
            <w:r w:rsidRPr="001A0B18">
              <w:rPr>
                <w:rFonts w:ascii="Calibri" w:hAnsi="Calibri" w:cs="Calibri"/>
                <w:sz w:val="20"/>
                <w:szCs w:val="20"/>
              </w:rPr>
              <w:t>0.01 – 0.1</w:t>
            </w:r>
          </w:p>
        </w:tc>
      </w:tr>
    </w:tbl>
    <w:p w14:paraId="03166DF1" w14:textId="77777777" w:rsidR="000E382A" w:rsidRPr="001A0B18" w:rsidRDefault="000E382A" w:rsidP="000E382A">
      <w:pPr>
        <w:spacing w:line="240" w:lineRule="auto"/>
        <w:rPr>
          <w:rFonts w:ascii="Calibri" w:hAnsi="Calibri" w:cs="Calibri"/>
          <w:sz w:val="20"/>
          <w:szCs w:val="20"/>
        </w:rPr>
      </w:pPr>
    </w:p>
    <w:p w14:paraId="0E84648F" w14:textId="21868ABA" w:rsidR="000E382A" w:rsidRPr="001A0B18" w:rsidRDefault="00EF4E26" w:rsidP="000E382A">
      <w:pPr>
        <w:jc w:val="center"/>
        <w:rPr>
          <w:rFonts w:ascii="Calibri" w:hAnsi="Calibri" w:cs="Calibri"/>
          <w:i/>
          <w:iCs/>
          <w:sz w:val="20"/>
          <w:szCs w:val="20"/>
        </w:rPr>
      </w:pPr>
      <w:r>
        <w:rPr>
          <w:rFonts w:ascii="Calibri" w:hAnsi="Calibri" w:cs="Calibri"/>
          <w:b/>
          <w:bCs/>
          <w:i/>
          <w:iCs/>
          <w:sz w:val="20"/>
          <w:szCs w:val="20"/>
        </w:rPr>
        <w:t>Table</w:t>
      </w:r>
      <w:r w:rsidR="000E382A" w:rsidRPr="001A0B18">
        <w:rPr>
          <w:rFonts w:ascii="Calibri" w:hAnsi="Calibri" w:cs="Calibri"/>
          <w:b/>
          <w:bCs/>
          <w:i/>
          <w:iCs/>
          <w:sz w:val="20"/>
          <w:szCs w:val="20"/>
        </w:rPr>
        <w:t xml:space="preserve"> 1.</w:t>
      </w:r>
      <w:r w:rsidR="000E382A" w:rsidRPr="001A0B18">
        <w:rPr>
          <w:rFonts w:ascii="Calibri" w:hAnsi="Calibri" w:cs="Calibri"/>
          <w:i/>
          <w:iCs/>
          <w:sz w:val="20"/>
          <w:szCs w:val="20"/>
        </w:rPr>
        <w:t xml:space="preserve"> Table depicting average price range and False Acceptance Rate range of various biometric scanner types [12][19].</w:t>
      </w:r>
    </w:p>
    <w:p w14:paraId="081289A9" w14:textId="77777777" w:rsidR="000E382A" w:rsidRPr="001A0B18" w:rsidRDefault="000E382A" w:rsidP="000E382A">
      <w:pPr>
        <w:spacing w:line="240" w:lineRule="auto"/>
        <w:rPr>
          <w:rFonts w:ascii="Calibri" w:hAnsi="Calibri" w:cs="Calibri"/>
          <w:sz w:val="20"/>
          <w:szCs w:val="20"/>
        </w:rPr>
      </w:pPr>
      <w:r w:rsidRPr="001A0B18">
        <w:rPr>
          <w:rFonts w:ascii="Calibri" w:hAnsi="Calibri" w:cs="Calibri"/>
          <w:sz w:val="20"/>
          <w:szCs w:val="20"/>
        </w:rPr>
        <w:t>Iris scanning is found to produce the lowest FAR of the three methods, sitting between 0.0001% and 0.01% [12]. This is attributed to the iris containing a significantly higher number of unique data points, giving the matching algorithm more information to work with. However, this complexity makes iris scanning computationally demanding, requiring deep neural networks to process captures effectively [13][15], which is reflected in hardware costs ranging from 1500 USD to 3000 USD per unit [19].</w:t>
      </w:r>
    </w:p>
    <w:p w14:paraId="4A37DC5B" w14:textId="77777777" w:rsidR="000E382A" w:rsidRPr="001A0B18" w:rsidRDefault="000E382A" w:rsidP="000E382A">
      <w:pPr>
        <w:spacing w:line="240" w:lineRule="auto"/>
        <w:rPr>
          <w:rFonts w:ascii="Calibri" w:hAnsi="Calibri" w:cs="Calibri"/>
          <w:sz w:val="20"/>
          <w:szCs w:val="20"/>
        </w:rPr>
      </w:pPr>
      <w:r w:rsidRPr="001A0B18">
        <w:rPr>
          <w:rFonts w:ascii="Calibri" w:hAnsi="Calibri" w:cs="Calibri"/>
          <w:sz w:val="20"/>
          <w:szCs w:val="20"/>
        </w:rPr>
        <w:t>Facial recognition is found to be more affordable at 1000 USD to 2500 USD per unit [19], however the literature reports FAR values of 0.1% to 1.0% [12], significantly worse than iris scanning. Performance is further found to degrade under conditions such as occlusion, lighting variation, aging, and pose changes [14]. Facial recognition systems have also demonstrated vulnerability to spoofing attacks, with equal error rates reaching 8% in some advanced implementations [18].</w:t>
      </w:r>
    </w:p>
    <w:p w14:paraId="5C0D5F3B" w14:textId="77777777" w:rsidR="000E382A" w:rsidRPr="001A0B18" w:rsidRDefault="000E382A" w:rsidP="000E382A">
      <w:pPr>
        <w:spacing w:after="0" w:line="240" w:lineRule="auto"/>
        <w:rPr>
          <w:rFonts w:ascii="Calibri" w:hAnsi="Calibri" w:cs="Calibri"/>
          <w:sz w:val="20"/>
          <w:szCs w:val="20"/>
        </w:rPr>
      </w:pPr>
      <w:r w:rsidRPr="001A0B18">
        <w:rPr>
          <w:rFonts w:ascii="Calibri" w:hAnsi="Calibri" w:cs="Calibri"/>
          <w:sz w:val="20"/>
          <w:szCs w:val="20"/>
        </w:rPr>
        <w:t>Fingerprint scanning occupies a middle ground in the literature. At a cost of 200 USD to 1500 USD per unit [19], it is substantially cheaper than both alternatives. Matching software achieves FAR values of between 0.01% and 0.1% [12], and while environmental factors such as moisture can affect scan quality, research suggests these issues are manageable rather than fundamental limitations [16]. Capacitive scanners are noted as being considerably more resistant to spoofing than optical alternatives, due to detecting electrical conductivity rather than simply capturing an image [17]. However, recognition accuracy has been found to be unreliable for elderly voters and those in manual occupations, due to natural fingerprint degradation [1].</w:t>
      </w:r>
    </w:p>
    <w:p w14:paraId="080B41EA" w14:textId="77777777" w:rsidR="000E382A" w:rsidRPr="001A0B18" w:rsidRDefault="000E382A" w:rsidP="000E382A">
      <w:pPr>
        <w:spacing w:before="240" w:line="240" w:lineRule="auto"/>
        <w:rPr>
          <w:rFonts w:ascii="Calibri" w:hAnsi="Calibri" w:cs="Calibri"/>
          <w:sz w:val="20"/>
          <w:szCs w:val="20"/>
        </w:rPr>
      </w:pPr>
      <w:r w:rsidRPr="001A0B18">
        <w:rPr>
          <w:rFonts w:ascii="Calibri" w:hAnsi="Calibri" w:cs="Calibri"/>
          <w:sz w:val="20"/>
          <w:szCs w:val="20"/>
        </w:rPr>
        <w:t xml:space="preserve">Brazil's large scale deployment of fingerprint biometrics within the </w:t>
      </w:r>
      <w:r w:rsidRPr="001A0B18">
        <w:rPr>
          <w:rFonts w:ascii="Calibri" w:hAnsi="Calibri" w:cs="Calibri"/>
          <w:i/>
          <w:iCs/>
          <w:sz w:val="20"/>
          <w:szCs w:val="20"/>
        </w:rPr>
        <w:t xml:space="preserve">Urna </w:t>
      </w:r>
      <w:proofErr w:type="spellStart"/>
      <w:r w:rsidRPr="001A0B18">
        <w:rPr>
          <w:rFonts w:ascii="Calibri" w:hAnsi="Calibri" w:cs="Calibri"/>
          <w:i/>
          <w:iCs/>
          <w:sz w:val="20"/>
          <w:szCs w:val="20"/>
        </w:rPr>
        <w:t>Eletrônica</w:t>
      </w:r>
      <w:proofErr w:type="spellEnd"/>
      <w:r w:rsidRPr="001A0B18">
        <w:rPr>
          <w:rFonts w:ascii="Calibri" w:hAnsi="Calibri" w:cs="Calibri"/>
          <w:sz w:val="20"/>
          <w:szCs w:val="20"/>
        </w:rPr>
        <w:t xml:space="preserve"> provides real world evidence of fingerprint authentication operating at national election scale, demonstrating its viability in reducing impersonation and electoral fraud [11].</w:t>
      </w:r>
    </w:p>
    <w:p w14:paraId="32EC5B91" w14:textId="77777777" w:rsidR="000E382A" w:rsidRPr="001A0B18" w:rsidRDefault="000E382A" w:rsidP="000E382A">
      <w:pPr>
        <w:pStyle w:val="Heading3"/>
        <w:rPr>
          <w:b/>
          <w:bCs/>
          <w:sz w:val="20"/>
          <w:szCs w:val="20"/>
        </w:rPr>
      </w:pPr>
      <w:r w:rsidRPr="001A0B18">
        <w:rPr>
          <w:b/>
          <w:bCs/>
          <w:color w:val="auto"/>
          <w:sz w:val="20"/>
          <w:szCs w:val="20"/>
        </w:rPr>
        <w:lastRenderedPageBreak/>
        <w:t>2.5 Ethical Considerations</w:t>
      </w:r>
    </w:p>
    <w:p w14:paraId="30818DF0" w14:textId="557B13FE" w:rsidR="000E382A" w:rsidRPr="001A0B18" w:rsidRDefault="000E382A" w:rsidP="000E382A">
      <w:pPr>
        <w:spacing w:line="240" w:lineRule="auto"/>
        <w:rPr>
          <w:rFonts w:ascii="Calibri" w:hAnsi="Calibri" w:cs="Calibri"/>
          <w:sz w:val="20"/>
          <w:szCs w:val="20"/>
        </w:rPr>
      </w:pPr>
      <w:r w:rsidRPr="001A0B18">
        <w:rPr>
          <w:rFonts w:ascii="Calibri" w:hAnsi="Calibri" w:cs="Calibri"/>
          <w:sz w:val="20"/>
          <w:szCs w:val="20"/>
        </w:rPr>
        <w:t>The incorporation of biometric data into public electoral systems raises substantial ethical concerns that warrant careful scrutiny. Unlike passwords or identification cards, biometric traits are inherently permanent and cannot be altered if compromised [31][32]. Consequently, a breach involving biometric identifiers may expose individuals to irreversible, lifelong risks, undermining the trust placed in the system by voters [31][32]. Under the UK General Data Protection Regulation (UK GDPR) and the Data Protection Act 2018, biometric data processed for the purpose of uniquely identifying a person is classified as special category data, needing the highest level of legal protection and requiring explicit justification for its processing [31][32]. Th</w:t>
      </w:r>
      <w:r w:rsidR="008537C9">
        <w:rPr>
          <w:rFonts w:ascii="Calibri" w:hAnsi="Calibri" w:cs="Calibri"/>
          <w:sz w:val="20"/>
          <w:szCs w:val="20"/>
        </w:rPr>
        <w:t>e</w:t>
      </w:r>
      <w:r w:rsidRPr="001A0B18">
        <w:rPr>
          <w:rFonts w:ascii="Calibri" w:hAnsi="Calibri" w:cs="Calibri"/>
          <w:sz w:val="20"/>
          <w:szCs w:val="20"/>
        </w:rPr>
        <w:t xml:space="preserve"> potential </w:t>
      </w:r>
      <w:r w:rsidR="008537C9">
        <w:rPr>
          <w:rFonts w:ascii="Calibri" w:hAnsi="Calibri" w:cs="Calibri"/>
          <w:sz w:val="20"/>
          <w:szCs w:val="20"/>
        </w:rPr>
        <w:t xml:space="preserve">for </w:t>
      </w:r>
      <w:r w:rsidRPr="001A0B18">
        <w:rPr>
          <w:rFonts w:ascii="Calibri" w:hAnsi="Calibri" w:cs="Calibri"/>
          <w:sz w:val="20"/>
          <w:szCs w:val="20"/>
        </w:rPr>
        <w:t xml:space="preserve">data breach containing biometric data is </w:t>
      </w:r>
      <w:r w:rsidR="008537C9">
        <w:rPr>
          <w:rFonts w:ascii="Calibri" w:hAnsi="Calibri" w:cs="Calibri"/>
          <w:sz w:val="20"/>
          <w:szCs w:val="20"/>
        </w:rPr>
        <w:t>one reason that</w:t>
      </w:r>
      <w:r w:rsidRPr="001A0B18">
        <w:rPr>
          <w:rFonts w:ascii="Calibri" w:hAnsi="Calibri" w:cs="Calibri"/>
          <w:sz w:val="20"/>
          <w:szCs w:val="20"/>
        </w:rPr>
        <w:t xml:space="preserve"> biometric voting systems are distrusted. The literature identifies the centralised storage of biometric templates as a particular concern, as large, centralised databases present high value targets for attackers, and a successful breach would expose the biometric data of the entire electorate [32]. A further ethical concern identified relates to function creep, where biometric data collected for voting could be reused for surveillance or law enforcement without consent from the individual [32]. The Indian government's decision to reject the use of its Aadhaar biometric database in elections reflects these concerns [3][32]. The literature therefore suggests that any biometric voting system must incorporate strict data minimisation principles, clear limits of biometric use and strong legal safeguards to be considered.</w:t>
      </w:r>
    </w:p>
    <w:p w14:paraId="752EF5DE" w14:textId="77777777" w:rsidR="000E382A" w:rsidRPr="001A0B18" w:rsidRDefault="000E382A" w:rsidP="000E382A">
      <w:pPr>
        <w:pStyle w:val="Heading3"/>
        <w:rPr>
          <w:b/>
          <w:bCs/>
          <w:color w:val="auto"/>
          <w:sz w:val="20"/>
          <w:szCs w:val="20"/>
        </w:rPr>
      </w:pPr>
      <w:r w:rsidRPr="001A0B18">
        <w:rPr>
          <w:b/>
          <w:bCs/>
          <w:color w:val="auto"/>
          <w:sz w:val="20"/>
          <w:szCs w:val="20"/>
        </w:rPr>
        <w:t>2.6 Accessibility Considerations</w:t>
      </w:r>
    </w:p>
    <w:p w14:paraId="259B4301" w14:textId="77777777" w:rsidR="000E382A" w:rsidRPr="001A0B18" w:rsidRDefault="000E382A" w:rsidP="000E382A">
      <w:pPr>
        <w:spacing w:line="240" w:lineRule="auto"/>
        <w:rPr>
          <w:rFonts w:ascii="Calibri" w:hAnsi="Calibri" w:cs="Calibri"/>
          <w:sz w:val="20"/>
          <w:szCs w:val="20"/>
        </w:rPr>
      </w:pPr>
      <w:r w:rsidRPr="001A0B18">
        <w:rPr>
          <w:rFonts w:ascii="Calibri" w:hAnsi="Calibri" w:cs="Calibri"/>
          <w:sz w:val="20"/>
          <w:szCs w:val="20"/>
        </w:rPr>
        <w:t xml:space="preserve">Accessibility represents a significant practical and ethical challenge for biometric E-voting systems. Research highlights that electronic voting systems must be designed to accommodate the full range of the electorate, including elderly voters, those with physical disabilities, and individuals with limited digital literacy [1][33]. Fingerprint recognition in particular presents documented accessibility challenges, as studies have found that fingerprint quality degrades naturally with age and is further affected by certain medical conditions and manual occupations, leading to higher rates of failed authentication among these groups [1][33]. A system that fails to authenticate a legitimate voter effectively denies them their right to vote, which is a serious and unacceptable outcome in a democratic context. The Brazilian </w:t>
      </w:r>
      <w:r w:rsidRPr="001A0B18">
        <w:rPr>
          <w:rFonts w:ascii="Calibri" w:hAnsi="Calibri" w:cs="Calibri"/>
          <w:i/>
          <w:iCs/>
          <w:sz w:val="20"/>
          <w:szCs w:val="20"/>
        </w:rPr>
        <w:t xml:space="preserve">Urna </w:t>
      </w:r>
      <w:proofErr w:type="spellStart"/>
      <w:r w:rsidRPr="001A0B18">
        <w:rPr>
          <w:rFonts w:ascii="Calibri" w:hAnsi="Calibri" w:cs="Calibri"/>
          <w:i/>
          <w:iCs/>
          <w:sz w:val="20"/>
          <w:szCs w:val="20"/>
        </w:rPr>
        <w:t>Eletrônica</w:t>
      </w:r>
      <w:proofErr w:type="spellEnd"/>
      <w:r w:rsidRPr="001A0B18">
        <w:rPr>
          <w:rFonts w:ascii="Calibri" w:hAnsi="Calibri" w:cs="Calibri"/>
          <w:sz w:val="20"/>
          <w:szCs w:val="20"/>
        </w:rPr>
        <w:t xml:space="preserve"> addressed some accessibility concerns through the inclusion of audio guidance for visually impaired voters, demonstrating that accessibility features can be meaningfully integrated into biometric voting systems [1].</w:t>
      </w:r>
    </w:p>
    <w:p w14:paraId="506652DB" w14:textId="77777777" w:rsidR="000E382A" w:rsidRPr="001A0B18" w:rsidRDefault="000E382A" w:rsidP="000E382A">
      <w:pPr>
        <w:pStyle w:val="Heading3"/>
        <w:rPr>
          <w:b/>
          <w:bCs/>
          <w:color w:val="auto"/>
          <w:sz w:val="20"/>
          <w:szCs w:val="20"/>
        </w:rPr>
      </w:pPr>
      <w:r w:rsidRPr="001A0B18">
        <w:rPr>
          <w:b/>
          <w:bCs/>
          <w:color w:val="auto"/>
          <w:sz w:val="20"/>
          <w:szCs w:val="20"/>
        </w:rPr>
        <w:t xml:space="preserve">2.7 Public Trust </w:t>
      </w:r>
    </w:p>
    <w:p w14:paraId="00857F11" w14:textId="77777777" w:rsidR="000E382A" w:rsidRDefault="000E382A" w:rsidP="000E382A">
      <w:pPr>
        <w:spacing w:line="240" w:lineRule="auto"/>
        <w:rPr>
          <w:rFonts w:ascii="Calibri" w:hAnsi="Calibri" w:cs="Calibri"/>
          <w:sz w:val="20"/>
          <w:szCs w:val="20"/>
        </w:rPr>
      </w:pPr>
      <w:r w:rsidRPr="001A0B18">
        <w:rPr>
          <w:rFonts w:ascii="Calibri" w:hAnsi="Calibri" w:cs="Calibri"/>
          <w:sz w:val="20"/>
          <w:szCs w:val="20"/>
        </w:rPr>
        <w:t>Public trust is as a critical and often underappreciated factor in the success or failure of electronic voting systems. Research has consistently shown that perceived fairness and transparency in electoral processes have a direct impact on voter confidence in democratic outcomes, regardless of if any actual wrongdoing has occurred [34][35]. The introduction of biometrics adds an additional dimension to public trust, as voters must have confidence not only that their vote is recorded correctly, but also that their biometric data is handled securely and will not be misused [34][35].</w:t>
      </w:r>
    </w:p>
    <w:p w14:paraId="7EDBC2D2" w14:textId="77777777" w:rsidR="000F38E0" w:rsidRPr="001A0B18" w:rsidRDefault="000F38E0" w:rsidP="000E382A">
      <w:pPr>
        <w:spacing w:line="240" w:lineRule="auto"/>
        <w:rPr>
          <w:rFonts w:ascii="Calibri" w:hAnsi="Calibri" w:cs="Calibri"/>
          <w:sz w:val="20"/>
          <w:szCs w:val="20"/>
        </w:rPr>
      </w:pPr>
    </w:p>
    <w:p w14:paraId="1C686B0C" w14:textId="77777777" w:rsidR="000E382A" w:rsidRPr="001A0B18" w:rsidRDefault="000E382A" w:rsidP="000E382A">
      <w:pPr>
        <w:rPr>
          <w:rFonts w:ascii="Calibri" w:hAnsi="Calibri" w:cs="Calibri"/>
          <w:b/>
          <w:bCs/>
          <w:color w:val="000000" w:themeColor="text1"/>
          <w:sz w:val="20"/>
          <w:szCs w:val="20"/>
        </w:rPr>
      </w:pPr>
      <w:r w:rsidRPr="001A0B18">
        <w:rPr>
          <w:rFonts w:ascii="Calibri" w:hAnsi="Calibri" w:cs="Calibri"/>
          <w:b/>
          <w:bCs/>
          <w:color w:val="000000" w:themeColor="text1"/>
          <w:sz w:val="20"/>
          <w:szCs w:val="20"/>
        </w:rPr>
        <w:t xml:space="preserve">3. Specification </w:t>
      </w:r>
      <w:r w:rsidRPr="001A0B18">
        <w:rPr>
          <w:rFonts w:ascii="Calibri" w:hAnsi="Calibri" w:cs="Calibri"/>
          <w:b/>
          <w:bCs/>
          <w:color w:val="000000" w:themeColor="text1"/>
          <w:sz w:val="20"/>
          <w:szCs w:val="20"/>
        </w:rPr>
        <w:tab/>
      </w:r>
    </w:p>
    <w:p w14:paraId="6CDF63DB" w14:textId="77777777" w:rsidR="000E382A" w:rsidRPr="001A0B18" w:rsidRDefault="000E382A" w:rsidP="000E382A">
      <w:pPr>
        <w:rPr>
          <w:rFonts w:ascii="Calibri" w:hAnsi="Calibri" w:cs="Calibri"/>
          <w:b/>
          <w:bCs/>
          <w:color w:val="000000" w:themeColor="text1"/>
          <w:sz w:val="20"/>
          <w:szCs w:val="20"/>
        </w:rPr>
      </w:pPr>
      <w:r w:rsidRPr="001A0B18">
        <w:rPr>
          <w:rFonts w:ascii="Calibri" w:hAnsi="Calibri" w:cs="Calibri"/>
          <w:b/>
          <w:bCs/>
          <w:color w:val="000000" w:themeColor="text1"/>
          <w:sz w:val="20"/>
          <w:szCs w:val="20"/>
        </w:rPr>
        <w:t xml:space="preserve">3.1 The Problem </w:t>
      </w:r>
    </w:p>
    <w:p w14:paraId="5106AC40" w14:textId="77777777" w:rsidR="000E382A" w:rsidRPr="001A0B18" w:rsidRDefault="000E382A" w:rsidP="000E382A">
      <w:pPr>
        <w:rPr>
          <w:rFonts w:ascii="Calibri" w:hAnsi="Calibri" w:cs="Calibri"/>
          <w:color w:val="000000" w:themeColor="text1"/>
          <w:sz w:val="20"/>
          <w:szCs w:val="20"/>
        </w:rPr>
      </w:pPr>
      <w:r w:rsidRPr="0069023C">
        <w:rPr>
          <w:rFonts w:ascii="Calibri" w:hAnsi="Calibri" w:cs="Calibri"/>
          <w:color w:val="000000" w:themeColor="text1"/>
          <w:sz w:val="20"/>
          <w:szCs w:val="20"/>
        </w:rPr>
        <w:t>The limitations outlined in Section 2.2 highlight several structural weaknesses in the UK’s current voting process. Reliance on paper ballots and manual counting creates vulnerabilities to voter impersonation, ballot tampering, and delays in producing results. These issues, combined with security concerns surrounding postal voting and the risk of declining public trust, form the foundation for the system requirements addressed in this project.</w:t>
      </w:r>
      <w:r w:rsidRPr="001A0B18">
        <w:rPr>
          <w:rFonts w:ascii="Calibri" w:hAnsi="Calibri" w:cs="Calibri"/>
          <w:color w:val="000000" w:themeColor="text1"/>
          <w:sz w:val="20"/>
          <w:szCs w:val="20"/>
        </w:rPr>
        <w:br/>
      </w:r>
      <w:r w:rsidRPr="001A0B18">
        <w:rPr>
          <w:rFonts w:ascii="Calibri" w:hAnsi="Calibri" w:cs="Calibri"/>
          <w:color w:val="000000" w:themeColor="text1"/>
          <w:sz w:val="20"/>
          <w:szCs w:val="20"/>
        </w:rPr>
        <w:br/>
      </w:r>
      <w:r w:rsidRPr="0069023C">
        <w:rPr>
          <w:rFonts w:ascii="Calibri" w:hAnsi="Calibri" w:cs="Calibri"/>
          <w:color w:val="000000" w:themeColor="text1"/>
          <w:sz w:val="20"/>
          <w:szCs w:val="20"/>
        </w:rPr>
        <w:t>The aim of this project is therefore to design and develop a biometric e</w:t>
      </w:r>
      <w:r w:rsidRPr="0069023C">
        <w:rPr>
          <w:rFonts w:ascii="Calibri" w:hAnsi="Calibri" w:cs="Calibri"/>
          <w:color w:val="000000" w:themeColor="text1"/>
          <w:sz w:val="20"/>
          <w:szCs w:val="20"/>
        </w:rPr>
        <w:noBreakHyphen/>
        <w:t>voting system capable of addressing these limitations. The system must verify voter identity through fingerprint authentication before a vote is cast, removing dependence on easily forged identifiers such as signatures. Votes must be recorded digitally to eliminate risks associated with paper ballot handling and manual counting. Crucially, the system must also ensure that no vote can be linked back to the individual who cast it, preserving voter anonymity in line with UK electoral principles.</w:t>
      </w:r>
      <w:r w:rsidRPr="001A0B18">
        <w:rPr>
          <w:rFonts w:ascii="Calibri" w:hAnsi="Calibri" w:cs="Calibri"/>
          <w:color w:val="000000" w:themeColor="text1"/>
          <w:sz w:val="20"/>
          <w:szCs w:val="20"/>
        </w:rPr>
        <w:br/>
      </w:r>
      <w:r w:rsidRPr="001A0B18">
        <w:rPr>
          <w:rFonts w:ascii="Calibri" w:hAnsi="Calibri" w:cs="Calibri"/>
          <w:color w:val="000000" w:themeColor="text1"/>
          <w:sz w:val="20"/>
          <w:szCs w:val="20"/>
        </w:rPr>
        <w:br/>
      </w:r>
      <w:r w:rsidRPr="0069023C">
        <w:rPr>
          <w:rFonts w:ascii="Calibri" w:hAnsi="Calibri" w:cs="Calibri"/>
          <w:color w:val="000000" w:themeColor="text1"/>
          <w:sz w:val="20"/>
          <w:szCs w:val="20"/>
        </w:rPr>
        <w:lastRenderedPageBreak/>
        <w:t>To deliver this system, three core components must be developed and integrated. The Official App functions as the central interface within a polling station, enabling staff to manage voting devices, register voters, and access information appropriate to their permissions. The Voting App guides voters through authentication and the voting process at the polling terminal. Finally, the server manages all encrypted communication between the applications, processes fingerprint templates to verify voters and officials, performs predefined data operations, and stores votes anonymously.</w:t>
      </w:r>
    </w:p>
    <w:p w14:paraId="080AF3D6" w14:textId="77777777" w:rsidR="000E382A" w:rsidRPr="00BE0A34" w:rsidRDefault="000E382A" w:rsidP="000E382A">
      <w:pPr>
        <w:rPr>
          <w:rFonts w:ascii="Calibri" w:hAnsi="Calibri" w:cs="Calibri"/>
          <w:b/>
          <w:bCs/>
          <w:color w:val="000000" w:themeColor="text1"/>
          <w:sz w:val="20"/>
          <w:szCs w:val="20"/>
        </w:rPr>
      </w:pPr>
      <w:r w:rsidRPr="00BE0A34">
        <w:rPr>
          <w:rFonts w:ascii="Calibri" w:hAnsi="Calibri" w:cs="Calibri"/>
          <w:b/>
          <w:bCs/>
          <w:color w:val="000000" w:themeColor="text1"/>
          <w:sz w:val="20"/>
          <w:szCs w:val="20"/>
        </w:rPr>
        <w:t>3.2 Agile Methodology</w:t>
      </w:r>
    </w:p>
    <w:p w14:paraId="27391164" w14:textId="77777777" w:rsidR="000E382A" w:rsidRPr="001A0B18" w:rsidRDefault="000E382A" w:rsidP="000E382A">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The methodology chosen for development of the project was a loose Agile approach [57]. The methodology had to be adapted to allow for solo development within an academic setting. The Waterfall methodology was considered as an alternative but was rejected due to its phase locked structure, which makes it poorly suited to projects where requirements are likely to evolve during development [57]. In a Waterfall model, changes identified during implementation require returning to earlier phases, introducing significant delays </w:t>
      </w:r>
      <w:r>
        <w:rPr>
          <w:rFonts w:ascii="Calibri" w:hAnsi="Calibri" w:cs="Calibri"/>
          <w:color w:val="000000" w:themeColor="text1"/>
          <w:sz w:val="20"/>
          <w:szCs w:val="20"/>
        </w:rPr>
        <w:t xml:space="preserve">if a new requirement is identified </w:t>
      </w:r>
      <w:r w:rsidRPr="001A0B18">
        <w:rPr>
          <w:rFonts w:ascii="Calibri" w:hAnsi="Calibri" w:cs="Calibri"/>
          <w:color w:val="000000" w:themeColor="text1"/>
          <w:sz w:val="20"/>
          <w:szCs w:val="20"/>
        </w:rPr>
        <w:t xml:space="preserve">[57]. Given that design decisions around biometric integration and system security were almost guaranteed to change during development, </w:t>
      </w:r>
      <w:proofErr w:type="spellStart"/>
      <w:r w:rsidRPr="001A0B18">
        <w:rPr>
          <w:rFonts w:ascii="Calibri" w:hAnsi="Calibri" w:cs="Calibri"/>
          <w:color w:val="000000" w:themeColor="text1"/>
          <w:sz w:val="20"/>
          <w:szCs w:val="20"/>
        </w:rPr>
        <w:t>Agile's</w:t>
      </w:r>
      <w:proofErr w:type="spellEnd"/>
      <w:r w:rsidRPr="001A0B18">
        <w:rPr>
          <w:rFonts w:ascii="Calibri" w:hAnsi="Calibri" w:cs="Calibri"/>
          <w:color w:val="000000" w:themeColor="text1"/>
          <w:sz w:val="20"/>
          <w:szCs w:val="20"/>
        </w:rPr>
        <w:t xml:space="preserve"> iterative and flexible nature was deemed more appropriate, allowing changes to be incorporated without disrupting overall progress [57].</w:t>
      </w:r>
    </w:p>
    <w:p w14:paraId="535CE917" w14:textId="77777777" w:rsidR="000E382A" w:rsidRPr="001A0B18" w:rsidRDefault="000E382A" w:rsidP="000E382A">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As the project was an individual effort, certain Agile practices were not applicable. Team activities such as retrospectives and story point were therefore omitted [57]. Instead, the functional and non-functional requirements were used to produce a set of user stories that acted as the development backlog. These were prioritised using the </w:t>
      </w:r>
      <w:proofErr w:type="spellStart"/>
      <w:r w:rsidRPr="001A0B18">
        <w:rPr>
          <w:rFonts w:ascii="Calibri" w:hAnsi="Calibri" w:cs="Calibri"/>
          <w:color w:val="000000" w:themeColor="text1"/>
          <w:sz w:val="20"/>
          <w:szCs w:val="20"/>
        </w:rPr>
        <w:t>MoSCoW</w:t>
      </w:r>
      <w:proofErr w:type="spellEnd"/>
      <w:r w:rsidRPr="001A0B18">
        <w:rPr>
          <w:rFonts w:ascii="Calibri" w:hAnsi="Calibri" w:cs="Calibri"/>
          <w:color w:val="000000" w:themeColor="text1"/>
          <w:sz w:val="20"/>
          <w:szCs w:val="20"/>
        </w:rPr>
        <w:t xml:space="preserve"> method, which categorises requirements into Must Have, Should Have, Could Have, and Won't Have, establishing a clear minimum viable product early in the development phase and ensuring core features were delivered before additional functionality was considered [58]. The full list of prioritised requirements can be found in Appendix B.</w:t>
      </w:r>
    </w:p>
    <w:p w14:paraId="2E67074D" w14:textId="77777777" w:rsidR="000E382A" w:rsidRPr="001A0B18" w:rsidRDefault="000E382A" w:rsidP="000E382A">
      <w:pPr>
        <w:rPr>
          <w:rFonts w:ascii="Calibri" w:hAnsi="Calibri" w:cs="Calibri"/>
          <w:color w:val="000000" w:themeColor="text1"/>
          <w:sz w:val="20"/>
          <w:szCs w:val="20"/>
        </w:rPr>
      </w:pPr>
      <w:r w:rsidRPr="001A0B18">
        <w:rPr>
          <w:rFonts w:ascii="Calibri" w:hAnsi="Calibri" w:cs="Calibri"/>
          <w:color w:val="000000" w:themeColor="text1"/>
          <w:sz w:val="20"/>
          <w:szCs w:val="20"/>
        </w:rPr>
        <w:t>During development, meetings were held with the project supervisor, with frequency varying depending on the stage of development</w:t>
      </w:r>
      <w:r>
        <w:rPr>
          <w:rFonts w:ascii="Calibri" w:hAnsi="Calibri" w:cs="Calibri"/>
          <w:color w:val="000000" w:themeColor="text1"/>
          <w:sz w:val="20"/>
          <w:szCs w:val="20"/>
        </w:rPr>
        <w:t xml:space="preserve"> (Appendix E)</w:t>
      </w:r>
      <w:r w:rsidRPr="001A0B18">
        <w:rPr>
          <w:rFonts w:ascii="Calibri" w:hAnsi="Calibri" w:cs="Calibri"/>
          <w:color w:val="000000" w:themeColor="text1"/>
          <w:sz w:val="20"/>
          <w:szCs w:val="20"/>
        </w:rPr>
        <w:t>. During periods where problems required guidance, meetings were held weekly. When development was progressing smoothly, meetings were held every two weeks. This flexible structure aligns naturally with Agile principles, allowing the pace of review to adapt to the needs of the project rather than following a rigid schedule [57].</w:t>
      </w:r>
    </w:p>
    <w:p w14:paraId="418FD6AF" w14:textId="77777777" w:rsidR="000E382A" w:rsidRPr="00333285" w:rsidRDefault="000E382A" w:rsidP="000E382A">
      <w:pPr>
        <w:rPr>
          <w:rFonts w:ascii="Calibri" w:hAnsi="Calibri" w:cs="Calibri"/>
          <w:b/>
          <w:bCs/>
          <w:color w:val="000000" w:themeColor="text1"/>
          <w:sz w:val="20"/>
          <w:szCs w:val="20"/>
        </w:rPr>
      </w:pPr>
      <w:r w:rsidRPr="00333285">
        <w:rPr>
          <w:rFonts w:ascii="Calibri" w:hAnsi="Calibri" w:cs="Calibri"/>
          <w:b/>
          <w:bCs/>
          <w:color w:val="000000" w:themeColor="text1"/>
          <w:sz w:val="20"/>
          <w:szCs w:val="20"/>
        </w:rPr>
        <w:t xml:space="preserve">3.3 User Stories </w:t>
      </w:r>
    </w:p>
    <w:p w14:paraId="462BDCE1" w14:textId="77777777" w:rsidR="000E382A" w:rsidRPr="001A0B18" w:rsidRDefault="000E382A" w:rsidP="000E382A">
      <w:pPr>
        <w:rPr>
          <w:rFonts w:ascii="Calibri" w:hAnsi="Calibri" w:cs="Calibri"/>
          <w:color w:val="EE0000"/>
          <w:sz w:val="20"/>
          <w:szCs w:val="20"/>
        </w:rPr>
      </w:pPr>
      <w:r>
        <w:rPr>
          <w:rFonts w:ascii="Calibri" w:hAnsi="Calibri" w:cs="Calibri"/>
          <w:color w:val="000000" w:themeColor="text1"/>
          <w:sz w:val="20"/>
          <w:szCs w:val="20"/>
        </w:rPr>
        <w:t>U</w:t>
      </w:r>
      <w:r w:rsidRPr="001A0B18">
        <w:rPr>
          <w:rFonts w:ascii="Calibri" w:hAnsi="Calibri" w:cs="Calibri"/>
          <w:color w:val="000000" w:themeColor="text1"/>
          <w:sz w:val="20"/>
          <w:szCs w:val="20"/>
        </w:rPr>
        <w:t>ser stories were created from the functional and non-functional requirements with the purpose of keeping development focused on what was required. The user stories focused on the two main user types</w:t>
      </w:r>
      <w:r>
        <w:rPr>
          <w:rFonts w:ascii="Calibri" w:hAnsi="Calibri" w:cs="Calibri"/>
          <w:color w:val="000000" w:themeColor="text1"/>
          <w:sz w:val="20"/>
          <w:szCs w:val="20"/>
        </w:rPr>
        <w:t>:</w:t>
      </w:r>
      <w:r w:rsidRPr="001A0B18">
        <w:rPr>
          <w:rFonts w:ascii="Calibri" w:hAnsi="Calibri" w:cs="Calibri"/>
          <w:color w:val="000000" w:themeColor="text1"/>
          <w:sz w:val="20"/>
          <w:szCs w:val="20"/>
        </w:rPr>
        <w:t xml:space="preserve"> Officials and Voters, and detailed what they expected the system to function. The user stories below are an example of key interactions each user must be able to complete. A full list is included in Appendix C.</w:t>
      </w:r>
    </w:p>
    <w:p w14:paraId="1BC56D65" w14:textId="77777777" w:rsidR="000E382A" w:rsidRPr="001A0B18" w:rsidRDefault="000E382A" w:rsidP="000E382A">
      <w:pPr>
        <w:spacing w:after="0" w:line="276" w:lineRule="auto"/>
        <w:rPr>
          <w:rFonts w:ascii="Calibri" w:hAnsi="Calibri" w:cs="Calibri"/>
          <w:color w:val="000000" w:themeColor="text1"/>
          <w:sz w:val="20"/>
          <w:szCs w:val="20"/>
        </w:rPr>
      </w:pPr>
      <w:r w:rsidRPr="001A0B18">
        <w:rPr>
          <w:rFonts w:ascii="Calibri" w:hAnsi="Calibri" w:cs="Calibri"/>
          <w:b/>
          <w:bCs/>
          <w:color w:val="000000" w:themeColor="text1"/>
          <w:sz w:val="20"/>
          <w:szCs w:val="20"/>
        </w:rPr>
        <w:t>Voter</w:t>
      </w:r>
    </w:p>
    <w:p w14:paraId="00028460" w14:textId="77777777" w:rsidR="000E382A" w:rsidRPr="001A0B18" w:rsidRDefault="000E382A" w:rsidP="000E382A">
      <w:pPr>
        <w:numPr>
          <w:ilvl w:val="0"/>
          <w:numId w:val="1"/>
        </w:numPr>
        <w:spacing w:after="0" w:line="276" w:lineRule="auto"/>
        <w:rPr>
          <w:rFonts w:ascii="Calibri" w:hAnsi="Calibri" w:cs="Calibri"/>
          <w:color w:val="000000" w:themeColor="text1"/>
          <w:sz w:val="20"/>
          <w:szCs w:val="20"/>
        </w:rPr>
      </w:pPr>
      <w:r w:rsidRPr="001A0B18">
        <w:rPr>
          <w:rFonts w:ascii="Calibri" w:hAnsi="Calibri" w:cs="Calibri"/>
          <w:color w:val="000000" w:themeColor="text1"/>
          <w:sz w:val="20"/>
          <w:szCs w:val="20"/>
        </w:rPr>
        <w:t>As a voter, I want to scan my fingerprint to verify my identity, so that the system can verify I am a registered voter and prevent anyone else from casting a vote in my name.</w:t>
      </w:r>
    </w:p>
    <w:p w14:paraId="7B9D11B1" w14:textId="77777777" w:rsidR="000E382A" w:rsidRPr="001A0B18" w:rsidRDefault="000E382A" w:rsidP="000E382A">
      <w:pPr>
        <w:numPr>
          <w:ilvl w:val="0"/>
          <w:numId w:val="1"/>
        </w:numPr>
        <w:spacing w:after="0" w:line="276" w:lineRule="auto"/>
        <w:rPr>
          <w:rFonts w:ascii="Calibri" w:hAnsi="Calibri" w:cs="Calibri"/>
          <w:color w:val="000000" w:themeColor="text1"/>
          <w:sz w:val="20"/>
          <w:szCs w:val="20"/>
        </w:rPr>
      </w:pPr>
      <w:r w:rsidRPr="001A0B18">
        <w:rPr>
          <w:rFonts w:ascii="Calibri" w:hAnsi="Calibri" w:cs="Calibri"/>
          <w:color w:val="000000" w:themeColor="text1"/>
          <w:sz w:val="20"/>
          <w:szCs w:val="20"/>
        </w:rPr>
        <w:t>As a voter, I want to be clearly informed if my fingerprint does not match and be given up to three attempts to authenticate, so that a failed scan due to a poor read does not immediately deny me my right to vote.</w:t>
      </w:r>
    </w:p>
    <w:p w14:paraId="53BCA3B2" w14:textId="77777777" w:rsidR="000E382A" w:rsidRPr="001A0B18" w:rsidRDefault="000E382A" w:rsidP="000E382A">
      <w:pPr>
        <w:numPr>
          <w:ilvl w:val="0"/>
          <w:numId w:val="1"/>
        </w:numPr>
        <w:spacing w:after="0" w:line="276" w:lineRule="auto"/>
        <w:rPr>
          <w:rFonts w:ascii="Calibri" w:hAnsi="Calibri" w:cs="Calibri"/>
          <w:color w:val="000000" w:themeColor="text1"/>
          <w:sz w:val="20"/>
          <w:szCs w:val="20"/>
        </w:rPr>
      </w:pPr>
      <w:r w:rsidRPr="001A0B18">
        <w:rPr>
          <w:rFonts w:ascii="Calibri" w:hAnsi="Calibri" w:cs="Calibri"/>
          <w:color w:val="000000" w:themeColor="text1"/>
          <w:sz w:val="20"/>
          <w:szCs w:val="20"/>
        </w:rPr>
        <w:t>As a voter, I want to view a clear list of candidates and select the one I wish to vote for, so that I can cast my ballot simply and without confusion.</w:t>
      </w:r>
    </w:p>
    <w:p w14:paraId="06E0B6C3" w14:textId="77777777" w:rsidR="000E382A" w:rsidRPr="001A0B18" w:rsidRDefault="000E382A" w:rsidP="000E382A">
      <w:pPr>
        <w:numPr>
          <w:ilvl w:val="0"/>
          <w:numId w:val="1"/>
        </w:numPr>
        <w:spacing w:after="0" w:line="276" w:lineRule="auto"/>
        <w:rPr>
          <w:rFonts w:ascii="Calibri" w:hAnsi="Calibri" w:cs="Calibri"/>
          <w:color w:val="000000" w:themeColor="text1"/>
          <w:sz w:val="20"/>
          <w:szCs w:val="20"/>
        </w:rPr>
      </w:pPr>
      <w:r w:rsidRPr="001A0B18">
        <w:rPr>
          <w:rFonts w:ascii="Calibri" w:hAnsi="Calibri" w:cs="Calibri"/>
          <w:color w:val="000000" w:themeColor="text1"/>
          <w:sz w:val="20"/>
          <w:szCs w:val="20"/>
        </w:rPr>
        <w:t>As a voter, I want to receive a clear confirmation message once my vote has been submitted, so that I can be confident my vote has been recorded and the process is complete.</w:t>
      </w:r>
    </w:p>
    <w:p w14:paraId="75D01B2C" w14:textId="77777777" w:rsidR="000E382A" w:rsidRPr="001A0B18" w:rsidRDefault="000E382A" w:rsidP="000E382A">
      <w:pPr>
        <w:spacing w:after="0" w:line="276" w:lineRule="auto"/>
        <w:rPr>
          <w:rFonts w:ascii="Calibri" w:hAnsi="Calibri" w:cs="Calibri"/>
          <w:color w:val="000000" w:themeColor="text1"/>
          <w:sz w:val="20"/>
          <w:szCs w:val="20"/>
        </w:rPr>
      </w:pPr>
      <w:r w:rsidRPr="001A0B18">
        <w:rPr>
          <w:rFonts w:ascii="Calibri" w:hAnsi="Calibri" w:cs="Calibri"/>
          <w:b/>
          <w:bCs/>
          <w:color w:val="000000" w:themeColor="text1"/>
          <w:sz w:val="20"/>
          <w:szCs w:val="20"/>
        </w:rPr>
        <w:t>Official</w:t>
      </w:r>
    </w:p>
    <w:p w14:paraId="4BAF5A00" w14:textId="77777777" w:rsidR="000E382A" w:rsidRPr="001A0B18" w:rsidRDefault="000E382A" w:rsidP="000E382A">
      <w:pPr>
        <w:numPr>
          <w:ilvl w:val="0"/>
          <w:numId w:val="2"/>
        </w:numPr>
        <w:spacing w:after="0" w:line="276" w:lineRule="auto"/>
        <w:rPr>
          <w:rFonts w:ascii="Calibri" w:hAnsi="Calibri" w:cs="Calibri"/>
          <w:color w:val="000000" w:themeColor="text1"/>
          <w:sz w:val="20"/>
          <w:szCs w:val="20"/>
        </w:rPr>
      </w:pPr>
      <w:r w:rsidRPr="001A0B18">
        <w:rPr>
          <w:rFonts w:ascii="Calibri" w:hAnsi="Calibri" w:cs="Calibri"/>
          <w:color w:val="000000" w:themeColor="text1"/>
          <w:sz w:val="20"/>
          <w:szCs w:val="20"/>
        </w:rPr>
        <w:t>As an official, I want to log in with my username and password and verify my identity with my fingerprint, so that only authorised officials can access and manage the polling station system.</w:t>
      </w:r>
    </w:p>
    <w:p w14:paraId="211C84F3" w14:textId="77777777" w:rsidR="000E382A" w:rsidRPr="001A0B18" w:rsidRDefault="000E382A" w:rsidP="000E382A">
      <w:pPr>
        <w:numPr>
          <w:ilvl w:val="0"/>
          <w:numId w:val="2"/>
        </w:numPr>
        <w:spacing w:after="0" w:line="276" w:lineRule="auto"/>
        <w:rPr>
          <w:rFonts w:ascii="Calibri" w:hAnsi="Calibri" w:cs="Calibri"/>
          <w:color w:val="000000" w:themeColor="text1"/>
          <w:sz w:val="20"/>
          <w:szCs w:val="20"/>
        </w:rPr>
      </w:pPr>
      <w:r w:rsidRPr="001A0B18">
        <w:rPr>
          <w:rFonts w:ascii="Calibri" w:hAnsi="Calibri" w:cs="Calibri"/>
          <w:color w:val="000000" w:themeColor="text1"/>
          <w:sz w:val="20"/>
          <w:szCs w:val="20"/>
        </w:rPr>
        <w:t>As an official, I want to generate an access code for my polling station and use it to link voter devices, so that I can ensure only devices within my station are connected to the correct election session.</w:t>
      </w:r>
    </w:p>
    <w:p w14:paraId="5E2514AC" w14:textId="77777777" w:rsidR="000E382A" w:rsidRPr="001A0B18" w:rsidRDefault="000E382A" w:rsidP="000E382A">
      <w:pPr>
        <w:numPr>
          <w:ilvl w:val="0"/>
          <w:numId w:val="2"/>
        </w:numPr>
        <w:spacing w:after="0" w:line="276" w:lineRule="auto"/>
        <w:rPr>
          <w:rFonts w:ascii="Calibri" w:hAnsi="Calibri" w:cs="Calibri"/>
          <w:color w:val="000000" w:themeColor="text1"/>
          <w:sz w:val="20"/>
          <w:szCs w:val="20"/>
        </w:rPr>
      </w:pPr>
      <w:r w:rsidRPr="001A0B18">
        <w:rPr>
          <w:rFonts w:ascii="Calibri" w:hAnsi="Calibri" w:cs="Calibri"/>
          <w:color w:val="000000" w:themeColor="text1"/>
          <w:sz w:val="20"/>
          <w:szCs w:val="20"/>
        </w:rPr>
        <w:lastRenderedPageBreak/>
        <w:t>As an official, I want to register new voters onto the system including capturing their fingerprint, so that their biometric data is stored securely ahead of polling day and they are able to authenticate when they arrive.</w:t>
      </w:r>
    </w:p>
    <w:p w14:paraId="4F9705BE" w14:textId="77777777" w:rsidR="000E382A" w:rsidRPr="001A0B18" w:rsidRDefault="000E382A" w:rsidP="000E382A">
      <w:pPr>
        <w:numPr>
          <w:ilvl w:val="0"/>
          <w:numId w:val="2"/>
        </w:numPr>
        <w:spacing w:after="0" w:line="276" w:lineRule="auto"/>
        <w:rPr>
          <w:rFonts w:ascii="Calibri" w:hAnsi="Calibri" w:cs="Calibri"/>
          <w:color w:val="000000" w:themeColor="text1"/>
          <w:sz w:val="20"/>
          <w:szCs w:val="20"/>
        </w:rPr>
      </w:pPr>
      <w:r w:rsidRPr="001A0B18">
        <w:rPr>
          <w:rFonts w:ascii="Calibri" w:hAnsi="Calibri" w:cs="Calibri"/>
          <w:color w:val="000000" w:themeColor="text1"/>
          <w:sz w:val="20"/>
          <w:szCs w:val="20"/>
        </w:rPr>
        <w:t>As an official, I want to lock and unlock individual voter devices remotely, so that I can intervene immediately if a problem arises at any device in the station.</w:t>
      </w:r>
    </w:p>
    <w:p w14:paraId="6FC41C24" w14:textId="77777777" w:rsidR="000E382A" w:rsidRDefault="000E382A" w:rsidP="000E382A">
      <w:pPr>
        <w:numPr>
          <w:ilvl w:val="0"/>
          <w:numId w:val="2"/>
        </w:numPr>
        <w:spacing w:after="0" w:line="276" w:lineRule="auto"/>
        <w:rPr>
          <w:rFonts w:ascii="Calibri" w:hAnsi="Calibri" w:cs="Calibri"/>
          <w:color w:val="000000" w:themeColor="text1"/>
          <w:sz w:val="20"/>
          <w:szCs w:val="20"/>
        </w:rPr>
      </w:pPr>
      <w:r w:rsidRPr="001A0B18">
        <w:rPr>
          <w:rFonts w:ascii="Calibri" w:hAnsi="Calibri" w:cs="Calibri"/>
          <w:color w:val="000000" w:themeColor="text1"/>
          <w:sz w:val="20"/>
          <w:szCs w:val="20"/>
        </w:rPr>
        <w:t>As an official, I want to be automatically notified if a voter fails fingerprint authentication three consecutive times, so that I can attend to the voter and determine whether an alternative verification method is required.</w:t>
      </w:r>
    </w:p>
    <w:p w14:paraId="51789447" w14:textId="77777777" w:rsidR="000E382A" w:rsidRPr="00335604" w:rsidRDefault="000E382A" w:rsidP="000E382A">
      <w:pPr>
        <w:spacing w:after="0" w:line="276" w:lineRule="auto"/>
        <w:rPr>
          <w:rFonts w:ascii="Calibri" w:hAnsi="Calibri" w:cs="Calibri"/>
          <w:color w:val="000000" w:themeColor="text1"/>
          <w:sz w:val="20"/>
          <w:szCs w:val="20"/>
        </w:rPr>
      </w:pPr>
    </w:p>
    <w:p w14:paraId="19DD43BC" w14:textId="77777777" w:rsidR="000E382A" w:rsidRPr="00333285" w:rsidRDefault="000E382A" w:rsidP="000E382A">
      <w:pPr>
        <w:rPr>
          <w:rFonts w:ascii="Calibri" w:hAnsi="Calibri" w:cs="Calibri"/>
          <w:b/>
          <w:bCs/>
          <w:color w:val="000000" w:themeColor="text1"/>
          <w:sz w:val="20"/>
          <w:szCs w:val="20"/>
        </w:rPr>
      </w:pPr>
      <w:r w:rsidRPr="00333285">
        <w:rPr>
          <w:rFonts w:ascii="Calibri" w:hAnsi="Calibri" w:cs="Calibri"/>
          <w:b/>
          <w:bCs/>
          <w:color w:val="000000" w:themeColor="text1"/>
          <w:sz w:val="20"/>
          <w:szCs w:val="20"/>
        </w:rPr>
        <w:t xml:space="preserve">3.4 Project Plan </w:t>
      </w:r>
    </w:p>
    <w:p w14:paraId="587C31E7" w14:textId="216478FD" w:rsidR="000E382A" w:rsidRPr="001A0B18" w:rsidRDefault="000E382A" w:rsidP="000E382A">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A Gantt chart was produced at the outset of the project to organise the development process into clearly defined phases with associated timescales </w:t>
      </w:r>
      <w:r>
        <w:rPr>
          <w:rFonts w:ascii="Calibri" w:hAnsi="Calibri" w:cs="Calibri"/>
          <w:color w:val="000000" w:themeColor="text1"/>
          <w:sz w:val="20"/>
          <w:szCs w:val="20"/>
        </w:rPr>
        <w:t>(</w:t>
      </w:r>
      <w:r w:rsidRPr="001A0B18">
        <w:rPr>
          <w:rFonts w:ascii="Calibri" w:hAnsi="Calibri" w:cs="Calibri"/>
          <w:color w:val="000000" w:themeColor="text1"/>
          <w:sz w:val="20"/>
          <w:szCs w:val="20"/>
        </w:rPr>
        <w:t xml:space="preserve">Appendix </w:t>
      </w:r>
      <w:r w:rsidR="00F55C86">
        <w:rPr>
          <w:rFonts w:ascii="Calibri" w:hAnsi="Calibri" w:cs="Calibri"/>
          <w:color w:val="000000" w:themeColor="text1"/>
          <w:sz w:val="20"/>
          <w:szCs w:val="20"/>
        </w:rPr>
        <w:t>D</w:t>
      </w:r>
      <w:r>
        <w:rPr>
          <w:rFonts w:ascii="Calibri" w:hAnsi="Calibri" w:cs="Calibri"/>
          <w:color w:val="000000" w:themeColor="text1"/>
          <w:sz w:val="20"/>
          <w:szCs w:val="20"/>
        </w:rPr>
        <w:t>)</w:t>
      </w:r>
      <w:r w:rsidRPr="001A0B18">
        <w:rPr>
          <w:rFonts w:ascii="Calibri" w:hAnsi="Calibri" w:cs="Calibri"/>
          <w:color w:val="000000" w:themeColor="text1"/>
          <w:sz w:val="20"/>
          <w:szCs w:val="20"/>
        </w:rPr>
        <w:t>. The plan provided a structured overview of the project from start to submission, allowing progress made to be tracked against the expectations set at the beginning of each phase. This aligned with the Agile approach, where supervisor meetings held on Fridays provided regular checkpoints to assess whether the project was on track and whether timescales needed to be adjusted. Meeting minu</w:t>
      </w:r>
      <w:r>
        <w:rPr>
          <w:rFonts w:ascii="Calibri" w:hAnsi="Calibri" w:cs="Calibri"/>
          <w:color w:val="000000" w:themeColor="text1"/>
          <w:sz w:val="20"/>
          <w:szCs w:val="20"/>
        </w:rPr>
        <w:t>te</w:t>
      </w:r>
      <w:r w:rsidRPr="001A0B18">
        <w:rPr>
          <w:rFonts w:ascii="Calibri" w:hAnsi="Calibri" w:cs="Calibri"/>
          <w:color w:val="000000" w:themeColor="text1"/>
          <w:sz w:val="20"/>
          <w:szCs w:val="20"/>
        </w:rPr>
        <w:t xml:space="preserve">s were kept throughout the meetings with the supervisor and can be found in Appendix E. </w:t>
      </w:r>
    </w:p>
    <w:p w14:paraId="2F934402" w14:textId="77777777" w:rsidR="000E382A" w:rsidRPr="001A0B18" w:rsidRDefault="000E382A" w:rsidP="000E382A">
      <w:pPr>
        <w:rPr>
          <w:rFonts w:ascii="Calibri" w:hAnsi="Calibri" w:cs="Calibri"/>
          <w:color w:val="000000" w:themeColor="text1"/>
          <w:sz w:val="20"/>
          <w:szCs w:val="20"/>
        </w:rPr>
      </w:pPr>
      <w:r w:rsidRPr="001A0B18">
        <w:rPr>
          <w:rFonts w:ascii="Calibri" w:hAnsi="Calibri" w:cs="Calibri"/>
          <w:color w:val="000000" w:themeColor="text1"/>
          <w:sz w:val="20"/>
          <w:szCs w:val="20"/>
        </w:rPr>
        <w:t>The project ran from January to April</w:t>
      </w:r>
      <w:r>
        <w:rPr>
          <w:rFonts w:ascii="Calibri" w:hAnsi="Calibri" w:cs="Calibri"/>
          <w:color w:val="000000" w:themeColor="text1"/>
          <w:sz w:val="20"/>
          <w:szCs w:val="20"/>
        </w:rPr>
        <w:t xml:space="preserve"> 2026</w:t>
      </w:r>
      <w:r w:rsidRPr="001A0B18">
        <w:rPr>
          <w:rFonts w:ascii="Calibri" w:hAnsi="Calibri" w:cs="Calibri"/>
          <w:color w:val="000000" w:themeColor="text1"/>
          <w:sz w:val="20"/>
          <w:szCs w:val="20"/>
        </w:rPr>
        <w:t>. January began with a focused research phase covering the two core technical areas underpinning the system, biometric authentication and encryption. These were prioritised at this stage because a significant number of the system's functional requirements could not be met without a thorough understanding of both. Running alongside this, an interim report was completed in January to present early findings and justify the initial design decisions made.</w:t>
      </w:r>
    </w:p>
    <w:p w14:paraId="3FA4D971" w14:textId="77777777" w:rsidR="000E382A" w:rsidRPr="001A0B18" w:rsidRDefault="000E382A" w:rsidP="000E382A">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Following the interim report, the design phase began in late January and ran into February. This phase established the key architectural decisions for the system, including the three component structure of the Official App, Secure Vote App, and Server, and the selection of </w:t>
      </w:r>
      <w:proofErr w:type="spellStart"/>
      <w:r w:rsidRPr="001A0B18">
        <w:rPr>
          <w:rFonts w:ascii="Calibri" w:hAnsi="Calibri" w:cs="Calibri"/>
          <w:color w:val="000000" w:themeColor="text1"/>
          <w:sz w:val="20"/>
          <w:szCs w:val="20"/>
        </w:rPr>
        <w:t>SourceAFIS</w:t>
      </w:r>
      <w:proofErr w:type="spellEnd"/>
      <w:r w:rsidRPr="001A0B18">
        <w:rPr>
          <w:rFonts w:ascii="Calibri" w:hAnsi="Calibri" w:cs="Calibri"/>
          <w:color w:val="000000" w:themeColor="text1"/>
          <w:sz w:val="20"/>
          <w:szCs w:val="20"/>
        </w:rPr>
        <w:t xml:space="preserve"> as the fingerprint matching library. The design phase overlapped with the start of implementation to maintain development momentum.</w:t>
      </w:r>
    </w:p>
    <w:p w14:paraId="3236A04A" w14:textId="77777777" w:rsidR="000E382A" w:rsidRPr="001A0B18" w:rsidRDefault="000E382A" w:rsidP="000E382A">
      <w:pPr>
        <w:rPr>
          <w:rFonts w:ascii="Calibri" w:hAnsi="Calibri" w:cs="Calibri"/>
          <w:color w:val="000000" w:themeColor="text1"/>
          <w:sz w:val="20"/>
          <w:szCs w:val="20"/>
        </w:rPr>
      </w:pPr>
      <w:r w:rsidRPr="001A0B18">
        <w:rPr>
          <w:rFonts w:ascii="Calibri" w:hAnsi="Calibri" w:cs="Calibri"/>
          <w:color w:val="000000" w:themeColor="text1"/>
          <w:sz w:val="20"/>
          <w:szCs w:val="20"/>
        </w:rPr>
        <w:t>Implementation began in mid-February, starting with the database. Defining the data structure at this early stage allowed the server and applications to be built progressively on a stable foundation, avoiding the need for significant integration changes later. The server was developed next, as it formed the central component responsible for data handling, fingerprint verification, and communication between the two applications. Development then progressed to the Official App and Secure Vote App, which were built to handle the user stories and interactive flows.</w:t>
      </w:r>
    </w:p>
    <w:p w14:paraId="74B0015C" w14:textId="77777777" w:rsidR="000E382A" w:rsidRPr="001A0B18" w:rsidRDefault="000E382A" w:rsidP="000E382A">
      <w:pPr>
        <w:rPr>
          <w:rFonts w:ascii="Calibri" w:hAnsi="Calibri" w:cs="Calibri"/>
          <w:color w:val="000000" w:themeColor="text1"/>
          <w:sz w:val="20"/>
          <w:szCs w:val="20"/>
        </w:rPr>
      </w:pPr>
      <w:r w:rsidRPr="001A0B18">
        <w:rPr>
          <w:rFonts w:ascii="Calibri" w:hAnsi="Calibri" w:cs="Calibri"/>
          <w:color w:val="000000" w:themeColor="text1"/>
          <w:sz w:val="20"/>
          <w:szCs w:val="20"/>
        </w:rPr>
        <w:t>Security integration began at the end of March and continued through to late April, overlapping with the testing phase. This stage was deliberately allocated a substantial portion of the timeline given its critical nature and the researchers inexperience with it. Furthermore, an inadequate security implementation risked compromising the confidentiality of voter data and the secrecy of the ballot, both of which are fundamental requirements of the system. Testing was conducted throughout this phase to verify that encrypted communications and secure data handling functioned as intended.</w:t>
      </w:r>
    </w:p>
    <w:p w14:paraId="1F311565" w14:textId="77777777" w:rsidR="000E382A" w:rsidRPr="001A0B18" w:rsidRDefault="000E382A" w:rsidP="000E382A">
      <w:pPr>
        <w:rPr>
          <w:rFonts w:ascii="Calibri" w:hAnsi="Calibri" w:cs="Calibri"/>
          <w:color w:val="000000" w:themeColor="text1"/>
          <w:sz w:val="20"/>
          <w:szCs w:val="20"/>
        </w:rPr>
      </w:pPr>
      <w:r w:rsidRPr="001A0B18">
        <w:rPr>
          <w:rFonts w:ascii="Calibri" w:hAnsi="Calibri" w:cs="Calibri"/>
          <w:color w:val="000000" w:themeColor="text1"/>
          <w:sz w:val="20"/>
          <w:szCs w:val="20"/>
        </w:rPr>
        <w:t>The final report was written progressively throughout the project, with the final two weeks of April reserved for completing and reviewing the full submission.</w:t>
      </w:r>
    </w:p>
    <w:p w14:paraId="0708483C" w14:textId="77777777" w:rsidR="00BB5777" w:rsidRDefault="00BB5777" w:rsidP="00BD5D7F">
      <w:pPr>
        <w:rPr>
          <w:rFonts w:ascii="Calibri" w:hAnsi="Calibri" w:cs="Calibri"/>
          <w:color w:val="000000" w:themeColor="text1"/>
          <w:sz w:val="20"/>
          <w:szCs w:val="20"/>
        </w:rPr>
      </w:pPr>
    </w:p>
    <w:p w14:paraId="63287048" w14:textId="0E8921BA" w:rsidR="00732898" w:rsidRDefault="001C167E" w:rsidP="00BD5D7F">
      <w:pPr>
        <w:rPr>
          <w:rFonts w:ascii="Calibri" w:hAnsi="Calibri" w:cs="Calibri"/>
          <w:color w:val="000000" w:themeColor="text1"/>
          <w:sz w:val="20"/>
          <w:szCs w:val="20"/>
        </w:rPr>
      </w:pPr>
      <w:r>
        <w:rPr>
          <w:rFonts w:ascii="Calibri" w:hAnsi="Calibri" w:cs="Calibri"/>
          <w:color w:val="000000" w:themeColor="text1"/>
          <w:sz w:val="20"/>
          <w:szCs w:val="20"/>
        </w:rPr>
        <w:t>*</w:t>
      </w:r>
    </w:p>
    <w:p w14:paraId="3F64AD05" w14:textId="77777777" w:rsidR="00732898" w:rsidRPr="001A0B18" w:rsidRDefault="00732898" w:rsidP="00BD5D7F">
      <w:pPr>
        <w:rPr>
          <w:rFonts w:ascii="Calibri" w:hAnsi="Calibri" w:cs="Calibri"/>
          <w:color w:val="000000" w:themeColor="text1"/>
          <w:sz w:val="20"/>
          <w:szCs w:val="20"/>
        </w:rPr>
      </w:pPr>
    </w:p>
    <w:p w14:paraId="77B73122" w14:textId="77777777" w:rsidR="00D44760" w:rsidRPr="001A0B18" w:rsidRDefault="00D44760" w:rsidP="00D44760">
      <w:pPr>
        <w:rPr>
          <w:rFonts w:ascii="Calibri" w:hAnsi="Calibri" w:cs="Calibri"/>
          <w:b/>
          <w:bCs/>
          <w:color w:val="000000" w:themeColor="text1"/>
          <w:sz w:val="20"/>
          <w:szCs w:val="20"/>
        </w:rPr>
      </w:pPr>
      <w:r w:rsidRPr="001A0B18">
        <w:rPr>
          <w:rFonts w:ascii="Calibri" w:hAnsi="Calibri" w:cs="Calibri"/>
          <w:b/>
          <w:bCs/>
          <w:color w:val="000000" w:themeColor="text1"/>
          <w:sz w:val="20"/>
          <w:szCs w:val="20"/>
        </w:rPr>
        <w:t>4. Design</w:t>
      </w:r>
    </w:p>
    <w:p w14:paraId="49E4D78B" w14:textId="77777777" w:rsidR="00D44760" w:rsidRDefault="00D44760" w:rsidP="00D44760">
      <w:pPr>
        <w:rPr>
          <w:rFonts w:ascii="Calibri" w:hAnsi="Calibri" w:cs="Calibri"/>
          <w:b/>
          <w:bCs/>
          <w:color w:val="000000" w:themeColor="text1"/>
          <w:sz w:val="20"/>
          <w:szCs w:val="20"/>
        </w:rPr>
      </w:pPr>
      <w:r w:rsidRPr="001A0B18">
        <w:rPr>
          <w:rFonts w:ascii="Calibri" w:hAnsi="Calibri" w:cs="Calibri"/>
          <w:b/>
          <w:bCs/>
          <w:color w:val="000000" w:themeColor="text1"/>
          <w:sz w:val="20"/>
          <w:szCs w:val="20"/>
        </w:rPr>
        <w:t>4.1 Security</w:t>
      </w:r>
    </w:p>
    <w:p w14:paraId="6B2DC270" w14:textId="77777777" w:rsidR="00D44760" w:rsidRPr="001A0B18" w:rsidRDefault="00D44760" w:rsidP="00D44760">
      <w:pPr>
        <w:rPr>
          <w:rFonts w:ascii="Calibri" w:hAnsi="Calibri" w:cs="Calibri"/>
          <w:b/>
          <w:bCs/>
          <w:color w:val="000000" w:themeColor="text1"/>
          <w:sz w:val="20"/>
          <w:szCs w:val="20"/>
        </w:rPr>
      </w:pPr>
      <w:r w:rsidRPr="001A0B18">
        <w:rPr>
          <w:rFonts w:ascii="Calibri" w:hAnsi="Calibri" w:cs="Calibri"/>
          <w:b/>
          <w:bCs/>
          <w:color w:val="000000" w:themeColor="text1"/>
          <w:sz w:val="20"/>
          <w:szCs w:val="20"/>
        </w:rPr>
        <w:lastRenderedPageBreak/>
        <w:t>4.1.1 Transport Layer Security</w:t>
      </w:r>
    </w:p>
    <w:p w14:paraId="558945D0"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The first area of security the researcher explored was transport layer security (TLS). TLS ensures that information sent over the internet is encrypted rather than transmitted in plaintext [20]. This is essential for securely transmitting biometric templates and other sensitive data between client and server in a biometric e-voting system.</w:t>
      </w:r>
    </w:p>
    <w:p w14:paraId="0E48119C"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Enabling HTTPS within the project presented a practical challenge, as obtaining a signed TLS certificate typically requires </w:t>
      </w:r>
      <w:r>
        <w:rPr>
          <w:rFonts w:ascii="Calibri" w:hAnsi="Calibri" w:cs="Calibri"/>
          <w:color w:val="000000" w:themeColor="text1"/>
          <w:sz w:val="20"/>
          <w:szCs w:val="20"/>
        </w:rPr>
        <w:t>purchasing</w:t>
      </w:r>
      <w:r w:rsidRPr="001A0B18">
        <w:rPr>
          <w:rFonts w:ascii="Calibri" w:hAnsi="Calibri" w:cs="Calibri"/>
          <w:color w:val="000000" w:themeColor="text1"/>
          <w:sz w:val="20"/>
          <w:szCs w:val="20"/>
        </w:rPr>
        <w:t xml:space="preserve"> a registered domain name. After investigating alternatives, the researcher identified the use of nip.io, a wildcard DNS service that maps IP addresses to hostnames, combined with Nginx as a reverse proxy to handle TLS termination [36]. This approach allowed HTTPS to be configured without purchasing a domain, satisfying the transport security requirement within the constraints of the project. It is important to note that nip.io does not support wildcard certificates, thus the domain isn’t owned or validated by the system [36]. If the system was to be used at the intended scale across the UK, an officially owned domain with wildcard TLS certificate support is required to enable scalable and manageable service exposure [37].</w:t>
      </w:r>
    </w:p>
    <w:p w14:paraId="7DD8475D" w14:textId="77777777" w:rsidR="00D44760" w:rsidRPr="001A0B18" w:rsidRDefault="00D44760" w:rsidP="00D44760">
      <w:pPr>
        <w:rPr>
          <w:rFonts w:ascii="Calibri" w:hAnsi="Calibri" w:cs="Calibri"/>
          <w:b/>
          <w:bCs/>
          <w:color w:val="000000" w:themeColor="text1"/>
          <w:sz w:val="20"/>
          <w:szCs w:val="20"/>
        </w:rPr>
      </w:pPr>
      <w:r w:rsidRPr="001A0B18">
        <w:rPr>
          <w:rFonts w:ascii="Calibri" w:hAnsi="Calibri" w:cs="Calibri"/>
          <w:b/>
          <w:bCs/>
          <w:color w:val="000000" w:themeColor="text1"/>
          <w:sz w:val="20"/>
          <w:szCs w:val="20"/>
        </w:rPr>
        <w:t>4.1.2 Application Layer Encryption</w:t>
      </w:r>
    </w:p>
    <w:p w14:paraId="6D36B5BD"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It was identified that TLS alone is insufficient for a system handling highly sensitive biometric and personal data. While TLS protects data in transit, it does not protect the payload if the server itself is compromised. To address this, envelope encryption was explored as an additional layer of application level protection [26].</w:t>
      </w:r>
    </w:p>
    <w:p w14:paraId="66E716B5" w14:textId="54DA617B"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This approach encrypts the data before transmission and ensures that only the intended server can decrypt it, meaning sensitive data such as fingerprint </w:t>
      </w:r>
      <w:r w:rsidR="00732898">
        <w:rPr>
          <w:rFonts w:ascii="Calibri" w:hAnsi="Calibri" w:cs="Calibri"/>
          <w:color w:val="000000" w:themeColor="text1"/>
          <w:sz w:val="20"/>
          <w:szCs w:val="20"/>
        </w:rPr>
        <w:t>PNG’s</w:t>
      </w:r>
      <w:r w:rsidRPr="001A0B18">
        <w:rPr>
          <w:rFonts w:ascii="Calibri" w:hAnsi="Calibri" w:cs="Calibri"/>
          <w:color w:val="000000" w:themeColor="text1"/>
          <w:sz w:val="20"/>
          <w:szCs w:val="20"/>
        </w:rPr>
        <w:t>, voter lookups, and login credentials remain protected beyond the transport layer [26]. This significantly reduces the potential of data being exposed during transport and is essential when biometric data is being transported.</w:t>
      </w:r>
    </w:p>
    <w:p w14:paraId="4A5F121E" w14:textId="77777777" w:rsidR="00D44760" w:rsidRPr="001A0B18" w:rsidRDefault="00D44760" w:rsidP="00D44760">
      <w:pPr>
        <w:rPr>
          <w:rFonts w:ascii="Calibri" w:hAnsi="Calibri" w:cs="Calibri"/>
          <w:b/>
          <w:bCs/>
          <w:color w:val="000000" w:themeColor="text1"/>
          <w:sz w:val="20"/>
          <w:szCs w:val="20"/>
        </w:rPr>
      </w:pPr>
      <w:r w:rsidRPr="001A0B18">
        <w:rPr>
          <w:rFonts w:ascii="Calibri" w:hAnsi="Calibri" w:cs="Calibri"/>
          <w:b/>
          <w:bCs/>
          <w:color w:val="000000" w:themeColor="text1"/>
          <w:sz w:val="20"/>
          <w:szCs w:val="20"/>
        </w:rPr>
        <w:t>4.1.3 Data at Rest</w:t>
      </w:r>
    </w:p>
    <w:p w14:paraId="3C46E61C"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The researcher then investigated how personal voter data should be securely stored within the database. Storing data such as names, dates of birth, postcode as a searchable index and biometric information in plaintext represents a critical vulnerability, as a database breach would expose all voter information directly [38]. A further risk of databases being stored in plaintext is that developers working on the database would have access to the raw voter information, increasing the risk of a data leak. </w:t>
      </w:r>
    </w:p>
    <w:p w14:paraId="06F69884"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AES-256-GCM was identified as an appropriate encryption standard due to its widespread adoption and strong security properties [21][26]. A per voter encryption approach was selected, where each voter’s data is encrypted individually. This reduces the impact of a potential breach, as compromising one record does not expose others [21][39].</w:t>
      </w:r>
    </w:p>
    <w:p w14:paraId="3D45B959"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Key management was identified as a critical consideration security. Best practice dictates that encryption keys should be stored separately from the data they protect, typically using a dedicated secrets management service [21][40]. This requirement influenced the database design, requiring additional fields to accommodate encrypted data with its corresponding keys.</w:t>
      </w:r>
    </w:p>
    <w:p w14:paraId="36E46A6B"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Not all fields require encryption. Fields such as county, constituency, and </w:t>
      </w:r>
      <w:r w:rsidRPr="001A0B18">
        <w:rPr>
          <w:rFonts w:ascii="Calibri" w:hAnsi="Calibri" w:cs="Calibri"/>
          <w:i/>
          <w:iCs/>
          <w:color w:val="000000" w:themeColor="text1"/>
          <w:sz w:val="20"/>
          <w:szCs w:val="20"/>
        </w:rPr>
        <w:t>“</w:t>
      </w:r>
      <w:proofErr w:type="spellStart"/>
      <w:r w:rsidRPr="001A0B18">
        <w:rPr>
          <w:rFonts w:ascii="Calibri" w:hAnsi="Calibri" w:cs="Calibri"/>
          <w:i/>
          <w:iCs/>
          <w:color w:val="000000" w:themeColor="text1"/>
          <w:sz w:val="20"/>
          <w:szCs w:val="20"/>
        </w:rPr>
        <w:t>HasVoted</w:t>
      </w:r>
      <w:proofErr w:type="spellEnd"/>
      <w:r w:rsidRPr="001A0B18">
        <w:rPr>
          <w:rFonts w:ascii="Calibri" w:hAnsi="Calibri" w:cs="Calibri"/>
          <w:i/>
          <w:iCs/>
          <w:color w:val="000000" w:themeColor="text1"/>
          <w:sz w:val="20"/>
          <w:szCs w:val="20"/>
        </w:rPr>
        <w:t>”</w:t>
      </w:r>
      <w:r w:rsidRPr="001A0B18">
        <w:rPr>
          <w:rFonts w:ascii="Calibri" w:hAnsi="Calibri" w:cs="Calibri"/>
          <w:color w:val="000000" w:themeColor="text1"/>
          <w:sz w:val="20"/>
          <w:szCs w:val="20"/>
        </w:rPr>
        <w:t xml:space="preserve"> are stored in plaintext, as they do not directly identify individuals. This allows efficient querying and reporting without unnecessary decryption overhead. This represents a deliberate trade-off between security and system usability.</w:t>
      </w:r>
    </w:p>
    <w:p w14:paraId="73D3519A" w14:textId="5CA71C7B"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For polling officials, partial protection was applied to the password field. Passwords are hashed rather than encrypted, as they do not need to be recovered, while usernames are stored in plaintext as they do not inherently contain sensitive information</w:t>
      </w:r>
      <w:r w:rsidR="00732898">
        <w:rPr>
          <w:rFonts w:ascii="Calibri" w:hAnsi="Calibri" w:cs="Calibri"/>
          <w:color w:val="000000" w:themeColor="text1"/>
          <w:sz w:val="20"/>
          <w:szCs w:val="20"/>
        </w:rPr>
        <w:t xml:space="preserve">, officials will be asked to not include personal information in their username. </w:t>
      </w:r>
    </w:p>
    <w:p w14:paraId="0CEE6CC5"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Biometric data is stored in encrypted form and is only decrypted temporarily during comparison within server memory. It is never exposed in plaintext outside this context, ensuring that database access alone would not reveal usable biometric data.</w:t>
      </w:r>
    </w:p>
    <w:p w14:paraId="31CF83BB" w14:textId="77777777" w:rsidR="00D44760" w:rsidRPr="001A0B18" w:rsidRDefault="00D44760" w:rsidP="00D44760">
      <w:pPr>
        <w:rPr>
          <w:rFonts w:ascii="Calibri" w:hAnsi="Calibri" w:cs="Calibri"/>
          <w:b/>
          <w:bCs/>
          <w:color w:val="000000" w:themeColor="text1"/>
          <w:sz w:val="20"/>
          <w:szCs w:val="20"/>
        </w:rPr>
      </w:pPr>
      <w:r w:rsidRPr="001A0B18">
        <w:rPr>
          <w:rFonts w:ascii="Calibri" w:hAnsi="Calibri" w:cs="Calibri"/>
          <w:b/>
          <w:bCs/>
          <w:color w:val="000000" w:themeColor="text1"/>
          <w:sz w:val="20"/>
          <w:szCs w:val="20"/>
        </w:rPr>
        <w:lastRenderedPageBreak/>
        <w:t>4.1.4 Authentication and Access Control</w:t>
      </w:r>
    </w:p>
    <w:p w14:paraId="00FD5F53" w14:textId="75288FF4"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The researcher investigated how to manage access across two distinct user roles within the system: voters and officials. JSON Web Tokens (JWT) were identified as a suitable mechanism for, role-based authentication, allowing the server to verify identity and permissions on each request without maintaining session state [22][23].</w:t>
      </w:r>
      <w:r w:rsidR="00AB078D">
        <w:rPr>
          <w:rFonts w:ascii="Calibri" w:hAnsi="Calibri" w:cs="Calibri"/>
          <w:color w:val="000000" w:themeColor="text1"/>
          <w:sz w:val="20"/>
          <w:szCs w:val="20"/>
        </w:rPr>
        <w:t xml:space="preserve"> </w:t>
      </w:r>
      <w:r w:rsidR="00AB078D" w:rsidRPr="00AB078D">
        <w:rPr>
          <w:rFonts w:ascii="Calibri" w:hAnsi="Calibri" w:cs="Calibri"/>
          <w:color w:val="000000" w:themeColor="text1"/>
          <w:sz w:val="20"/>
          <w:szCs w:val="20"/>
        </w:rPr>
        <w:t>Avoiding session state is beneficial because it removes the need for the server to store and manage user session data, allowing each request to be independently verified using</w:t>
      </w:r>
      <w:r w:rsidR="00AB078D">
        <w:rPr>
          <w:rFonts w:ascii="Calibri" w:hAnsi="Calibri" w:cs="Calibri"/>
          <w:color w:val="000000" w:themeColor="text1"/>
          <w:sz w:val="20"/>
          <w:szCs w:val="20"/>
        </w:rPr>
        <w:t xml:space="preserve"> a</w:t>
      </w:r>
      <w:r w:rsidR="00AB078D" w:rsidRPr="00AB078D">
        <w:rPr>
          <w:rFonts w:ascii="Calibri" w:hAnsi="Calibri" w:cs="Calibri"/>
          <w:color w:val="000000" w:themeColor="text1"/>
          <w:sz w:val="20"/>
          <w:szCs w:val="20"/>
        </w:rPr>
        <w:t xml:space="preserve"> </w:t>
      </w:r>
      <w:r w:rsidR="00AB078D">
        <w:rPr>
          <w:rFonts w:ascii="Calibri" w:hAnsi="Calibri" w:cs="Calibri"/>
          <w:color w:val="000000" w:themeColor="text1"/>
          <w:sz w:val="20"/>
          <w:szCs w:val="20"/>
        </w:rPr>
        <w:t xml:space="preserve">JWT, which reduces strain on the server. </w:t>
      </w:r>
    </w:p>
    <w:p w14:paraId="133EA415"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Token expiry was identified as a critical security consideration. Shorter expiry windows reduce the risk of token misuse if compromised. As officials interact with the system for longer durations than voters, different expiry periods are applied depending on the user role [23].</w:t>
      </w:r>
    </w:p>
    <w:p w14:paraId="6529848E" w14:textId="77777777" w:rsidR="00D44760" w:rsidRPr="001A0B18" w:rsidRDefault="00D44760" w:rsidP="00D44760">
      <w:pPr>
        <w:rPr>
          <w:rFonts w:ascii="Calibri" w:hAnsi="Calibri" w:cs="Calibri"/>
          <w:b/>
          <w:bCs/>
          <w:color w:val="000000" w:themeColor="text1"/>
          <w:sz w:val="20"/>
          <w:szCs w:val="20"/>
        </w:rPr>
      </w:pPr>
      <w:r w:rsidRPr="001A0B18">
        <w:rPr>
          <w:rFonts w:ascii="Calibri" w:hAnsi="Calibri" w:cs="Calibri"/>
          <w:b/>
          <w:bCs/>
          <w:color w:val="000000" w:themeColor="text1"/>
          <w:sz w:val="20"/>
          <w:szCs w:val="20"/>
        </w:rPr>
        <w:t>4.1.5 Password Security</w:t>
      </w:r>
    </w:p>
    <w:p w14:paraId="04CF3982"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For polling officials, secure password storage is required. The researcher investigated modern password hashing algorithms and identified Argon2 as the most suitable due to the salt [24]. Argon2 was selected due to its resistance to brute force and hardware accelerated attacks, making it suitable for protecting user credentials in a security critical system [24].</w:t>
      </w:r>
    </w:p>
    <w:p w14:paraId="1CDDDA0A" w14:textId="77777777" w:rsidR="00D44760" w:rsidRPr="001A0B18" w:rsidRDefault="00D44760" w:rsidP="00D44760">
      <w:pPr>
        <w:rPr>
          <w:rFonts w:ascii="Calibri" w:hAnsi="Calibri" w:cs="Calibri"/>
          <w:b/>
          <w:bCs/>
          <w:color w:val="000000" w:themeColor="text1"/>
          <w:sz w:val="20"/>
          <w:szCs w:val="20"/>
        </w:rPr>
      </w:pPr>
      <w:r w:rsidRPr="001A0B18">
        <w:rPr>
          <w:rFonts w:ascii="Calibri" w:hAnsi="Calibri" w:cs="Calibri"/>
          <w:b/>
          <w:bCs/>
          <w:color w:val="000000" w:themeColor="text1"/>
          <w:sz w:val="20"/>
          <w:szCs w:val="20"/>
        </w:rPr>
        <w:t>4.1.6 Database Lookup Protection</w:t>
      </w:r>
    </w:p>
    <w:p w14:paraId="060272C0"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A further concern identified was the risk of exposing voter identity during database lookups. Sending plaintext identity fields such as name, date of birth, and postcode introduces the risk of interception or logging at the server layer.</w:t>
      </w:r>
    </w:p>
    <w:p w14:paraId="26F8DD4F" w14:textId="461D83FC"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To address this, the researcher explored searchable encryption techniques. HMAC based token generation allows the system to perform lookups using a searchable deterministic index created from user information, without exposing the underlying plaintext data [25][59]. The searchable deterministic index enabled the system to use uniquely identifiable voter information to locate a fingerprint, without exposing personal data in plaintext during the process. The </w:t>
      </w:r>
      <w:r w:rsidR="00732898">
        <w:rPr>
          <w:rFonts w:ascii="Calibri" w:hAnsi="Calibri" w:cs="Calibri"/>
          <w:color w:val="000000" w:themeColor="text1"/>
          <w:sz w:val="20"/>
          <w:szCs w:val="20"/>
        </w:rPr>
        <w:t>information</w:t>
      </w:r>
      <w:r w:rsidRPr="001A0B18">
        <w:rPr>
          <w:rFonts w:ascii="Calibri" w:hAnsi="Calibri" w:cs="Calibri"/>
          <w:color w:val="000000" w:themeColor="text1"/>
          <w:sz w:val="20"/>
          <w:szCs w:val="20"/>
        </w:rPr>
        <w:t xml:space="preserve"> used is first name, last name, date of birth, postcode and town of birth</w:t>
      </w:r>
      <w:r w:rsidR="00732898">
        <w:rPr>
          <w:rFonts w:ascii="Calibri" w:hAnsi="Calibri" w:cs="Calibri"/>
          <w:color w:val="000000" w:themeColor="text1"/>
          <w:sz w:val="20"/>
          <w:szCs w:val="20"/>
        </w:rPr>
        <w:t xml:space="preserve"> [41][42][43][44][45][46][47][48]</w:t>
      </w:r>
      <w:r w:rsidRPr="001A0B18">
        <w:rPr>
          <w:rFonts w:ascii="Calibri" w:hAnsi="Calibri" w:cs="Calibri"/>
          <w:color w:val="000000" w:themeColor="text1"/>
          <w:sz w:val="20"/>
          <w:szCs w:val="20"/>
        </w:rPr>
        <w:t xml:space="preserve">. The combination of this data makes the chance of collision extremely small. </w:t>
      </w:r>
    </w:p>
    <w:p w14:paraId="344EE3F6"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The equations behind this statement are contained in the table below. </w:t>
      </w:r>
    </w:p>
    <w:tbl>
      <w:tblPr>
        <w:tblStyle w:val="TableGrid"/>
        <w:tblW w:w="0" w:type="auto"/>
        <w:tblLook w:val="04A0" w:firstRow="1" w:lastRow="0" w:firstColumn="1" w:lastColumn="0" w:noHBand="0" w:noVBand="1"/>
      </w:tblPr>
      <w:tblGrid>
        <w:gridCol w:w="2888"/>
        <w:gridCol w:w="3077"/>
        <w:gridCol w:w="3051"/>
      </w:tblGrid>
      <w:tr w:rsidR="00D44760" w:rsidRPr="001A0B18" w14:paraId="0C824418" w14:textId="77777777" w:rsidTr="008C4E96">
        <w:tc>
          <w:tcPr>
            <w:tcW w:w="2888" w:type="dxa"/>
          </w:tcPr>
          <w:p w14:paraId="518C1A0D" w14:textId="77777777" w:rsidR="00D44760" w:rsidRPr="001A0B18" w:rsidRDefault="00D44760" w:rsidP="008C4E96">
            <w:pPr>
              <w:rPr>
                <w:rFonts w:ascii="Calibri" w:hAnsi="Calibri" w:cs="Calibri"/>
                <w:b/>
                <w:bCs/>
                <w:color w:val="000000" w:themeColor="text1"/>
                <w:sz w:val="20"/>
                <w:szCs w:val="20"/>
              </w:rPr>
            </w:pPr>
            <w:r w:rsidRPr="001A0B18">
              <w:rPr>
                <w:rFonts w:ascii="Calibri" w:hAnsi="Calibri" w:cs="Calibri"/>
                <w:b/>
                <w:bCs/>
                <w:color w:val="000000" w:themeColor="text1"/>
                <w:sz w:val="20"/>
                <w:szCs w:val="20"/>
              </w:rPr>
              <w:t>Function</w:t>
            </w:r>
          </w:p>
        </w:tc>
        <w:tc>
          <w:tcPr>
            <w:tcW w:w="3077" w:type="dxa"/>
          </w:tcPr>
          <w:p w14:paraId="06D03BB8" w14:textId="77777777" w:rsidR="00D44760" w:rsidRPr="001A0B18" w:rsidRDefault="00D44760" w:rsidP="008C4E96">
            <w:pPr>
              <w:rPr>
                <w:rFonts w:ascii="Calibri" w:hAnsi="Calibri" w:cs="Calibri"/>
                <w:b/>
                <w:bCs/>
                <w:color w:val="000000" w:themeColor="text1"/>
                <w:sz w:val="20"/>
                <w:szCs w:val="20"/>
              </w:rPr>
            </w:pPr>
            <w:r w:rsidRPr="001A0B18">
              <w:rPr>
                <w:rFonts w:ascii="Calibri" w:hAnsi="Calibri" w:cs="Calibri"/>
                <w:b/>
                <w:bCs/>
                <w:color w:val="000000" w:themeColor="text1"/>
                <w:sz w:val="20"/>
                <w:szCs w:val="20"/>
              </w:rPr>
              <w:t>Field</w:t>
            </w:r>
          </w:p>
        </w:tc>
        <w:tc>
          <w:tcPr>
            <w:tcW w:w="3051" w:type="dxa"/>
          </w:tcPr>
          <w:p w14:paraId="7D8FB0E5" w14:textId="77777777" w:rsidR="00D44760" w:rsidRPr="001A0B18" w:rsidRDefault="00D44760" w:rsidP="008C4E96">
            <w:pPr>
              <w:rPr>
                <w:rFonts w:ascii="Calibri" w:hAnsi="Calibri" w:cs="Calibri"/>
                <w:b/>
                <w:bCs/>
                <w:color w:val="000000" w:themeColor="text1"/>
                <w:sz w:val="20"/>
                <w:szCs w:val="20"/>
              </w:rPr>
            </w:pPr>
            <w:r w:rsidRPr="001A0B18">
              <w:rPr>
                <w:rFonts w:ascii="Calibri" w:hAnsi="Calibri" w:cs="Calibri"/>
                <w:b/>
                <w:bCs/>
                <w:color w:val="000000" w:themeColor="text1"/>
                <w:sz w:val="20"/>
                <w:szCs w:val="20"/>
              </w:rPr>
              <w:t xml:space="preserve">Probability </w:t>
            </w:r>
          </w:p>
        </w:tc>
      </w:tr>
      <w:tr w:rsidR="00D44760" w:rsidRPr="001A0B18" w14:paraId="080BAE63" w14:textId="77777777" w:rsidTr="008C4E96">
        <w:tc>
          <w:tcPr>
            <w:tcW w:w="2888" w:type="dxa"/>
          </w:tcPr>
          <w:p w14:paraId="7C7B0CC7" w14:textId="77777777" w:rsidR="00D44760" w:rsidRPr="001A0B18" w:rsidRDefault="00D44760" w:rsidP="008C4E96">
            <w:pPr>
              <w:rPr>
                <w:rFonts w:ascii="Calibri" w:hAnsi="Calibri" w:cs="Calibri"/>
                <w:color w:val="000000" w:themeColor="text1"/>
                <w:sz w:val="20"/>
                <w:szCs w:val="20"/>
              </w:rPr>
            </w:pPr>
            <w:r w:rsidRPr="001A0B18">
              <w:rPr>
                <w:rFonts w:ascii="Calibri" w:hAnsi="Calibri" w:cs="Calibri"/>
                <w:color w:val="000000" w:themeColor="text1"/>
                <w:sz w:val="20"/>
                <w:szCs w:val="20"/>
              </w:rPr>
              <w:t>P(FN)</w:t>
            </w:r>
          </w:p>
        </w:tc>
        <w:tc>
          <w:tcPr>
            <w:tcW w:w="3077" w:type="dxa"/>
          </w:tcPr>
          <w:p w14:paraId="17A63A1D" w14:textId="77777777" w:rsidR="00D44760" w:rsidRPr="001A0B18" w:rsidRDefault="00D44760" w:rsidP="008C4E96">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First name </w:t>
            </w:r>
          </w:p>
        </w:tc>
        <w:tc>
          <w:tcPr>
            <w:tcW w:w="3051" w:type="dxa"/>
          </w:tcPr>
          <w:p w14:paraId="5F101BE9" w14:textId="77777777" w:rsidR="00D44760" w:rsidRPr="001A0B18" w:rsidRDefault="00000000" w:rsidP="008C4E96">
            <w:pPr>
              <w:rPr>
                <w:rFonts w:ascii="Calibri" w:hAnsi="Calibri" w:cs="Calibri"/>
                <w:color w:val="000000" w:themeColor="text1"/>
                <w:sz w:val="20"/>
                <w:szCs w:val="20"/>
              </w:rPr>
            </w:pPr>
            <m:oMathPara>
              <m:oMathParaPr>
                <m:jc m:val="left"/>
              </m:oMathParaPr>
              <m:oMath>
                <m:sSup>
                  <m:sSupPr>
                    <m:ctrlPr>
                      <w:rPr>
                        <w:rFonts w:ascii="Cambria Math" w:hAnsi="Cambria Math" w:cs="Calibri"/>
                        <w:color w:val="000000" w:themeColor="text1"/>
                        <w:sz w:val="20"/>
                        <w:szCs w:val="20"/>
                      </w:rPr>
                    </m:ctrlPr>
                  </m:sSupPr>
                  <m:e>
                    <m:r>
                      <w:rPr>
                        <w:rFonts w:ascii="Cambria Math" w:hAnsi="Cambria Math" w:cs="Calibri"/>
                        <w:color w:val="000000" w:themeColor="text1"/>
                        <w:sz w:val="20"/>
                        <w:szCs w:val="20"/>
                      </w:rPr>
                      <m:t xml:space="preserve"> 3 ×10</m:t>
                    </m:r>
                  </m:e>
                  <m:sup>
                    <m:r>
                      <w:rPr>
                        <w:rFonts w:ascii="Cambria Math" w:hAnsi="Cambria Math" w:cs="Calibri"/>
                        <w:color w:val="000000" w:themeColor="text1"/>
                        <w:sz w:val="20"/>
                        <w:szCs w:val="20"/>
                      </w:rPr>
                      <m:t>-3</m:t>
                    </m:r>
                  </m:sup>
                </m:sSup>
              </m:oMath>
            </m:oMathPara>
          </w:p>
        </w:tc>
      </w:tr>
      <w:tr w:rsidR="00D44760" w:rsidRPr="001A0B18" w14:paraId="732CA066" w14:textId="77777777" w:rsidTr="008C4E96">
        <w:tc>
          <w:tcPr>
            <w:tcW w:w="2888" w:type="dxa"/>
          </w:tcPr>
          <w:p w14:paraId="432DBF4A" w14:textId="77777777" w:rsidR="00D44760" w:rsidRPr="001A0B18" w:rsidRDefault="00D44760" w:rsidP="008C4E96">
            <w:pPr>
              <w:rPr>
                <w:rFonts w:ascii="Calibri" w:hAnsi="Calibri" w:cs="Calibri"/>
                <w:color w:val="000000" w:themeColor="text1"/>
                <w:sz w:val="20"/>
                <w:szCs w:val="20"/>
              </w:rPr>
            </w:pPr>
            <w:r w:rsidRPr="001A0B18">
              <w:rPr>
                <w:rFonts w:ascii="Calibri" w:hAnsi="Calibri" w:cs="Calibri"/>
                <w:color w:val="000000" w:themeColor="text1"/>
                <w:sz w:val="20"/>
                <w:szCs w:val="20"/>
              </w:rPr>
              <w:t>P(Ln)</w:t>
            </w:r>
          </w:p>
        </w:tc>
        <w:tc>
          <w:tcPr>
            <w:tcW w:w="3077" w:type="dxa"/>
          </w:tcPr>
          <w:p w14:paraId="4D1063FB" w14:textId="77777777" w:rsidR="00D44760" w:rsidRPr="001A0B18" w:rsidRDefault="00D44760" w:rsidP="008C4E96">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Last name </w:t>
            </w:r>
          </w:p>
        </w:tc>
        <w:tc>
          <w:tcPr>
            <w:tcW w:w="3051" w:type="dxa"/>
          </w:tcPr>
          <w:p w14:paraId="08D875D2" w14:textId="77777777" w:rsidR="00D44760" w:rsidRPr="001A0B18" w:rsidRDefault="00D44760" w:rsidP="008C4E96">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 </w:t>
            </w:r>
            <m:oMath>
              <m:sSup>
                <m:sSupPr>
                  <m:ctrlPr>
                    <w:rPr>
                      <w:rFonts w:ascii="Cambria Math" w:hAnsi="Cambria Math" w:cs="Calibri"/>
                      <w:color w:val="000000" w:themeColor="text1"/>
                      <w:sz w:val="20"/>
                      <w:szCs w:val="20"/>
                    </w:rPr>
                  </m:ctrlPr>
                </m:sSupPr>
                <m:e>
                  <m:r>
                    <w:rPr>
                      <w:rFonts w:ascii="Cambria Math" w:hAnsi="Cambria Math" w:cs="Calibri"/>
                      <w:color w:val="000000" w:themeColor="text1"/>
                      <w:sz w:val="20"/>
                      <w:szCs w:val="20"/>
                    </w:rPr>
                    <m:t>1  ×10</m:t>
                  </m:r>
                </m:e>
                <m:sup>
                  <m:r>
                    <w:rPr>
                      <w:rFonts w:ascii="Cambria Math" w:hAnsi="Cambria Math" w:cs="Calibri"/>
                      <w:color w:val="000000" w:themeColor="text1"/>
                      <w:sz w:val="20"/>
                      <w:szCs w:val="20"/>
                    </w:rPr>
                    <m:t>-3</m:t>
                  </m:r>
                </m:sup>
              </m:sSup>
            </m:oMath>
          </w:p>
        </w:tc>
      </w:tr>
      <w:tr w:rsidR="00D44760" w:rsidRPr="001A0B18" w14:paraId="246BD0B9" w14:textId="77777777" w:rsidTr="008C4E96">
        <w:tc>
          <w:tcPr>
            <w:tcW w:w="2888" w:type="dxa"/>
          </w:tcPr>
          <w:p w14:paraId="12126238" w14:textId="77777777" w:rsidR="00D44760" w:rsidRPr="001A0B18" w:rsidRDefault="00D44760" w:rsidP="008C4E96">
            <w:pPr>
              <w:rPr>
                <w:rFonts w:ascii="Calibri" w:hAnsi="Calibri" w:cs="Calibri"/>
                <w:color w:val="000000" w:themeColor="text1"/>
                <w:sz w:val="20"/>
                <w:szCs w:val="20"/>
              </w:rPr>
            </w:pPr>
            <w:r w:rsidRPr="001A0B18">
              <w:rPr>
                <w:rFonts w:ascii="Calibri" w:hAnsi="Calibri" w:cs="Calibri"/>
                <w:color w:val="000000" w:themeColor="text1"/>
                <w:sz w:val="20"/>
                <w:szCs w:val="20"/>
              </w:rPr>
              <w:t>P(</w:t>
            </w:r>
            <w:proofErr w:type="spellStart"/>
            <w:r w:rsidRPr="001A0B18">
              <w:rPr>
                <w:rFonts w:ascii="Calibri" w:hAnsi="Calibri" w:cs="Calibri"/>
                <w:color w:val="000000" w:themeColor="text1"/>
                <w:sz w:val="20"/>
                <w:szCs w:val="20"/>
              </w:rPr>
              <w:t>DoB</w:t>
            </w:r>
            <w:proofErr w:type="spellEnd"/>
            <w:r w:rsidRPr="001A0B18">
              <w:rPr>
                <w:rFonts w:ascii="Calibri" w:hAnsi="Calibri" w:cs="Calibri"/>
                <w:color w:val="000000" w:themeColor="text1"/>
                <w:sz w:val="20"/>
                <w:szCs w:val="20"/>
              </w:rPr>
              <w:t>)</w:t>
            </w:r>
          </w:p>
        </w:tc>
        <w:tc>
          <w:tcPr>
            <w:tcW w:w="3077" w:type="dxa"/>
          </w:tcPr>
          <w:p w14:paraId="664EA6E1" w14:textId="77777777" w:rsidR="00D44760" w:rsidRPr="001A0B18" w:rsidRDefault="00D44760" w:rsidP="008C4E96">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Date Of Birth </w:t>
            </w:r>
          </w:p>
        </w:tc>
        <w:tc>
          <w:tcPr>
            <w:tcW w:w="3051" w:type="dxa"/>
          </w:tcPr>
          <w:p w14:paraId="7264E9D7" w14:textId="77777777" w:rsidR="00D44760" w:rsidRPr="001A0B18" w:rsidRDefault="00D44760" w:rsidP="008C4E96">
            <w:pPr>
              <w:rPr>
                <w:rFonts w:ascii="Calibri" w:hAnsi="Calibri" w:cs="Calibri"/>
                <w:color w:val="000000" w:themeColor="text1"/>
                <w:sz w:val="20"/>
                <w:szCs w:val="20"/>
              </w:rPr>
            </w:pPr>
            <w:r w:rsidRPr="001A0B18">
              <w:rPr>
                <w:rFonts w:ascii="Cambria Math" w:hAnsi="Cambria Math" w:cs="Calibri"/>
                <w:i/>
                <w:color w:val="000000" w:themeColor="text1"/>
                <w:sz w:val="20"/>
                <w:szCs w:val="20"/>
              </w:rPr>
              <w:t xml:space="preserve"> </w:t>
            </w:r>
            <m:oMath>
              <m:sSup>
                <m:sSupPr>
                  <m:ctrlPr>
                    <w:rPr>
                      <w:rFonts w:ascii="Cambria Math" w:hAnsi="Cambria Math" w:cs="Calibri"/>
                      <w:color w:val="000000" w:themeColor="text1"/>
                      <w:sz w:val="20"/>
                      <w:szCs w:val="20"/>
                    </w:rPr>
                  </m:ctrlPr>
                </m:sSupPr>
                <m:e>
                  <m:r>
                    <w:rPr>
                      <w:rFonts w:ascii="Cambria Math" w:hAnsi="Cambria Math" w:cs="Calibri"/>
                      <w:color w:val="000000" w:themeColor="text1"/>
                      <w:sz w:val="20"/>
                      <w:szCs w:val="20"/>
                    </w:rPr>
                    <m:t>2.7  ×10</m:t>
                  </m:r>
                </m:e>
                <m:sup>
                  <m:r>
                    <w:rPr>
                      <w:rFonts w:ascii="Cambria Math" w:hAnsi="Cambria Math" w:cs="Calibri"/>
                      <w:color w:val="000000" w:themeColor="text1"/>
                      <w:sz w:val="20"/>
                      <w:szCs w:val="20"/>
                    </w:rPr>
                    <m:t>-5</m:t>
                  </m:r>
                </m:sup>
              </m:sSup>
            </m:oMath>
          </w:p>
        </w:tc>
      </w:tr>
      <w:tr w:rsidR="00D44760" w:rsidRPr="001A0B18" w14:paraId="258DBF68" w14:textId="77777777" w:rsidTr="008C4E96">
        <w:tc>
          <w:tcPr>
            <w:tcW w:w="2888" w:type="dxa"/>
          </w:tcPr>
          <w:p w14:paraId="5733072C" w14:textId="77777777" w:rsidR="00D44760" w:rsidRPr="001A0B18" w:rsidRDefault="00D44760" w:rsidP="008C4E96">
            <w:pPr>
              <w:rPr>
                <w:rFonts w:ascii="Calibri" w:hAnsi="Calibri" w:cs="Calibri"/>
                <w:color w:val="000000" w:themeColor="text1"/>
                <w:sz w:val="20"/>
                <w:szCs w:val="20"/>
              </w:rPr>
            </w:pPr>
            <w:r w:rsidRPr="001A0B18">
              <w:rPr>
                <w:rFonts w:ascii="Calibri" w:hAnsi="Calibri" w:cs="Calibri"/>
                <w:color w:val="000000" w:themeColor="text1"/>
                <w:sz w:val="20"/>
                <w:szCs w:val="20"/>
              </w:rPr>
              <w:t>P(PC)</w:t>
            </w:r>
          </w:p>
        </w:tc>
        <w:tc>
          <w:tcPr>
            <w:tcW w:w="3077" w:type="dxa"/>
          </w:tcPr>
          <w:p w14:paraId="5BA70524" w14:textId="77777777" w:rsidR="00D44760" w:rsidRPr="001A0B18" w:rsidRDefault="00D44760" w:rsidP="008C4E96">
            <w:pPr>
              <w:rPr>
                <w:rFonts w:ascii="Calibri" w:hAnsi="Calibri" w:cs="Calibri"/>
                <w:color w:val="000000" w:themeColor="text1"/>
                <w:sz w:val="20"/>
                <w:szCs w:val="20"/>
              </w:rPr>
            </w:pPr>
            <w:r w:rsidRPr="001A0B18">
              <w:rPr>
                <w:rFonts w:ascii="Calibri" w:hAnsi="Calibri" w:cs="Calibri"/>
                <w:color w:val="000000" w:themeColor="text1"/>
                <w:sz w:val="20"/>
                <w:szCs w:val="20"/>
              </w:rPr>
              <w:t>Post Code</w:t>
            </w:r>
          </w:p>
        </w:tc>
        <w:tc>
          <w:tcPr>
            <w:tcW w:w="3051" w:type="dxa"/>
          </w:tcPr>
          <w:p w14:paraId="317D0DF8" w14:textId="77777777" w:rsidR="00D44760" w:rsidRPr="001A0B18" w:rsidRDefault="00D44760" w:rsidP="008C4E96">
            <w:pPr>
              <w:rPr>
                <w:rFonts w:ascii="Calibri" w:hAnsi="Calibri" w:cs="Calibri"/>
                <w:color w:val="000000" w:themeColor="text1"/>
                <w:sz w:val="20"/>
                <w:szCs w:val="20"/>
              </w:rPr>
            </w:pPr>
            <w:r w:rsidRPr="001A0B18">
              <w:rPr>
                <w:rFonts w:ascii="Cambria Math" w:hAnsi="Cambria Math" w:cs="Calibri"/>
                <w:i/>
                <w:color w:val="000000" w:themeColor="text1"/>
                <w:sz w:val="20"/>
                <w:szCs w:val="20"/>
              </w:rPr>
              <w:t xml:space="preserve"> </w:t>
            </w:r>
            <m:oMath>
              <m:sSup>
                <m:sSupPr>
                  <m:ctrlPr>
                    <w:rPr>
                      <w:rFonts w:ascii="Cambria Math" w:hAnsi="Cambria Math" w:cs="Calibri"/>
                      <w:color w:val="000000" w:themeColor="text1"/>
                      <w:sz w:val="20"/>
                      <w:szCs w:val="20"/>
                    </w:rPr>
                  </m:ctrlPr>
                </m:sSupPr>
                <m:e>
                  <m:r>
                    <w:rPr>
                      <w:rFonts w:ascii="Cambria Math" w:hAnsi="Cambria Math" w:cs="Calibri"/>
                      <w:color w:val="000000" w:themeColor="text1"/>
                      <w:sz w:val="20"/>
                      <w:szCs w:val="20"/>
                    </w:rPr>
                    <m:t>5.9 ×10</m:t>
                  </m:r>
                </m:e>
                <m:sup>
                  <m:r>
                    <w:rPr>
                      <w:rFonts w:ascii="Cambria Math" w:hAnsi="Cambria Math" w:cs="Calibri"/>
                      <w:color w:val="000000" w:themeColor="text1"/>
                      <w:sz w:val="20"/>
                      <w:szCs w:val="20"/>
                    </w:rPr>
                    <m:t>-7</m:t>
                  </m:r>
                </m:sup>
              </m:sSup>
            </m:oMath>
          </w:p>
        </w:tc>
      </w:tr>
      <w:tr w:rsidR="00D44760" w:rsidRPr="001A0B18" w14:paraId="282B79FF" w14:textId="77777777" w:rsidTr="008C4E96">
        <w:tc>
          <w:tcPr>
            <w:tcW w:w="2888" w:type="dxa"/>
          </w:tcPr>
          <w:p w14:paraId="49F4CA3A" w14:textId="77777777" w:rsidR="00D44760" w:rsidRPr="001A0B18" w:rsidRDefault="00D44760" w:rsidP="008C4E96">
            <w:pPr>
              <w:rPr>
                <w:rFonts w:ascii="Calibri" w:hAnsi="Calibri" w:cs="Calibri"/>
                <w:color w:val="000000" w:themeColor="text1"/>
                <w:sz w:val="20"/>
                <w:szCs w:val="20"/>
              </w:rPr>
            </w:pPr>
            <w:r w:rsidRPr="001A0B18">
              <w:rPr>
                <w:rFonts w:ascii="Calibri" w:hAnsi="Calibri" w:cs="Calibri"/>
                <w:color w:val="000000" w:themeColor="text1"/>
                <w:sz w:val="20"/>
                <w:szCs w:val="20"/>
              </w:rPr>
              <w:t>P(</w:t>
            </w:r>
            <w:proofErr w:type="spellStart"/>
            <w:r w:rsidRPr="001A0B18">
              <w:rPr>
                <w:rFonts w:ascii="Calibri" w:hAnsi="Calibri" w:cs="Calibri"/>
                <w:color w:val="000000" w:themeColor="text1"/>
                <w:sz w:val="20"/>
                <w:szCs w:val="20"/>
              </w:rPr>
              <w:t>ToB</w:t>
            </w:r>
            <w:proofErr w:type="spellEnd"/>
            <w:r w:rsidRPr="001A0B18">
              <w:rPr>
                <w:rFonts w:ascii="Calibri" w:hAnsi="Calibri" w:cs="Calibri"/>
                <w:color w:val="000000" w:themeColor="text1"/>
                <w:sz w:val="20"/>
                <w:szCs w:val="20"/>
              </w:rPr>
              <w:t>)</w:t>
            </w:r>
          </w:p>
        </w:tc>
        <w:tc>
          <w:tcPr>
            <w:tcW w:w="3077" w:type="dxa"/>
          </w:tcPr>
          <w:p w14:paraId="4EFEFDEB" w14:textId="77777777" w:rsidR="00D44760" w:rsidRPr="001A0B18" w:rsidRDefault="00D44760" w:rsidP="008C4E96">
            <w:pPr>
              <w:rPr>
                <w:rFonts w:ascii="Calibri" w:hAnsi="Calibri" w:cs="Calibri"/>
                <w:color w:val="000000" w:themeColor="text1"/>
                <w:sz w:val="20"/>
                <w:szCs w:val="20"/>
              </w:rPr>
            </w:pPr>
            <w:r w:rsidRPr="001A0B18">
              <w:rPr>
                <w:rFonts w:ascii="Calibri" w:hAnsi="Calibri" w:cs="Calibri"/>
                <w:color w:val="000000" w:themeColor="text1"/>
                <w:sz w:val="20"/>
                <w:szCs w:val="20"/>
              </w:rPr>
              <w:t>Town Of Birth</w:t>
            </w:r>
          </w:p>
        </w:tc>
        <w:tc>
          <w:tcPr>
            <w:tcW w:w="3051" w:type="dxa"/>
          </w:tcPr>
          <w:p w14:paraId="275FFAF6" w14:textId="77777777" w:rsidR="00D44760" w:rsidRPr="001A0B18" w:rsidRDefault="00D44760" w:rsidP="008C4E96">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 </w:t>
            </w:r>
            <m:oMath>
              <m:sSup>
                <m:sSupPr>
                  <m:ctrlPr>
                    <w:rPr>
                      <w:rFonts w:ascii="Cambria Math" w:hAnsi="Cambria Math" w:cs="Calibri"/>
                      <w:color w:val="000000" w:themeColor="text1"/>
                      <w:sz w:val="20"/>
                      <w:szCs w:val="20"/>
                    </w:rPr>
                  </m:ctrlPr>
                </m:sSupPr>
                <m:e>
                  <m:r>
                    <w:rPr>
                      <w:rFonts w:ascii="Cambria Math" w:hAnsi="Cambria Math" w:cs="Calibri"/>
                      <w:color w:val="000000" w:themeColor="text1"/>
                      <w:sz w:val="20"/>
                      <w:szCs w:val="20"/>
                    </w:rPr>
                    <m:t>2  ×10</m:t>
                  </m:r>
                </m:e>
                <m:sup>
                  <m:r>
                    <w:rPr>
                      <w:rFonts w:ascii="Cambria Math" w:hAnsi="Cambria Math" w:cs="Calibri"/>
                      <w:color w:val="000000" w:themeColor="text1"/>
                      <w:sz w:val="20"/>
                      <w:szCs w:val="20"/>
                    </w:rPr>
                    <m:t>-4</m:t>
                  </m:r>
                </m:sup>
              </m:sSup>
            </m:oMath>
          </w:p>
        </w:tc>
      </w:tr>
    </w:tbl>
    <w:p w14:paraId="26F4022E" w14:textId="0C3513BA" w:rsidR="00D44760" w:rsidRPr="001A0B18" w:rsidRDefault="00D44760" w:rsidP="00D44760">
      <w:pPr>
        <w:jc w:val="center"/>
        <w:rPr>
          <w:rFonts w:ascii="Calibri" w:hAnsi="Calibri" w:cs="Calibri"/>
          <w:i/>
          <w:iCs/>
          <w:color w:val="000000" w:themeColor="text1"/>
          <w:sz w:val="20"/>
          <w:szCs w:val="20"/>
        </w:rPr>
      </w:pPr>
      <w:r w:rsidRPr="001A0B18">
        <w:rPr>
          <w:rFonts w:ascii="Calibri" w:hAnsi="Calibri" w:cs="Calibri"/>
          <w:b/>
          <w:bCs/>
          <w:i/>
          <w:iCs/>
          <w:color w:val="000000" w:themeColor="text1"/>
          <w:sz w:val="20"/>
          <w:szCs w:val="20"/>
        </w:rPr>
        <w:t xml:space="preserve">Table </w:t>
      </w:r>
      <w:r w:rsidR="00EF4E26">
        <w:rPr>
          <w:rFonts w:ascii="Calibri" w:hAnsi="Calibri" w:cs="Calibri"/>
          <w:b/>
          <w:bCs/>
          <w:i/>
          <w:iCs/>
          <w:color w:val="000000" w:themeColor="text1"/>
          <w:sz w:val="20"/>
          <w:szCs w:val="20"/>
        </w:rPr>
        <w:t>2</w:t>
      </w:r>
      <w:r w:rsidRPr="001A0B18">
        <w:rPr>
          <w:rFonts w:ascii="Calibri" w:hAnsi="Calibri" w:cs="Calibri"/>
          <w:b/>
          <w:bCs/>
          <w:i/>
          <w:iCs/>
          <w:color w:val="000000" w:themeColor="text1"/>
          <w:sz w:val="20"/>
          <w:szCs w:val="20"/>
        </w:rPr>
        <w:t>.</w:t>
      </w:r>
      <w:r w:rsidRPr="001A0B18">
        <w:rPr>
          <w:rFonts w:ascii="Calibri" w:hAnsi="Calibri" w:cs="Calibri"/>
          <w:i/>
          <w:iCs/>
          <w:color w:val="000000" w:themeColor="text1"/>
          <w:sz w:val="20"/>
          <w:szCs w:val="20"/>
        </w:rPr>
        <w:t xml:space="preserve"> Formula used in the probability calculations.</w:t>
      </w:r>
    </w:p>
    <w:p w14:paraId="7A0470AE"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The probability of a database record colliding with another is calculates as follows:</w:t>
      </w:r>
    </w:p>
    <w:p w14:paraId="1763B87A" w14:textId="77777777" w:rsidR="00D44760" w:rsidRPr="001A0B18" w:rsidRDefault="00D44760" w:rsidP="00D44760">
      <w:pPr>
        <w:rPr>
          <w:rFonts w:ascii="Calibri" w:eastAsiaTheme="minorEastAsia" w:hAnsi="Calibri" w:cs="Calibri"/>
          <w:color w:val="000000" w:themeColor="text1"/>
          <w:sz w:val="20"/>
          <w:szCs w:val="20"/>
        </w:rPr>
      </w:pPr>
      <m:oMathPara>
        <m:oMath>
          <m:r>
            <w:rPr>
              <w:rFonts w:ascii="Cambria Math" w:hAnsi="Cambria Math" w:cs="Calibri"/>
              <w:color w:val="000000" w:themeColor="text1"/>
              <w:sz w:val="20"/>
              <w:szCs w:val="20"/>
            </w:rPr>
            <m:t>Probability of collision= P(FN)×P(LN)×P(DoB)×P(PC)×P(ToB)</m:t>
          </m:r>
        </m:oMath>
      </m:oMathPara>
    </w:p>
    <w:p w14:paraId="67A8DE22" w14:textId="77777777" w:rsidR="00D44760" w:rsidRPr="001A0B18" w:rsidRDefault="00D44760" w:rsidP="00D44760">
      <w:pPr>
        <w:rPr>
          <w:rFonts w:ascii="Calibri" w:eastAsiaTheme="minorEastAsia" w:hAnsi="Calibri" w:cs="Calibri"/>
          <w:color w:val="000000" w:themeColor="text1"/>
          <w:sz w:val="20"/>
          <w:szCs w:val="20"/>
        </w:rPr>
      </w:pPr>
      <w:r w:rsidRPr="001A0B18">
        <w:rPr>
          <w:rFonts w:ascii="Calibri" w:eastAsiaTheme="minorEastAsia" w:hAnsi="Calibri" w:cs="Calibri"/>
          <w:color w:val="000000" w:themeColor="text1"/>
          <w:sz w:val="20"/>
          <w:szCs w:val="20"/>
        </w:rPr>
        <w:t xml:space="preserve">The resulting probability </w:t>
      </w:r>
      <w:r w:rsidRPr="003631EB">
        <w:rPr>
          <w:rFonts w:ascii="Calibri" w:eastAsiaTheme="minorEastAsia" w:hAnsi="Calibri" w:cs="Calibri"/>
          <w:color w:val="000000" w:themeColor="text1"/>
          <w:sz w:val="20"/>
          <w:szCs w:val="20"/>
        </w:rPr>
        <w:t>is</w:t>
      </w:r>
      <m:oMath>
        <m:r>
          <m:rPr>
            <m:sty m:val="bi"/>
          </m:rPr>
          <w:rPr>
            <w:rFonts w:ascii="Cambria Math" w:eastAsiaTheme="minorEastAsia" w:hAnsi="Cambria Math" w:cs="Calibri"/>
            <w:color w:val="000000" w:themeColor="text1"/>
            <w:sz w:val="20"/>
            <w:szCs w:val="20"/>
          </w:rPr>
          <m:t xml:space="preserve"> 2.4 ×</m:t>
        </m:r>
        <m:sSup>
          <m:sSupPr>
            <m:ctrlPr>
              <w:rPr>
                <w:rFonts w:ascii="Cambria Math" w:eastAsiaTheme="minorEastAsia" w:hAnsi="Cambria Math" w:cs="Calibri"/>
                <w:b/>
                <w:bCs/>
                <w:i/>
                <w:color w:val="000000" w:themeColor="text1"/>
                <w:sz w:val="20"/>
                <w:szCs w:val="20"/>
              </w:rPr>
            </m:ctrlPr>
          </m:sSupPr>
          <m:e>
            <m:r>
              <m:rPr>
                <m:sty m:val="bi"/>
              </m:rPr>
              <w:rPr>
                <w:rFonts w:ascii="Cambria Math" w:eastAsiaTheme="minorEastAsia" w:hAnsi="Cambria Math" w:cs="Calibri"/>
                <w:color w:val="000000" w:themeColor="text1"/>
                <w:sz w:val="20"/>
                <w:szCs w:val="20"/>
              </w:rPr>
              <m:t>10</m:t>
            </m:r>
          </m:e>
          <m:sup>
            <m:r>
              <m:rPr>
                <m:sty m:val="bi"/>
              </m:rPr>
              <w:rPr>
                <w:rFonts w:ascii="Cambria Math" w:eastAsiaTheme="minorEastAsia" w:hAnsi="Cambria Math" w:cs="Calibri"/>
                <w:color w:val="000000" w:themeColor="text1"/>
                <w:sz w:val="20"/>
                <w:szCs w:val="20"/>
              </w:rPr>
              <m:t>-21</m:t>
            </m:r>
          </m:sup>
        </m:sSup>
      </m:oMath>
      <w:r w:rsidRPr="001A0B18">
        <w:rPr>
          <w:rFonts w:ascii="Calibri" w:eastAsiaTheme="minorEastAsia" w:hAnsi="Calibri" w:cs="Calibri"/>
          <w:color w:val="000000" w:themeColor="text1"/>
          <w:sz w:val="20"/>
          <w:szCs w:val="20"/>
        </w:rPr>
        <w:t xml:space="preserve">, this is notably small and reduces the natural chances of a collision to almost 0. </w:t>
      </w:r>
      <w:r w:rsidRPr="003631EB">
        <w:rPr>
          <w:rFonts w:ascii="Calibri" w:eastAsiaTheme="minorEastAsia" w:hAnsi="Calibri" w:cs="Calibri"/>
          <w:color w:val="000000" w:themeColor="text1"/>
          <w:sz w:val="20"/>
          <w:szCs w:val="20"/>
        </w:rPr>
        <w:t>However, collisions arising from identical twins remain a realistic possibility, and this scenario has been accounted for and resolved within the system’s implementation.</w:t>
      </w:r>
    </w:p>
    <w:p w14:paraId="545EB8EF"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An alternative approach would be to query using plaintext or directly encrypted fields; however, this was rejected due to the increased risk of sensitive data exposure during processing.</w:t>
      </w:r>
    </w:p>
    <w:p w14:paraId="50E988F5" w14:textId="6E20693F"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The National Insurance number is treated as an exception and is not used as a searchable. The reason for this is due to one big issue, not all voters have a National Insurance number, but all votes need the information used in the searchable deterministic index to vote, thus National Insurance number was not used [9]. Figure </w:t>
      </w:r>
      <w:r w:rsidR="00EF4E26">
        <w:rPr>
          <w:rFonts w:ascii="Calibri" w:hAnsi="Calibri" w:cs="Calibri"/>
          <w:color w:val="000000" w:themeColor="text1"/>
          <w:sz w:val="20"/>
          <w:szCs w:val="20"/>
        </w:rPr>
        <w:t>1</w:t>
      </w:r>
      <w:r w:rsidRPr="001A0B18">
        <w:rPr>
          <w:rFonts w:ascii="Calibri" w:hAnsi="Calibri" w:cs="Calibri"/>
          <w:color w:val="000000" w:themeColor="text1"/>
          <w:sz w:val="20"/>
          <w:szCs w:val="20"/>
        </w:rPr>
        <w:t xml:space="preserve"> </w:t>
      </w:r>
      <w:r w:rsidRPr="001A0B18">
        <w:rPr>
          <w:rFonts w:ascii="Calibri" w:hAnsi="Calibri" w:cs="Calibri"/>
          <w:color w:val="000000" w:themeColor="text1"/>
          <w:sz w:val="20"/>
          <w:szCs w:val="20"/>
        </w:rPr>
        <w:lastRenderedPageBreak/>
        <w:t xml:space="preserve">illustrates the full voter authentication flow; it includes how the system does deal with collisions by iterating through the candidate records.  </w:t>
      </w:r>
    </w:p>
    <w:p w14:paraId="2A37FA91"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noProof/>
          <w:color w:val="000000" w:themeColor="text1"/>
          <w:sz w:val="20"/>
          <w:szCs w:val="20"/>
        </w:rPr>
        <w:drawing>
          <wp:inline distT="0" distB="0" distL="0" distR="0" wp14:anchorId="7F3D7928" wp14:editId="745DEB7D">
            <wp:extent cx="3678405" cy="8004412"/>
            <wp:effectExtent l="0" t="0" r="5715" b="3810"/>
            <wp:docPr id="610082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78405" cy="8004412"/>
                    </a:xfrm>
                    <a:prstGeom prst="rect">
                      <a:avLst/>
                    </a:prstGeom>
                    <a:noFill/>
                    <a:ln>
                      <a:noFill/>
                    </a:ln>
                  </pic:spPr>
                </pic:pic>
              </a:graphicData>
            </a:graphic>
          </wp:inline>
        </w:drawing>
      </w:r>
    </w:p>
    <w:p w14:paraId="4094652B" w14:textId="0298C63F"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Figure </w:t>
      </w:r>
      <w:r w:rsidR="00EF4E26">
        <w:rPr>
          <w:rFonts w:ascii="Calibri" w:hAnsi="Calibri" w:cs="Calibri"/>
          <w:color w:val="000000" w:themeColor="text1"/>
          <w:sz w:val="20"/>
          <w:szCs w:val="20"/>
        </w:rPr>
        <w:t>1</w:t>
      </w:r>
      <w:r w:rsidRPr="001A0B18">
        <w:rPr>
          <w:rFonts w:ascii="Calibri" w:hAnsi="Calibri" w:cs="Calibri"/>
          <w:color w:val="000000" w:themeColor="text1"/>
          <w:sz w:val="20"/>
          <w:szCs w:val="20"/>
        </w:rPr>
        <w:t xml:space="preserve"> – Sequence Diagram of Authentication Flow as a Voter</w:t>
      </w:r>
      <w:r>
        <w:rPr>
          <w:rFonts w:ascii="Calibri" w:hAnsi="Calibri" w:cs="Calibri"/>
          <w:color w:val="000000" w:themeColor="text1"/>
          <w:sz w:val="20"/>
          <w:szCs w:val="20"/>
        </w:rPr>
        <w:t xml:space="preserve">. </w:t>
      </w:r>
    </w:p>
    <w:p w14:paraId="17F9E9F5" w14:textId="77777777" w:rsidR="00D44760" w:rsidRPr="001A0B18" w:rsidRDefault="00D44760" w:rsidP="00D44760">
      <w:pPr>
        <w:rPr>
          <w:rFonts w:ascii="Calibri" w:hAnsi="Calibri" w:cs="Calibri"/>
          <w:color w:val="000000" w:themeColor="text1"/>
          <w:sz w:val="20"/>
          <w:szCs w:val="20"/>
        </w:rPr>
      </w:pPr>
    </w:p>
    <w:p w14:paraId="69910C7B" w14:textId="77777777" w:rsidR="00D44760" w:rsidRPr="001A0B18" w:rsidRDefault="00D44760" w:rsidP="00D44760">
      <w:pPr>
        <w:rPr>
          <w:rFonts w:ascii="Calibri" w:hAnsi="Calibri" w:cs="Calibri"/>
          <w:color w:val="000000" w:themeColor="text1"/>
          <w:sz w:val="20"/>
          <w:szCs w:val="20"/>
        </w:rPr>
      </w:pPr>
    </w:p>
    <w:p w14:paraId="7C98B886" w14:textId="77777777" w:rsidR="00D44760" w:rsidRPr="001A0B18" w:rsidRDefault="00D44760" w:rsidP="00D44760">
      <w:pPr>
        <w:rPr>
          <w:rFonts w:ascii="Calibri" w:hAnsi="Calibri" w:cs="Calibri"/>
          <w:b/>
          <w:bCs/>
          <w:color w:val="000000" w:themeColor="text1"/>
          <w:sz w:val="20"/>
          <w:szCs w:val="20"/>
        </w:rPr>
      </w:pPr>
      <w:r w:rsidRPr="001A0B18">
        <w:rPr>
          <w:rFonts w:ascii="Calibri" w:hAnsi="Calibri" w:cs="Calibri"/>
          <w:b/>
          <w:bCs/>
          <w:color w:val="000000" w:themeColor="text1"/>
          <w:sz w:val="20"/>
          <w:szCs w:val="20"/>
        </w:rPr>
        <w:t>4.1.7 Linking Code Integrity</w:t>
      </w:r>
    </w:p>
    <w:p w14:paraId="09EBF7D3" w14:textId="1F1562E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Session linking codes, used to associate sessions across system components, are hashed using SHA-256. SHA-256 was selected due to its computational efficiency, which is appropriate given that these codes are frequently regenerated </w:t>
      </w:r>
      <w:r w:rsidR="00D04876">
        <w:rPr>
          <w:rFonts w:ascii="Calibri" w:hAnsi="Calibri" w:cs="Calibri"/>
          <w:color w:val="000000" w:themeColor="text1"/>
          <w:sz w:val="20"/>
          <w:szCs w:val="20"/>
        </w:rPr>
        <w:t xml:space="preserve">as officials are instructed to change them each day </w:t>
      </w:r>
      <w:r w:rsidRPr="001A0B18">
        <w:rPr>
          <w:rFonts w:ascii="Calibri" w:hAnsi="Calibri" w:cs="Calibri"/>
          <w:color w:val="000000" w:themeColor="text1"/>
          <w:sz w:val="20"/>
          <w:szCs w:val="20"/>
        </w:rPr>
        <w:t>[54].</w:t>
      </w:r>
    </w:p>
    <w:p w14:paraId="3C8F18F8"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Brute force attacks are not considered a practical concern in this context, as the codes rotate regularly, limiting the usefulness of any successful attack. </w:t>
      </w:r>
    </w:p>
    <w:p w14:paraId="58BDA83A" w14:textId="77777777" w:rsidR="00D44760" w:rsidRPr="001A0B18" w:rsidRDefault="00D44760" w:rsidP="00D44760">
      <w:pPr>
        <w:rPr>
          <w:rFonts w:ascii="Calibri" w:hAnsi="Calibri" w:cs="Calibri"/>
          <w:b/>
          <w:bCs/>
          <w:color w:val="000000" w:themeColor="text1"/>
          <w:sz w:val="20"/>
          <w:szCs w:val="20"/>
        </w:rPr>
      </w:pPr>
      <w:r w:rsidRPr="001A0B18">
        <w:rPr>
          <w:rFonts w:ascii="Calibri" w:hAnsi="Calibri" w:cs="Calibri"/>
          <w:b/>
          <w:bCs/>
          <w:color w:val="000000" w:themeColor="text1"/>
          <w:sz w:val="20"/>
          <w:szCs w:val="20"/>
        </w:rPr>
        <w:t>4.2 System Structure</w:t>
      </w:r>
    </w:p>
    <w:p w14:paraId="7EEB9381" w14:textId="2C312A11"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The system consists of four main components: server, database, two client applications, and a hosting platform. The technologies selected for each component were chosen based on compatibility, security, and project constraints. </w:t>
      </w:r>
      <w:r w:rsidRPr="000D4F43">
        <w:rPr>
          <w:rFonts w:ascii="Calibri" w:hAnsi="Calibri" w:cs="Calibri"/>
          <w:color w:val="000000" w:themeColor="text1"/>
          <w:sz w:val="20"/>
          <w:szCs w:val="20"/>
        </w:rPr>
        <w:t xml:space="preserve">Figure </w:t>
      </w:r>
      <w:r w:rsidR="00EF4E26">
        <w:rPr>
          <w:rFonts w:ascii="Calibri" w:hAnsi="Calibri" w:cs="Calibri"/>
          <w:color w:val="000000" w:themeColor="text1"/>
          <w:sz w:val="20"/>
          <w:szCs w:val="20"/>
        </w:rPr>
        <w:t>2</w:t>
      </w:r>
      <w:r w:rsidRPr="000D4F43">
        <w:rPr>
          <w:rFonts w:ascii="Calibri" w:hAnsi="Calibri" w:cs="Calibri"/>
          <w:color w:val="000000" w:themeColor="text1"/>
          <w:sz w:val="20"/>
          <w:szCs w:val="20"/>
        </w:rPr>
        <w:t xml:space="preserve"> presents the </w:t>
      </w:r>
      <w:r>
        <w:rPr>
          <w:rFonts w:ascii="Calibri" w:hAnsi="Calibri" w:cs="Calibri"/>
          <w:color w:val="000000" w:themeColor="text1"/>
          <w:sz w:val="20"/>
          <w:szCs w:val="20"/>
        </w:rPr>
        <w:t>communication</w:t>
      </w:r>
      <w:r w:rsidRPr="000D4F43">
        <w:rPr>
          <w:rFonts w:ascii="Calibri" w:hAnsi="Calibri" w:cs="Calibri"/>
          <w:color w:val="000000" w:themeColor="text1"/>
          <w:sz w:val="20"/>
          <w:szCs w:val="20"/>
        </w:rPr>
        <w:t xml:space="preserve"> between the system’s components.</w:t>
      </w:r>
    </w:p>
    <w:p w14:paraId="2E86C548"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noProof/>
          <w:color w:val="000000" w:themeColor="text1"/>
          <w:sz w:val="20"/>
          <w:szCs w:val="20"/>
        </w:rPr>
        <w:drawing>
          <wp:inline distT="0" distB="0" distL="0" distR="0" wp14:anchorId="52201345" wp14:editId="33901775">
            <wp:extent cx="2718486" cy="2484771"/>
            <wp:effectExtent l="0" t="0" r="5715" b="0"/>
            <wp:docPr id="6464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0602" name=""/>
                    <pic:cNvPicPr/>
                  </pic:nvPicPr>
                  <pic:blipFill>
                    <a:blip r:embed="rId7"/>
                    <a:stretch>
                      <a:fillRect/>
                    </a:stretch>
                  </pic:blipFill>
                  <pic:spPr>
                    <a:xfrm>
                      <a:off x="0" y="0"/>
                      <a:ext cx="2738475" cy="2503042"/>
                    </a:xfrm>
                    <a:prstGeom prst="rect">
                      <a:avLst/>
                    </a:prstGeom>
                  </pic:spPr>
                </pic:pic>
              </a:graphicData>
            </a:graphic>
          </wp:inline>
        </w:drawing>
      </w:r>
    </w:p>
    <w:p w14:paraId="034B3A18" w14:textId="47606553"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Figure </w:t>
      </w:r>
      <w:r w:rsidR="00EF4E26">
        <w:rPr>
          <w:rFonts w:ascii="Calibri" w:hAnsi="Calibri" w:cs="Calibri"/>
          <w:color w:val="000000" w:themeColor="text1"/>
          <w:sz w:val="20"/>
          <w:szCs w:val="20"/>
        </w:rPr>
        <w:t>2</w:t>
      </w:r>
      <w:r w:rsidRPr="001A0B18">
        <w:rPr>
          <w:rFonts w:ascii="Calibri" w:hAnsi="Calibri" w:cs="Calibri"/>
          <w:color w:val="000000" w:themeColor="text1"/>
          <w:sz w:val="20"/>
          <w:szCs w:val="20"/>
        </w:rPr>
        <w:t xml:space="preserve"> - System Architecture Diagram </w:t>
      </w:r>
    </w:p>
    <w:p w14:paraId="78006383" w14:textId="77777777" w:rsidR="00D44760" w:rsidRPr="001A0B18" w:rsidRDefault="00D44760" w:rsidP="00D44760">
      <w:pPr>
        <w:rPr>
          <w:rFonts w:ascii="Calibri" w:hAnsi="Calibri" w:cs="Calibri"/>
          <w:b/>
          <w:bCs/>
          <w:color w:val="000000" w:themeColor="text1"/>
          <w:sz w:val="20"/>
          <w:szCs w:val="20"/>
        </w:rPr>
      </w:pPr>
      <w:r w:rsidRPr="001A0B18">
        <w:rPr>
          <w:rFonts w:ascii="Calibri" w:hAnsi="Calibri" w:cs="Calibri"/>
          <w:b/>
          <w:bCs/>
          <w:color w:val="000000" w:themeColor="text1"/>
          <w:sz w:val="20"/>
          <w:szCs w:val="20"/>
        </w:rPr>
        <w:t>4.2.1 Back End</w:t>
      </w:r>
    </w:p>
    <w:p w14:paraId="41F68CA8"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ASP.NET Core on .NET 8 was selected due to its cross platform compatibility and ability to support both API and application development within a single ecosystem [27]. As a long term support release, it benefits from ongoing security updates, making it suitable for a security critical system such as an e-voting platform.</w:t>
      </w:r>
    </w:p>
    <w:p w14:paraId="2A7EE160"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Methods for communication between the server and clients were evaluated next. Initially, HTTP polling was considered due to its simplicity. However, it introduced latency and unnecessary network overhead. </w:t>
      </w:r>
      <w:proofErr w:type="spellStart"/>
      <w:r w:rsidRPr="001A0B18">
        <w:rPr>
          <w:rFonts w:ascii="Calibri" w:hAnsi="Calibri" w:cs="Calibri"/>
          <w:color w:val="000000" w:themeColor="text1"/>
          <w:sz w:val="20"/>
          <w:szCs w:val="20"/>
        </w:rPr>
        <w:t>SignalR</w:t>
      </w:r>
      <w:proofErr w:type="spellEnd"/>
      <w:r w:rsidRPr="001A0B18">
        <w:rPr>
          <w:rFonts w:ascii="Calibri" w:hAnsi="Calibri" w:cs="Calibri"/>
          <w:color w:val="000000" w:themeColor="text1"/>
          <w:sz w:val="20"/>
          <w:szCs w:val="20"/>
        </w:rPr>
        <w:t xml:space="preserve"> was selected instead, as it enables persistent, two way communication, allowing the server to push updates to clients in real time [28].</w:t>
      </w:r>
    </w:p>
    <w:p w14:paraId="6098D945" w14:textId="6E7238F9"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This approach improves responsiveness and ensures system state remains consistent across multiple active clients. The responsiveness was deemed essential as statuses are sent to the official app when issues occur on the voter device. The</w:t>
      </w:r>
      <w:r w:rsidR="00F11CE4">
        <w:rPr>
          <w:rFonts w:ascii="Calibri" w:hAnsi="Calibri" w:cs="Calibri"/>
          <w:color w:val="000000" w:themeColor="text1"/>
          <w:sz w:val="20"/>
          <w:szCs w:val="20"/>
        </w:rPr>
        <w:t xml:space="preserve"> polling</w:t>
      </w:r>
      <w:r w:rsidRPr="001A0B18">
        <w:rPr>
          <w:rFonts w:ascii="Calibri" w:hAnsi="Calibri" w:cs="Calibri"/>
          <w:color w:val="000000" w:themeColor="text1"/>
          <w:sz w:val="20"/>
          <w:szCs w:val="20"/>
        </w:rPr>
        <w:t xml:space="preserve"> status messages were found to arrive 30 seconds after the status change had occurred, making warning statuses outdated.</w:t>
      </w:r>
      <w:r w:rsidR="00F11CE4">
        <w:rPr>
          <w:rFonts w:ascii="Calibri" w:hAnsi="Calibri" w:cs="Calibri"/>
          <w:color w:val="000000" w:themeColor="text1"/>
          <w:sz w:val="20"/>
          <w:szCs w:val="20"/>
        </w:rPr>
        <w:t xml:space="preserve"> This encouraged the use of </w:t>
      </w:r>
      <w:proofErr w:type="spellStart"/>
      <w:r w:rsidR="00F11CE4">
        <w:rPr>
          <w:rFonts w:ascii="Calibri" w:hAnsi="Calibri" w:cs="Calibri"/>
          <w:color w:val="000000" w:themeColor="text1"/>
          <w:sz w:val="20"/>
          <w:szCs w:val="20"/>
        </w:rPr>
        <w:t>SignalR</w:t>
      </w:r>
      <w:proofErr w:type="spellEnd"/>
      <w:r w:rsidR="00F11CE4">
        <w:rPr>
          <w:rFonts w:ascii="Calibri" w:hAnsi="Calibri" w:cs="Calibri"/>
          <w:color w:val="000000" w:themeColor="text1"/>
          <w:sz w:val="20"/>
          <w:szCs w:val="20"/>
        </w:rPr>
        <w:t xml:space="preserve"> and its persistent connection to maintain the functionality of status updates. </w:t>
      </w:r>
    </w:p>
    <w:p w14:paraId="62D40B26"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A key design feature of the server is its channels. The </w:t>
      </w:r>
      <w:proofErr w:type="spellStart"/>
      <w:r w:rsidRPr="001A0B18">
        <w:rPr>
          <w:rFonts w:ascii="Calibri" w:hAnsi="Calibri" w:cs="Calibri"/>
          <w:color w:val="000000" w:themeColor="text1"/>
          <w:sz w:val="20"/>
          <w:szCs w:val="20"/>
        </w:rPr>
        <w:t>SignalR</w:t>
      </w:r>
      <w:proofErr w:type="spellEnd"/>
      <w:r w:rsidRPr="001A0B18">
        <w:rPr>
          <w:rFonts w:ascii="Calibri" w:hAnsi="Calibri" w:cs="Calibri"/>
          <w:color w:val="000000" w:themeColor="text1"/>
          <w:sz w:val="20"/>
          <w:szCs w:val="20"/>
        </w:rPr>
        <w:t xml:space="preserve"> channels are organised firstly by county and then by constituency. This channel structure is designed to speed up finding a channel, making connections faster. This organisation also can be used to assign more server power to certain counties with a high number of </w:t>
      </w:r>
      <w:r w:rsidRPr="001A0B18">
        <w:rPr>
          <w:rFonts w:ascii="Calibri" w:hAnsi="Calibri" w:cs="Calibri"/>
          <w:color w:val="000000" w:themeColor="text1"/>
          <w:sz w:val="20"/>
          <w:szCs w:val="20"/>
        </w:rPr>
        <w:lastRenderedPageBreak/>
        <w:t>connections, as a higher population a county might need more polling stations than others. This supports scalability, as system load can be distributed geographically without requiring architectural changes.</w:t>
      </w:r>
    </w:p>
    <w:p w14:paraId="7BBC9DE6"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The active election configuration is hardcoded in the current implementation. While a dynamic configuration system would provide greater flexibility, it introduces a risk of accidental or malicious modification to negate election results. Hardcoding removes this risk and ensures changes require deliberate redeployment.</w:t>
      </w:r>
    </w:p>
    <w:p w14:paraId="0E026C61" w14:textId="77777777" w:rsidR="00D44760" w:rsidRPr="001A0B18" w:rsidRDefault="00D44760" w:rsidP="00D44760">
      <w:pPr>
        <w:rPr>
          <w:rFonts w:ascii="Calibri" w:hAnsi="Calibri" w:cs="Calibri"/>
          <w:b/>
          <w:bCs/>
          <w:color w:val="000000" w:themeColor="text1"/>
          <w:sz w:val="20"/>
          <w:szCs w:val="20"/>
        </w:rPr>
      </w:pPr>
      <w:r w:rsidRPr="001A0B18">
        <w:rPr>
          <w:rFonts w:ascii="Calibri" w:hAnsi="Calibri" w:cs="Calibri"/>
          <w:b/>
          <w:bCs/>
          <w:color w:val="000000" w:themeColor="text1"/>
          <w:sz w:val="20"/>
          <w:szCs w:val="20"/>
        </w:rPr>
        <w:t>4.2.2 Front End</w:t>
      </w:r>
    </w:p>
    <w:p w14:paraId="0E048767"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Several front end frameworks were evaluated for this system. WPF was rejected due to it only being compatible with Windows, and MAUI was discounted as its Linux desktop support was not production ready at the time of development. Avalonia was elected as the framework in this project. Avalonia is a cross platform User Interface (UI) framework for .NET that supports multiple operating systems from a single codebase, reducing development complexity and ensuring compatibility with the chosen backend technologies [29].</w:t>
      </w:r>
    </w:p>
    <w:p w14:paraId="5ECB3CCE"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Alongside Avalonia, the researcher adopted the Model-View-</w:t>
      </w:r>
      <w:proofErr w:type="spellStart"/>
      <w:r w:rsidRPr="001A0B18">
        <w:rPr>
          <w:rFonts w:ascii="Calibri" w:hAnsi="Calibri" w:cs="Calibri"/>
          <w:color w:val="000000" w:themeColor="text1"/>
          <w:sz w:val="20"/>
          <w:szCs w:val="20"/>
        </w:rPr>
        <w:t>ViewModel</w:t>
      </w:r>
      <w:proofErr w:type="spellEnd"/>
      <w:r w:rsidRPr="001A0B18">
        <w:rPr>
          <w:rFonts w:ascii="Calibri" w:hAnsi="Calibri" w:cs="Calibri"/>
          <w:color w:val="000000" w:themeColor="text1"/>
          <w:sz w:val="20"/>
          <w:szCs w:val="20"/>
        </w:rPr>
        <w:t xml:space="preserve"> (MVVM) architectural pattern to structure the front end codebase. MVVM enforces a clear separation between the user interface (View), the application logic (</w:t>
      </w:r>
      <w:proofErr w:type="spellStart"/>
      <w:r w:rsidRPr="001A0B18">
        <w:rPr>
          <w:rFonts w:ascii="Calibri" w:hAnsi="Calibri" w:cs="Calibri"/>
          <w:color w:val="000000" w:themeColor="text1"/>
          <w:sz w:val="20"/>
          <w:szCs w:val="20"/>
        </w:rPr>
        <w:t>ViewModel</w:t>
      </w:r>
      <w:proofErr w:type="spellEnd"/>
      <w:r w:rsidRPr="001A0B18">
        <w:rPr>
          <w:rFonts w:ascii="Calibri" w:hAnsi="Calibri" w:cs="Calibri"/>
          <w:color w:val="000000" w:themeColor="text1"/>
          <w:sz w:val="20"/>
          <w:szCs w:val="20"/>
        </w:rPr>
        <w:t xml:space="preserve">), and the underlying data (Model). This separation was particularly beneficial in this project as it allowed the UI to be developed and modified independently of the logic, which proved valuable during the redesign phases driven by user feedback. Avalonia's native support for data binding made MVVM a natural fit, as </w:t>
      </w:r>
      <w:proofErr w:type="spellStart"/>
      <w:r w:rsidRPr="001A0B18">
        <w:rPr>
          <w:rFonts w:ascii="Calibri" w:hAnsi="Calibri" w:cs="Calibri"/>
          <w:color w:val="000000" w:themeColor="text1"/>
          <w:sz w:val="20"/>
          <w:szCs w:val="20"/>
        </w:rPr>
        <w:t>ViewModels</w:t>
      </w:r>
      <w:proofErr w:type="spellEnd"/>
      <w:r w:rsidRPr="001A0B18">
        <w:rPr>
          <w:rFonts w:ascii="Calibri" w:hAnsi="Calibri" w:cs="Calibri"/>
          <w:color w:val="000000" w:themeColor="text1"/>
          <w:sz w:val="20"/>
          <w:szCs w:val="20"/>
        </w:rPr>
        <w:t xml:space="preserve"> could expose properties and commands that the View binds to directly, reducing the need for code behind and keeping the interface logic clean and testable.</w:t>
      </w:r>
    </w:p>
    <w:p w14:paraId="35E88221"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Usability was a key design consideration, as the system is intended for use across the UK’s population ranging from all technical ability. To support this, a simple and structured interface was designed, incorporating guided inputs and constrained controls where possible. This approach reduces user error and limits the range of acceptable input, which also contributes to minimising the system’s attack surface [49].</w:t>
      </w:r>
    </w:p>
    <w:p w14:paraId="33D4F6EB"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At the initial design stage, two key aspects guided the development process. The first was to create an intuitive user interface (UI) that is accessible to users of all ages. The second was to minimise user input in order to reduce the system’s attack surface. To support these goals, high fidelity mock ups of both the voter and official application were produced. These were hand drawn on an iPad using Notability and are included in Appendix A.</w:t>
      </w:r>
    </w:p>
    <w:p w14:paraId="0C11616D" w14:textId="3CF70445"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The design of the mock ups followed the defined user stories (Appendix B), ensuring that the researcher remained focused on the system’s intended functionality while developing a user friendly interface. However, the first round of user surveys revealed several usability issues within the UI. In particular, the interface shown in Figure </w:t>
      </w:r>
      <w:r w:rsidR="00EF4E26">
        <w:rPr>
          <w:rFonts w:ascii="Calibri" w:hAnsi="Calibri" w:cs="Calibri"/>
          <w:color w:val="000000" w:themeColor="text1"/>
          <w:sz w:val="20"/>
          <w:szCs w:val="20"/>
        </w:rPr>
        <w:t>3</w:t>
      </w:r>
      <w:r w:rsidRPr="001A0B18">
        <w:rPr>
          <w:rFonts w:ascii="Calibri" w:hAnsi="Calibri" w:cs="Calibri"/>
          <w:color w:val="000000" w:themeColor="text1"/>
          <w:sz w:val="20"/>
          <w:szCs w:val="20"/>
        </w:rPr>
        <w:t xml:space="preserve"> was consistently identified by participants as complex, unclear, and visually cluttered. Based on this feedback, the researcher simplified this view.</w:t>
      </w:r>
    </w:p>
    <w:p w14:paraId="11D35417" w14:textId="7C7F57B4"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Although the initial revisions focused primarily on improving Figure </w:t>
      </w:r>
      <w:r w:rsidR="00EF4E26">
        <w:rPr>
          <w:rFonts w:ascii="Calibri" w:hAnsi="Calibri" w:cs="Calibri"/>
          <w:color w:val="000000" w:themeColor="text1"/>
          <w:sz w:val="20"/>
          <w:szCs w:val="20"/>
        </w:rPr>
        <w:t>3</w:t>
      </w:r>
      <w:r w:rsidRPr="001A0B18">
        <w:rPr>
          <w:rFonts w:ascii="Calibri" w:hAnsi="Calibri" w:cs="Calibri"/>
          <w:color w:val="000000" w:themeColor="text1"/>
          <w:sz w:val="20"/>
          <w:szCs w:val="20"/>
        </w:rPr>
        <w:t xml:space="preserve">, feedback from the second round of surveys highlighted broader concerns regarding the not yet styled and inconsistent appearance of the interface. As a result, a more comprehensive redesign of the entire system was undertaken by the researcher using feedback from the surveys. </w:t>
      </w:r>
    </w:p>
    <w:p w14:paraId="734DA063" w14:textId="77777777" w:rsidR="00D44760" w:rsidRPr="001A0B18" w:rsidRDefault="00D44760" w:rsidP="00D44760">
      <w:pPr>
        <w:jc w:val="center"/>
        <w:rPr>
          <w:rFonts w:ascii="Calibri" w:hAnsi="Calibri" w:cs="Calibri"/>
          <w:color w:val="000000" w:themeColor="text1"/>
          <w:sz w:val="20"/>
          <w:szCs w:val="20"/>
        </w:rPr>
      </w:pPr>
      <w:r w:rsidRPr="001A0B18">
        <w:rPr>
          <w:noProof/>
          <w:sz w:val="20"/>
          <w:szCs w:val="20"/>
        </w:rPr>
        <w:lastRenderedPageBreak/>
        <w:drawing>
          <wp:inline distT="0" distB="0" distL="0" distR="0" wp14:anchorId="39E0B1BB" wp14:editId="7C0F1EAF">
            <wp:extent cx="3638035" cy="2099145"/>
            <wp:effectExtent l="0" t="0" r="635" b="0"/>
            <wp:docPr id="1611841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84409" cy="2125903"/>
                    </a:xfrm>
                    <a:prstGeom prst="rect">
                      <a:avLst/>
                    </a:prstGeom>
                    <a:noFill/>
                    <a:ln>
                      <a:noFill/>
                    </a:ln>
                  </pic:spPr>
                </pic:pic>
              </a:graphicData>
            </a:graphic>
          </wp:inline>
        </w:drawing>
      </w:r>
    </w:p>
    <w:p w14:paraId="040EF25A" w14:textId="13C41DBF" w:rsidR="00D44760" w:rsidRPr="001A0B18" w:rsidRDefault="00D44760" w:rsidP="00D44760">
      <w:pPr>
        <w:jc w:val="center"/>
        <w:rPr>
          <w:rFonts w:ascii="Calibri" w:hAnsi="Calibri" w:cs="Calibri"/>
          <w:color w:val="000000" w:themeColor="text1"/>
          <w:sz w:val="20"/>
          <w:szCs w:val="20"/>
        </w:rPr>
      </w:pPr>
      <w:r w:rsidRPr="001A0B18">
        <w:rPr>
          <w:rFonts w:ascii="Calibri" w:hAnsi="Calibri" w:cs="Calibri"/>
          <w:color w:val="000000" w:themeColor="text1"/>
          <w:sz w:val="20"/>
          <w:szCs w:val="20"/>
        </w:rPr>
        <w:t xml:space="preserve">Figure </w:t>
      </w:r>
      <w:r w:rsidR="00EF4E26">
        <w:rPr>
          <w:rFonts w:ascii="Calibri" w:hAnsi="Calibri" w:cs="Calibri"/>
          <w:color w:val="000000" w:themeColor="text1"/>
          <w:sz w:val="20"/>
          <w:szCs w:val="20"/>
        </w:rPr>
        <w:t>3</w:t>
      </w:r>
      <w:r w:rsidRPr="001A0B18">
        <w:rPr>
          <w:rFonts w:ascii="Calibri" w:hAnsi="Calibri" w:cs="Calibri"/>
          <w:color w:val="000000" w:themeColor="text1"/>
          <w:sz w:val="20"/>
          <w:szCs w:val="20"/>
        </w:rPr>
        <w:t xml:space="preserve"> Official Polling Station Management Screen</w:t>
      </w:r>
    </w:p>
    <w:p w14:paraId="4C7407E3" w14:textId="77777777" w:rsidR="00D44760" w:rsidRPr="001A0B18" w:rsidRDefault="00D44760" w:rsidP="00D44760">
      <w:pPr>
        <w:rPr>
          <w:rFonts w:ascii="Calibri" w:hAnsi="Calibri" w:cs="Calibri"/>
          <w:b/>
          <w:bCs/>
          <w:color w:val="000000" w:themeColor="text1"/>
          <w:sz w:val="20"/>
          <w:szCs w:val="20"/>
        </w:rPr>
      </w:pPr>
      <w:r w:rsidRPr="001A0B18">
        <w:rPr>
          <w:rFonts w:ascii="Calibri" w:hAnsi="Calibri" w:cs="Calibri"/>
          <w:b/>
          <w:bCs/>
          <w:color w:val="000000" w:themeColor="text1"/>
          <w:sz w:val="20"/>
          <w:szCs w:val="20"/>
        </w:rPr>
        <w:t>4.2.3 Database</w:t>
      </w:r>
    </w:p>
    <w:p w14:paraId="1A5F7B37"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PostgreSQL was selected as the database system due to its reliability, strong support for structured data, and compatibility with the chosen technology stack [30]. </w:t>
      </w:r>
    </w:p>
    <w:p w14:paraId="5C06A819"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Entity Framework Core (EF Core) was used as the Object Relational Mapper, allowing interaction with the database through object oriented code rather than raw SQL queries [30]. This improves development efficiency and supports parameterised queries, reducing the risk of SQL injection. [30]</w:t>
      </w:r>
    </w:p>
    <w:p w14:paraId="066BACFD"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The system follows data minimisation principles, storing only the information required for identity verification and administration. Fields used for lookup are transformed into searchable indices, ensuring that sensitive data is not stored in plaintext while still allowing efficient queries.</w:t>
      </w:r>
    </w:p>
    <w:p w14:paraId="6BD81A95"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The database schema was adapted to support the encryption model described in Section 4.1.3, reflecting how security requirements influenced the overall system design. </w:t>
      </w:r>
    </w:p>
    <w:p w14:paraId="5C80BA91" w14:textId="77777777" w:rsidR="00D44760" w:rsidRPr="001A0B18" w:rsidRDefault="00D44760" w:rsidP="00D44760">
      <w:pPr>
        <w:spacing w:after="0" w:line="240" w:lineRule="auto"/>
        <w:rPr>
          <w:rFonts w:ascii="Calibri" w:hAnsi="Calibri" w:cs="Calibri"/>
          <w:color w:val="000000" w:themeColor="text1"/>
          <w:sz w:val="20"/>
          <w:szCs w:val="20"/>
        </w:rPr>
        <w:sectPr w:rsidR="00D44760" w:rsidRPr="001A0B18" w:rsidSect="00D44760">
          <w:type w:val="continuous"/>
          <w:pgSz w:w="11906" w:h="16838"/>
          <w:pgMar w:top="1440" w:right="1440" w:bottom="1440" w:left="1440" w:header="708" w:footer="708" w:gutter="0"/>
          <w:cols w:space="708"/>
          <w:docGrid w:linePitch="360"/>
        </w:sectPr>
      </w:pPr>
    </w:p>
    <w:p w14:paraId="51823101" w14:textId="77777777" w:rsidR="00D44760" w:rsidRPr="001A0B18" w:rsidRDefault="00D44760" w:rsidP="00D44760">
      <w:pPr>
        <w:spacing w:after="0" w:line="240" w:lineRule="auto"/>
        <w:rPr>
          <w:rFonts w:ascii="Calibri" w:hAnsi="Calibri" w:cs="Calibri"/>
          <w:i/>
          <w:iCs/>
          <w:color w:val="000000" w:themeColor="text1"/>
          <w:sz w:val="20"/>
          <w:szCs w:val="20"/>
        </w:rPr>
      </w:pPr>
      <w:r w:rsidRPr="001A0B18">
        <w:rPr>
          <w:rFonts w:ascii="Calibri" w:hAnsi="Calibri" w:cs="Calibri"/>
          <w:color w:val="000000" w:themeColor="text1"/>
          <w:sz w:val="20"/>
          <w:szCs w:val="20"/>
        </w:rPr>
        <w:lastRenderedPageBreak/>
        <w:br/>
      </w:r>
      <w:r w:rsidRPr="001A0B18">
        <w:rPr>
          <w:rFonts w:ascii="Calibri" w:hAnsi="Calibri" w:cs="Calibri"/>
          <w:noProof/>
          <w:color w:val="000000" w:themeColor="text1"/>
          <w:sz w:val="20"/>
          <w:szCs w:val="20"/>
        </w:rPr>
        <w:drawing>
          <wp:inline distT="0" distB="0" distL="0" distR="0" wp14:anchorId="6B1911EA" wp14:editId="3BD11F0A">
            <wp:extent cx="9221050" cy="4275437"/>
            <wp:effectExtent l="0" t="0" r="0" b="0"/>
            <wp:docPr id="78989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97066" name=""/>
                    <pic:cNvPicPr/>
                  </pic:nvPicPr>
                  <pic:blipFill>
                    <a:blip r:embed="rId9"/>
                    <a:stretch>
                      <a:fillRect/>
                    </a:stretch>
                  </pic:blipFill>
                  <pic:spPr>
                    <a:xfrm>
                      <a:off x="0" y="0"/>
                      <a:ext cx="9262230" cy="4294531"/>
                    </a:xfrm>
                    <a:prstGeom prst="rect">
                      <a:avLst/>
                    </a:prstGeom>
                  </pic:spPr>
                </pic:pic>
              </a:graphicData>
            </a:graphic>
          </wp:inline>
        </w:drawing>
      </w:r>
    </w:p>
    <w:p w14:paraId="0A9ED586" w14:textId="622BC6DA" w:rsidR="00D44760" w:rsidRPr="001A0B18" w:rsidRDefault="00D44760" w:rsidP="00D44760">
      <w:pPr>
        <w:spacing w:after="0" w:line="240" w:lineRule="auto"/>
        <w:jc w:val="center"/>
        <w:rPr>
          <w:rFonts w:ascii="Calibri" w:hAnsi="Calibri" w:cs="Calibri"/>
          <w:i/>
          <w:iCs/>
          <w:color w:val="000000" w:themeColor="text1"/>
          <w:sz w:val="20"/>
          <w:szCs w:val="20"/>
        </w:rPr>
      </w:pPr>
      <w:r w:rsidRPr="001A0B18">
        <w:rPr>
          <w:rFonts w:ascii="Calibri" w:hAnsi="Calibri" w:cs="Calibri"/>
          <w:i/>
          <w:iCs/>
          <w:color w:val="000000" w:themeColor="text1"/>
          <w:sz w:val="20"/>
          <w:szCs w:val="20"/>
        </w:rPr>
        <w:t xml:space="preserve">Figure </w:t>
      </w:r>
      <w:r w:rsidR="00AC39EC">
        <w:rPr>
          <w:rFonts w:ascii="Calibri" w:hAnsi="Calibri" w:cs="Calibri"/>
          <w:i/>
          <w:iCs/>
          <w:color w:val="000000" w:themeColor="text1"/>
          <w:sz w:val="20"/>
          <w:szCs w:val="20"/>
        </w:rPr>
        <w:t>4</w:t>
      </w:r>
      <w:r w:rsidRPr="001A0B18">
        <w:rPr>
          <w:rFonts w:ascii="Calibri" w:hAnsi="Calibri" w:cs="Calibri"/>
          <w:i/>
          <w:iCs/>
          <w:color w:val="000000" w:themeColor="text1"/>
          <w:sz w:val="20"/>
          <w:szCs w:val="20"/>
        </w:rPr>
        <w:t xml:space="preserve"> Entity Relationship Diagram showing structure and connections of tables in the systems database</w:t>
      </w:r>
    </w:p>
    <w:p w14:paraId="0A722736" w14:textId="77777777" w:rsidR="00D44760" w:rsidRPr="001A0B18" w:rsidRDefault="00D44760" w:rsidP="00D44760">
      <w:pPr>
        <w:spacing w:after="0" w:line="240" w:lineRule="auto"/>
        <w:jc w:val="center"/>
        <w:rPr>
          <w:rFonts w:ascii="Calibri" w:hAnsi="Calibri" w:cs="Calibri"/>
          <w:color w:val="000000" w:themeColor="text1"/>
          <w:sz w:val="20"/>
          <w:szCs w:val="20"/>
        </w:rPr>
      </w:pPr>
    </w:p>
    <w:p w14:paraId="5856F890" w14:textId="77777777" w:rsidR="00D44760" w:rsidRPr="001A0B18" w:rsidRDefault="00D44760" w:rsidP="00D44760">
      <w:pPr>
        <w:spacing w:after="0" w:line="240" w:lineRule="auto"/>
        <w:rPr>
          <w:rFonts w:ascii="Calibri" w:hAnsi="Calibri" w:cs="Calibri"/>
          <w:color w:val="000000" w:themeColor="text1"/>
          <w:sz w:val="20"/>
          <w:szCs w:val="20"/>
        </w:rPr>
      </w:pPr>
    </w:p>
    <w:p w14:paraId="1B8AA420" w14:textId="77777777" w:rsidR="00D44760" w:rsidRPr="001A0B18" w:rsidRDefault="00D44760" w:rsidP="00D44760">
      <w:pPr>
        <w:spacing w:after="0" w:line="240" w:lineRule="auto"/>
        <w:rPr>
          <w:rFonts w:ascii="Calibri" w:hAnsi="Calibri" w:cs="Calibri"/>
          <w:color w:val="000000" w:themeColor="text1"/>
          <w:sz w:val="20"/>
          <w:szCs w:val="20"/>
        </w:rPr>
      </w:pPr>
    </w:p>
    <w:p w14:paraId="30C7241C" w14:textId="77777777" w:rsidR="00D44760" w:rsidRPr="001A0B18" w:rsidRDefault="00D44760" w:rsidP="00D44760">
      <w:pPr>
        <w:spacing w:after="0" w:line="240" w:lineRule="auto"/>
        <w:rPr>
          <w:rFonts w:ascii="Calibri" w:hAnsi="Calibri" w:cs="Calibri"/>
          <w:color w:val="000000" w:themeColor="text1"/>
          <w:sz w:val="20"/>
          <w:szCs w:val="20"/>
        </w:rPr>
      </w:pPr>
    </w:p>
    <w:p w14:paraId="62C120C2" w14:textId="77777777" w:rsidR="00D44760" w:rsidRPr="001A0B18" w:rsidRDefault="00D44760" w:rsidP="00D44760">
      <w:pPr>
        <w:spacing w:after="0" w:line="240" w:lineRule="auto"/>
        <w:rPr>
          <w:rFonts w:ascii="Calibri" w:hAnsi="Calibri" w:cs="Calibri"/>
          <w:color w:val="000000" w:themeColor="text1"/>
          <w:sz w:val="20"/>
          <w:szCs w:val="20"/>
        </w:rPr>
      </w:pPr>
    </w:p>
    <w:p w14:paraId="2612A378" w14:textId="77777777" w:rsidR="00D44760" w:rsidRPr="001A0B18" w:rsidRDefault="00D44760" w:rsidP="00D44760">
      <w:pPr>
        <w:spacing w:after="0" w:line="240" w:lineRule="auto"/>
        <w:rPr>
          <w:rFonts w:ascii="Calibri" w:hAnsi="Calibri" w:cs="Calibri"/>
          <w:color w:val="000000" w:themeColor="text1"/>
          <w:sz w:val="20"/>
          <w:szCs w:val="20"/>
        </w:rPr>
        <w:sectPr w:rsidR="00D44760" w:rsidRPr="001A0B18" w:rsidSect="00D44760">
          <w:pgSz w:w="16838" w:h="11906" w:orient="landscape"/>
          <w:pgMar w:top="1440" w:right="1440" w:bottom="1440" w:left="1440" w:header="709" w:footer="709" w:gutter="0"/>
          <w:cols w:space="708"/>
          <w:docGrid w:linePitch="360"/>
        </w:sectPr>
      </w:pPr>
    </w:p>
    <w:p w14:paraId="34160923" w14:textId="77777777" w:rsidR="00D44760" w:rsidRPr="001A0B18" w:rsidRDefault="00D44760" w:rsidP="00D44760">
      <w:pPr>
        <w:spacing w:after="0" w:line="240" w:lineRule="auto"/>
        <w:rPr>
          <w:rFonts w:ascii="Calibri" w:hAnsi="Calibri" w:cs="Calibri"/>
          <w:color w:val="000000" w:themeColor="text1"/>
          <w:sz w:val="20"/>
          <w:szCs w:val="20"/>
        </w:rPr>
      </w:pPr>
    </w:p>
    <w:p w14:paraId="4C6955B0" w14:textId="2E870CA7" w:rsidR="00D44760" w:rsidRPr="001A0B18" w:rsidRDefault="00D44760" w:rsidP="00D44760">
      <w:pPr>
        <w:spacing w:after="0" w:line="240" w:lineRule="auto"/>
        <w:rPr>
          <w:rFonts w:ascii="Calibri" w:hAnsi="Calibri" w:cs="Calibri"/>
          <w:color w:val="000000" w:themeColor="text1"/>
          <w:sz w:val="20"/>
          <w:szCs w:val="20"/>
        </w:rPr>
      </w:pPr>
      <w:r w:rsidRPr="001A0B18">
        <w:rPr>
          <w:rFonts w:ascii="Calibri" w:hAnsi="Calibri" w:cs="Calibri"/>
          <w:color w:val="000000" w:themeColor="text1"/>
          <w:sz w:val="20"/>
          <w:szCs w:val="20"/>
        </w:rPr>
        <w:t xml:space="preserve">A key data design choice for this system is the reduction of information, as shown in figure </w:t>
      </w:r>
      <w:r w:rsidR="005802C4">
        <w:rPr>
          <w:rFonts w:ascii="Calibri" w:hAnsi="Calibri" w:cs="Calibri"/>
          <w:color w:val="000000" w:themeColor="text1"/>
          <w:sz w:val="20"/>
          <w:szCs w:val="20"/>
        </w:rPr>
        <w:t>4</w:t>
      </w:r>
      <w:r w:rsidRPr="001A0B18">
        <w:rPr>
          <w:rFonts w:ascii="Calibri" w:hAnsi="Calibri" w:cs="Calibri"/>
          <w:color w:val="000000" w:themeColor="text1"/>
          <w:sz w:val="20"/>
          <w:szCs w:val="20"/>
        </w:rPr>
        <w:t xml:space="preserve"> that the “Voter” table doesn’t contain any personal information on the voter. This design is based on two main considerations: protecting data, since information cannot be compromised if it is not stored, and enabling linking of systems. The UK government already have an electoral database, storing information key to the election [50]. The system would piggyback off this electoral register and connect itself by</w:t>
      </w:r>
      <w:r w:rsidR="00F66019">
        <w:rPr>
          <w:rFonts w:ascii="Calibri" w:hAnsi="Calibri" w:cs="Calibri"/>
          <w:color w:val="000000" w:themeColor="text1"/>
          <w:sz w:val="20"/>
          <w:szCs w:val="20"/>
        </w:rPr>
        <w:t xml:space="preserve"> using the National Insurance Number or if a voter does not have one, the Searchable Deterministic Record [50]. </w:t>
      </w:r>
      <w:r w:rsidRPr="001A0B18">
        <w:rPr>
          <w:rFonts w:ascii="Calibri" w:hAnsi="Calibri" w:cs="Calibri"/>
          <w:color w:val="000000" w:themeColor="text1"/>
          <w:sz w:val="20"/>
          <w:szCs w:val="20"/>
        </w:rPr>
        <w:t xml:space="preserve">This would allow for a smooth combination of databases and start to combine records into the UK’s electoral system. </w:t>
      </w:r>
    </w:p>
    <w:p w14:paraId="00090FD7" w14:textId="77777777" w:rsidR="00D44760" w:rsidRPr="001A0B18" w:rsidRDefault="00D44760" w:rsidP="00D44760">
      <w:pPr>
        <w:spacing w:after="0" w:line="240" w:lineRule="auto"/>
        <w:rPr>
          <w:rFonts w:ascii="Calibri" w:hAnsi="Calibri" w:cs="Calibri"/>
          <w:color w:val="000000" w:themeColor="text1"/>
          <w:sz w:val="20"/>
          <w:szCs w:val="20"/>
        </w:rPr>
      </w:pPr>
    </w:p>
    <w:p w14:paraId="76B168D8" w14:textId="77777777" w:rsidR="00D44760" w:rsidRPr="001A0B18" w:rsidRDefault="00D44760" w:rsidP="00D44760">
      <w:pPr>
        <w:rPr>
          <w:rFonts w:ascii="Calibri" w:hAnsi="Calibri" w:cs="Calibri"/>
          <w:b/>
          <w:bCs/>
          <w:color w:val="000000" w:themeColor="text1"/>
          <w:sz w:val="20"/>
          <w:szCs w:val="20"/>
        </w:rPr>
      </w:pPr>
      <w:r w:rsidRPr="001A0B18">
        <w:rPr>
          <w:rFonts w:ascii="Calibri" w:hAnsi="Calibri" w:cs="Calibri"/>
          <w:b/>
          <w:bCs/>
          <w:color w:val="000000" w:themeColor="text1"/>
          <w:sz w:val="20"/>
          <w:szCs w:val="20"/>
        </w:rPr>
        <w:t>4.2.4 Hosting Platform</w:t>
      </w:r>
    </w:p>
    <w:p w14:paraId="0F101A16"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Amazon Web Services (AWS) was selected as the hosting platform due to its maturity, reliability, and strong security infrastructure. The use of AWS Learner Lab provided access to core services within the constraints of the project.</w:t>
      </w:r>
    </w:p>
    <w:p w14:paraId="77C58997"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Two separate EC2 instances were deployed, one for the backend server and one for the PostgreSQL database. This separation ensures the database is not directly exposed to the public internet, as the server instance’s elastic IP is the only entity permitted to communicate with it, enforced through security group rules [53]. This approach significantly reduces the system’s attack surface.</w:t>
      </w:r>
    </w:p>
    <w:p w14:paraId="703C709F"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Elastic IP addresses are assigned to both instances to ensure consistent addressing, which is required for DNS mapping using nip.io [36].</w:t>
      </w:r>
    </w:p>
    <w:p w14:paraId="59B96CE3" w14:textId="77777777" w:rsidR="00D44760" w:rsidRDefault="00D44760" w:rsidP="00D44760">
      <w:pPr>
        <w:rPr>
          <w:rFonts w:ascii="Calibri" w:hAnsi="Calibri" w:cs="Calibri"/>
          <w:b/>
          <w:bCs/>
          <w:color w:val="000000" w:themeColor="text1"/>
          <w:sz w:val="20"/>
          <w:szCs w:val="20"/>
        </w:rPr>
      </w:pPr>
      <w:r w:rsidRPr="001A0B18">
        <w:rPr>
          <w:rFonts w:ascii="Calibri" w:hAnsi="Calibri" w:cs="Calibri"/>
          <w:color w:val="000000" w:themeColor="text1"/>
          <w:sz w:val="20"/>
          <w:szCs w:val="20"/>
        </w:rPr>
        <w:t xml:space="preserve">Sensitive configuration values, including database credentials and encryption keys, are stored using AWS Secrets Manager. Access to these secrets is restricted through IAM permissions, ensuring that only the server instance can retrieve them [53]. </w:t>
      </w:r>
    </w:p>
    <w:p w14:paraId="3993144F" w14:textId="77777777" w:rsidR="00D44760" w:rsidRPr="001A0B18" w:rsidRDefault="00D44760" w:rsidP="00D44760">
      <w:pPr>
        <w:rPr>
          <w:rFonts w:ascii="Calibri" w:hAnsi="Calibri" w:cs="Calibri"/>
          <w:b/>
          <w:bCs/>
          <w:color w:val="000000" w:themeColor="text1"/>
          <w:sz w:val="20"/>
          <w:szCs w:val="20"/>
        </w:rPr>
      </w:pPr>
      <w:r w:rsidRPr="001A0B18">
        <w:rPr>
          <w:rFonts w:ascii="Calibri" w:hAnsi="Calibri" w:cs="Calibri"/>
          <w:b/>
          <w:bCs/>
          <w:color w:val="000000" w:themeColor="text1"/>
          <w:sz w:val="20"/>
          <w:szCs w:val="20"/>
        </w:rPr>
        <w:t>4.2.5 Biometric Hardware and Matching</w:t>
      </w:r>
    </w:p>
    <w:p w14:paraId="5A7EFE5A"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The fingerprint scanner used in the project is a Columbo USB capacitive fingerprint scanner. Capacitive sensors measure electrical properties of the fingertip, making them more resistant to spoofing compared to optical alternatives [11].</w:t>
      </w:r>
    </w:p>
    <w:p w14:paraId="54F0B2DD"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Due to hardware limitations, the device outputs images in PNG format rather than standard biometric templates modern scanners produce. This influenced the design of the biometric processing pipeline.</w:t>
      </w:r>
    </w:p>
    <w:p w14:paraId="310A9EE7" w14:textId="77777777" w:rsidR="00D44760" w:rsidRPr="001A0B18" w:rsidRDefault="00D44760" w:rsidP="00D44760">
      <w:pPr>
        <w:tabs>
          <w:tab w:val="left" w:pos="6379"/>
          <w:tab w:val="left" w:pos="8647"/>
        </w:tabs>
        <w:rPr>
          <w:rFonts w:ascii="Calibri" w:hAnsi="Calibri" w:cs="Calibri"/>
          <w:sz w:val="20"/>
          <w:szCs w:val="20"/>
        </w:rPr>
      </w:pPr>
      <w:proofErr w:type="spellStart"/>
      <w:r w:rsidRPr="001A0B18">
        <w:rPr>
          <w:rFonts w:ascii="Calibri" w:hAnsi="Calibri" w:cs="Calibri"/>
          <w:sz w:val="20"/>
          <w:szCs w:val="20"/>
        </w:rPr>
        <w:t>SourceAFIS</w:t>
      </w:r>
      <w:proofErr w:type="spellEnd"/>
      <w:r w:rsidRPr="001A0B18">
        <w:rPr>
          <w:rFonts w:ascii="Calibri" w:hAnsi="Calibri" w:cs="Calibri"/>
          <w:sz w:val="20"/>
          <w:szCs w:val="20"/>
        </w:rPr>
        <w:t xml:space="preserve"> (AFIS) was chosen as the fingerprint matching library for this system. It is implemented in C# making it a native fit within the existing .NET ecosystem. It was also chosen for its ability to compare PNG templates due to the Columbos restrictions. AFIS accepts fingerprint images directly as input, meaning no format conversion was required [51]. AFIS operates on extracted minutiae points rather than raw images, comparing ridge endings and bifurcations between a probe template and a candidate template to produce a similarity score [51]. This approach is well established in identity verification and is significantly more robust to image variation than pixel level comparison [16]. Academic evaluation of AFIS on the FVC 2006 benchmark database achieved an Equal Error Rate (EER) of 0.379%, demonstrating strong matching precision under controlled conditions [52]. The library supports both one-to-one verification and one-to-many search, both of which are required by this system. Being open source was a practical advantage within the budget constraints of the project, though the primary justification for its selection remains its low equal error rate, its .NET native implementation, and its transparent, auditable algorithm design [5].</w:t>
      </w:r>
      <w:r w:rsidRPr="001A0B18">
        <w:rPr>
          <w:rFonts w:ascii="Calibri" w:hAnsi="Calibri" w:cs="Calibri"/>
          <w:noProof/>
          <w:color w:val="000000" w:themeColor="text1"/>
          <w:sz w:val="20"/>
          <w:szCs w:val="20"/>
          <w:u w:val="single"/>
        </w:rPr>
        <w:t xml:space="preserve"> </w:t>
      </w:r>
    </w:p>
    <w:p w14:paraId="7F7EDCDB" w14:textId="77777777" w:rsidR="00D44760" w:rsidRPr="001A0B18" w:rsidRDefault="00D44760" w:rsidP="00D44760">
      <w:pPr>
        <w:tabs>
          <w:tab w:val="left" w:pos="6379"/>
          <w:tab w:val="left" w:pos="8647"/>
        </w:tabs>
        <w:jc w:val="center"/>
        <w:rPr>
          <w:rFonts w:ascii="Calibri" w:hAnsi="Calibri" w:cs="Calibri"/>
          <w:sz w:val="20"/>
          <w:szCs w:val="20"/>
        </w:rPr>
      </w:pPr>
      <w:r w:rsidRPr="001A0B18">
        <w:rPr>
          <w:rFonts w:ascii="Calibri" w:hAnsi="Calibri" w:cs="Calibri"/>
          <w:noProof/>
          <w:color w:val="000000" w:themeColor="text1"/>
          <w:sz w:val="20"/>
          <w:szCs w:val="20"/>
        </w:rPr>
        <w:lastRenderedPageBreak/>
        <w:drawing>
          <wp:inline distT="0" distB="0" distL="0" distR="0" wp14:anchorId="60A0A529" wp14:editId="0DED10A1">
            <wp:extent cx="1883410" cy="1377950"/>
            <wp:effectExtent l="0" t="0" r="2540" b="0"/>
            <wp:docPr id="179624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83410" cy="1377950"/>
                    </a:xfrm>
                    <a:prstGeom prst="rect">
                      <a:avLst/>
                    </a:prstGeom>
                    <a:noFill/>
                  </pic:spPr>
                </pic:pic>
              </a:graphicData>
            </a:graphic>
          </wp:inline>
        </w:drawing>
      </w:r>
    </w:p>
    <w:p w14:paraId="40EBAEB3" w14:textId="0FACA8CF" w:rsidR="00D44760" w:rsidRPr="001A0B18" w:rsidRDefault="00D44760" w:rsidP="00D44760">
      <w:pPr>
        <w:jc w:val="center"/>
        <w:rPr>
          <w:rFonts w:ascii="Calibri" w:hAnsi="Calibri" w:cs="Calibri"/>
          <w:color w:val="000000" w:themeColor="text1"/>
          <w:sz w:val="20"/>
          <w:szCs w:val="20"/>
        </w:rPr>
      </w:pPr>
      <w:r w:rsidRPr="001A0B18">
        <w:rPr>
          <w:rFonts w:ascii="Calibri" w:hAnsi="Calibri" w:cs="Calibri"/>
          <w:color w:val="000000" w:themeColor="text1"/>
          <w:sz w:val="20"/>
          <w:szCs w:val="20"/>
        </w:rPr>
        <w:t xml:space="preserve">Figure </w:t>
      </w:r>
      <w:r w:rsidR="0015693A">
        <w:rPr>
          <w:rFonts w:ascii="Calibri" w:hAnsi="Calibri" w:cs="Calibri"/>
          <w:color w:val="000000" w:themeColor="text1"/>
          <w:sz w:val="20"/>
          <w:szCs w:val="20"/>
        </w:rPr>
        <w:t>5</w:t>
      </w:r>
      <w:r w:rsidRPr="001A0B18">
        <w:rPr>
          <w:rFonts w:ascii="Calibri" w:hAnsi="Calibri" w:cs="Calibri"/>
          <w:color w:val="000000" w:themeColor="text1"/>
          <w:sz w:val="20"/>
          <w:szCs w:val="20"/>
        </w:rPr>
        <w:t>. Diagram illustrating features of fingerprints [55].</w:t>
      </w:r>
    </w:p>
    <w:p w14:paraId="2C99EDA8"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The researcher selected the thumb as the primary biometric input. This decision was informed by both practical and technical considerations. The thumb typically provides a larger surface area compared to other fingers, resulting in a higher number of detectable minutiae points during capture [56]. This improves matching accuracy and reduces the likelihood of failed authentication attempts. </w:t>
      </w:r>
    </w:p>
    <w:p w14:paraId="283F1DB3" w14:textId="77777777" w:rsidR="00D44760" w:rsidRPr="001A0B18" w:rsidRDefault="00D44760" w:rsidP="00D44760">
      <w:pPr>
        <w:rPr>
          <w:rFonts w:ascii="Calibri" w:hAnsi="Calibri" w:cs="Calibri"/>
          <w:b/>
          <w:bCs/>
          <w:color w:val="000000" w:themeColor="text1"/>
          <w:sz w:val="20"/>
          <w:szCs w:val="20"/>
        </w:rPr>
      </w:pPr>
      <w:r w:rsidRPr="001A0B18">
        <w:rPr>
          <w:rFonts w:ascii="Calibri" w:hAnsi="Calibri" w:cs="Calibri"/>
          <w:b/>
          <w:bCs/>
          <w:color w:val="000000" w:themeColor="text1"/>
          <w:sz w:val="20"/>
          <w:szCs w:val="20"/>
        </w:rPr>
        <w:t xml:space="preserve">4.3 Integration and Accessibility </w:t>
      </w:r>
    </w:p>
    <w:p w14:paraId="18632370"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Drawing on the insights from the Brazilian system, the proposed e-voting system would initially operate alongside the traditional paper-based method. Unlike the Brazilian approach, the intention would be to introduce the biometric e-voting system immediately on an optional basis. This gradual, voluntary adoption would expose a significant portion of the electorate to the technology over time, helping to cultivate the public trust that this project seeks to establish. Importantly, this phased rollout would also generate substantial real world usage data, revealing unforeseen usability challenges as well as areas in which the system performs particularly well. Once sufficiently tested and refined through this process, the system would be well positioned to transition into the primary voting method across the UK.</w:t>
      </w:r>
    </w:p>
    <w:p w14:paraId="2E533723"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In its current form however, the system has notable accessibility limitations. As it stands, the design is tailored specifically for use within a polling station, which presents a significant challenge given the proposal to replace the postal vote. Removing this option would disadvantage voters with limited mobility who depend on it and are unable to attend a polling station in person. Addressing this shortcoming will require further development. Potential solutions include the creation of a dedicated application that would allow an authorised official to oversee and facilitate voting outside of a polling station, or alternatively, the migration of the system to an online platform using biometric authentication through approved scanners integrated into a voter's personal device. Another potential method would be to assess eligibility for postal voting, make it only necessary for people unable to make it to a polling station. </w:t>
      </w:r>
    </w:p>
    <w:p w14:paraId="4976FD13" w14:textId="77777777" w:rsidR="00D44760" w:rsidRPr="0069023C" w:rsidRDefault="00D44760" w:rsidP="00D44760">
      <w:pPr>
        <w:rPr>
          <w:rFonts w:ascii="Calibri" w:hAnsi="Calibri" w:cs="Calibri"/>
          <w:b/>
          <w:bCs/>
          <w:color w:val="000000" w:themeColor="text1"/>
          <w:sz w:val="20"/>
          <w:szCs w:val="20"/>
        </w:rPr>
      </w:pPr>
      <w:r w:rsidRPr="0069023C">
        <w:rPr>
          <w:rFonts w:ascii="Calibri" w:hAnsi="Calibri" w:cs="Calibri"/>
          <w:b/>
          <w:bCs/>
          <w:color w:val="000000" w:themeColor="text1"/>
          <w:sz w:val="20"/>
          <w:szCs w:val="20"/>
        </w:rPr>
        <w:t xml:space="preserve">5.0 Legal, Social, Ethical And Professional Issues </w:t>
      </w:r>
    </w:p>
    <w:p w14:paraId="74D7A70D"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b/>
          <w:bCs/>
          <w:color w:val="000000" w:themeColor="text1"/>
          <w:sz w:val="20"/>
          <w:szCs w:val="20"/>
        </w:rPr>
        <w:t>5.1 Legal</w:t>
      </w:r>
    </w:p>
    <w:p w14:paraId="1030A62C" w14:textId="77777777" w:rsidR="00D44760"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The most significant legal framework this system has to follow is the UK General Data Protection Regulation (UK GDPR) and the Data Protection Act 2018. Processing of biometric data under these </w:t>
      </w:r>
      <w:r>
        <w:rPr>
          <w:rFonts w:ascii="Calibri" w:hAnsi="Calibri" w:cs="Calibri"/>
          <w:color w:val="000000" w:themeColor="text1"/>
          <w:sz w:val="20"/>
          <w:szCs w:val="20"/>
        </w:rPr>
        <w:t xml:space="preserve">regulations used for the purpose of uniquely identifying a person is classified as special category data, requiring the highest standard of legal protection and explicit justification for its processing. </w:t>
      </w:r>
    </w:p>
    <w:p w14:paraId="3563909F" w14:textId="77777777" w:rsidR="00D44760"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To comply with this standard of protection, the researcher implemented a range of technical safeguards, including AES-256-GCM encryption of voter data at rest, envelope encryption during transmission, and strict data minimisation principles. The system stores only the information necessary for identity verification, reducing legal exposure associated with unnecessary data retention. Key management practices, including the use of AWS Secrets Manager and Key Management Service, further ensure that encryption keys are handled in accordance with best practice guidance on securing special category data.</w:t>
      </w:r>
    </w:p>
    <w:p w14:paraId="47AFE4CD" w14:textId="77777777" w:rsidR="00D44760" w:rsidRDefault="00D44760" w:rsidP="00D44760">
      <w:pPr>
        <w:rPr>
          <w:rFonts w:ascii="Calibri" w:hAnsi="Calibri" w:cs="Calibri"/>
          <w:b/>
          <w:bCs/>
          <w:color w:val="000000" w:themeColor="text1"/>
          <w:sz w:val="20"/>
          <w:szCs w:val="20"/>
        </w:rPr>
      </w:pPr>
      <w:r w:rsidRPr="001A0B18">
        <w:rPr>
          <w:rFonts w:ascii="Calibri" w:hAnsi="Calibri" w:cs="Calibri"/>
          <w:b/>
          <w:bCs/>
          <w:color w:val="000000" w:themeColor="text1"/>
          <w:sz w:val="20"/>
          <w:szCs w:val="20"/>
        </w:rPr>
        <w:t>5.2 Socia</w:t>
      </w:r>
      <w:r>
        <w:rPr>
          <w:rFonts w:ascii="Calibri" w:hAnsi="Calibri" w:cs="Calibri"/>
          <w:b/>
          <w:bCs/>
          <w:color w:val="000000" w:themeColor="text1"/>
          <w:sz w:val="20"/>
          <w:szCs w:val="20"/>
        </w:rPr>
        <w:t>l</w:t>
      </w:r>
    </w:p>
    <w:p w14:paraId="41E9596D" w14:textId="77777777" w:rsidR="00D44760"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The introduction of biometric authentication has the potential to discriminate certain groups within the electorate, particularly elderly voters or those in manual occupations, where fingerprint quality degrades </w:t>
      </w:r>
      <w:r w:rsidRPr="001A0B18">
        <w:rPr>
          <w:rFonts w:ascii="Calibri" w:hAnsi="Calibri" w:cs="Calibri"/>
          <w:color w:val="000000" w:themeColor="text1"/>
          <w:sz w:val="20"/>
          <w:szCs w:val="20"/>
        </w:rPr>
        <w:lastRenderedPageBreak/>
        <w:t>naturally over time. This limitation could be solved with a phased, voluntary rollout of the system alongside the existing paper-based method, thereby ensuring no voter is immediately excluded from participation. The potential removal of the postal vote also presents a social concern for voters with limited mobility, a challenge identified as requiring further</w:t>
      </w:r>
      <w:r>
        <w:rPr>
          <w:rFonts w:ascii="Calibri" w:hAnsi="Calibri" w:cs="Calibri"/>
          <w:color w:val="000000" w:themeColor="text1"/>
          <w:sz w:val="20"/>
          <w:szCs w:val="20"/>
        </w:rPr>
        <w:t xml:space="preserve"> </w:t>
      </w:r>
      <w:r w:rsidRPr="001A0B18">
        <w:rPr>
          <w:rFonts w:ascii="Calibri" w:hAnsi="Calibri" w:cs="Calibri"/>
          <w:color w:val="000000" w:themeColor="text1"/>
          <w:sz w:val="20"/>
          <w:szCs w:val="20"/>
        </w:rPr>
        <w:t>development before the system could be considered a complete replacement.</w:t>
      </w:r>
    </w:p>
    <w:p w14:paraId="301872FB"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b/>
          <w:bCs/>
          <w:color w:val="000000" w:themeColor="text1"/>
          <w:sz w:val="20"/>
          <w:szCs w:val="20"/>
        </w:rPr>
        <w:t>5.3 Ethical</w:t>
      </w:r>
    </w:p>
    <w:p w14:paraId="34FFCC7E" w14:textId="77777777" w:rsidR="00D44760" w:rsidRDefault="00D44760" w:rsidP="00D44760">
      <w:pPr>
        <w:rPr>
          <w:rFonts w:ascii="Calibri" w:hAnsi="Calibri" w:cs="Calibri"/>
          <w:color w:val="000000" w:themeColor="text1"/>
          <w:sz w:val="20"/>
          <w:szCs w:val="20"/>
        </w:rPr>
      </w:pPr>
      <w:r w:rsidRPr="001A0B18">
        <w:rPr>
          <w:rFonts w:ascii="Calibri" w:hAnsi="Calibri" w:cs="Calibri"/>
          <w:color w:val="000000" w:themeColor="text1"/>
          <w:sz w:val="20"/>
          <w:szCs w:val="20"/>
        </w:rPr>
        <w:t>Biometric traits are permanent and cannot be altered in the event of a data breach, meaning any compromise carries irreversible consequences for individuals. The researcher addressed this through decentralised storage design, per-voter encryption, and ensuring biometric templates are only decrypted temporarily within server memory during comparison. The risk of function creep, whereby biometric data collected for voting could be repurposed for surveillance or law enforcement, was also considered. The system's architecture deliberately limits the scope of data use, and the conclusion made highlighted the need for strong legal safeguards to accompany any real world deployment.</w:t>
      </w:r>
    </w:p>
    <w:p w14:paraId="5454D849" w14:textId="77777777" w:rsidR="00D44760" w:rsidRPr="001A0B18" w:rsidRDefault="00D44760" w:rsidP="00D44760">
      <w:pPr>
        <w:rPr>
          <w:rFonts w:ascii="Calibri" w:hAnsi="Calibri" w:cs="Calibri"/>
          <w:color w:val="000000" w:themeColor="text1"/>
          <w:sz w:val="20"/>
          <w:szCs w:val="20"/>
        </w:rPr>
      </w:pPr>
      <w:r w:rsidRPr="001A0B18">
        <w:rPr>
          <w:rFonts w:ascii="Calibri" w:hAnsi="Calibri" w:cs="Calibri"/>
          <w:b/>
          <w:bCs/>
          <w:color w:val="000000" w:themeColor="text1"/>
          <w:sz w:val="20"/>
          <w:szCs w:val="20"/>
        </w:rPr>
        <w:t>5.4 Professional</w:t>
      </w:r>
    </w:p>
    <w:p w14:paraId="4EB97D7F" w14:textId="55FA528B" w:rsidR="00E50A1A" w:rsidRPr="001A0B18" w:rsidRDefault="00D44760" w:rsidP="00D44760">
      <w:pPr>
        <w:rPr>
          <w:rFonts w:ascii="Calibri" w:hAnsi="Calibri" w:cs="Calibri"/>
          <w:color w:val="000000" w:themeColor="text1"/>
          <w:sz w:val="20"/>
          <w:szCs w:val="20"/>
        </w:rPr>
        <w:sectPr w:rsidR="00E50A1A" w:rsidRPr="001A0B18" w:rsidSect="00EE2AEC">
          <w:type w:val="continuous"/>
          <w:pgSz w:w="11906" w:h="16838"/>
          <w:pgMar w:top="1440" w:right="1440" w:bottom="1440" w:left="1440" w:header="708" w:footer="708" w:gutter="0"/>
          <w:cols w:space="708"/>
          <w:docGrid w:linePitch="360"/>
        </w:sectPr>
      </w:pPr>
      <w:r w:rsidRPr="001A0B18">
        <w:rPr>
          <w:rFonts w:ascii="Calibri" w:hAnsi="Calibri" w:cs="Calibri"/>
          <w:color w:val="000000" w:themeColor="text1"/>
          <w:sz w:val="20"/>
          <w:szCs w:val="20"/>
        </w:rPr>
        <w:t>Throughout the project, the researcher conducted development in alignment with professional standards expected of a computing scientist. This included grounding design decisions in academic literature, acknowledging the limitations of the system honestly, and following established security practices rather than implementing novel, untested solutions. The researcher also engaged in structured supervisor meetings and maintained a documented development process, reflecting a professional approach to project management and accountability</w:t>
      </w:r>
    </w:p>
    <w:p w14:paraId="4E04AF7F" w14:textId="77777777" w:rsidR="000C03D0" w:rsidRPr="001A0B18" w:rsidRDefault="000C03D0" w:rsidP="00EC6F59">
      <w:pPr>
        <w:rPr>
          <w:sz w:val="20"/>
          <w:szCs w:val="20"/>
        </w:rPr>
      </w:pPr>
    </w:p>
    <w:p w14:paraId="47F47A58" w14:textId="77777777" w:rsidR="00366FA1" w:rsidRPr="001A0B18" w:rsidRDefault="00366FA1" w:rsidP="00EC6F59">
      <w:pPr>
        <w:rPr>
          <w:sz w:val="20"/>
          <w:szCs w:val="20"/>
        </w:rPr>
      </w:pPr>
    </w:p>
    <w:p w14:paraId="4A7EC5BD" w14:textId="61F2AD9C" w:rsidR="00EC2DF1" w:rsidRDefault="00EC2DF1" w:rsidP="00EC2DF1">
      <w:pPr>
        <w:rPr>
          <w:rFonts w:ascii="Calibri" w:hAnsi="Calibri" w:cs="Calibri"/>
          <w:b/>
          <w:bCs/>
          <w:color w:val="000000" w:themeColor="text1"/>
          <w:sz w:val="20"/>
          <w:szCs w:val="20"/>
        </w:rPr>
      </w:pPr>
      <w:r w:rsidRPr="001A0B18">
        <w:rPr>
          <w:rFonts w:ascii="Calibri" w:hAnsi="Calibri" w:cs="Calibri"/>
          <w:b/>
          <w:bCs/>
          <w:color w:val="000000" w:themeColor="text1"/>
          <w:sz w:val="20"/>
          <w:szCs w:val="20"/>
        </w:rPr>
        <w:t>6. Implementatio</w:t>
      </w:r>
      <w:r>
        <w:rPr>
          <w:rFonts w:ascii="Calibri" w:hAnsi="Calibri" w:cs="Calibri"/>
          <w:b/>
          <w:bCs/>
          <w:color w:val="000000" w:themeColor="text1"/>
          <w:sz w:val="20"/>
          <w:szCs w:val="20"/>
        </w:rPr>
        <w:t>n</w:t>
      </w:r>
      <w:r w:rsidR="000F38E0">
        <w:rPr>
          <w:rFonts w:ascii="Calibri" w:hAnsi="Calibri" w:cs="Calibri"/>
          <w:b/>
          <w:bCs/>
          <w:color w:val="000000" w:themeColor="text1"/>
          <w:sz w:val="20"/>
          <w:szCs w:val="20"/>
        </w:rPr>
        <w:t xml:space="preserve"> and Testing</w:t>
      </w:r>
    </w:p>
    <w:p w14:paraId="7C74B82D" w14:textId="77777777" w:rsidR="00EC2DF1" w:rsidRDefault="00EC2DF1" w:rsidP="00EC2DF1">
      <w:pPr>
        <w:rPr>
          <w:rFonts w:ascii="Calibri" w:hAnsi="Calibri" w:cs="Calibri"/>
          <w:b/>
          <w:bCs/>
          <w:color w:val="000000" w:themeColor="text1"/>
          <w:sz w:val="20"/>
          <w:szCs w:val="20"/>
        </w:rPr>
      </w:pPr>
      <w:r>
        <w:rPr>
          <w:rFonts w:ascii="Calibri" w:hAnsi="Calibri" w:cs="Calibri"/>
          <w:b/>
          <w:bCs/>
          <w:color w:val="000000" w:themeColor="text1"/>
          <w:sz w:val="20"/>
          <w:szCs w:val="20"/>
        </w:rPr>
        <w:t>6.1 Database Implementation</w:t>
      </w:r>
    </w:p>
    <w:p w14:paraId="24CA925B" w14:textId="77777777" w:rsidR="00EC2DF1" w:rsidRPr="001A0B18" w:rsidRDefault="00EC2DF1" w:rsidP="00EC2DF1">
      <w:pPr>
        <w:rPr>
          <w:rFonts w:ascii="Calibri" w:hAnsi="Calibri" w:cs="Calibri"/>
          <w:color w:val="000000" w:themeColor="text1"/>
          <w:sz w:val="20"/>
          <w:szCs w:val="20"/>
        </w:rPr>
      </w:pPr>
      <w:r w:rsidRPr="001A0B18">
        <w:rPr>
          <w:rFonts w:ascii="Calibri" w:hAnsi="Calibri" w:cs="Calibri"/>
          <w:color w:val="000000" w:themeColor="text1"/>
          <w:sz w:val="20"/>
          <w:szCs w:val="20"/>
        </w:rPr>
        <w:t>Following the project plan, database implementation was prioritised as it provides the foundational layer upon which the rest of the system is built. As outlined in the design phase, the database was developed with voter anonymity and data confidentiality as primary concerns.</w:t>
      </w:r>
    </w:p>
    <w:p w14:paraId="0A5D7837" w14:textId="77777777" w:rsidR="00EC2DF1" w:rsidRPr="001A0B18" w:rsidRDefault="00EC2DF1" w:rsidP="00EC2DF1">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The Voter table is the most security critical component of the schema. All fields containing Personally Identifiable information (PII) are stored as </w:t>
      </w:r>
      <w:proofErr w:type="spellStart"/>
      <w:r w:rsidRPr="001A0B18">
        <w:rPr>
          <w:rFonts w:ascii="Calibri" w:hAnsi="Calibri" w:cs="Calibri"/>
          <w:color w:val="000000" w:themeColor="text1"/>
          <w:sz w:val="20"/>
          <w:szCs w:val="20"/>
        </w:rPr>
        <w:t>bytea</w:t>
      </w:r>
      <w:proofErr w:type="spellEnd"/>
      <w:r w:rsidRPr="001A0B18">
        <w:rPr>
          <w:rFonts w:ascii="Calibri" w:hAnsi="Calibri" w:cs="Calibri"/>
          <w:color w:val="000000" w:themeColor="text1"/>
          <w:sz w:val="20"/>
          <w:szCs w:val="20"/>
        </w:rPr>
        <w:t xml:space="preserve">[], mapping directly to PostgreSQL’s </w:t>
      </w:r>
      <w:proofErr w:type="spellStart"/>
      <w:r w:rsidRPr="001A0B18">
        <w:rPr>
          <w:rFonts w:ascii="Calibri" w:hAnsi="Calibri" w:cs="Calibri"/>
          <w:color w:val="000000" w:themeColor="text1"/>
          <w:sz w:val="20"/>
          <w:szCs w:val="20"/>
        </w:rPr>
        <w:t>bytea</w:t>
      </w:r>
      <w:proofErr w:type="spellEnd"/>
      <w:r w:rsidRPr="001A0B18">
        <w:rPr>
          <w:rFonts w:ascii="Calibri" w:hAnsi="Calibri" w:cs="Calibri"/>
          <w:color w:val="000000" w:themeColor="text1"/>
          <w:sz w:val="20"/>
          <w:szCs w:val="20"/>
        </w:rPr>
        <w:t xml:space="preserve"> type. This decision was necessary because AES-256-GCM encryption produces raw binary ciphertext, and </w:t>
      </w:r>
      <w:proofErr w:type="spellStart"/>
      <w:r w:rsidRPr="001A0B18">
        <w:rPr>
          <w:rFonts w:ascii="Calibri" w:hAnsi="Calibri" w:cs="Calibri"/>
          <w:color w:val="000000" w:themeColor="text1"/>
          <w:sz w:val="20"/>
          <w:szCs w:val="20"/>
        </w:rPr>
        <w:t>bytea</w:t>
      </w:r>
      <w:proofErr w:type="spellEnd"/>
      <w:r w:rsidRPr="001A0B18">
        <w:rPr>
          <w:rFonts w:ascii="Calibri" w:hAnsi="Calibri" w:cs="Calibri"/>
          <w:color w:val="000000" w:themeColor="text1"/>
          <w:sz w:val="20"/>
          <w:szCs w:val="20"/>
        </w:rPr>
        <w:t xml:space="preserve"> ensures this data is stored without loss or transformation.</w:t>
      </w:r>
    </w:p>
    <w:p w14:paraId="3ED99093" w14:textId="77777777" w:rsidR="00EC2DF1" w:rsidRDefault="00EC2DF1" w:rsidP="00EC2DF1">
      <w:pPr>
        <w:spacing w:after="0"/>
        <w:rPr>
          <w:rFonts w:ascii="Calibri" w:hAnsi="Calibri" w:cs="Calibri"/>
          <w:color w:val="000000" w:themeColor="text1"/>
          <w:sz w:val="20"/>
          <w:szCs w:val="20"/>
        </w:rPr>
      </w:pPr>
      <w:r w:rsidRPr="001A0B18">
        <w:rPr>
          <w:rFonts w:ascii="Calibri" w:hAnsi="Calibri" w:cs="Calibri"/>
          <w:color w:val="000000" w:themeColor="text1"/>
          <w:sz w:val="20"/>
          <w:szCs w:val="20"/>
        </w:rPr>
        <w:t xml:space="preserve">Each voter’s data is encrypted using a unique Data Encryption Key (DEK). This DEK is then encrypted (wrapped) using RSA-OAEP with the server’s public key and stored alongside the ciphertext as </w:t>
      </w:r>
      <w:proofErr w:type="spellStart"/>
      <w:r w:rsidRPr="001A0B18">
        <w:rPr>
          <w:rFonts w:ascii="Calibri" w:hAnsi="Calibri" w:cs="Calibri"/>
          <w:color w:val="000000" w:themeColor="text1"/>
          <w:sz w:val="20"/>
          <w:szCs w:val="20"/>
        </w:rPr>
        <w:t>WrappedDEK</w:t>
      </w:r>
      <w:proofErr w:type="spellEnd"/>
      <w:r w:rsidRPr="001A0B18">
        <w:rPr>
          <w:rFonts w:ascii="Calibri" w:hAnsi="Calibri" w:cs="Calibri"/>
          <w:color w:val="000000" w:themeColor="text1"/>
          <w:sz w:val="20"/>
          <w:szCs w:val="20"/>
        </w:rPr>
        <w:t>. This envelop</w:t>
      </w:r>
      <w:r>
        <w:rPr>
          <w:rFonts w:ascii="Calibri" w:hAnsi="Calibri" w:cs="Calibri"/>
          <w:color w:val="000000" w:themeColor="text1"/>
          <w:sz w:val="20"/>
          <w:szCs w:val="20"/>
        </w:rPr>
        <w:t xml:space="preserve">e encryption </w:t>
      </w:r>
      <w:r w:rsidRPr="001A0B18">
        <w:rPr>
          <w:rFonts w:ascii="Calibri" w:hAnsi="Calibri" w:cs="Calibri"/>
          <w:color w:val="000000" w:themeColor="text1"/>
          <w:sz w:val="20"/>
          <w:szCs w:val="20"/>
        </w:rPr>
        <w:t>pattern ensures that, even in the event of database exfiltration, no voter data can be decrypted without access to the server’s RSA private key. This private key is securely stored in AWS Secrets Manager and is only accessible by a designated instance within the Learner Lab environment.</w:t>
      </w:r>
    </w:p>
    <w:p w14:paraId="3B8C32E4" w14:textId="77777777" w:rsidR="00EC2DF1" w:rsidRPr="001A0B18" w:rsidRDefault="00EC2DF1" w:rsidP="00EC2DF1">
      <w:pPr>
        <w:spacing w:after="0"/>
        <w:rPr>
          <w:rFonts w:ascii="Calibri" w:hAnsi="Calibri" w:cs="Calibri"/>
          <w:color w:val="000000" w:themeColor="text1"/>
          <w:sz w:val="20"/>
          <w:szCs w:val="20"/>
        </w:rPr>
      </w:pPr>
    </w:p>
    <w:p w14:paraId="0C89265B" w14:textId="77777777" w:rsidR="00EC2DF1" w:rsidRPr="00223572" w:rsidRDefault="00EC2DF1" w:rsidP="00EC2DF1">
      <w:pPr>
        <w:rPr>
          <w:rFonts w:ascii="Calibri" w:hAnsi="Calibri" w:cs="Calibri"/>
          <w:color w:val="000000" w:themeColor="text1"/>
          <w:sz w:val="20"/>
          <w:szCs w:val="20"/>
        </w:rPr>
      </w:pPr>
      <w:r w:rsidRPr="00223572">
        <w:rPr>
          <w:rFonts w:ascii="Calibri" w:hAnsi="Calibri" w:cs="Calibri"/>
          <w:color w:val="000000" w:themeColor="text1"/>
          <w:sz w:val="20"/>
          <w:szCs w:val="20"/>
        </w:rPr>
        <w:t>One of the primary challenges encountered was achieving efficient voter validation.</w:t>
      </w:r>
      <w:r>
        <w:rPr>
          <w:rFonts w:ascii="Calibri" w:hAnsi="Calibri" w:cs="Calibri"/>
          <w:color w:val="000000" w:themeColor="text1"/>
          <w:sz w:val="20"/>
          <w:szCs w:val="20"/>
        </w:rPr>
        <w:t xml:space="preserve"> </w:t>
      </w:r>
      <w:r w:rsidRPr="001A0B18">
        <w:rPr>
          <w:rFonts w:ascii="Calibri" w:hAnsi="Calibri" w:cs="Calibri"/>
          <w:color w:val="000000" w:themeColor="text1"/>
          <w:sz w:val="20"/>
          <w:szCs w:val="20"/>
        </w:rPr>
        <w:t xml:space="preserve">Performing a full scan of encrypted biometric data (e.g. fingerprints) would be computationally expensive and impractical </w:t>
      </w:r>
      <w:r>
        <w:rPr>
          <w:rFonts w:ascii="Calibri" w:hAnsi="Calibri" w:cs="Calibri"/>
          <w:color w:val="000000" w:themeColor="text1"/>
          <w:sz w:val="20"/>
          <w:szCs w:val="20"/>
        </w:rPr>
        <w:t>on a large</w:t>
      </w:r>
      <w:r w:rsidRPr="001A0B18">
        <w:rPr>
          <w:rFonts w:ascii="Calibri" w:hAnsi="Calibri" w:cs="Calibri"/>
          <w:color w:val="000000" w:themeColor="text1"/>
          <w:sz w:val="20"/>
          <w:szCs w:val="20"/>
        </w:rPr>
        <w:t xml:space="preserve"> scale. To address this, the system implements Searchable Deterministic Indexing (SDI). The SDI is derived from a normalised combination of First Name, Last Name, Date of Birth, Postcode, and Town of Birth. This combination was selected due to its extremely low probability of collision</w:t>
      </w:r>
      <w:r>
        <w:rPr>
          <w:rFonts w:ascii="Calibri" w:hAnsi="Calibri" w:cs="Calibri"/>
          <w:color w:val="000000" w:themeColor="text1"/>
          <w:sz w:val="20"/>
          <w:szCs w:val="20"/>
        </w:rPr>
        <w:t xml:space="preserve">, </w:t>
      </w:r>
      <w:r w:rsidRPr="001A0B18">
        <w:rPr>
          <w:rFonts w:ascii="Calibri" w:hAnsi="Calibri" w:cs="Calibri"/>
          <w:color w:val="000000" w:themeColor="text1"/>
          <w:sz w:val="20"/>
          <w:szCs w:val="20"/>
        </w:rPr>
        <w:t xml:space="preserve">making duplicate identities highly unlikely. </w:t>
      </w:r>
      <w:r w:rsidRPr="00223572">
        <w:rPr>
          <w:rFonts w:ascii="Calibri" w:hAnsi="Calibri" w:cs="Calibri"/>
          <w:color w:val="000000" w:themeColor="text1"/>
          <w:sz w:val="20"/>
          <w:szCs w:val="20"/>
        </w:rPr>
        <w:t xml:space="preserve">There is an unusual case involving twins who share identical identifying details, including name, date of birth, postcode, and town of birth, which presents a distinct challenge for the validation process. The approach used to resolve this issue is outlined later in this section. </w:t>
      </w:r>
    </w:p>
    <w:p w14:paraId="04911627" w14:textId="77777777" w:rsidR="00EC2DF1" w:rsidRDefault="00EC2DF1" w:rsidP="00EC2DF1">
      <w:pPr>
        <w:spacing w:after="0"/>
        <w:rPr>
          <w:rFonts w:ascii="Calibri" w:hAnsi="Calibri" w:cs="Calibri"/>
          <w:color w:val="000000" w:themeColor="text1"/>
          <w:sz w:val="20"/>
          <w:szCs w:val="20"/>
        </w:rPr>
      </w:pPr>
    </w:p>
    <w:p w14:paraId="4D0B8645" w14:textId="77777777" w:rsidR="00EC2DF1" w:rsidRDefault="00EC2DF1" w:rsidP="00EC2DF1">
      <w:pPr>
        <w:spacing w:after="0"/>
        <w:rPr>
          <w:rFonts w:ascii="Calibri" w:hAnsi="Calibri" w:cs="Calibri"/>
          <w:color w:val="000000" w:themeColor="text1"/>
          <w:sz w:val="20"/>
          <w:szCs w:val="20"/>
        </w:rPr>
      </w:pPr>
      <w:r w:rsidRPr="001A0B18">
        <w:rPr>
          <w:rFonts w:ascii="Calibri" w:hAnsi="Calibri" w:cs="Calibri"/>
          <w:noProof/>
          <w:color w:val="000000" w:themeColor="text1"/>
          <w:sz w:val="20"/>
          <w:szCs w:val="20"/>
        </w:rPr>
        <w:lastRenderedPageBreak/>
        <w:drawing>
          <wp:inline distT="0" distB="0" distL="0" distR="0" wp14:anchorId="6A73A33B" wp14:editId="714A093D">
            <wp:extent cx="2266122" cy="2366042"/>
            <wp:effectExtent l="0" t="0" r="1270" b="0"/>
            <wp:docPr id="26712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27219" name=""/>
                    <pic:cNvPicPr/>
                  </pic:nvPicPr>
                  <pic:blipFill>
                    <a:blip r:embed="rId11"/>
                    <a:stretch>
                      <a:fillRect/>
                    </a:stretch>
                  </pic:blipFill>
                  <pic:spPr>
                    <a:xfrm>
                      <a:off x="0" y="0"/>
                      <a:ext cx="2279573" cy="2380086"/>
                    </a:xfrm>
                    <a:prstGeom prst="rect">
                      <a:avLst/>
                    </a:prstGeom>
                  </pic:spPr>
                </pic:pic>
              </a:graphicData>
            </a:graphic>
          </wp:inline>
        </w:drawing>
      </w:r>
    </w:p>
    <w:p w14:paraId="4E2AF66F" w14:textId="146F4FDA" w:rsidR="00EC2DF1" w:rsidRDefault="00EC2DF1" w:rsidP="00EC2DF1">
      <w:pPr>
        <w:spacing w:after="0"/>
        <w:rPr>
          <w:rFonts w:ascii="Calibri" w:hAnsi="Calibri" w:cs="Calibri"/>
          <w:color w:val="000000" w:themeColor="text1"/>
          <w:sz w:val="20"/>
          <w:szCs w:val="20"/>
        </w:rPr>
      </w:pPr>
      <w:r>
        <w:rPr>
          <w:rFonts w:ascii="Calibri" w:hAnsi="Calibri" w:cs="Calibri"/>
          <w:color w:val="000000" w:themeColor="text1"/>
          <w:sz w:val="20"/>
          <w:szCs w:val="20"/>
        </w:rPr>
        <w:t xml:space="preserve">Figure </w:t>
      </w:r>
      <w:r w:rsidR="0015693A">
        <w:rPr>
          <w:rFonts w:ascii="Calibri" w:hAnsi="Calibri" w:cs="Calibri"/>
          <w:color w:val="000000" w:themeColor="text1"/>
          <w:sz w:val="20"/>
          <w:szCs w:val="20"/>
        </w:rPr>
        <w:t>6</w:t>
      </w:r>
      <w:r w:rsidR="00634CF8">
        <w:rPr>
          <w:rFonts w:ascii="Calibri" w:hAnsi="Calibri" w:cs="Calibri"/>
          <w:color w:val="000000" w:themeColor="text1"/>
          <w:sz w:val="20"/>
          <w:szCs w:val="20"/>
        </w:rPr>
        <w:t xml:space="preserve"> Voter Table including Demonstration Data</w:t>
      </w:r>
    </w:p>
    <w:p w14:paraId="613CD358" w14:textId="77777777" w:rsidR="00EC2DF1" w:rsidRDefault="00EC2DF1" w:rsidP="00EC2DF1">
      <w:pPr>
        <w:spacing w:after="0"/>
        <w:rPr>
          <w:rFonts w:ascii="Calibri" w:hAnsi="Calibri" w:cs="Calibri"/>
          <w:color w:val="000000" w:themeColor="text1"/>
          <w:sz w:val="20"/>
          <w:szCs w:val="20"/>
        </w:rPr>
      </w:pPr>
    </w:p>
    <w:p w14:paraId="7584BAB2" w14:textId="77777777" w:rsidR="00EC2DF1" w:rsidRPr="001A0B18" w:rsidRDefault="00EC2DF1" w:rsidP="00EC2DF1">
      <w:pPr>
        <w:rPr>
          <w:rFonts w:ascii="Calibri" w:hAnsi="Calibri" w:cs="Calibri"/>
          <w:color w:val="000000" w:themeColor="text1"/>
          <w:sz w:val="20"/>
          <w:szCs w:val="20"/>
        </w:rPr>
      </w:pPr>
      <w:r w:rsidRPr="001A0B18">
        <w:rPr>
          <w:rFonts w:ascii="Calibri" w:hAnsi="Calibri" w:cs="Calibri"/>
          <w:color w:val="000000" w:themeColor="text1"/>
          <w:sz w:val="20"/>
          <w:szCs w:val="20"/>
        </w:rPr>
        <w:t>The SDI is hashed using an HMAC with a secret key known only to the server. This ensures that, even if an attacker possesses the original input data, reproducing the hashed SDI without the key is computationally infeasible. The SDI field is explicitly indexed, enabling efficient lookup during authentication without requiring decryption of any sensitive data.</w:t>
      </w:r>
    </w:p>
    <w:p w14:paraId="7FFB35CC" w14:textId="77777777" w:rsidR="00EC2DF1" w:rsidRPr="001A0B18" w:rsidRDefault="00EC2DF1" w:rsidP="00EC2DF1">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To support proxy voting, a </w:t>
      </w:r>
      <w:proofErr w:type="spellStart"/>
      <w:r w:rsidRPr="001A0B18">
        <w:rPr>
          <w:rFonts w:ascii="Calibri" w:hAnsi="Calibri" w:cs="Calibri"/>
          <w:color w:val="000000" w:themeColor="text1"/>
          <w:sz w:val="20"/>
          <w:szCs w:val="20"/>
        </w:rPr>
        <w:t>ProxySDI</w:t>
      </w:r>
      <w:proofErr w:type="spellEnd"/>
      <w:r w:rsidRPr="001A0B18">
        <w:rPr>
          <w:rFonts w:ascii="Calibri" w:hAnsi="Calibri" w:cs="Calibri"/>
          <w:color w:val="000000" w:themeColor="text1"/>
          <w:sz w:val="20"/>
          <w:szCs w:val="20"/>
        </w:rPr>
        <w:t xml:space="preserve"> field is included in the Voter table. This allows a proxy voter record to be securely associated with a primary voter, in accordance with current proxy voting regulations.</w:t>
      </w:r>
    </w:p>
    <w:p w14:paraId="634BCC1E" w14:textId="77777777" w:rsidR="00EC2DF1" w:rsidRPr="001A0B18" w:rsidRDefault="00EC2DF1" w:rsidP="00EC2DF1">
      <w:pPr>
        <w:rPr>
          <w:rFonts w:ascii="Calibri" w:hAnsi="Calibri" w:cs="Calibri"/>
          <w:color w:val="000000" w:themeColor="text1"/>
          <w:sz w:val="20"/>
          <w:szCs w:val="20"/>
        </w:rPr>
      </w:pPr>
      <w:r w:rsidRPr="001A0B18">
        <w:rPr>
          <w:rFonts w:ascii="Calibri" w:hAnsi="Calibri" w:cs="Calibri"/>
          <w:color w:val="000000" w:themeColor="text1"/>
          <w:sz w:val="20"/>
          <w:szCs w:val="20"/>
        </w:rPr>
        <w:t>It should be noted that First Name, Last Name, and Date of Birth are also stored as encrypted ciphertext in the current implementation. This is included solely for demonstration purposes during assessment and is not required for system functionality.</w:t>
      </w:r>
    </w:p>
    <w:p w14:paraId="6DE28239" w14:textId="77777777" w:rsidR="00EC2DF1" w:rsidRPr="001A0B18" w:rsidRDefault="00EC2DF1" w:rsidP="00EC2DF1">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Ballot anonymity is enforced structurally within the </w:t>
      </w:r>
      <w:proofErr w:type="spellStart"/>
      <w:r w:rsidRPr="001A0B18">
        <w:rPr>
          <w:rFonts w:ascii="Calibri" w:hAnsi="Calibri" w:cs="Calibri"/>
          <w:b/>
          <w:bCs/>
          <w:color w:val="000000" w:themeColor="text1"/>
          <w:sz w:val="20"/>
          <w:szCs w:val="20"/>
        </w:rPr>
        <w:t>VoteRecord</w:t>
      </w:r>
      <w:proofErr w:type="spellEnd"/>
      <w:r w:rsidRPr="001A0B18">
        <w:rPr>
          <w:rFonts w:ascii="Calibri" w:hAnsi="Calibri" w:cs="Calibri"/>
          <w:color w:val="000000" w:themeColor="text1"/>
          <w:sz w:val="20"/>
          <w:szCs w:val="20"/>
        </w:rPr>
        <w:t xml:space="preserve"> table, which contains no reference to the Voter table. Instead, it only links to election-related entities such as </w:t>
      </w:r>
      <w:proofErr w:type="spellStart"/>
      <w:r w:rsidRPr="001A0B18">
        <w:rPr>
          <w:rFonts w:ascii="Calibri" w:hAnsi="Calibri" w:cs="Calibri"/>
          <w:color w:val="000000" w:themeColor="text1"/>
          <w:sz w:val="20"/>
          <w:szCs w:val="20"/>
        </w:rPr>
        <w:t>CandidateI</w:t>
      </w:r>
      <w:r>
        <w:rPr>
          <w:rFonts w:ascii="Calibri" w:hAnsi="Calibri" w:cs="Calibri"/>
          <w:color w:val="000000" w:themeColor="text1"/>
          <w:sz w:val="20"/>
          <w:szCs w:val="20"/>
        </w:rPr>
        <w:t>D</w:t>
      </w:r>
      <w:proofErr w:type="spellEnd"/>
      <w:r w:rsidRPr="001A0B18">
        <w:rPr>
          <w:rFonts w:ascii="Calibri" w:hAnsi="Calibri" w:cs="Calibri"/>
          <w:color w:val="000000" w:themeColor="text1"/>
          <w:sz w:val="20"/>
          <w:szCs w:val="20"/>
        </w:rPr>
        <w:t xml:space="preserve">, </w:t>
      </w:r>
      <w:proofErr w:type="spellStart"/>
      <w:r w:rsidRPr="001A0B18">
        <w:rPr>
          <w:rFonts w:ascii="Calibri" w:hAnsi="Calibri" w:cs="Calibri"/>
          <w:color w:val="000000" w:themeColor="text1"/>
          <w:sz w:val="20"/>
          <w:szCs w:val="20"/>
        </w:rPr>
        <w:t>ConstituencyI</w:t>
      </w:r>
      <w:r>
        <w:rPr>
          <w:rFonts w:ascii="Calibri" w:hAnsi="Calibri" w:cs="Calibri"/>
          <w:color w:val="000000" w:themeColor="text1"/>
          <w:sz w:val="20"/>
          <w:szCs w:val="20"/>
        </w:rPr>
        <w:t>D</w:t>
      </w:r>
      <w:proofErr w:type="spellEnd"/>
      <w:r w:rsidRPr="001A0B18">
        <w:rPr>
          <w:rFonts w:ascii="Calibri" w:hAnsi="Calibri" w:cs="Calibri"/>
          <w:color w:val="000000" w:themeColor="text1"/>
          <w:sz w:val="20"/>
          <w:szCs w:val="20"/>
        </w:rPr>
        <w:t xml:space="preserve">, and </w:t>
      </w:r>
      <w:proofErr w:type="spellStart"/>
      <w:r w:rsidRPr="001A0B18">
        <w:rPr>
          <w:rFonts w:ascii="Calibri" w:hAnsi="Calibri" w:cs="Calibri"/>
          <w:color w:val="000000" w:themeColor="text1"/>
          <w:sz w:val="20"/>
          <w:szCs w:val="20"/>
        </w:rPr>
        <w:t>PollingStationI</w:t>
      </w:r>
      <w:r>
        <w:rPr>
          <w:rFonts w:ascii="Calibri" w:hAnsi="Calibri" w:cs="Calibri"/>
          <w:color w:val="000000" w:themeColor="text1"/>
          <w:sz w:val="20"/>
          <w:szCs w:val="20"/>
        </w:rPr>
        <w:t>D</w:t>
      </w:r>
      <w:proofErr w:type="spellEnd"/>
      <w:r w:rsidRPr="001A0B18">
        <w:rPr>
          <w:rFonts w:ascii="Calibri" w:hAnsi="Calibri" w:cs="Calibri"/>
          <w:color w:val="000000" w:themeColor="text1"/>
          <w:sz w:val="20"/>
          <w:szCs w:val="20"/>
        </w:rPr>
        <w:t>. As a result, even with full database access, it is not possible to associate a cast ballot with a specific voter.</w:t>
      </w:r>
    </w:p>
    <w:p w14:paraId="25AAB10E" w14:textId="77777777" w:rsidR="00EC2DF1" w:rsidRPr="001A0B18" w:rsidRDefault="00EC2DF1" w:rsidP="00EC2DF1">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Voter participation is tracked using a </w:t>
      </w:r>
      <w:proofErr w:type="spellStart"/>
      <w:r w:rsidRPr="001A0B18">
        <w:rPr>
          <w:rFonts w:ascii="Calibri" w:hAnsi="Calibri" w:cs="Calibri"/>
          <w:color w:val="000000" w:themeColor="text1"/>
          <w:sz w:val="20"/>
          <w:szCs w:val="20"/>
        </w:rPr>
        <w:t>HasVoted</w:t>
      </w:r>
      <w:proofErr w:type="spellEnd"/>
      <w:r w:rsidRPr="001A0B18">
        <w:rPr>
          <w:rFonts w:ascii="Calibri" w:hAnsi="Calibri" w:cs="Calibri"/>
          <w:color w:val="000000" w:themeColor="text1"/>
          <w:sz w:val="20"/>
          <w:szCs w:val="20"/>
        </w:rPr>
        <w:t xml:space="preserve"> </w:t>
      </w:r>
      <w:proofErr w:type="spellStart"/>
      <w:r w:rsidRPr="001A0B18">
        <w:rPr>
          <w:rFonts w:ascii="Calibri" w:hAnsi="Calibri" w:cs="Calibri"/>
          <w:color w:val="000000" w:themeColor="text1"/>
          <w:sz w:val="20"/>
          <w:szCs w:val="20"/>
        </w:rPr>
        <w:t>boolean</w:t>
      </w:r>
      <w:proofErr w:type="spellEnd"/>
      <w:r w:rsidRPr="001A0B18">
        <w:rPr>
          <w:rFonts w:ascii="Calibri" w:hAnsi="Calibri" w:cs="Calibri"/>
          <w:color w:val="000000" w:themeColor="text1"/>
          <w:sz w:val="20"/>
          <w:szCs w:val="20"/>
        </w:rPr>
        <w:t xml:space="preserve"> field in the Voter table. This field is updated within the same Entity Framework Core transaction as the insertion of a corresponding </w:t>
      </w:r>
      <w:proofErr w:type="spellStart"/>
      <w:r w:rsidRPr="001A0B18">
        <w:rPr>
          <w:rFonts w:ascii="Calibri" w:hAnsi="Calibri" w:cs="Calibri"/>
          <w:color w:val="000000" w:themeColor="text1"/>
          <w:sz w:val="20"/>
          <w:szCs w:val="20"/>
        </w:rPr>
        <w:t>VoteRecord</w:t>
      </w:r>
      <w:proofErr w:type="spellEnd"/>
      <w:r w:rsidRPr="001A0B18">
        <w:rPr>
          <w:rFonts w:ascii="Calibri" w:hAnsi="Calibri" w:cs="Calibri"/>
          <w:color w:val="000000" w:themeColor="text1"/>
          <w:sz w:val="20"/>
          <w:szCs w:val="20"/>
        </w:rPr>
        <w:t xml:space="preserve">, ensuring </w:t>
      </w:r>
      <w:r>
        <w:rPr>
          <w:rFonts w:ascii="Calibri" w:hAnsi="Calibri" w:cs="Calibri"/>
          <w:color w:val="000000" w:themeColor="text1"/>
          <w:sz w:val="20"/>
          <w:szCs w:val="20"/>
        </w:rPr>
        <w:t>anonymity</w:t>
      </w:r>
      <w:r w:rsidRPr="001A0B18">
        <w:rPr>
          <w:rFonts w:ascii="Calibri" w:hAnsi="Calibri" w:cs="Calibri"/>
          <w:color w:val="000000" w:themeColor="text1"/>
          <w:sz w:val="20"/>
          <w:szCs w:val="20"/>
        </w:rPr>
        <w:t xml:space="preserve"> and preventing race conditions.</w:t>
      </w:r>
    </w:p>
    <w:p w14:paraId="205732BD" w14:textId="77777777" w:rsidR="00EC2DF1" w:rsidRPr="001A0B18" w:rsidRDefault="00EC2DF1" w:rsidP="00EC2DF1">
      <w:pPr>
        <w:rPr>
          <w:rFonts w:ascii="Calibri" w:hAnsi="Calibri" w:cs="Calibri"/>
          <w:color w:val="000000" w:themeColor="text1"/>
          <w:sz w:val="20"/>
          <w:szCs w:val="20"/>
        </w:rPr>
      </w:pPr>
      <w:r w:rsidRPr="001A0B18">
        <w:rPr>
          <w:rFonts w:ascii="Calibri" w:hAnsi="Calibri" w:cs="Calibri"/>
          <w:noProof/>
          <w:color w:val="000000" w:themeColor="text1"/>
          <w:sz w:val="20"/>
          <w:szCs w:val="20"/>
        </w:rPr>
        <w:drawing>
          <wp:inline distT="0" distB="0" distL="0" distR="0" wp14:anchorId="40515E33" wp14:editId="0C9799E1">
            <wp:extent cx="2461764" cy="779228"/>
            <wp:effectExtent l="0" t="0" r="0" b="1905"/>
            <wp:docPr id="126682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27990" name=""/>
                    <pic:cNvPicPr/>
                  </pic:nvPicPr>
                  <pic:blipFill>
                    <a:blip r:embed="rId12"/>
                    <a:stretch>
                      <a:fillRect/>
                    </a:stretch>
                  </pic:blipFill>
                  <pic:spPr>
                    <a:xfrm>
                      <a:off x="0" y="0"/>
                      <a:ext cx="2473600" cy="782975"/>
                    </a:xfrm>
                    <a:prstGeom prst="rect">
                      <a:avLst/>
                    </a:prstGeom>
                  </pic:spPr>
                </pic:pic>
              </a:graphicData>
            </a:graphic>
          </wp:inline>
        </w:drawing>
      </w:r>
    </w:p>
    <w:p w14:paraId="4C424F88" w14:textId="62812BCE" w:rsidR="00EC2DF1" w:rsidRPr="00FD2652" w:rsidRDefault="00EC2DF1" w:rsidP="00EC2DF1">
      <w:pPr>
        <w:rPr>
          <w:rFonts w:ascii="Calibri" w:hAnsi="Calibri" w:cs="Calibri"/>
          <w:i/>
          <w:iCs/>
          <w:color w:val="000000" w:themeColor="text1"/>
          <w:sz w:val="18"/>
          <w:szCs w:val="18"/>
        </w:rPr>
      </w:pPr>
      <w:r w:rsidRPr="00FD2652">
        <w:rPr>
          <w:rFonts w:ascii="Calibri" w:hAnsi="Calibri" w:cs="Calibri"/>
          <w:i/>
          <w:iCs/>
          <w:color w:val="000000" w:themeColor="text1"/>
          <w:sz w:val="18"/>
          <w:szCs w:val="18"/>
        </w:rPr>
        <w:t xml:space="preserve">Figure </w:t>
      </w:r>
      <w:r w:rsidR="0015693A" w:rsidRPr="00FD2652">
        <w:rPr>
          <w:rFonts w:ascii="Calibri" w:hAnsi="Calibri" w:cs="Calibri"/>
          <w:i/>
          <w:iCs/>
          <w:color w:val="000000" w:themeColor="text1"/>
          <w:sz w:val="18"/>
          <w:szCs w:val="18"/>
        </w:rPr>
        <w:t>7</w:t>
      </w:r>
      <w:r w:rsidRPr="00FD2652">
        <w:rPr>
          <w:rFonts w:ascii="Calibri" w:hAnsi="Calibri" w:cs="Calibri"/>
          <w:i/>
          <w:iCs/>
          <w:color w:val="000000" w:themeColor="text1"/>
          <w:sz w:val="18"/>
          <w:szCs w:val="18"/>
        </w:rPr>
        <w:t xml:space="preserve"> </w:t>
      </w:r>
      <w:proofErr w:type="spellStart"/>
      <w:r w:rsidRPr="00FD2652">
        <w:rPr>
          <w:rFonts w:ascii="Calibri" w:hAnsi="Calibri" w:cs="Calibri"/>
          <w:i/>
          <w:iCs/>
          <w:color w:val="000000" w:themeColor="text1"/>
          <w:sz w:val="18"/>
          <w:szCs w:val="18"/>
        </w:rPr>
        <w:t>VoteRecord</w:t>
      </w:r>
      <w:proofErr w:type="spellEnd"/>
      <w:r w:rsidRPr="00FD2652">
        <w:rPr>
          <w:rFonts w:ascii="Calibri" w:hAnsi="Calibri" w:cs="Calibri"/>
          <w:i/>
          <w:iCs/>
          <w:color w:val="000000" w:themeColor="text1"/>
          <w:sz w:val="18"/>
          <w:szCs w:val="18"/>
        </w:rPr>
        <w:t xml:space="preserve"> Table </w:t>
      </w:r>
    </w:p>
    <w:p w14:paraId="26F1EA33" w14:textId="77777777" w:rsidR="00EC2DF1" w:rsidRPr="00FD2652" w:rsidRDefault="00EC2DF1" w:rsidP="00EC2DF1">
      <w:pPr>
        <w:rPr>
          <w:rFonts w:ascii="Calibri" w:hAnsi="Calibri" w:cs="Calibri"/>
          <w:b/>
          <w:bCs/>
          <w:color w:val="000000" w:themeColor="text1"/>
          <w:sz w:val="20"/>
          <w:szCs w:val="20"/>
        </w:rPr>
      </w:pPr>
      <w:r w:rsidRPr="00FD2652">
        <w:rPr>
          <w:rFonts w:ascii="Calibri" w:hAnsi="Calibri" w:cs="Calibri"/>
          <w:b/>
          <w:bCs/>
          <w:color w:val="000000" w:themeColor="text1"/>
          <w:sz w:val="20"/>
          <w:szCs w:val="20"/>
        </w:rPr>
        <w:t xml:space="preserve">6.2 Https and Transport Security </w:t>
      </w:r>
    </w:p>
    <w:p w14:paraId="29B27F8B" w14:textId="77777777" w:rsidR="00EC2DF1" w:rsidRPr="001A0B18" w:rsidRDefault="00EC2DF1" w:rsidP="00EC2DF1">
      <w:pPr>
        <w:rPr>
          <w:rFonts w:ascii="Calibri" w:hAnsi="Calibri" w:cs="Calibri"/>
          <w:color w:val="000000" w:themeColor="text1"/>
          <w:sz w:val="20"/>
          <w:szCs w:val="20"/>
        </w:rPr>
      </w:pPr>
      <w:r w:rsidRPr="008D2E81">
        <w:rPr>
          <w:rFonts w:ascii="Calibri" w:hAnsi="Calibri" w:cs="Calibri"/>
          <w:color w:val="000000" w:themeColor="text1"/>
          <w:sz w:val="20"/>
          <w:szCs w:val="20"/>
        </w:rPr>
        <w:t>At an early point in the server’s development, a deployment challenge emerged due to issues with implementing HTTPS</w:t>
      </w:r>
      <w:r w:rsidRPr="001A0B18">
        <w:rPr>
          <w:rFonts w:ascii="Calibri" w:hAnsi="Calibri" w:cs="Calibri"/>
          <w:color w:val="000000" w:themeColor="text1"/>
          <w:sz w:val="20"/>
          <w:szCs w:val="20"/>
        </w:rPr>
        <w:t>. HTTPS requires a valid hostname for issuing a certificate via Let’s Encrypt, but the EC2 instance doesn’t have one, it only has an elastic IP address. To resolve this problem</w:t>
      </w:r>
      <w:r>
        <w:rPr>
          <w:rFonts w:ascii="Calibri" w:hAnsi="Calibri" w:cs="Calibri"/>
          <w:color w:val="000000" w:themeColor="text1"/>
          <w:sz w:val="20"/>
          <w:szCs w:val="20"/>
        </w:rPr>
        <w:t>,</w:t>
      </w:r>
      <w:r w:rsidRPr="001A0B18">
        <w:rPr>
          <w:rFonts w:ascii="Calibri" w:hAnsi="Calibri" w:cs="Calibri"/>
          <w:color w:val="000000" w:themeColor="text1"/>
          <w:sz w:val="20"/>
          <w:szCs w:val="20"/>
        </w:rPr>
        <w:t xml:space="preserve"> nip.io was used</w:t>
      </w:r>
      <w:r>
        <w:rPr>
          <w:rFonts w:ascii="Calibri" w:hAnsi="Calibri" w:cs="Calibri"/>
          <w:color w:val="000000" w:themeColor="text1"/>
          <w:sz w:val="20"/>
          <w:szCs w:val="20"/>
        </w:rPr>
        <w:t>. N</w:t>
      </w:r>
      <w:r w:rsidRPr="001A0B18">
        <w:rPr>
          <w:rFonts w:ascii="Calibri" w:hAnsi="Calibri" w:cs="Calibri"/>
          <w:color w:val="000000" w:themeColor="text1"/>
          <w:sz w:val="20"/>
          <w:szCs w:val="20"/>
        </w:rPr>
        <w:t xml:space="preserve">ip.io is a wildcard DNS service that maps hostnames containing an embedded IP address back to that IP. The Elastic IP (34.238.14.248) is mapped to the hostname 34-238-14-248.nip.io, which is provided by nip.io. This service automatically resolves subdomains containing an IP address to that IP, meaning 34-238-14-248.nip.io resolves to 34.238.14.248 without requiring manual DNS configuration. This provides a publicly resolvable Fully Qualified Domain Name (FQDN), which was then used by Let’s Encrypt to provide a TLS certificate, allowing HTTPS communication. </w:t>
      </w:r>
    </w:p>
    <w:p w14:paraId="3FD3C93E" w14:textId="77777777" w:rsidR="00EC2DF1" w:rsidRPr="001A0B18" w:rsidRDefault="00EC2DF1" w:rsidP="00EC2DF1">
      <w:pPr>
        <w:rPr>
          <w:rFonts w:ascii="Calibri" w:hAnsi="Calibri" w:cs="Calibri"/>
          <w:color w:val="000000" w:themeColor="text1"/>
          <w:sz w:val="20"/>
          <w:szCs w:val="20"/>
        </w:rPr>
      </w:pPr>
      <w:r w:rsidRPr="001A0B18">
        <w:rPr>
          <w:rFonts w:ascii="Calibri" w:hAnsi="Calibri" w:cs="Calibri"/>
          <w:color w:val="000000" w:themeColor="text1"/>
          <w:sz w:val="20"/>
          <w:szCs w:val="20"/>
        </w:rPr>
        <w:lastRenderedPageBreak/>
        <w:t>TLS termination is handled entirely by Nginx reverse proxy which runs on the same EC2 instance the server does. Nginx listens on port 443, performs the TLS handshake and forwards decrypted requests over HTTP to Kestrel on localhost: 50</w:t>
      </w:r>
      <w:r>
        <w:rPr>
          <w:rFonts w:ascii="Calibri" w:hAnsi="Calibri" w:cs="Calibri"/>
          <w:color w:val="000000" w:themeColor="text1"/>
          <w:sz w:val="20"/>
          <w:szCs w:val="20"/>
        </w:rPr>
        <w:t>0</w:t>
      </w:r>
      <w:r w:rsidRPr="001A0B18">
        <w:rPr>
          <w:rFonts w:ascii="Calibri" w:hAnsi="Calibri" w:cs="Calibri"/>
          <w:color w:val="000000" w:themeColor="text1"/>
          <w:sz w:val="20"/>
          <w:szCs w:val="20"/>
        </w:rPr>
        <w:t xml:space="preserve">0. The kestrel binding is restricted to the loopback interface which means the application is not able to be contacted from the internet, all traffic must pass through Nginx. </w:t>
      </w:r>
    </w:p>
    <w:p w14:paraId="3ADC2FE2" w14:textId="77777777" w:rsidR="00EC2DF1" w:rsidRDefault="00EC2DF1" w:rsidP="00EC2DF1">
      <w:pPr>
        <w:rPr>
          <w:rFonts w:ascii="Calibri" w:hAnsi="Calibri" w:cs="Calibri"/>
          <w:color w:val="000000" w:themeColor="text1"/>
          <w:sz w:val="20"/>
          <w:szCs w:val="20"/>
        </w:rPr>
      </w:pPr>
      <w:r w:rsidRPr="001A0B18">
        <w:rPr>
          <w:rFonts w:ascii="Calibri" w:hAnsi="Calibri" w:cs="Calibri"/>
          <w:noProof/>
          <w:color w:val="000000" w:themeColor="text1"/>
          <w:sz w:val="20"/>
          <w:szCs w:val="20"/>
        </w:rPr>
        <w:drawing>
          <wp:inline distT="0" distB="0" distL="0" distR="0" wp14:anchorId="2EF70DED" wp14:editId="56DE17FC">
            <wp:extent cx="2623932" cy="636105"/>
            <wp:effectExtent l="0" t="0" r="5080" b="0"/>
            <wp:docPr id="155587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75683" name=""/>
                    <pic:cNvPicPr/>
                  </pic:nvPicPr>
                  <pic:blipFill>
                    <a:blip r:embed="rId13"/>
                    <a:stretch>
                      <a:fillRect/>
                    </a:stretch>
                  </pic:blipFill>
                  <pic:spPr>
                    <a:xfrm>
                      <a:off x="0" y="0"/>
                      <a:ext cx="2648882" cy="642153"/>
                    </a:xfrm>
                    <a:prstGeom prst="rect">
                      <a:avLst/>
                    </a:prstGeom>
                  </pic:spPr>
                </pic:pic>
              </a:graphicData>
            </a:graphic>
          </wp:inline>
        </w:drawing>
      </w:r>
    </w:p>
    <w:p w14:paraId="2C25BB35" w14:textId="45E05BB4" w:rsidR="00EC2DF1" w:rsidRPr="00465CB8" w:rsidRDefault="00EC2DF1" w:rsidP="00EC2DF1">
      <w:pPr>
        <w:rPr>
          <w:rFonts w:ascii="Calibri" w:hAnsi="Calibri" w:cs="Calibri"/>
          <w:color w:val="000000" w:themeColor="text1"/>
          <w:sz w:val="20"/>
          <w:szCs w:val="20"/>
        </w:rPr>
      </w:pPr>
      <w:r>
        <w:rPr>
          <w:rFonts w:ascii="Calibri" w:hAnsi="Calibri" w:cs="Calibri"/>
          <w:color w:val="000000" w:themeColor="text1"/>
          <w:sz w:val="20"/>
          <w:szCs w:val="20"/>
        </w:rPr>
        <w:t xml:space="preserve">Figure </w:t>
      </w:r>
      <w:r w:rsidR="0015693A">
        <w:rPr>
          <w:rFonts w:ascii="Calibri" w:hAnsi="Calibri" w:cs="Calibri"/>
          <w:color w:val="000000" w:themeColor="text1"/>
          <w:sz w:val="20"/>
          <w:szCs w:val="20"/>
        </w:rPr>
        <w:t>8</w:t>
      </w:r>
      <w:r w:rsidR="00465CB8">
        <w:rPr>
          <w:rFonts w:ascii="Calibri" w:hAnsi="Calibri" w:cs="Calibri"/>
          <w:color w:val="000000" w:themeColor="text1"/>
          <w:sz w:val="20"/>
          <w:szCs w:val="20"/>
        </w:rPr>
        <w:t xml:space="preserve"> -</w:t>
      </w:r>
      <w:r w:rsidR="00634CF8">
        <w:rPr>
          <w:rFonts w:ascii="Calibri" w:hAnsi="Calibri" w:cs="Calibri"/>
          <w:color w:val="000000" w:themeColor="text1"/>
          <w:sz w:val="20"/>
          <w:szCs w:val="20"/>
        </w:rPr>
        <w:t xml:space="preserve"> </w:t>
      </w:r>
      <w:r w:rsidR="00465CB8" w:rsidRPr="00465CB8">
        <w:rPr>
          <w:rFonts w:ascii="Calibri" w:hAnsi="Calibri" w:cs="Calibri"/>
          <w:color w:val="000000" w:themeColor="text1"/>
          <w:sz w:val="20"/>
          <w:szCs w:val="20"/>
        </w:rPr>
        <w:t>Kestrel local port binding for Nginx reverse proxy</w:t>
      </w:r>
    </w:p>
    <w:p w14:paraId="3E8BAC62" w14:textId="77777777" w:rsidR="00EC2DF1" w:rsidRPr="001A0B18" w:rsidRDefault="00EC2DF1" w:rsidP="00EC2DF1">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6.3.1 API Endpoint Structure </w:t>
      </w:r>
    </w:p>
    <w:p w14:paraId="0F60F40F" w14:textId="77777777" w:rsidR="00EC2DF1" w:rsidRPr="001A0B18" w:rsidRDefault="00EC2DF1" w:rsidP="00EC2DF1">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The server is built using ASP.NET Core's minimal API pattern, where each route is registered as a lambda directly in </w:t>
      </w:r>
      <w:proofErr w:type="spellStart"/>
      <w:r w:rsidRPr="001A0B18">
        <w:rPr>
          <w:rFonts w:ascii="Calibri" w:hAnsi="Calibri" w:cs="Calibri"/>
          <w:color w:val="000000" w:themeColor="text1"/>
          <w:sz w:val="20"/>
          <w:szCs w:val="20"/>
        </w:rPr>
        <w:t>Program.cs</w:t>
      </w:r>
      <w:proofErr w:type="spellEnd"/>
      <w:r w:rsidRPr="001A0B18">
        <w:rPr>
          <w:rFonts w:ascii="Calibri" w:hAnsi="Calibri" w:cs="Calibri"/>
          <w:color w:val="000000" w:themeColor="text1"/>
          <w:sz w:val="20"/>
          <w:szCs w:val="20"/>
        </w:rPr>
        <w:t xml:space="preserve"> rather than through controller classes. This keeps endpoint logic explicit and co-located, which was well suited to a project of this scale. The endpoints are organised into three logical route groups: /auth/ for session management, /</w:t>
      </w:r>
      <w:proofErr w:type="spellStart"/>
      <w:r w:rsidRPr="001A0B18">
        <w:rPr>
          <w:rFonts w:ascii="Calibri" w:hAnsi="Calibri" w:cs="Calibri"/>
          <w:color w:val="000000" w:themeColor="text1"/>
          <w:sz w:val="20"/>
          <w:szCs w:val="20"/>
        </w:rPr>
        <w:t>api</w:t>
      </w:r>
      <w:proofErr w:type="spellEnd"/>
      <w:r w:rsidRPr="001A0B18">
        <w:rPr>
          <w:rFonts w:ascii="Calibri" w:hAnsi="Calibri" w:cs="Calibri"/>
          <w:color w:val="000000" w:themeColor="text1"/>
          <w:sz w:val="20"/>
          <w:szCs w:val="20"/>
        </w:rPr>
        <w:t>/official/ for Official App operations, and /</w:t>
      </w:r>
      <w:proofErr w:type="spellStart"/>
      <w:r w:rsidRPr="001A0B18">
        <w:rPr>
          <w:rFonts w:ascii="Calibri" w:hAnsi="Calibri" w:cs="Calibri"/>
          <w:color w:val="000000" w:themeColor="text1"/>
          <w:sz w:val="20"/>
          <w:szCs w:val="20"/>
        </w:rPr>
        <w:t>api</w:t>
      </w:r>
      <w:proofErr w:type="spellEnd"/>
      <w:r w:rsidRPr="001A0B18">
        <w:rPr>
          <w:rFonts w:ascii="Calibri" w:hAnsi="Calibri" w:cs="Calibri"/>
          <w:color w:val="000000" w:themeColor="text1"/>
          <w:sz w:val="20"/>
          <w:szCs w:val="20"/>
        </w:rPr>
        <w:t>/voter/ for Secure Vote App operations. An /</w:t>
      </w:r>
      <w:proofErr w:type="spellStart"/>
      <w:r w:rsidRPr="001A0B18">
        <w:rPr>
          <w:rFonts w:ascii="Calibri" w:hAnsi="Calibri" w:cs="Calibri"/>
          <w:color w:val="000000" w:themeColor="text1"/>
          <w:sz w:val="20"/>
          <w:szCs w:val="20"/>
        </w:rPr>
        <w:t>api</w:t>
      </w:r>
      <w:proofErr w:type="spellEnd"/>
      <w:r w:rsidRPr="001A0B18">
        <w:rPr>
          <w:rFonts w:ascii="Calibri" w:hAnsi="Calibri" w:cs="Calibri"/>
          <w:color w:val="000000" w:themeColor="text1"/>
          <w:sz w:val="20"/>
          <w:szCs w:val="20"/>
        </w:rPr>
        <w:t xml:space="preserve">/crypto/ endpoint exposes the server's RSA public key to clients on request, and /hubs/voting hosts the </w:t>
      </w:r>
      <w:proofErr w:type="spellStart"/>
      <w:r w:rsidRPr="001A0B18">
        <w:rPr>
          <w:rFonts w:ascii="Calibri" w:hAnsi="Calibri" w:cs="Calibri"/>
          <w:color w:val="000000" w:themeColor="text1"/>
          <w:sz w:val="20"/>
          <w:szCs w:val="20"/>
        </w:rPr>
        <w:t>SignalR</w:t>
      </w:r>
      <w:proofErr w:type="spellEnd"/>
      <w:r w:rsidRPr="001A0B18">
        <w:rPr>
          <w:rFonts w:ascii="Calibri" w:hAnsi="Calibri" w:cs="Calibri"/>
          <w:color w:val="000000" w:themeColor="text1"/>
          <w:sz w:val="20"/>
          <w:szCs w:val="20"/>
        </w:rPr>
        <w:t xml:space="preserve"> real-time hub.</w:t>
      </w:r>
    </w:p>
    <w:p w14:paraId="157FAFBB" w14:textId="77777777" w:rsidR="00EC2DF1" w:rsidRDefault="00EC2DF1" w:rsidP="00EC2DF1">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Access control is enforced uniformly through JWT role based authorisation. Every sensitive endpoint is decorated with a </w:t>
      </w:r>
      <w:proofErr w:type="spellStart"/>
      <w:r w:rsidRPr="001A0B18">
        <w:rPr>
          <w:rFonts w:ascii="Calibri" w:hAnsi="Calibri" w:cs="Calibri"/>
          <w:color w:val="000000" w:themeColor="text1"/>
          <w:sz w:val="20"/>
          <w:szCs w:val="20"/>
        </w:rPr>
        <w:t>RequireAuthori</w:t>
      </w:r>
      <w:r>
        <w:rPr>
          <w:rFonts w:ascii="Calibri" w:hAnsi="Calibri" w:cs="Calibri"/>
          <w:color w:val="000000" w:themeColor="text1"/>
          <w:sz w:val="20"/>
          <w:szCs w:val="20"/>
        </w:rPr>
        <w:t>s</w:t>
      </w:r>
      <w:r w:rsidRPr="001A0B18">
        <w:rPr>
          <w:rFonts w:ascii="Calibri" w:hAnsi="Calibri" w:cs="Calibri"/>
          <w:color w:val="000000" w:themeColor="text1"/>
          <w:sz w:val="20"/>
          <w:szCs w:val="20"/>
        </w:rPr>
        <w:t>ation</w:t>
      </w:r>
      <w:proofErr w:type="spellEnd"/>
      <w:r w:rsidRPr="001A0B18">
        <w:rPr>
          <w:rFonts w:ascii="Calibri" w:hAnsi="Calibri" w:cs="Calibri"/>
          <w:color w:val="000000" w:themeColor="text1"/>
          <w:sz w:val="20"/>
          <w:szCs w:val="20"/>
        </w:rPr>
        <w:t xml:space="preserve"> policy limiting access to either the official or voter role. Roles are embedded in the token at the point of login and validated on every subsequent request. Sensitive contextual information such as polling station, county, and constituency is never read from the client request body, it is derived exclusively from the JWT claims. This ensures that an authenticated official cannot query another station's data by modifying a request parameter.</w:t>
      </w:r>
    </w:p>
    <w:p w14:paraId="5E8548F6" w14:textId="77777777" w:rsidR="00EC2DF1" w:rsidRPr="001A0B18" w:rsidRDefault="00EC2DF1" w:rsidP="00EC2DF1">
      <w:pPr>
        <w:rPr>
          <w:rFonts w:ascii="Calibri" w:hAnsi="Calibri" w:cs="Calibri"/>
          <w:color w:val="000000" w:themeColor="text1"/>
          <w:sz w:val="20"/>
          <w:szCs w:val="20"/>
        </w:rPr>
      </w:pPr>
      <w:r w:rsidRPr="001A0B18">
        <w:rPr>
          <w:rFonts w:ascii="Calibri" w:hAnsi="Calibri" w:cs="Calibri"/>
          <w:noProof/>
          <w:color w:val="000000" w:themeColor="text1"/>
          <w:sz w:val="20"/>
          <w:szCs w:val="20"/>
        </w:rPr>
        <w:drawing>
          <wp:inline distT="0" distB="0" distL="0" distR="0" wp14:anchorId="214B050D" wp14:editId="560D89C8">
            <wp:extent cx="2552369" cy="2635777"/>
            <wp:effectExtent l="0" t="0" r="635" b="0"/>
            <wp:docPr id="79890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04171" name=""/>
                    <pic:cNvPicPr/>
                  </pic:nvPicPr>
                  <pic:blipFill>
                    <a:blip r:embed="rId14"/>
                    <a:stretch>
                      <a:fillRect/>
                    </a:stretch>
                  </pic:blipFill>
                  <pic:spPr>
                    <a:xfrm>
                      <a:off x="0" y="0"/>
                      <a:ext cx="2574947" cy="2659093"/>
                    </a:xfrm>
                    <a:prstGeom prst="rect">
                      <a:avLst/>
                    </a:prstGeom>
                  </pic:spPr>
                </pic:pic>
              </a:graphicData>
            </a:graphic>
          </wp:inline>
        </w:drawing>
      </w:r>
    </w:p>
    <w:p w14:paraId="3A4CEFC4" w14:textId="4524DAE7" w:rsidR="00EC2DF1" w:rsidRDefault="00EC2DF1" w:rsidP="00EC2DF1">
      <w:pPr>
        <w:rPr>
          <w:rFonts w:ascii="Calibri" w:hAnsi="Calibri" w:cs="Calibri"/>
          <w:i/>
          <w:iCs/>
          <w:color w:val="000000" w:themeColor="text1"/>
          <w:sz w:val="20"/>
          <w:szCs w:val="20"/>
        </w:rPr>
      </w:pPr>
      <w:r w:rsidRPr="001A0B18">
        <w:rPr>
          <w:rFonts w:ascii="Calibri" w:hAnsi="Calibri" w:cs="Calibri"/>
          <w:i/>
          <w:iCs/>
          <w:color w:val="000000" w:themeColor="text1"/>
          <w:sz w:val="20"/>
          <w:szCs w:val="20"/>
        </w:rPr>
        <w:t xml:space="preserve">Figure </w:t>
      </w:r>
      <w:r w:rsidR="0015693A">
        <w:rPr>
          <w:rFonts w:ascii="Calibri" w:hAnsi="Calibri" w:cs="Calibri"/>
          <w:i/>
          <w:iCs/>
          <w:color w:val="000000" w:themeColor="text1"/>
          <w:sz w:val="20"/>
          <w:szCs w:val="20"/>
        </w:rPr>
        <w:t>9</w:t>
      </w:r>
      <w:r w:rsidRPr="001A0B18">
        <w:rPr>
          <w:rFonts w:ascii="Calibri" w:hAnsi="Calibri" w:cs="Calibri"/>
          <w:i/>
          <w:iCs/>
          <w:color w:val="000000" w:themeColor="text1"/>
          <w:sz w:val="20"/>
          <w:szCs w:val="20"/>
        </w:rPr>
        <w:t xml:space="preserve"> Polling stations vote count API end point </w:t>
      </w:r>
    </w:p>
    <w:p w14:paraId="34970959" w14:textId="2D541CDC" w:rsidR="00EC2DF1" w:rsidRDefault="00EC2DF1" w:rsidP="00EC2DF1">
      <w:pPr>
        <w:rPr>
          <w:rFonts w:ascii="Calibri" w:hAnsi="Calibri" w:cs="Calibri"/>
          <w:color w:val="000000" w:themeColor="text1"/>
          <w:sz w:val="20"/>
          <w:szCs w:val="20"/>
        </w:rPr>
      </w:pPr>
      <w:r w:rsidRPr="001A0B18">
        <w:rPr>
          <w:rFonts w:ascii="Calibri" w:hAnsi="Calibri" w:cs="Calibri"/>
          <w:color w:val="000000" w:themeColor="text1"/>
          <w:sz w:val="20"/>
          <w:szCs w:val="20"/>
        </w:rPr>
        <w:br/>
        <w:t xml:space="preserve">As demonstrated in Figure </w:t>
      </w:r>
      <w:r w:rsidR="00131B9F">
        <w:rPr>
          <w:rFonts w:ascii="Calibri" w:hAnsi="Calibri" w:cs="Calibri"/>
          <w:color w:val="000000" w:themeColor="text1"/>
          <w:sz w:val="20"/>
          <w:szCs w:val="20"/>
        </w:rPr>
        <w:t>9</w:t>
      </w:r>
      <w:r w:rsidRPr="001A0B18">
        <w:rPr>
          <w:rFonts w:ascii="Calibri" w:hAnsi="Calibri" w:cs="Calibri"/>
          <w:color w:val="000000" w:themeColor="text1"/>
          <w:sz w:val="20"/>
          <w:szCs w:val="20"/>
        </w:rPr>
        <w:t xml:space="preserve">, the polling station identity is extracted from the </w:t>
      </w:r>
      <w:proofErr w:type="spellStart"/>
      <w:r w:rsidRPr="001A0B18">
        <w:rPr>
          <w:rFonts w:ascii="Calibri" w:hAnsi="Calibri" w:cs="Calibri"/>
          <w:color w:val="000000" w:themeColor="text1"/>
          <w:sz w:val="20"/>
          <w:szCs w:val="20"/>
        </w:rPr>
        <w:t>ClaimsPrincipal</w:t>
      </w:r>
      <w:proofErr w:type="spellEnd"/>
      <w:r w:rsidRPr="001A0B18">
        <w:rPr>
          <w:rFonts w:ascii="Calibri" w:hAnsi="Calibri" w:cs="Calibri"/>
          <w:color w:val="000000" w:themeColor="text1"/>
          <w:sz w:val="20"/>
          <w:szCs w:val="20"/>
        </w:rPr>
        <w:t xml:space="preserve"> object on line 3. The endpoint validates that the claim is present and well-formed before proceeding, returning a structured error response if not. Two asynchronous database calls then retrieve the total votes cast and the expected turnout for that station, which feeds the live dashboard in the Official App. This pattern of claim derived context is applied consistently across all protected endpoints in the system.</w:t>
      </w:r>
    </w:p>
    <w:p w14:paraId="5EB4E9AA" w14:textId="77777777" w:rsidR="00FD2652" w:rsidRDefault="00FD2652" w:rsidP="00EC2DF1">
      <w:pPr>
        <w:rPr>
          <w:rFonts w:ascii="Calibri" w:hAnsi="Calibri" w:cs="Calibri"/>
          <w:color w:val="000000" w:themeColor="text1"/>
          <w:sz w:val="20"/>
          <w:szCs w:val="20"/>
        </w:rPr>
      </w:pPr>
    </w:p>
    <w:p w14:paraId="6BE7B1F3" w14:textId="77777777" w:rsidR="00FD2652" w:rsidRPr="00223572" w:rsidRDefault="00FD2652" w:rsidP="00EC2DF1">
      <w:pPr>
        <w:rPr>
          <w:rFonts w:ascii="Calibri" w:hAnsi="Calibri" w:cs="Calibri"/>
          <w:i/>
          <w:iCs/>
          <w:color w:val="000000" w:themeColor="text1"/>
          <w:sz w:val="20"/>
          <w:szCs w:val="20"/>
        </w:rPr>
      </w:pPr>
    </w:p>
    <w:p w14:paraId="214E5853" w14:textId="77777777" w:rsidR="00EC2DF1" w:rsidRPr="00FD2652" w:rsidRDefault="00EC2DF1" w:rsidP="00EC2DF1">
      <w:pPr>
        <w:rPr>
          <w:rFonts w:ascii="Calibri" w:hAnsi="Calibri" w:cs="Calibri"/>
          <w:b/>
          <w:bCs/>
          <w:color w:val="000000" w:themeColor="text1"/>
          <w:sz w:val="20"/>
          <w:szCs w:val="20"/>
        </w:rPr>
      </w:pPr>
      <w:r w:rsidRPr="00FD2652">
        <w:rPr>
          <w:rFonts w:ascii="Calibri" w:hAnsi="Calibri" w:cs="Calibri"/>
          <w:b/>
          <w:bCs/>
          <w:color w:val="000000" w:themeColor="text1"/>
          <w:sz w:val="20"/>
          <w:szCs w:val="20"/>
        </w:rPr>
        <w:lastRenderedPageBreak/>
        <w:t xml:space="preserve">6.3.2 JWT Token Distribution </w:t>
      </w:r>
    </w:p>
    <w:p w14:paraId="559F3C72" w14:textId="77777777" w:rsidR="00EC2DF1" w:rsidRDefault="00EC2DF1" w:rsidP="00EC2DF1">
      <w:pPr>
        <w:rPr>
          <w:rFonts w:ascii="Calibri" w:hAnsi="Calibri" w:cs="Calibri"/>
          <w:color w:val="000000" w:themeColor="text1"/>
          <w:sz w:val="20"/>
          <w:szCs w:val="20"/>
        </w:rPr>
      </w:pPr>
      <w:r w:rsidRPr="001A0B18">
        <w:rPr>
          <w:rFonts w:ascii="Calibri" w:hAnsi="Calibri" w:cs="Calibri"/>
          <w:color w:val="000000" w:themeColor="text1"/>
          <w:sz w:val="20"/>
          <w:szCs w:val="20"/>
        </w:rPr>
        <w:t>To limit access</w:t>
      </w:r>
      <w:r>
        <w:rPr>
          <w:rFonts w:ascii="Calibri" w:hAnsi="Calibri" w:cs="Calibri"/>
          <w:color w:val="000000" w:themeColor="text1"/>
          <w:sz w:val="20"/>
          <w:szCs w:val="20"/>
        </w:rPr>
        <w:t xml:space="preserve"> to both</w:t>
      </w:r>
      <w:r w:rsidRPr="001A0B18">
        <w:rPr>
          <w:rFonts w:ascii="Calibri" w:hAnsi="Calibri" w:cs="Calibri"/>
          <w:color w:val="000000" w:themeColor="text1"/>
          <w:sz w:val="20"/>
          <w:szCs w:val="20"/>
        </w:rPr>
        <w:t xml:space="preserve"> the voter and official apps</w:t>
      </w:r>
      <w:r>
        <w:rPr>
          <w:rFonts w:ascii="Calibri" w:hAnsi="Calibri" w:cs="Calibri"/>
          <w:color w:val="000000" w:themeColor="text1"/>
          <w:sz w:val="20"/>
          <w:szCs w:val="20"/>
        </w:rPr>
        <w:t>,</w:t>
      </w:r>
      <w:r w:rsidRPr="001A0B18">
        <w:rPr>
          <w:rFonts w:ascii="Calibri" w:hAnsi="Calibri" w:cs="Calibri"/>
          <w:color w:val="000000" w:themeColor="text1"/>
          <w:sz w:val="20"/>
          <w:szCs w:val="20"/>
        </w:rPr>
        <w:t xml:space="preserve"> access to API endpoints the assignment of JSON Web Tokens (JWT) was used. The JWT token is used as an identity that API endpoints can verify, making sure that a request is not coming from </w:t>
      </w:r>
      <w:r>
        <w:rPr>
          <w:rFonts w:ascii="Calibri" w:hAnsi="Calibri" w:cs="Calibri"/>
          <w:color w:val="000000" w:themeColor="text1"/>
          <w:sz w:val="20"/>
          <w:szCs w:val="20"/>
        </w:rPr>
        <w:t>a</w:t>
      </w:r>
      <w:r w:rsidRPr="001A0B18">
        <w:rPr>
          <w:rFonts w:ascii="Calibri" w:hAnsi="Calibri" w:cs="Calibri"/>
          <w:color w:val="000000" w:themeColor="text1"/>
          <w:sz w:val="20"/>
          <w:szCs w:val="20"/>
        </w:rPr>
        <w:t xml:space="preserve"> wrong app or </w:t>
      </w:r>
      <w:r>
        <w:rPr>
          <w:rFonts w:ascii="Calibri" w:hAnsi="Calibri" w:cs="Calibri"/>
          <w:color w:val="000000" w:themeColor="text1"/>
          <w:sz w:val="20"/>
          <w:szCs w:val="20"/>
        </w:rPr>
        <w:t>an outside attacker</w:t>
      </w:r>
      <w:r w:rsidRPr="001A0B18">
        <w:rPr>
          <w:rFonts w:ascii="Calibri" w:hAnsi="Calibri" w:cs="Calibri"/>
          <w:color w:val="000000" w:themeColor="text1"/>
          <w:sz w:val="20"/>
          <w:szCs w:val="20"/>
        </w:rPr>
        <w:t xml:space="preserve">. The signing secret for the JWT is not stored in configuration files nor environment variables but is retrieved at startup from AWS secrets manager under the </w:t>
      </w:r>
      <w:proofErr w:type="spellStart"/>
      <w:r w:rsidRPr="001A0B18">
        <w:rPr>
          <w:rFonts w:ascii="Calibri" w:hAnsi="Calibri" w:cs="Calibri"/>
          <w:color w:val="000000" w:themeColor="text1"/>
          <w:sz w:val="20"/>
          <w:szCs w:val="20"/>
        </w:rPr>
        <w:t>jwt</w:t>
      </w:r>
      <w:proofErr w:type="spellEnd"/>
      <w:r w:rsidRPr="001A0B18">
        <w:rPr>
          <w:rFonts w:ascii="Calibri" w:hAnsi="Calibri" w:cs="Calibri"/>
          <w:color w:val="000000" w:themeColor="text1"/>
          <w:sz w:val="20"/>
          <w:szCs w:val="20"/>
        </w:rPr>
        <w:t xml:space="preserve">-secret and cached in memory for the lifetime of the process. The </w:t>
      </w:r>
      <w:proofErr w:type="spellStart"/>
      <w:r w:rsidRPr="001A0B18">
        <w:rPr>
          <w:rFonts w:ascii="Calibri" w:hAnsi="Calibri" w:cs="Calibri"/>
          <w:color w:val="000000" w:themeColor="text1"/>
          <w:sz w:val="20"/>
          <w:szCs w:val="20"/>
        </w:rPr>
        <w:t>SecretsHelper</w:t>
      </w:r>
      <w:proofErr w:type="spellEnd"/>
      <w:r w:rsidRPr="001A0B18">
        <w:rPr>
          <w:rFonts w:ascii="Calibri" w:hAnsi="Calibri" w:cs="Calibri"/>
          <w:color w:val="000000" w:themeColor="text1"/>
          <w:sz w:val="20"/>
          <w:szCs w:val="20"/>
        </w:rPr>
        <w:t xml:space="preserve"> enforces a minimum length of 32 bytes on the retrieved secret, failing fast if the value is absent or short. This prevents the server from starting in a misconfigured state. </w:t>
      </w:r>
    </w:p>
    <w:p w14:paraId="58DEC884" w14:textId="77777777" w:rsidR="00EC2DF1" w:rsidRPr="001A0B18" w:rsidRDefault="00EC2DF1" w:rsidP="00EC2DF1">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The validation parameters are configured with zero tolerance. </w:t>
      </w:r>
      <w:proofErr w:type="spellStart"/>
      <w:r w:rsidRPr="001A0B18">
        <w:rPr>
          <w:rFonts w:ascii="Calibri" w:hAnsi="Calibri" w:cs="Calibri"/>
          <w:color w:val="000000" w:themeColor="text1"/>
          <w:sz w:val="20"/>
          <w:szCs w:val="20"/>
        </w:rPr>
        <w:t>ClockSkew</w:t>
      </w:r>
      <w:proofErr w:type="spellEnd"/>
      <w:r w:rsidRPr="001A0B18">
        <w:rPr>
          <w:rFonts w:ascii="Calibri" w:hAnsi="Calibri" w:cs="Calibri"/>
          <w:color w:val="000000" w:themeColor="text1"/>
          <w:sz w:val="20"/>
          <w:szCs w:val="20"/>
        </w:rPr>
        <w:t xml:space="preserve"> is set to </w:t>
      </w:r>
      <w:proofErr w:type="spellStart"/>
      <w:r w:rsidRPr="001A0B18">
        <w:rPr>
          <w:rFonts w:ascii="Calibri" w:hAnsi="Calibri" w:cs="Calibri"/>
          <w:color w:val="000000" w:themeColor="text1"/>
          <w:sz w:val="20"/>
          <w:szCs w:val="20"/>
        </w:rPr>
        <w:t>TimeSpan.Zero</w:t>
      </w:r>
      <w:proofErr w:type="spellEnd"/>
      <w:r w:rsidRPr="001A0B18">
        <w:rPr>
          <w:rFonts w:ascii="Calibri" w:hAnsi="Calibri" w:cs="Calibri"/>
          <w:color w:val="000000" w:themeColor="text1"/>
          <w:sz w:val="20"/>
          <w:szCs w:val="20"/>
        </w:rPr>
        <w:t xml:space="preserve">, meaning a token that has expired by even </w:t>
      </w:r>
      <w:r>
        <w:rPr>
          <w:rFonts w:ascii="Calibri" w:hAnsi="Calibri" w:cs="Calibri"/>
          <w:color w:val="000000" w:themeColor="text1"/>
          <w:sz w:val="20"/>
          <w:szCs w:val="20"/>
        </w:rPr>
        <w:t>a</w:t>
      </w:r>
      <w:r w:rsidRPr="001A0B18">
        <w:rPr>
          <w:rFonts w:ascii="Calibri" w:hAnsi="Calibri" w:cs="Calibri"/>
          <w:color w:val="000000" w:themeColor="text1"/>
          <w:sz w:val="20"/>
          <w:szCs w:val="20"/>
        </w:rPr>
        <w:t xml:space="preserve"> second is rejected, allowing for no accidental permission granting nor an attack using a time gap to exploit permissions. The Issuer and audience are both validated, so tokens issued by any other authority or intended for any other consumer are refused. </w:t>
      </w:r>
    </w:p>
    <w:p w14:paraId="75BF4764" w14:textId="77777777" w:rsidR="00EC2DF1" w:rsidRDefault="00EC2DF1" w:rsidP="00EC2DF1">
      <w:pPr>
        <w:rPr>
          <w:rFonts w:ascii="Calibri" w:hAnsi="Calibri" w:cs="Calibri"/>
          <w:color w:val="000000" w:themeColor="text1"/>
          <w:sz w:val="20"/>
          <w:szCs w:val="20"/>
        </w:rPr>
      </w:pPr>
      <w:r w:rsidRPr="001A0B18">
        <w:rPr>
          <w:rFonts w:ascii="Calibri" w:hAnsi="Calibri" w:cs="Calibri"/>
          <w:noProof/>
          <w:color w:val="000000" w:themeColor="text1"/>
          <w:sz w:val="20"/>
          <w:szCs w:val="20"/>
        </w:rPr>
        <w:drawing>
          <wp:inline distT="0" distB="0" distL="0" distR="0" wp14:anchorId="606B9120" wp14:editId="19AB5FCE">
            <wp:extent cx="3344556" cy="1359535"/>
            <wp:effectExtent l="0" t="0" r="8255" b="0"/>
            <wp:docPr id="34416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61024" name=""/>
                    <pic:cNvPicPr/>
                  </pic:nvPicPr>
                  <pic:blipFill>
                    <a:blip r:embed="rId15"/>
                    <a:stretch>
                      <a:fillRect/>
                    </a:stretch>
                  </pic:blipFill>
                  <pic:spPr>
                    <a:xfrm>
                      <a:off x="0" y="0"/>
                      <a:ext cx="3354730" cy="1363671"/>
                    </a:xfrm>
                    <a:prstGeom prst="rect">
                      <a:avLst/>
                    </a:prstGeom>
                  </pic:spPr>
                </pic:pic>
              </a:graphicData>
            </a:graphic>
          </wp:inline>
        </w:drawing>
      </w:r>
    </w:p>
    <w:p w14:paraId="66F5E8D8" w14:textId="343CDCCD" w:rsidR="00634CF8" w:rsidRPr="001A0B18" w:rsidRDefault="00634CF8" w:rsidP="00EC2DF1">
      <w:pPr>
        <w:rPr>
          <w:rFonts w:ascii="Calibri" w:hAnsi="Calibri" w:cs="Calibri"/>
          <w:color w:val="000000" w:themeColor="text1"/>
          <w:sz w:val="20"/>
          <w:szCs w:val="20"/>
        </w:rPr>
      </w:pPr>
      <w:r>
        <w:rPr>
          <w:rFonts w:ascii="Calibri" w:hAnsi="Calibri" w:cs="Calibri"/>
          <w:color w:val="000000" w:themeColor="text1"/>
          <w:sz w:val="20"/>
          <w:szCs w:val="20"/>
        </w:rPr>
        <w:t xml:space="preserve">Figure </w:t>
      </w:r>
      <w:r w:rsidR="00131B9F">
        <w:rPr>
          <w:rFonts w:ascii="Calibri" w:hAnsi="Calibri" w:cs="Calibri"/>
          <w:color w:val="000000" w:themeColor="text1"/>
          <w:sz w:val="20"/>
          <w:szCs w:val="20"/>
        </w:rPr>
        <w:t>10</w:t>
      </w:r>
      <w:r>
        <w:rPr>
          <w:rFonts w:ascii="Calibri" w:hAnsi="Calibri" w:cs="Calibri"/>
          <w:color w:val="000000" w:themeColor="text1"/>
          <w:sz w:val="20"/>
          <w:szCs w:val="20"/>
        </w:rPr>
        <w:t xml:space="preserve"> JWT Token Validation Parameters </w:t>
      </w:r>
    </w:p>
    <w:p w14:paraId="4622C68E" w14:textId="77777777" w:rsidR="00EC2DF1" w:rsidRPr="001A0B18" w:rsidRDefault="00EC2DF1" w:rsidP="00EC2DF1">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Tokens carry a rich claim payload beyond the standard subject and role fields. At official login, claims for polling station, county, constituency, </w:t>
      </w:r>
      <w:proofErr w:type="spellStart"/>
      <w:r w:rsidRPr="001A0B18">
        <w:rPr>
          <w:rFonts w:ascii="Calibri" w:hAnsi="Calibri" w:cs="Calibri"/>
          <w:color w:val="000000" w:themeColor="text1"/>
          <w:sz w:val="20"/>
          <w:szCs w:val="20"/>
        </w:rPr>
        <w:t>systemCode</w:t>
      </w:r>
      <w:proofErr w:type="spellEnd"/>
      <w:r w:rsidRPr="001A0B18">
        <w:rPr>
          <w:rFonts w:ascii="Calibri" w:hAnsi="Calibri" w:cs="Calibri"/>
          <w:color w:val="000000" w:themeColor="text1"/>
          <w:sz w:val="20"/>
          <w:szCs w:val="20"/>
        </w:rPr>
        <w:t xml:space="preserve"> and a monotonically incrementing </w:t>
      </w:r>
      <w:proofErr w:type="spellStart"/>
      <w:r w:rsidRPr="001A0B18">
        <w:rPr>
          <w:rFonts w:ascii="Calibri" w:hAnsi="Calibri" w:cs="Calibri"/>
          <w:color w:val="000000" w:themeColor="text1"/>
          <w:sz w:val="20"/>
          <w:szCs w:val="20"/>
        </w:rPr>
        <w:t>tokenId</w:t>
      </w:r>
      <w:proofErr w:type="spellEnd"/>
      <w:r w:rsidRPr="001A0B18">
        <w:rPr>
          <w:rFonts w:ascii="Calibri" w:hAnsi="Calibri" w:cs="Calibri"/>
          <w:color w:val="000000" w:themeColor="text1"/>
          <w:sz w:val="20"/>
          <w:szCs w:val="20"/>
        </w:rPr>
        <w:t xml:space="preserve"> are embedded. These claims are then read server side on every protected request. </w:t>
      </w:r>
      <w:proofErr w:type="spellStart"/>
      <w:r w:rsidRPr="001A0B18">
        <w:rPr>
          <w:rFonts w:ascii="Calibri" w:hAnsi="Calibri" w:cs="Calibri"/>
          <w:color w:val="000000" w:themeColor="text1"/>
          <w:sz w:val="20"/>
          <w:szCs w:val="20"/>
        </w:rPr>
        <w:t>StationId</w:t>
      </w:r>
      <w:proofErr w:type="spellEnd"/>
      <w:r w:rsidRPr="001A0B18">
        <w:rPr>
          <w:rFonts w:ascii="Calibri" w:hAnsi="Calibri" w:cs="Calibri"/>
          <w:color w:val="000000" w:themeColor="text1"/>
          <w:sz w:val="20"/>
          <w:szCs w:val="20"/>
        </w:rPr>
        <w:t xml:space="preserve"> is never trusted from the request body, only from the JWT. </w:t>
      </w:r>
      <w:r w:rsidRPr="008D2E81">
        <w:rPr>
          <w:rFonts w:ascii="Calibri" w:hAnsi="Calibri" w:cs="Calibri"/>
          <w:color w:val="000000" w:themeColor="text1"/>
          <w:sz w:val="20"/>
          <w:szCs w:val="20"/>
        </w:rPr>
        <w:t xml:space="preserve">Tokens also expire after eight hours, which aligns with the voting period and prevents any requests from being submitted once official voting hours have ended. </w:t>
      </w:r>
      <w:r w:rsidRPr="001A0B18">
        <w:rPr>
          <w:rFonts w:ascii="Calibri" w:hAnsi="Calibri" w:cs="Calibri"/>
          <w:color w:val="000000" w:themeColor="text1"/>
          <w:sz w:val="20"/>
          <w:szCs w:val="20"/>
        </w:rPr>
        <w:t xml:space="preserve">The JWT tokens county and constituency claims are used in the navigation of the channels in the server, defined by database records these cannot be changed by the user. This maintains a strict assigned channel use and allows for predictable use of the channels. </w:t>
      </w:r>
    </w:p>
    <w:p w14:paraId="3F281FE9" w14:textId="0D97174A" w:rsidR="00EC2DF1" w:rsidRPr="001A0B18" w:rsidRDefault="00EC2DF1" w:rsidP="00EC2DF1">
      <w:pPr>
        <w:rPr>
          <w:rFonts w:ascii="Calibri" w:hAnsi="Calibri" w:cs="Calibri"/>
          <w:color w:val="000000" w:themeColor="text1"/>
          <w:sz w:val="20"/>
          <w:szCs w:val="20"/>
        </w:rPr>
      </w:pPr>
      <w:r w:rsidRPr="001A0B18">
        <w:rPr>
          <w:rFonts w:ascii="Calibri" w:hAnsi="Calibri" w:cs="Calibri"/>
          <w:color w:val="000000" w:themeColor="text1"/>
          <w:sz w:val="20"/>
          <w:szCs w:val="20"/>
        </w:rPr>
        <w:t>6.3.3</w:t>
      </w:r>
      <w:r w:rsidR="00AD173E">
        <w:rPr>
          <w:rFonts w:ascii="Calibri" w:hAnsi="Calibri" w:cs="Calibri"/>
          <w:color w:val="000000" w:themeColor="text1"/>
          <w:sz w:val="20"/>
          <w:szCs w:val="20"/>
        </w:rPr>
        <w:t>.1</w:t>
      </w:r>
      <w:r w:rsidRPr="001A0B18">
        <w:rPr>
          <w:rFonts w:ascii="Calibri" w:hAnsi="Calibri" w:cs="Calibri"/>
          <w:color w:val="000000" w:themeColor="text1"/>
          <w:sz w:val="20"/>
          <w:szCs w:val="20"/>
        </w:rPr>
        <w:t xml:space="preserve"> Organisation of channels</w:t>
      </w:r>
    </w:p>
    <w:p w14:paraId="015CFDD2" w14:textId="77777777" w:rsidR="00EC2DF1" w:rsidRDefault="00EC2DF1" w:rsidP="00EC2DF1">
      <w:pPr>
        <w:spacing w:after="0"/>
        <w:rPr>
          <w:rFonts w:ascii="Calibri" w:hAnsi="Calibri" w:cs="Calibri"/>
          <w:color w:val="000000" w:themeColor="text1"/>
          <w:sz w:val="20"/>
          <w:szCs w:val="20"/>
        </w:rPr>
      </w:pPr>
      <w:r w:rsidRPr="001A0B18">
        <w:rPr>
          <w:rFonts w:ascii="Calibri" w:hAnsi="Calibri" w:cs="Calibri"/>
          <w:color w:val="000000" w:themeColor="text1"/>
          <w:sz w:val="20"/>
          <w:szCs w:val="20"/>
        </w:rPr>
        <w:t>Britain has 650 constituencies, each with a varying number of voters and multiple polling stations per constituency. In an electronic voting system, each polling station creates a new server connection, and without proper organisation, communication between vo</w:t>
      </w:r>
      <w:r>
        <w:rPr>
          <w:rFonts w:ascii="Calibri" w:hAnsi="Calibri" w:cs="Calibri"/>
          <w:color w:val="000000" w:themeColor="text1"/>
          <w:sz w:val="20"/>
          <w:szCs w:val="20"/>
        </w:rPr>
        <w:t xml:space="preserve">ter devices and the Official App could become slow and disorderly. The following implementation was designed to address this directly. </w:t>
      </w:r>
    </w:p>
    <w:p w14:paraId="67822266" w14:textId="77777777" w:rsidR="00EC2DF1" w:rsidRDefault="00EC2DF1" w:rsidP="00EC2DF1">
      <w:pPr>
        <w:rPr>
          <w:rFonts w:ascii="Calibri" w:hAnsi="Calibri" w:cs="Calibri"/>
          <w:color w:val="000000" w:themeColor="text1"/>
          <w:sz w:val="20"/>
          <w:szCs w:val="20"/>
        </w:rPr>
      </w:pPr>
    </w:p>
    <w:p w14:paraId="066E9D58" w14:textId="517CA6E7" w:rsidR="00EC2DF1" w:rsidRPr="001A0B18" w:rsidRDefault="00EC2DF1" w:rsidP="00EC2DF1">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The initial approach used HTTP polling, whereby the Official App made repeated timed requests to the server to check for new events such as a voter casting a ballot. In practice this proved problematic. Response latency was noticeable even at short polling intervals, and the server was fielding a constant stream of requests regardless of whether any activity had occurred. The deciding factor against this approach was the delay in delivering voter device status updates, a feature used to notify the Official App when a connected device was experiencing a problem or when there was suspicion of electoral fraud. Late delivery of these updates carried a direct security cost. The polling approach was replaced entirely with </w:t>
      </w:r>
      <w:proofErr w:type="spellStart"/>
      <w:r w:rsidRPr="001A0B18">
        <w:rPr>
          <w:rFonts w:ascii="Calibri" w:hAnsi="Calibri" w:cs="Calibri"/>
          <w:color w:val="000000" w:themeColor="text1"/>
          <w:sz w:val="20"/>
          <w:szCs w:val="20"/>
        </w:rPr>
        <w:t>SignalR</w:t>
      </w:r>
      <w:proofErr w:type="spellEnd"/>
      <w:r w:rsidRPr="001A0B18">
        <w:rPr>
          <w:rFonts w:ascii="Calibri" w:hAnsi="Calibri" w:cs="Calibri"/>
          <w:color w:val="000000" w:themeColor="text1"/>
          <w:sz w:val="20"/>
          <w:szCs w:val="20"/>
        </w:rPr>
        <w:t xml:space="preserve">, which maintains a persistent WebSocket connection and allows the server to push events to clients the moment they occur. </w:t>
      </w:r>
      <w:r w:rsidRPr="008D2E81">
        <w:rPr>
          <w:rFonts w:ascii="Calibri" w:hAnsi="Calibri" w:cs="Calibri"/>
          <w:color w:val="000000" w:themeColor="text1"/>
          <w:sz w:val="20"/>
          <w:szCs w:val="20"/>
        </w:rPr>
        <w:t xml:space="preserve">This decision was made midway through the </w:t>
      </w:r>
      <w:r w:rsidR="0021437D">
        <w:rPr>
          <w:rFonts w:ascii="Calibri" w:hAnsi="Calibri" w:cs="Calibri"/>
          <w:color w:val="000000" w:themeColor="text1"/>
          <w:sz w:val="20"/>
          <w:szCs w:val="20"/>
        </w:rPr>
        <w:t>app</w:t>
      </w:r>
      <w:r w:rsidRPr="008D2E81">
        <w:rPr>
          <w:rFonts w:ascii="Calibri" w:hAnsi="Calibri" w:cs="Calibri"/>
          <w:color w:val="000000" w:themeColor="text1"/>
          <w:sz w:val="20"/>
          <w:szCs w:val="20"/>
        </w:rPr>
        <w:t xml:space="preserve"> development in March and required considerable time to correct</w:t>
      </w:r>
      <w:r>
        <w:rPr>
          <w:rFonts w:ascii="Calibri" w:hAnsi="Calibri" w:cs="Calibri"/>
          <w:color w:val="000000" w:themeColor="text1"/>
          <w:sz w:val="20"/>
          <w:szCs w:val="20"/>
        </w:rPr>
        <w:t>.</w:t>
      </w:r>
    </w:p>
    <w:p w14:paraId="5C96E254" w14:textId="77777777" w:rsidR="00EC2DF1" w:rsidRPr="001A0B18" w:rsidRDefault="00EC2DF1" w:rsidP="00EC2DF1">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The channel structure is organised first by county and then by constituency. All stateful in memory dictionaries follow the same nested pattern, keyed by county, then constituency, then connection. Vote notifications, </w:t>
      </w:r>
      <w:r w:rsidRPr="001A0B18">
        <w:rPr>
          <w:rFonts w:ascii="Calibri" w:hAnsi="Calibri" w:cs="Calibri"/>
          <w:color w:val="000000" w:themeColor="text1"/>
          <w:sz w:val="20"/>
          <w:szCs w:val="20"/>
        </w:rPr>
        <w:lastRenderedPageBreak/>
        <w:t xml:space="preserve">device statuses, device commands, and voter access codes are all structured this way using thread safe </w:t>
      </w:r>
      <w:proofErr w:type="spellStart"/>
      <w:r w:rsidRPr="001A0B18">
        <w:rPr>
          <w:rFonts w:ascii="Calibri" w:hAnsi="Calibri" w:cs="Calibri"/>
          <w:color w:val="000000" w:themeColor="text1"/>
          <w:sz w:val="20"/>
          <w:szCs w:val="20"/>
        </w:rPr>
        <w:t>ConcurrentDictionary</w:t>
      </w:r>
      <w:proofErr w:type="spellEnd"/>
      <w:r w:rsidRPr="001A0B18">
        <w:rPr>
          <w:rFonts w:ascii="Calibri" w:hAnsi="Calibri" w:cs="Calibri"/>
          <w:color w:val="000000" w:themeColor="text1"/>
          <w:sz w:val="20"/>
          <w:szCs w:val="20"/>
        </w:rPr>
        <w:t xml:space="preserve"> collections, ensuring no official ever receives events intended for another constituency.</w:t>
      </w:r>
    </w:p>
    <w:p w14:paraId="2375948C" w14:textId="5FA5C2C5" w:rsidR="00EC2DF1" w:rsidRPr="001A0B18" w:rsidRDefault="00EC2DF1" w:rsidP="00EC2DF1">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On connection to the </w:t>
      </w:r>
      <w:proofErr w:type="spellStart"/>
      <w:r w:rsidRPr="001A0B18">
        <w:rPr>
          <w:rFonts w:ascii="Calibri" w:hAnsi="Calibri" w:cs="Calibri"/>
          <w:color w:val="000000" w:themeColor="text1"/>
          <w:sz w:val="20"/>
          <w:szCs w:val="20"/>
        </w:rPr>
        <w:t>VotingHub</w:t>
      </w:r>
      <w:proofErr w:type="spellEnd"/>
      <w:r w:rsidRPr="001A0B18">
        <w:rPr>
          <w:rFonts w:ascii="Calibri" w:hAnsi="Calibri" w:cs="Calibri"/>
          <w:color w:val="000000" w:themeColor="text1"/>
          <w:sz w:val="20"/>
          <w:szCs w:val="20"/>
        </w:rPr>
        <w:t xml:space="preserve">, every client is assigned to a set of named </w:t>
      </w:r>
      <w:proofErr w:type="spellStart"/>
      <w:r w:rsidRPr="001A0B18">
        <w:rPr>
          <w:rFonts w:ascii="Calibri" w:hAnsi="Calibri" w:cs="Calibri"/>
          <w:color w:val="000000" w:themeColor="text1"/>
          <w:sz w:val="20"/>
          <w:szCs w:val="20"/>
        </w:rPr>
        <w:t>SignalR</w:t>
      </w:r>
      <w:proofErr w:type="spellEnd"/>
      <w:r w:rsidRPr="001A0B18">
        <w:rPr>
          <w:rFonts w:ascii="Calibri" w:hAnsi="Calibri" w:cs="Calibri"/>
          <w:color w:val="000000" w:themeColor="text1"/>
          <w:sz w:val="20"/>
          <w:szCs w:val="20"/>
        </w:rPr>
        <w:t xml:space="preserve"> groups derived directly from their JWT claims, as shown in Figure </w:t>
      </w:r>
      <w:r w:rsidR="00131B9F">
        <w:rPr>
          <w:rFonts w:ascii="Calibri" w:hAnsi="Calibri" w:cs="Calibri"/>
          <w:color w:val="000000" w:themeColor="text1"/>
          <w:sz w:val="20"/>
          <w:szCs w:val="20"/>
        </w:rPr>
        <w:t>11</w:t>
      </w:r>
      <w:r w:rsidRPr="001A0B18">
        <w:rPr>
          <w:rFonts w:ascii="Calibri" w:hAnsi="Calibri" w:cs="Calibri"/>
          <w:color w:val="000000" w:themeColor="text1"/>
          <w:sz w:val="20"/>
          <w:szCs w:val="20"/>
        </w:rPr>
        <w:t xml:space="preserve">. </w:t>
      </w:r>
    </w:p>
    <w:p w14:paraId="70D08524" w14:textId="77777777" w:rsidR="00EC2DF1" w:rsidRDefault="00EC2DF1" w:rsidP="00EC2DF1">
      <w:pPr>
        <w:spacing w:after="0"/>
        <w:rPr>
          <w:rFonts w:ascii="Calibri" w:hAnsi="Calibri" w:cs="Calibri"/>
          <w:color w:val="000000" w:themeColor="text1"/>
          <w:sz w:val="20"/>
          <w:szCs w:val="20"/>
        </w:rPr>
      </w:pPr>
      <w:r w:rsidRPr="001A0B18">
        <w:rPr>
          <w:rFonts w:ascii="Calibri" w:hAnsi="Calibri" w:cs="Calibri"/>
          <w:noProof/>
          <w:color w:val="000000" w:themeColor="text1"/>
          <w:sz w:val="20"/>
          <w:szCs w:val="20"/>
        </w:rPr>
        <w:drawing>
          <wp:inline distT="0" distB="0" distL="0" distR="0" wp14:anchorId="5E8719E1" wp14:editId="7FF8C7D8">
            <wp:extent cx="5731510" cy="739140"/>
            <wp:effectExtent l="0" t="0" r="2540" b="3810"/>
            <wp:docPr id="83012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26522" name=""/>
                    <pic:cNvPicPr/>
                  </pic:nvPicPr>
                  <pic:blipFill>
                    <a:blip r:embed="rId16"/>
                    <a:stretch>
                      <a:fillRect/>
                    </a:stretch>
                  </pic:blipFill>
                  <pic:spPr>
                    <a:xfrm>
                      <a:off x="0" y="0"/>
                      <a:ext cx="5731510" cy="739140"/>
                    </a:xfrm>
                    <a:prstGeom prst="rect">
                      <a:avLst/>
                    </a:prstGeom>
                  </pic:spPr>
                </pic:pic>
              </a:graphicData>
            </a:graphic>
          </wp:inline>
        </w:drawing>
      </w:r>
    </w:p>
    <w:p w14:paraId="0A909E75" w14:textId="77777777" w:rsidR="00EC2DF1" w:rsidRDefault="00EC2DF1" w:rsidP="00EC2DF1">
      <w:pPr>
        <w:spacing w:after="0"/>
        <w:rPr>
          <w:rFonts w:ascii="Calibri" w:hAnsi="Calibri" w:cs="Calibri"/>
          <w:color w:val="000000" w:themeColor="text1"/>
          <w:sz w:val="20"/>
          <w:szCs w:val="20"/>
        </w:rPr>
      </w:pPr>
    </w:p>
    <w:p w14:paraId="691BA307" w14:textId="64F52007" w:rsidR="00EC2DF1" w:rsidRDefault="00EC2DF1" w:rsidP="00EC2DF1">
      <w:pPr>
        <w:spacing w:after="0"/>
        <w:rPr>
          <w:rFonts w:ascii="Calibri" w:hAnsi="Calibri" w:cs="Calibri"/>
          <w:i/>
          <w:iCs/>
          <w:color w:val="000000" w:themeColor="text1"/>
          <w:sz w:val="20"/>
          <w:szCs w:val="20"/>
        </w:rPr>
      </w:pPr>
      <w:r w:rsidRPr="001A0B18">
        <w:rPr>
          <w:rFonts w:ascii="Calibri" w:hAnsi="Calibri" w:cs="Calibri"/>
          <w:i/>
          <w:iCs/>
          <w:color w:val="000000" w:themeColor="text1"/>
          <w:sz w:val="20"/>
          <w:szCs w:val="20"/>
        </w:rPr>
        <w:t xml:space="preserve">Figure </w:t>
      </w:r>
      <w:r w:rsidR="00131B9F">
        <w:rPr>
          <w:rFonts w:ascii="Calibri" w:hAnsi="Calibri" w:cs="Calibri"/>
          <w:i/>
          <w:iCs/>
          <w:color w:val="000000" w:themeColor="text1"/>
          <w:sz w:val="20"/>
          <w:szCs w:val="20"/>
        </w:rPr>
        <w:t>11</w:t>
      </w:r>
      <w:r w:rsidRPr="001A0B18">
        <w:rPr>
          <w:rFonts w:ascii="Calibri" w:hAnsi="Calibri" w:cs="Calibri"/>
          <w:i/>
          <w:iCs/>
          <w:color w:val="000000" w:themeColor="text1"/>
          <w:sz w:val="20"/>
          <w:szCs w:val="20"/>
        </w:rPr>
        <w:t xml:space="preserve"> – </w:t>
      </w:r>
      <w:proofErr w:type="spellStart"/>
      <w:r w:rsidRPr="001A0B18">
        <w:rPr>
          <w:rFonts w:ascii="Calibri" w:hAnsi="Calibri" w:cs="Calibri"/>
          <w:i/>
          <w:iCs/>
          <w:color w:val="000000" w:themeColor="text1"/>
          <w:sz w:val="20"/>
          <w:szCs w:val="20"/>
        </w:rPr>
        <w:t>SignalR</w:t>
      </w:r>
      <w:proofErr w:type="spellEnd"/>
      <w:r w:rsidRPr="001A0B18">
        <w:rPr>
          <w:rFonts w:ascii="Calibri" w:hAnsi="Calibri" w:cs="Calibri"/>
          <w:i/>
          <w:iCs/>
          <w:color w:val="000000" w:themeColor="text1"/>
          <w:sz w:val="20"/>
          <w:szCs w:val="20"/>
        </w:rPr>
        <w:t xml:space="preserve"> group assignments made on client connection to </w:t>
      </w:r>
      <w:proofErr w:type="spellStart"/>
      <w:r w:rsidRPr="001A0B18">
        <w:rPr>
          <w:rFonts w:ascii="Calibri" w:hAnsi="Calibri" w:cs="Calibri"/>
          <w:i/>
          <w:iCs/>
          <w:color w:val="000000" w:themeColor="text1"/>
          <w:sz w:val="20"/>
          <w:szCs w:val="20"/>
        </w:rPr>
        <w:t>VotingHu</w:t>
      </w:r>
      <w:r>
        <w:rPr>
          <w:rFonts w:ascii="Calibri" w:hAnsi="Calibri" w:cs="Calibri"/>
          <w:i/>
          <w:iCs/>
          <w:color w:val="000000" w:themeColor="text1"/>
          <w:sz w:val="20"/>
          <w:szCs w:val="20"/>
        </w:rPr>
        <w:t>b</w:t>
      </w:r>
      <w:proofErr w:type="spellEnd"/>
    </w:p>
    <w:p w14:paraId="644A2A0B" w14:textId="77777777" w:rsidR="00EC2DF1" w:rsidRDefault="00EC2DF1" w:rsidP="00EC2DF1">
      <w:pPr>
        <w:rPr>
          <w:rFonts w:ascii="Calibri" w:hAnsi="Calibri" w:cs="Calibri"/>
          <w:color w:val="000000" w:themeColor="text1"/>
          <w:sz w:val="20"/>
          <w:szCs w:val="20"/>
        </w:rPr>
      </w:pPr>
    </w:p>
    <w:p w14:paraId="0C3BD46C" w14:textId="77777777" w:rsidR="00EC2DF1" w:rsidRDefault="00EC2DF1" w:rsidP="00EC2DF1">
      <w:pPr>
        <w:rPr>
          <w:rFonts w:ascii="Calibri" w:hAnsi="Calibri" w:cs="Calibri"/>
          <w:color w:val="000000" w:themeColor="text1"/>
          <w:sz w:val="20"/>
          <w:szCs w:val="20"/>
        </w:rPr>
      </w:pPr>
      <w:r w:rsidRPr="001A0B18">
        <w:rPr>
          <w:rFonts w:ascii="Calibri" w:hAnsi="Calibri" w:cs="Calibri"/>
          <w:color w:val="000000" w:themeColor="text1"/>
          <w:sz w:val="20"/>
          <w:szCs w:val="20"/>
        </w:rPr>
        <w:t xml:space="preserve">Group names are generated by the </w:t>
      </w:r>
      <w:proofErr w:type="spellStart"/>
      <w:r w:rsidRPr="001A0B18">
        <w:rPr>
          <w:rFonts w:ascii="Calibri" w:hAnsi="Calibri" w:cs="Calibri"/>
          <w:color w:val="000000" w:themeColor="text1"/>
          <w:sz w:val="20"/>
          <w:szCs w:val="20"/>
        </w:rPr>
        <w:t>RealTimeGroups</w:t>
      </w:r>
      <w:proofErr w:type="spellEnd"/>
      <w:r w:rsidRPr="001A0B18">
        <w:rPr>
          <w:rFonts w:ascii="Calibri" w:hAnsi="Calibri" w:cs="Calibri"/>
          <w:color w:val="000000" w:themeColor="text1"/>
          <w:sz w:val="20"/>
          <w:szCs w:val="20"/>
        </w:rPr>
        <w:t xml:space="preserve"> static class, producing deterministic keys such as </w:t>
      </w:r>
      <w:proofErr w:type="spellStart"/>
      <w:r w:rsidRPr="001A0B18">
        <w:rPr>
          <w:rFonts w:ascii="Calibri" w:hAnsi="Calibri" w:cs="Calibri"/>
          <w:color w:val="000000" w:themeColor="text1"/>
          <w:sz w:val="20"/>
          <w:szCs w:val="20"/>
        </w:rPr>
        <w:t>County:Kent:Constituency:Ashford</w:t>
      </w:r>
      <w:proofErr w:type="spellEnd"/>
      <w:r w:rsidRPr="001A0B18">
        <w:rPr>
          <w:rFonts w:ascii="Calibri" w:hAnsi="Calibri" w:cs="Calibri"/>
          <w:color w:val="000000" w:themeColor="text1"/>
          <w:sz w:val="20"/>
          <w:szCs w:val="20"/>
        </w:rPr>
        <w:t>. A vote cast in Ashford is pushed only to the official:{</w:t>
      </w:r>
      <w:proofErr w:type="spellStart"/>
      <w:r w:rsidRPr="001A0B18">
        <w:rPr>
          <w:rFonts w:ascii="Calibri" w:hAnsi="Calibri" w:cs="Calibri"/>
          <w:color w:val="000000" w:themeColor="text1"/>
          <w:sz w:val="20"/>
          <w:szCs w:val="20"/>
        </w:rPr>
        <w:t>officialId</w:t>
      </w:r>
      <w:proofErr w:type="spellEnd"/>
      <w:r w:rsidRPr="001A0B18">
        <w:rPr>
          <w:rFonts w:ascii="Calibri" w:hAnsi="Calibri" w:cs="Calibri"/>
          <w:color w:val="000000" w:themeColor="text1"/>
          <w:sz w:val="20"/>
          <w:szCs w:val="20"/>
        </w:rPr>
        <w:t>} group of the linked official rather than being broadcast county wide. Device lock commands target voter:{</w:t>
      </w:r>
      <w:proofErr w:type="spellStart"/>
      <w:r w:rsidRPr="001A0B18">
        <w:rPr>
          <w:rFonts w:ascii="Calibri" w:hAnsi="Calibri" w:cs="Calibri"/>
          <w:color w:val="000000" w:themeColor="text1"/>
          <w:sz w:val="20"/>
          <w:szCs w:val="20"/>
        </w:rPr>
        <w:t>voterId</w:t>
      </w:r>
      <w:proofErr w:type="spellEnd"/>
      <w:r w:rsidRPr="001A0B18">
        <w:rPr>
          <w:rFonts w:ascii="Calibri" w:hAnsi="Calibri" w:cs="Calibri"/>
          <w:color w:val="000000" w:themeColor="text1"/>
          <w:sz w:val="20"/>
          <w:szCs w:val="20"/>
        </w:rPr>
        <w:t>}:device:{</w:t>
      </w:r>
      <w:proofErr w:type="spellStart"/>
      <w:r w:rsidRPr="001A0B18">
        <w:rPr>
          <w:rFonts w:ascii="Calibri" w:hAnsi="Calibri" w:cs="Calibri"/>
          <w:color w:val="000000" w:themeColor="text1"/>
          <w:sz w:val="20"/>
          <w:szCs w:val="20"/>
        </w:rPr>
        <w:t>deviceId</w:t>
      </w:r>
      <w:proofErr w:type="spellEnd"/>
      <w:r w:rsidRPr="001A0B18">
        <w:rPr>
          <w:rFonts w:ascii="Calibri" w:hAnsi="Calibri" w:cs="Calibri"/>
          <w:color w:val="000000" w:themeColor="text1"/>
          <w:sz w:val="20"/>
          <w:szCs w:val="20"/>
        </w:rPr>
        <w:t>} directly. If county or constituency claims are absent from the token, the connection is aborted server side, preventing any misconfigured client from entering the channel hierarchy</w:t>
      </w:r>
      <w:r>
        <w:rPr>
          <w:rFonts w:ascii="Calibri" w:hAnsi="Calibri" w:cs="Calibri"/>
          <w:color w:val="000000" w:themeColor="text1"/>
          <w:sz w:val="20"/>
          <w:szCs w:val="20"/>
        </w:rPr>
        <w:t>.</w:t>
      </w:r>
    </w:p>
    <w:p w14:paraId="5C5FFA70" w14:textId="0C66E3FE" w:rsidR="00AD173E" w:rsidRDefault="00AD173E" w:rsidP="00EC2DF1">
      <w:pPr>
        <w:rPr>
          <w:rFonts w:ascii="Calibri" w:hAnsi="Calibri" w:cs="Calibri"/>
          <w:color w:val="000000" w:themeColor="text1"/>
          <w:sz w:val="20"/>
          <w:szCs w:val="20"/>
        </w:rPr>
      </w:pPr>
      <w:r>
        <w:rPr>
          <w:rFonts w:ascii="Calibri" w:hAnsi="Calibri" w:cs="Calibri"/>
          <w:color w:val="000000" w:themeColor="text1"/>
          <w:sz w:val="20"/>
          <w:szCs w:val="20"/>
        </w:rPr>
        <w:t>6.3.3.2 Load Testing</w:t>
      </w:r>
    </w:p>
    <w:p w14:paraId="6DD1FE69" w14:textId="74095A9D" w:rsidR="00AD173E" w:rsidRDefault="00AD173E" w:rsidP="00EC2DF1">
      <w:pPr>
        <w:rPr>
          <w:rFonts w:ascii="Calibri" w:hAnsi="Calibri" w:cs="Calibri"/>
          <w:color w:val="000000" w:themeColor="text1"/>
          <w:sz w:val="20"/>
          <w:szCs w:val="20"/>
        </w:rPr>
      </w:pPr>
      <w:r w:rsidRPr="00AD173E">
        <w:rPr>
          <w:rFonts w:ascii="Calibri" w:hAnsi="Calibri" w:cs="Calibri"/>
          <w:color w:val="000000" w:themeColor="text1"/>
          <w:sz w:val="20"/>
          <w:szCs w:val="20"/>
        </w:rPr>
        <w:t xml:space="preserve">To evaluate the scalability of the </w:t>
      </w:r>
      <w:proofErr w:type="spellStart"/>
      <w:r w:rsidRPr="00AD173E">
        <w:rPr>
          <w:rFonts w:ascii="Calibri" w:hAnsi="Calibri" w:cs="Calibri"/>
          <w:color w:val="000000" w:themeColor="text1"/>
          <w:sz w:val="20"/>
          <w:szCs w:val="20"/>
        </w:rPr>
        <w:t>SignalR</w:t>
      </w:r>
      <w:proofErr w:type="spellEnd"/>
      <w:r w:rsidRPr="00AD173E">
        <w:rPr>
          <w:rFonts w:ascii="Calibri" w:hAnsi="Calibri" w:cs="Calibri"/>
          <w:color w:val="000000" w:themeColor="text1"/>
          <w:sz w:val="20"/>
          <w:szCs w:val="20"/>
        </w:rPr>
        <w:t xml:space="preserve"> hub, a concurrent connection load test was conducted against the live EC2</w:t>
      </w:r>
      <w:r>
        <w:rPr>
          <w:rFonts w:ascii="Calibri" w:hAnsi="Calibri" w:cs="Calibri"/>
          <w:color w:val="000000" w:themeColor="text1"/>
          <w:sz w:val="20"/>
          <w:szCs w:val="20"/>
        </w:rPr>
        <w:t xml:space="preserve"> </w:t>
      </w:r>
      <w:r w:rsidRPr="00AD173E">
        <w:rPr>
          <w:rFonts w:ascii="Calibri" w:hAnsi="Calibri" w:cs="Calibri"/>
          <w:color w:val="000000" w:themeColor="text1"/>
          <w:sz w:val="20"/>
          <w:szCs w:val="20"/>
        </w:rPr>
        <w:t xml:space="preserve">hosted server. The test established connections in ramped levels of 100, 250, 500, 1,000, and 2,000, with each level held open for 30 seconds before disconnection. All connections authenticated via JWT and connected through the production Nginx reverse proxy over HTTPS using the Long Polling transport. The server handled the first three levels without any failures, sustaining 100, 250, and 500 simultaneous connections with average connect times of approximately 880–925 </w:t>
      </w:r>
      <w:proofErr w:type="spellStart"/>
      <w:r w:rsidRPr="00AD173E">
        <w:rPr>
          <w:rFonts w:ascii="Calibri" w:hAnsi="Calibri" w:cs="Calibri"/>
          <w:color w:val="000000" w:themeColor="text1"/>
          <w:sz w:val="20"/>
          <w:szCs w:val="20"/>
        </w:rPr>
        <w:t>ms</w:t>
      </w:r>
      <w:proofErr w:type="spellEnd"/>
      <w:r w:rsidRPr="00AD173E">
        <w:rPr>
          <w:rFonts w:ascii="Calibri" w:hAnsi="Calibri" w:cs="Calibri"/>
          <w:color w:val="000000" w:themeColor="text1"/>
          <w:sz w:val="20"/>
          <w:szCs w:val="20"/>
        </w:rPr>
        <w:t xml:space="preserve">. At 1,000 connections, 964 succeeded with 36 failures, indicating the server was approaching its practical concurrency limit under the current EC2 instance configuration. At 2,000 connections, only 989 succeeded, with 1,011 failing, suggesting that resource exhaustion becomes a significant factor beyond 1,000 concurrent connections. Notably, average connect times remained stable across all levels at around 900 </w:t>
      </w:r>
      <w:proofErr w:type="spellStart"/>
      <w:r w:rsidRPr="00AD173E">
        <w:rPr>
          <w:rFonts w:ascii="Calibri" w:hAnsi="Calibri" w:cs="Calibri"/>
          <w:color w:val="000000" w:themeColor="text1"/>
          <w:sz w:val="20"/>
          <w:szCs w:val="20"/>
        </w:rPr>
        <w:t>ms</w:t>
      </w:r>
      <w:proofErr w:type="spellEnd"/>
      <w:r w:rsidRPr="00AD173E">
        <w:rPr>
          <w:rFonts w:ascii="Calibri" w:hAnsi="Calibri" w:cs="Calibri"/>
          <w:color w:val="000000" w:themeColor="text1"/>
          <w:sz w:val="20"/>
          <w:szCs w:val="20"/>
        </w:rPr>
        <w:t>, indicating that latency degradation was not the bottleneck</w:t>
      </w:r>
      <w:r>
        <w:rPr>
          <w:rFonts w:ascii="Calibri" w:hAnsi="Calibri" w:cs="Calibri"/>
          <w:color w:val="000000" w:themeColor="text1"/>
          <w:sz w:val="20"/>
          <w:szCs w:val="20"/>
        </w:rPr>
        <w:t xml:space="preserve">. </w:t>
      </w:r>
    </w:p>
    <w:p w14:paraId="7C5A67C4" w14:textId="77777777" w:rsidR="00AD173E" w:rsidRPr="001A0B18" w:rsidRDefault="00AD173E" w:rsidP="00EC2DF1">
      <w:pPr>
        <w:rPr>
          <w:rFonts w:ascii="Calibri" w:hAnsi="Calibri" w:cs="Calibri"/>
          <w:color w:val="000000" w:themeColor="text1"/>
          <w:sz w:val="20"/>
          <w:szCs w:val="20"/>
        </w:rPr>
      </w:pPr>
    </w:p>
    <w:p w14:paraId="6E50E057" w14:textId="77777777" w:rsidR="00EC2DF1" w:rsidRPr="001A0B18" w:rsidRDefault="00EC2DF1" w:rsidP="00EC2DF1">
      <w:pPr>
        <w:rPr>
          <w:sz w:val="20"/>
          <w:szCs w:val="20"/>
        </w:rPr>
      </w:pPr>
      <w:r w:rsidRPr="001A0B18">
        <w:rPr>
          <w:sz w:val="20"/>
          <w:szCs w:val="20"/>
        </w:rPr>
        <w:t xml:space="preserve">6.3.4 </w:t>
      </w:r>
      <w:proofErr w:type="spellStart"/>
      <w:r w:rsidRPr="001A0B18">
        <w:rPr>
          <w:sz w:val="20"/>
          <w:szCs w:val="20"/>
        </w:rPr>
        <w:t>SourceAFIS</w:t>
      </w:r>
      <w:proofErr w:type="spellEnd"/>
      <w:r w:rsidRPr="001A0B18">
        <w:rPr>
          <w:sz w:val="20"/>
          <w:szCs w:val="20"/>
        </w:rPr>
        <w:t xml:space="preserve"> – Fingerprint Matching </w:t>
      </w:r>
    </w:p>
    <w:p w14:paraId="2FBB50C8" w14:textId="1A750995" w:rsidR="00EC2DF1" w:rsidRPr="001A0B18" w:rsidRDefault="00EC2DF1" w:rsidP="00EC2DF1">
      <w:pPr>
        <w:rPr>
          <w:sz w:val="20"/>
          <w:szCs w:val="20"/>
        </w:rPr>
      </w:pPr>
      <w:proofErr w:type="spellStart"/>
      <w:r w:rsidRPr="001A0B18">
        <w:rPr>
          <w:sz w:val="20"/>
          <w:szCs w:val="20"/>
        </w:rPr>
        <w:t>SourceAFIS</w:t>
      </w:r>
      <w:proofErr w:type="spellEnd"/>
      <w:r w:rsidRPr="001A0B18">
        <w:rPr>
          <w:sz w:val="20"/>
          <w:szCs w:val="20"/>
        </w:rPr>
        <w:t xml:space="preserve"> 3.1</w:t>
      </w:r>
      <w:r>
        <w:rPr>
          <w:sz w:val="20"/>
          <w:szCs w:val="20"/>
        </w:rPr>
        <w:t>4</w:t>
      </w:r>
      <w:r w:rsidRPr="001A0B18">
        <w:rPr>
          <w:sz w:val="20"/>
          <w:szCs w:val="20"/>
        </w:rPr>
        <w:t xml:space="preserve">.0 is the fingerprint matching library integrated into the server. It uses a minutiae based approach, converting a raw fingerprint image into a template through image processing and feature extraction, encoding ridge endings and bifurcations as discrete points. Two templates are then compared using a matcher that evaluates the spatial relationships between minutiae points, returning a floating point similarity score. This score is compared against a predefined threshold to determine whether a match has occurred, as illustrated in Figure </w:t>
      </w:r>
      <w:r w:rsidR="00131B9F">
        <w:rPr>
          <w:sz w:val="20"/>
          <w:szCs w:val="20"/>
        </w:rPr>
        <w:t>12</w:t>
      </w:r>
      <w:r w:rsidRPr="001A0B18">
        <w:rPr>
          <w:sz w:val="20"/>
          <w:szCs w:val="20"/>
        </w:rPr>
        <w:t>.</w:t>
      </w:r>
      <w:r w:rsidRPr="001A0B18">
        <w:rPr>
          <w:noProof/>
          <w:sz w:val="20"/>
          <w:szCs w:val="20"/>
        </w:rPr>
        <w:drawing>
          <wp:inline distT="0" distB="0" distL="0" distR="0" wp14:anchorId="06179405" wp14:editId="519642AE">
            <wp:extent cx="5731510" cy="1186815"/>
            <wp:effectExtent l="0" t="0" r="2540" b="0"/>
            <wp:docPr id="197272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23449" name=""/>
                    <pic:cNvPicPr/>
                  </pic:nvPicPr>
                  <pic:blipFill>
                    <a:blip r:embed="rId17"/>
                    <a:stretch>
                      <a:fillRect/>
                    </a:stretch>
                  </pic:blipFill>
                  <pic:spPr>
                    <a:xfrm>
                      <a:off x="0" y="0"/>
                      <a:ext cx="5731510" cy="1186815"/>
                    </a:xfrm>
                    <a:prstGeom prst="rect">
                      <a:avLst/>
                    </a:prstGeom>
                  </pic:spPr>
                </pic:pic>
              </a:graphicData>
            </a:graphic>
          </wp:inline>
        </w:drawing>
      </w:r>
      <w:r w:rsidRPr="001A0B18">
        <w:rPr>
          <w:sz w:val="20"/>
          <w:szCs w:val="20"/>
        </w:rPr>
        <w:t xml:space="preserve">Figure </w:t>
      </w:r>
      <w:r w:rsidR="00131B9F">
        <w:rPr>
          <w:sz w:val="20"/>
          <w:szCs w:val="20"/>
        </w:rPr>
        <w:t>12</w:t>
      </w:r>
      <w:r w:rsidRPr="001A0B18">
        <w:rPr>
          <w:sz w:val="20"/>
          <w:szCs w:val="20"/>
        </w:rPr>
        <w:t xml:space="preserve"> – Fingerprint Matching Pipeline from the Server</w:t>
      </w:r>
    </w:p>
    <w:p w14:paraId="4016E724" w14:textId="77777777" w:rsidR="00EC2DF1" w:rsidRPr="001A0B18" w:rsidRDefault="00EC2DF1" w:rsidP="00EC2DF1">
      <w:pPr>
        <w:rPr>
          <w:sz w:val="20"/>
          <w:szCs w:val="20"/>
        </w:rPr>
      </w:pPr>
      <w:r w:rsidRPr="001A0B18">
        <w:rPr>
          <w:sz w:val="20"/>
          <w:szCs w:val="20"/>
        </w:rPr>
        <w:t xml:space="preserve">Both probe and candidate images are accepted as raw PNG byte arrays, which was a key factor in selecting </w:t>
      </w:r>
      <w:proofErr w:type="spellStart"/>
      <w:r w:rsidRPr="001A0B18">
        <w:rPr>
          <w:sz w:val="20"/>
          <w:szCs w:val="20"/>
        </w:rPr>
        <w:t>SourceAFIS</w:t>
      </w:r>
      <w:proofErr w:type="spellEnd"/>
      <w:r w:rsidRPr="001A0B18">
        <w:rPr>
          <w:sz w:val="20"/>
          <w:szCs w:val="20"/>
        </w:rPr>
        <w:t xml:space="preserve"> given the hardware constraints of the Columbo scanner. The matching threshold </w:t>
      </w:r>
      <w:r w:rsidRPr="001A0B18">
        <w:rPr>
          <w:sz w:val="20"/>
          <w:szCs w:val="20"/>
        </w:rPr>
        <w:lastRenderedPageBreak/>
        <w:t>was set to 40.0, a value verified against two open source fingerprint datasets, each testing a distinc</w:t>
      </w:r>
      <w:r>
        <w:rPr>
          <w:sz w:val="20"/>
          <w:szCs w:val="20"/>
        </w:rPr>
        <w:t xml:space="preserve">t </w:t>
      </w:r>
      <w:r w:rsidRPr="0071538E">
        <w:rPr>
          <w:sz w:val="20"/>
          <w:szCs w:val="20"/>
        </w:rPr>
        <w:t>aspect of the algorithm's performance.</w:t>
      </w:r>
    </w:p>
    <w:p w14:paraId="49AE2BCA" w14:textId="77777777" w:rsidR="00EC2DF1" w:rsidRPr="001A0B18" w:rsidRDefault="00EC2DF1" w:rsidP="00EC2DF1">
      <w:pPr>
        <w:rPr>
          <w:sz w:val="20"/>
          <w:szCs w:val="20"/>
        </w:rPr>
      </w:pPr>
      <w:r w:rsidRPr="001A0B18">
        <w:rPr>
          <w:sz w:val="20"/>
          <w:szCs w:val="20"/>
        </w:rPr>
        <w:t xml:space="preserve">To validate the chosen threshold, a dedicated test program was developed. The program references </w:t>
      </w:r>
      <w:proofErr w:type="spellStart"/>
      <w:r w:rsidRPr="001A0B18">
        <w:rPr>
          <w:sz w:val="20"/>
          <w:szCs w:val="20"/>
        </w:rPr>
        <w:t>SourceAFIS</w:t>
      </w:r>
      <w:proofErr w:type="spellEnd"/>
      <w:r w:rsidRPr="001A0B18">
        <w:rPr>
          <w:sz w:val="20"/>
          <w:szCs w:val="20"/>
        </w:rPr>
        <w:t xml:space="preserve"> 3.14.0, the same version used by the server, and uses the same operating threshold of 40.0. For each dataset, the program loads all fingerprint images and constructs the full set of genuine pairs (same finger, different scan) and impostor pairs (different fingers). Each pair is scored using </w:t>
      </w:r>
      <w:proofErr w:type="spellStart"/>
      <w:r w:rsidRPr="001A0B18">
        <w:rPr>
          <w:sz w:val="20"/>
          <w:szCs w:val="20"/>
        </w:rPr>
        <w:t>SourceAFIS</w:t>
      </w:r>
      <w:proofErr w:type="spellEnd"/>
      <w:r w:rsidRPr="001A0B18">
        <w:rPr>
          <w:sz w:val="20"/>
          <w:szCs w:val="20"/>
        </w:rPr>
        <w:t>. A 500-step threshold sweep is then applied across the full score range to find the Equal Error Rate (EER), which is the threshold at which the False Acceptance Rate (FAR) and False Rejection Rate (FRR) are closest. The results of each test run were written to a CSV file, found in Appendices H and I.</w:t>
      </w:r>
    </w:p>
    <w:tbl>
      <w:tblPr>
        <w:tblStyle w:val="TableGrid"/>
        <w:tblW w:w="4250" w:type="dxa"/>
        <w:tblLook w:val="04A0" w:firstRow="1" w:lastRow="0" w:firstColumn="1" w:lastColumn="0" w:noHBand="0" w:noVBand="1"/>
      </w:tblPr>
      <w:tblGrid>
        <w:gridCol w:w="1547"/>
        <w:gridCol w:w="1271"/>
        <w:gridCol w:w="1432"/>
      </w:tblGrid>
      <w:tr w:rsidR="00EC2DF1" w:rsidRPr="001A0B18" w14:paraId="3AF71CC7" w14:textId="77777777" w:rsidTr="00846F35">
        <w:trPr>
          <w:trHeight w:val="244"/>
        </w:trPr>
        <w:tc>
          <w:tcPr>
            <w:tcW w:w="1547" w:type="dxa"/>
            <w:vAlign w:val="center"/>
          </w:tcPr>
          <w:p w14:paraId="39D2CACF" w14:textId="77777777" w:rsidR="00EC2DF1" w:rsidRPr="001A0B18" w:rsidRDefault="00EC2DF1" w:rsidP="00846F35">
            <w:pPr>
              <w:rPr>
                <w:color w:val="000000" w:themeColor="text1"/>
                <w:sz w:val="20"/>
                <w:szCs w:val="20"/>
              </w:rPr>
            </w:pPr>
            <w:r w:rsidRPr="001A0B18">
              <w:rPr>
                <w:rFonts w:ascii="Segoe UI" w:eastAsia="Times New Roman" w:hAnsi="Segoe UI" w:cs="Segoe UI"/>
                <w:b/>
                <w:bCs/>
                <w:color w:val="000000" w:themeColor="text1"/>
                <w:kern w:val="0"/>
                <w:sz w:val="20"/>
                <w:szCs w:val="20"/>
                <w:lang w:eastAsia="en-GB"/>
                <w14:ligatures w14:val="none"/>
              </w:rPr>
              <w:t>Metric</w:t>
            </w:r>
          </w:p>
        </w:tc>
        <w:tc>
          <w:tcPr>
            <w:tcW w:w="1271" w:type="dxa"/>
            <w:vAlign w:val="center"/>
          </w:tcPr>
          <w:p w14:paraId="66BB4CA6" w14:textId="77777777" w:rsidR="00EC2DF1" w:rsidRPr="001A0B18" w:rsidRDefault="00EC2DF1" w:rsidP="00846F35">
            <w:pPr>
              <w:rPr>
                <w:color w:val="000000" w:themeColor="text1"/>
                <w:sz w:val="20"/>
                <w:szCs w:val="20"/>
              </w:rPr>
            </w:pPr>
            <w:r w:rsidRPr="001A0B18">
              <w:rPr>
                <w:rFonts w:ascii="Segoe UI" w:eastAsia="Times New Roman" w:hAnsi="Segoe UI" w:cs="Segoe UI"/>
                <w:b/>
                <w:bCs/>
                <w:color w:val="000000" w:themeColor="text1"/>
                <w:kern w:val="0"/>
                <w:sz w:val="20"/>
                <w:szCs w:val="20"/>
                <w:lang w:eastAsia="en-GB"/>
                <w14:ligatures w14:val="none"/>
              </w:rPr>
              <w:t>FVC2002</w:t>
            </w:r>
          </w:p>
        </w:tc>
        <w:tc>
          <w:tcPr>
            <w:tcW w:w="1432" w:type="dxa"/>
            <w:vAlign w:val="center"/>
          </w:tcPr>
          <w:p w14:paraId="3A787A43" w14:textId="77777777" w:rsidR="00EC2DF1" w:rsidRPr="001A0B18" w:rsidRDefault="00EC2DF1" w:rsidP="00846F35">
            <w:pPr>
              <w:rPr>
                <w:color w:val="000000" w:themeColor="text1"/>
                <w:sz w:val="20"/>
                <w:szCs w:val="20"/>
              </w:rPr>
            </w:pPr>
            <w:proofErr w:type="spellStart"/>
            <w:r w:rsidRPr="001A0B18">
              <w:rPr>
                <w:rFonts w:ascii="Segoe UI" w:eastAsia="Times New Roman" w:hAnsi="Segoe UI" w:cs="Segoe UI"/>
                <w:b/>
                <w:bCs/>
                <w:color w:val="000000" w:themeColor="text1"/>
                <w:kern w:val="0"/>
                <w:sz w:val="20"/>
                <w:szCs w:val="20"/>
                <w:lang w:eastAsia="en-GB"/>
                <w14:ligatures w14:val="none"/>
              </w:rPr>
              <w:t>SOCOFing</w:t>
            </w:r>
            <w:proofErr w:type="spellEnd"/>
          </w:p>
        </w:tc>
      </w:tr>
      <w:tr w:rsidR="00EC2DF1" w:rsidRPr="001A0B18" w14:paraId="20B6DA3D" w14:textId="77777777" w:rsidTr="00846F35">
        <w:trPr>
          <w:trHeight w:val="520"/>
        </w:trPr>
        <w:tc>
          <w:tcPr>
            <w:tcW w:w="1547" w:type="dxa"/>
            <w:vAlign w:val="center"/>
          </w:tcPr>
          <w:p w14:paraId="3517E03A" w14:textId="77777777" w:rsidR="00EC2DF1" w:rsidRPr="001A0B18" w:rsidRDefault="00EC2DF1" w:rsidP="00846F35">
            <w:pPr>
              <w:rPr>
                <w:color w:val="000000" w:themeColor="text1"/>
                <w:sz w:val="20"/>
                <w:szCs w:val="20"/>
              </w:rPr>
            </w:pPr>
            <w:r w:rsidRPr="001A0B18">
              <w:rPr>
                <w:rFonts w:ascii="Segoe UI" w:eastAsia="Times New Roman" w:hAnsi="Segoe UI" w:cs="Segoe UI"/>
                <w:color w:val="000000" w:themeColor="text1"/>
                <w:kern w:val="0"/>
                <w:sz w:val="20"/>
                <w:szCs w:val="20"/>
                <w:lang w:eastAsia="en-GB"/>
                <w14:ligatures w14:val="none"/>
              </w:rPr>
              <w:t>Equal Error Rate (EER)</w:t>
            </w:r>
          </w:p>
        </w:tc>
        <w:tc>
          <w:tcPr>
            <w:tcW w:w="1271" w:type="dxa"/>
            <w:vAlign w:val="center"/>
          </w:tcPr>
          <w:p w14:paraId="7001D40E" w14:textId="77777777" w:rsidR="00EC2DF1" w:rsidRPr="001A0B18" w:rsidRDefault="00EC2DF1" w:rsidP="00846F35">
            <w:pPr>
              <w:rPr>
                <w:color w:val="000000" w:themeColor="text1"/>
                <w:sz w:val="20"/>
                <w:szCs w:val="20"/>
              </w:rPr>
            </w:pPr>
            <w:r w:rsidRPr="001A0B18">
              <w:rPr>
                <w:rFonts w:ascii="Segoe UI" w:eastAsia="Times New Roman" w:hAnsi="Segoe UI" w:cs="Segoe UI"/>
                <w:color w:val="000000" w:themeColor="text1"/>
                <w:kern w:val="0"/>
                <w:sz w:val="20"/>
                <w:szCs w:val="20"/>
                <w:lang w:eastAsia="en-GB"/>
                <w14:ligatures w14:val="none"/>
              </w:rPr>
              <w:t>5.11%</w:t>
            </w:r>
          </w:p>
        </w:tc>
        <w:tc>
          <w:tcPr>
            <w:tcW w:w="1432" w:type="dxa"/>
            <w:vAlign w:val="center"/>
          </w:tcPr>
          <w:p w14:paraId="113105C4" w14:textId="77777777" w:rsidR="00EC2DF1" w:rsidRPr="001A0B18" w:rsidRDefault="00EC2DF1" w:rsidP="00846F35">
            <w:pPr>
              <w:rPr>
                <w:color w:val="000000" w:themeColor="text1"/>
                <w:sz w:val="20"/>
                <w:szCs w:val="20"/>
              </w:rPr>
            </w:pPr>
            <w:r w:rsidRPr="001A0B18">
              <w:rPr>
                <w:rFonts w:ascii="Segoe UI" w:eastAsia="Times New Roman" w:hAnsi="Segoe UI" w:cs="Segoe UI"/>
                <w:color w:val="000000" w:themeColor="text1"/>
                <w:kern w:val="0"/>
                <w:sz w:val="20"/>
                <w:szCs w:val="20"/>
                <w:lang w:eastAsia="en-GB"/>
                <w14:ligatures w14:val="none"/>
              </w:rPr>
              <w:t>36.66%</w:t>
            </w:r>
          </w:p>
        </w:tc>
      </w:tr>
      <w:tr w:rsidR="00EC2DF1" w:rsidRPr="001A0B18" w14:paraId="44D53142" w14:textId="77777777" w:rsidTr="00846F35">
        <w:trPr>
          <w:trHeight w:val="844"/>
        </w:trPr>
        <w:tc>
          <w:tcPr>
            <w:tcW w:w="1547" w:type="dxa"/>
            <w:vAlign w:val="center"/>
          </w:tcPr>
          <w:p w14:paraId="21DF2C2E" w14:textId="77777777" w:rsidR="00EC2DF1" w:rsidRPr="001A0B18" w:rsidRDefault="00EC2DF1" w:rsidP="00846F35">
            <w:pPr>
              <w:rPr>
                <w:rFonts w:ascii="Segoe UI" w:eastAsia="Times New Roman" w:hAnsi="Segoe UI" w:cs="Segoe UI"/>
                <w:color w:val="000000" w:themeColor="text1"/>
                <w:kern w:val="0"/>
                <w:sz w:val="20"/>
                <w:szCs w:val="20"/>
                <w:lang w:eastAsia="en-GB"/>
                <w14:ligatures w14:val="none"/>
              </w:rPr>
            </w:pPr>
            <w:r w:rsidRPr="001A0B18">
              <w:rPr>
                <w:rFonts w:ascii="Segoe UI" w:eastAsia="Times New Roman" w:hAnsi="Segoe UI" w:cs="Segoe UI"/>
                <w:color w:val="000000" w:themeColor="text1"/>
                <w:kern w:val="0"/>
                <w:sz w:val="20"/>
                <w:szCs w:val="20"/>
                <w:lang w:eastAsia="en-GB"/>
                <w14:ligatures w14:val="none"/>
              </w:rPr>
              <w:t>FAR at threshold 40</w:t>
            </w:r>
          </w:p>
        </w:tc>
        <w:tc>
          <w:tcPr>
            <w:tcW w:w="1271" w:type="dxa"/>
            <w:vAlign w:val="center"/>
          </w:tcPr>
          <w:p w14:paraId="09AEA845" w14:textId="77777777" w:rsidR="00EC2DF1" w:rsidRPr="001A0B18" w:rsidRDefault="00EC2DF1" w:rsidP="00846F35">
            <w:pPr>
              <w:rPr>
                <w:rFonts w:ascii="Segoe UI" w:eastAsia="Times New Roman" w:hAnsi="Segoe UI" w:cs="Segoe UI"/>
                <w:color w:val="000000" w:themeColor="text1"/>
                <w:kern w:val="0"/>
                <w:sz w:val="20"/>
                <w:szCs w:val="20"/>
                <w:lang w:eastAsia="en-GB"/>
                <w14:ligatures w14:val="none"/>
              </w:rPr>
            </w:pPr>
            <w:r w:rsidRPr="001A0B18">
              <w:rPr>
                <w:rFonts w:ascii="Segoe UI" w:eastAsia="Times New Roman" w:hAnsi="Segoe UI" w:cs="Segoe UI"/>
                <w:color w:val="000000" w:themeColor="text1"/>
                <w:kern w:val="0"/>
                <w:sz w:val="20"/>
                <w:szCs w:val="20"/>
                <w:lang w:eastAsia="en-GB"/>
                <w14:ligatures w14:val="none"/>
              </w:rPr>
              <w:t>0.00%</w:t>
            </w:r>
          </w:p>
        </w:tc>
        <w:tc>
          <w:tcPr>
            <w:tcW w:w="1432" w:type="dxa"/>
            <w:vAlign w:val="center"/>
          </w:tcPr>
          <w:p w14:paraId="0C7A2474" w14:textId="77777777" w:rsidR="00EC2DF1" w:rsidRPr="001A0B18" w:rsidRDefault="00EC2DF1" w:rsidP="00846F35">
            <w:pPr>
              <w:rPr>
                <w:rFonts w:ascii="Segoe UI" w:eastAsia="Times New Roman" w:hAnsi="Segoe UI" w:cs="Segoe UI"/>
                <w:color w:val="000000" w:themeColor="text1"/>
                <w:kern w:val="0"/>
                <w:sz w:val="20"/>
                <w:szCs w:val="20"/>
                <w:lang w:eastAsia="en-GB"/>
                <w14:ligatures w14:val="none"/>
              </w:rPr>
            </w:pPr>
            <w:r w:rsidRPr="001A0B18">
              <w:rPr>
                <w:rFonts w:ascii="Segoe UI" w:eastAsia="Times New Roman" w:hAnsi="Segoe UI" w:cs="Segoe UI"/>
                <w:color w:val="000000" w:themeColor="text1"/>
                <w:kern w:val="0"/>
                <w:sz w:val="20"/>
                <w:szCs w:val="20"/>
                <w:lang w:eastAsia="en-GB"/>
                <w14:ligatures w14:val="none"/>
              </w:rPr>
              <w:t>0.00%</w:t>
            </w:r>
          </w:p>
        </w:tc>
      </w:tr>
      <w:tr w:rsidR="00EC2DF1" w:rsidRPr="001A0B18" w14:paraId="0CEFAA55" w14:textId="77777777" w:rsidTr="00846F35">
        <w:trPr>
          <w:trHeight w:val="856"/>
        </w:trPr>
        <w:tc>
          <w:tcPr>
            <w:tcW w:w="1547" w:type="dxa"/>
            <w:vAlign w:val="center"/>
          </w:tcPr>
          <w:p w14:paraId="41CF96E1" w14:textId="77777777" w:rsidR="00EC2DF1" w:rsidRPr="001A0B18" w:rsidRDefault="00EC2DF1" w:rsidP="00846F35">
            <w:pPr>
              <w:rPr>
                <w:rFonts w:ascii="Segoe UI" w:eastAsia="Times New Roman" w:hAnsi="Segoe UI" w:cs="Segoe UI"/>
                <w:color w:val="000000" w:themeColor="text1"/>
                <w:kern w:val="0"/>
                <w:sz w:val="20"/>
                <w:szCs w:val="20"/>
                <w:lang w:eastAsia="en-GB"/>
                <w14:ligatures w14:val="none"/>
              </w:rPr>
            </w:pPr>
            <w:r w:rsidRPr="001A0B18">
              <w:rPr>
                <w:rFonts w:ascii="Segoe UI" w:eastAsia="Times New Roman" w:hAnsi="Segoe UI" w:cs="Segoe UI"/>
                <w:color w:val="000000" w:themeColor="text1"/>
                <w:kern w:val="0"/>
                <w:sz w:val="20"/>
                <w:szCs w:val="20"/>
                <w:lang w:eastAsia="en-GB"/>
                <w14:ligatures w14:val="none"/>
              </w:rPr>
              <w:t>FRR at threshold 40</w:t>
            </w:r>
          </w:p>
        </w:tc>
        <w:tc>
          <w:tcPr>
            <w:tcW w:w="1271" w:type="dxa"/>
            <w:vAlign w:val="center"/>
          </w:tcPr>
          <w:p w14:paraId="53DC10C6" w14:textId="77777777" w:rsidR="00EC2DF1" w:rsidRPr="001A0B18" w:rsidRDefault="00EC2DF1" w:rsidP="00846F35">
            <w:pPr>
              <w:rPr>
                <w:rFonts w:ascii="Segoe UI" w:eastAsia="Times New Roman" w:hAnsi="Segoe UI" w:cs="Segoe UI"/>
                <w:color w:val="000000" w:themeColor="text1"/>
                <w:kern w:val="0"/>
                <w:sz w:val="20"/>
                <w:szCs w:val="20"/>
                <w:lang w:eastAsia="en-GB"/>
                <w14:ligatures w14:val="none"/>
              </w:rPr>
            </w:pPr>
            <w:r w:rsidRPr="001A0B18">
              <w:rPr>
                <w:rFonts w:ascii="Segoe UI" w:eastAsia="Times New Roman" w:hAnsi="Segoe UI" w:cs="Segoe UI"/>
                <w:color w:val="000000" w:themeColor="text1"/>
                <w:kern w:val="0"/>
                <w:sz w:val="20"/>
                <w:szCs w:val="20"/>
                <w:lang w:eastAsia="en-GB"/>
                <w14:ligatures w14:val="none"/>
              </w:rPr>
              <w:t>18.21%</w:t>
            </w:r>
          </w:p>
        </w:tc>
        <w:tc>
          <w:tcPr>
            <w:tcW w:w="1432" w:type="dxa"/>
            <w:vAlign w:val="center"/>
          </w:tcPr>
          <w:p w14:paraId="3C7C705E" w14:textId="77777777" w:rsidR="00EC2DF1" w:rsidRPr="001A0B18" w:rsidRDefault="00EC2DF1" w:rsidP="00846F35">
            <w:pPr>
              <w:rPr>
                <w:rFonts w:ascii="Segoe UI" w:eastAsia="Times New Roman" w:hAnsi="Segoe UI" w:cs="Segoe UI"/>
                <w:color w:val="000000" w:themeColor="text1"/>
                <w:kern w:val="0"/>
                <w:sz w:val="20"/>
                <w:szCs w:val="20"/>
                <w:lang w:eastAsia="en-GB"/>
                <w14:ligatures w14:val="none"/>
              </w:rPr>
            </w:pPr>
            <w:r w:rsidRPr="001A0B18">
              <w:rPr>
                <w:rFonts w:ascii="Segoe UI" w:eastAsia="Times New Roman" w:hAnsi="Segoe UI" w:cs="Segoe UI"/>
                <w:color w:val="000000" w:themeColor="text1"/>
                <w:kern w:val="0"/>
                <w:sz w:val="20"/>
                <w:szCs w:val="20"/>
                <w:lang w:eastAsia="en-GB"/>
                <w14:ligatures w14:val="none"/>
              </w:rPr>
              <w:t>94.64%</w:t>
            </w:r>
          </w:p>
        </w:tc>
      </w:tr>
    </w:tbl>
    <w:p w14:paraId="61662CBC" w14:textId="63DBDB99" w:rsidR="00EC2DF1" w:rsidRDefault="00EC2DF1" w:rsidP="00EC2DF1">
      <w:pPr>
        <w:jc w:val="center"/>
        <w:rPr>
          <w:sz w:val="20"/>
          <w:szCs w:val="20"/>
        </w:rPr>
      </w:pPr>
      <w:r w:rsidRPr="001A0B18">
        <w:rPr>
          <w:sz w:val="20"/>
          <w:szCs w:val="20"/>
        </w:rPr>
        <w:t xml:space="preserve">Table </w:t>
      </w:r>
      <w:r w:rsidR="00B022B2">
        <w:rPr>
          <w:sz w:val="20"/>
          <w:szCs w:val="20"/>
        </w:rPr>
        <w:t>3</w:t>
      </w:r>
      <w:r w:rsidRPr="001A0B18">
        <w:rPr>
          <w:sz w:val="20"/>
          <w:szCs w:val="20"/>
        </w:rPr>
        <w:t xml:space="preserve"> – Performance table of </w:t>
      </w:r>
      <w:proofErr w:type="spellStart"/>
      <w:r w:rsidRPr="001A0B18">
        <w:rPr>
          <w:sz w:val="20"/>
          <w:szCs w:val="20"/>
        </w:rPr>
        <w:t>SourceAFIS</w:t>
      </w:r>
      <w:proofErr w:type="spellEnd"/>
      <w:r w:rsidRPr="001A0B18">
        <w:rPr>
          <w:sz w:val="20"/>
          <w:szCs w:val="20"/>
        </w:rPr>
        <w:t xml:space="preserve"> on Different Datasets</w:t>
      </w:r>
    </w:p>
    <w:p w14:paraId="27CF086F" w14:textId="669200C5" w:rsidR="00EC2DF1" w:rsidRPr="001A0B18" w:rsidRDefault="00EC2DF1" w:rsidP="00EC2DF1">
      <w:pPr>
        <w:rPr>
          <w:sz w:val="20"/>
          <w:szCs w:val="20"/>
        </w:rPr>
      </w:pPr>
      <w:r w:rsidRPr="001A0B18">
        <w:rPr>
          <w:sz w:val="20"/>
          <w:szCs w:val="20"/>
        </w:rPr>
        <w:t xml:space="preserve">As shown in Table </w:t>
      </w:r>
      <w:r w:rsidR="00B022B2">
        <w:rPr>
          <w:sz w:val="20"/>
          <w:szCs w:val="20"/>
        </w:rPr>
        <w:t>3</w:t>
      </w:r>
      <w:r w:rsidRPr="001A0B18">
        <w:rPr>
          <w:sz w:val="20"/>
          <w:szCs w:val="20"/>
        </w:rPr>
        <w:t xml:space="preserve">, FVC2002 consists of repeated scans of the same fingers captured on real hardware and provides the primary performance benchmark for the system [61]. The 5.11% Equal Error Rate sits within </w:t>
      </w:r>
      <w:proofErr w:type="spellStart"/>
      <w:r w:rsidRPr="001A0B18">
        <w:rPr>
          <w:sz w:val="20"/>
          <w:szCs w:val="20"/>
        </w:rPr>
        <w:t>SourceAFIS's</w:t>
      </w:r>
      <w:proofErr w:type="spellEnd"/>
      <w:r w:rsidRPr="001A0B18">
        <w:rPr>
          <w:sz w:val="20"/>
          <w:szCs w:val="20"/>
        </w:rPr>
        <w:t xml:space="preserve"> published range for that dataset, and the large separation between genuine and impostor score averages confirms strong discrimination under normal scan variation. At the chosen threshold of 40.0, the FAR is 0%, which is the critical security property for a voting system where no unauthorised individual should be able to authenticate as another voter. The False Rejection Rate of 18.21% indicates that approximately one in five legitimate authentication attempts would require a retry, which is mitigated in the system by the three attempt policy and the accessible fallback mechanism described in the specification.</w:t>
      </w:r>
    </w:p>
    <w:p w14:paraId="4C833F86" w14:textId="77777777" w:rsidR="00EC2DF1" w:rsidRPr="001A0B18" w:rsidRDefault="00EC2DF1" w:rsidP="00EC2DF1">
      <w:pPr>
        <w:rPr>
          <w:sz w:val="20"/>
          <w:szCs w:val="20"/>
        </w:rPr>
      </w:pPr>
      <w:proofErr w:type="spellStart"/>
      <w:r w:rsidRPr="001A0B18">
        <w:rPr>
          <w:sz w:val="20"/>
          <w:szCs w:val="20"/>
        </w:rPr>
        <w:t>SOCOFing</w:t>
      </w:r>
      <w:proofErr w:type="spellEnd"/>
      <w:r w:rsidRPr="001A0B18">
        <w:rPr>
          <w:sz w:val="20"/>
          <w:szCs w:val="20"/>
        </w:rPr>
        <w:t xml:space="preserve"> tests a different scenario. Its altered images simulate physical attack on the fingerprint itself, with cuts and deliberate damage applied to a significant proportion of subjects [60]. This degradation causes the EER to rise sharply to 36.66%, illustrating that severely mutilated fingerprints become increasingly indistinguishable from impostor samples. The practical implication for this system is that its security relies on the integrity of the enrolled fingerprint template. A voter whose fingerprint sustained significant damage between enrolment and polling day would likely face repeated authentication failures.</w:t>
      </w:r>
    </w:p>
    <w:p w14:paraId="6228D02B" w14:textId="77777777" w:rsidR="00EC2DF1" w:rsidRPr="00486087" w:rsidRDefault="00EC2DF1" w:rsidP="00EC2DF1">
      <w:pPr>
        <w:rPr>
          <w:b/>
          <w:bCs/>
          <w:sz w:val="20"/>
          <w:szCs w:val="20"/>
        </w:rPr>
      </w:pPr>
      <w:r w:rsidRPr="00486087">
        <w:rPr>
          <w:b/>
          <w:bCs/>
          <w:sz w:val="20"/>
          <w:szCs w:val="20"/>
        </w:rPr>
        <w:t xml:space="preserve">6.3.5 The Twin Problem </w:t>
      </w:r>
    </w:p>
    <w:p w14:paraId="52C6EF51" w14:textId="77777777" w:rsidR="00EC2DF1" w:rsidRDefault="00EC2DF1" w:rsidP="00EC2DF1">
      <w:pPr>
        <w:rPr>
          <w:sz w:val="20"/>
          <w:szCs w:val="20"/>
        </w:rPr>
      </w:pPr>
      <w:r w:rsidRPr="001A0B18">
        <w:rPr>
          <w:sz w:val="20"/>
          <w:szCs w:val="20"/>
        </w:rPr>
        <w:t>The Searchable Deterministic Index (SDI) is an HMAC-SHA-256 hash of a normalised string derived from five fields: first name, last name, date of birth, postcode, and town of birth. By design, two individuals who share all five values will produce an identical SDI and therefore insert into the database with the same SDI. In practice this edge case is most likely to occur with twins sharing the same surname and address. When a lookup returns more than on</w:t>
      </w:r>
      <w:r>
        <w:rPr>
          <w:sz w:val="20"/>
          <w:szCs w:val="20"/>
        </w:rPr>
        <w:t xml:space="preserve">e candidate record, the server sets </w:t>
      </w:r>
      <w:proofErr w:type="spellStart"/>
      <w:r>
        <w:rPr>
          <w:sz w:val="20"/>
          <w:szCs w:val="20"/>
        </w:rPr>
        <w:t>RequiresDisambiguation</w:t>
      </w:r>
      <w:proofErr w:type="spellEnd"/>
      <w:r>
        <w:rPr>
          <w:sz w:val="20"/>
          <w:szCs w:val="20"/>
        </w:rPr>
        <w:t xml:space="preserve"> to true in the response and returns the list of candidate voter IDs to the client. The client presents the voter with a fingerprint scan prompt as usual, then resubmits the authentication request with </w:t>
      </w:r>
      <w:proofErr w:type="spellStart"/>
      <w:r>
        <w:rPr>
          <w:sz w:val="20"/>
          <w:szCs w:val="20"/>
        </w:rPr>
        <w:t>CandiateVoterIds</w:t>
      </w:r>
      <w:proofErr w:type="spellEnd"/>
      <w:r>
        <w:rPr>
          <w:sz w:val="20"/>
          <w:szCs w:val="20"/>
        </w:rPr>
        <w:t xml:space="preserve"> populated.</w:t>
      </w:r>
    </w:p>
    <w:p w14:paraId="34D7CD45" w14:textId="77777777" w:rsidR="00EC2DF1" w:rsidRPr="001A0B18" w:rsidRDefault="00EC2DF1" w:rsidP="00EC2DF1">
      <w:pPr>
        <w:rPr>
          <w:sz w:val="20"/>
          <w:szCs w:val="20"/>
        </w:rPr>
      </w:pPr>
      <w:r w:rsidRPr="001A0B18">
        <w:rPr>
          <w:noProof/>
          <w:sz w:val="20"/>
          <w:szCs w:val="20"/>
        </w:rPr>
        <w:lastRenderedPageBreak/>
        <w:drawing>
          <wp:inline distT="0" distB="0" distL="0" distR="0" wp14:anchorId="0C88F644" wp14:editId="7D5C3523">
            <wp:extent cx="3848431" cy="2475514"/>
            <wp:effectExtent l="0" t="0" r="0" b="1270"/>
            <wp:docPr id="39678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84861" name=""/>
                    <pic:cNvPicPr/>
                  </pic:nvPicPr>
                  <pic:blipFill>
                    <a:blip r:embed="rId18"/>
                    <a:stretch>
                      <a:fillRect/>
                    </a:stretch>
                  </pic:blipFill>
                  <pic:spPr>
                    <a:xfrm>
                      <a:off x="0" y="0"/>
                      <a:ext cx="3871174" cy="2490144"/>
                    </a:xfrm>
                    <a:prstGeom prst="rect">
                      <a:avLst/>
                    </a:prstGeom>
                  </pic:spPr>
                </pic:pic>
              </a:graphicData>
            </a:graphic>
          </wp:inline>
        </w:drawing>
      </w:r>
    </w:p>
    <w:p w14:paraId="55EA978C" w14:textId="3842D7E2" w:rsidR="00EC2DF1" w:rsidRPr="001A0B18" w:rsidRDefault="00EC2DF1" w:rsidP="00EC2DF1">
      <w:pPr>
        <w:rPr>
          <w:i/>
          <w:iCs/>
          <w:sz w:val="20"/>
          <w:szCs w:val="20"/>
        </w:rPr>
      </w:pPr>
      <w:r w:rsidRPr="001A0B18">
        <w:rPr>
          <w:i/>
          <w:iCs/>
          <w:sz w:val="20"/>
          <w:szCs w:val="20"/>
        </w:rPr>
        <w:t xml:space="preserve">Figure </w:t>
      </w:r>
      <w:r w:rsidR="00133AB1">
        <w:rPr>
          <w:i/>
          <w:iCs/>
          <w:sz w:val="20"/>
          <w:szCs w:val="20"/>
        </w:rPr>
        <w:t>13</w:t>
      </w:r>
      <w:r w:rsidRPr="001A0B18">
        <w:rPr>
          <w:i/>
          <w:iCs/>
          <w:sz w:val="20"/>
          <w:szCs w:val="20"/>
        </w:rPr>
        <w:t xml:space="preserve"> – SDI collision disambiguation loop</w:t>
      </w:r>
    </w:p>
    <w:p w14:paraId="23C4BAA4" w14:textId="3EDF5DD0" w:rsidR="00EC2DF1" w:rsidRDefault="00EC2DF1" w:rsidP="00EC2DF1">
      <w:pPr>
        <w:rPr>
          <w:sz w:val="20"/>
          <w:szCs w:val="20"/>
        </w:rPr>
      </w:pPr>
      <w:r w:rsidRPr="001A0B18">
        <w:rPr>
          <w:sz w:val="20"/>
          <w:szCs w:val="20"/>
        </w:rPr>
        <w:t xml:space="preserve">As shown in Figure </w:t>
      </w:r>
      <w:r w:rsidR="00133AB1">
        <w:rPr>
          <w:sz w:val="20"/>
          <w:szCs w:val="20"/>
        </w:rPr>
        <w:t>13</w:t>
      </w:r>
      <w:r w:rsidRPr="001A0B18">
        <w:rPr>
          <w:sz w:val="20"/>
          <w:szCs w:val="20"/>
        </w:rPr>
        <w:t>, the server iterates through each candidate in order, decrypting and scoring their stored fingerprint template against the live scan. The first candidate whose similarity score meets or exceeds the match threshold is identified as the authenticated voter, and the flow continues identically to the standard authentication path. If the matched candidate has already voted, a rejection response is returned, and the voter is prompted to alert an official. Simultaneously, the Official App is notified of the repeated attempt, the voter device is locked, and a status changed for the device, alerting the official to potential electoral fraud.</w:t>
      </w:r>
    </w:p>
    <w:p w14:paraId="4D38E4D1" w14:textId="77777777" w:rsidR="00EC2DF1" w:rsidRPr="001A0B18" w:rsidRDefault="00EC2DF1" w:rsidP="00EC2DF1">
      <w:pPr>
        <w:rPr>
          <w:sz w:val="20"/>
          <w:szCs w:val="20"/>
        </w:rPr>
      </w:pPr>
      <w:r w:rsidRPr="001A0B18">
        <w:rPr>
          <w:sz w:val="20"/>
          <w:szCs w:val="20"/>
        </w:rPr>
        <w:t>This approach resolves the twin edge case and additionally handles the statistically negligible probability of a natural SDI collision, without exposing the identity of other candidates to the client at any point. All decryption and comparison operations are performed exclusively on the server, ensuring that sensitive voter data never leaves the server boundary during disambiguation.</w:t>
      </w:r>
    </w:p>
    <w:p w14:paraId="1AAF0B75" w14:textId="77777777" w:rsidR="00EC2DF1" w:rsidRDefault="00EC2DF1" w:rsidP="00EC2DF1">
      <w:pPr>
        <w:rPr>
          <w:sz w:val="20"/>
          <w:szCs w:val="20"/>
        </w:rPr>
      </w:pPr>
      <w:r w:rsidRPr="00E1398F">
        <w:rPr>
          <w:sz w:val="20"/>
          <w:szCs w:val="20"/>
        </w:rPr>
        <w:t xml:space="preserve">An operational challenge also remains, requiring a duplicate fingerprint scan across all registered voters in the two weeks leading up to polling day. </w:t>
      </w:r>
      <w:r w:rsidRPr="001A0B18">
        <w:rPr>
          <w:sz w:val="20"/>
          <w:szCs w:val="20"/>
        </w:rPr>
        <w:t xml:space="preserve">This check ensures that no two voters share a stored biometric template, which is a prerequisite for the disambiguation algorithm to function correctly. If a duplicate fingerprint were present, there would be a risk that an impostor's record could appear first in the candidate list and be authenticated </w:t>
      </w:r>
      <w:r>
        <w:rPr>
          <w:sz w:val="20"/>
          <w:szCs w:val="20"/>
        </w:rPr>
        <w:t>against an identity that does not belong to them, allowing a fraudulent vote to be case in another voter’s name. This duplicate detection feature is implemented within the Official App and must be completed before the system can be considered operationally secure.</w:t>
      </w:r>
    </w:p>
    <w:p w14:paraId="48573FB3" w14:textId="77777777" w:rsidR="00EC2DF1" w:rsidRPr="001A0B18" w:rsidRDefault="00EC2DF1" w:rsidP="00EC2DF1">
      <w:pPr>
        <w:rPr>
          <w:sz w:val="20"/>
          <w:szCs w:val="20"/>
        </w:rPr>
      </w:pPr>
      <w:r>
        <w:rPr>
          <w:sz w:val="20"/>
          <w:szCs w:val="20"/>
        </w:rPr>
        <w:t xml:space="preserve"> </w:t>
      </w:r>
      <w:r w:rsidRPr="001A0B18">
        <w:rPr>
          <w:sz w:val="20"/>
          <w:szCs w:val="20"/>
        </w:rPr>
        <w:t>6.3.5.1 SDI Hash Verification Test</w:t>
      </w:r>
    </w:p>
    <w:p w14:paraId="563398B5" w14:textId="1DAD3D1D" w:rsidR="00EC2DF1" w:rsidRPr="001A0B18" w:rsidRDefault="00EC2DF1" w:rsidP="00EC2DF1">
      <w:pPr>
        <w:rPr>
          <w:sz w:val="20"/>
          <w:szCs w:val="20"/>
        </w:rPr>
      </w:pPr>
      <w:r w:rsidRPr="001A0B18">
        <w:rPr>
          <w:sz w:val="20"/>
          <w:szCs w:val="20"/>
        </w:rPr>
        <w:t xml:space="preserve">To verify the correctness of the Secure Digital Identity function, a determinism test was added to the server startup sequence. The test calls ComputeSdiHmacSha256 twice with identical inputs and once with the reversed string. Two properties were asserted. First that identical inputs always produce the same hash and second that a single character change in the input produces a completely different hash. The code for the test is shown in Figure </w:t>
      </w:r>
      <w:r w:rsidR="00133AB1">
        <w:rPr>
          <w:sz w:val="20"/>
          <w:szCs w:val="20"/>
        </w:rPr>
        <w:t>14</w:t>
      </w:r>
      <w:r w:rsidRPr="001A0B18">
        <w:rPr>
          <w:sz w:val="20"/>
          <w:szCs w:val="20"/>
        </w:rPr>
        <w:t xml:space="preserve"> and the console output confirming both assertions passed is shown in Figure </w:t>
      </w:r>
      <w:r w:rsidR="00133AB1">
        <w:rPr>
          <w:sz w:val="20"/>
          <w:szCs w:val="20"/>
        </w:rPr>
        <w:t>15</w:t>
      </w:r>
      <w:r w:rsidRPr="001A0B18">
        <w:rPr>
          <w:sz w:val="20"/>
          <w:szCs w:val="20"/>
        </w:rPr>
        <w:t>. These two properties are essential to the correctness of the system as determinism of the SDI is essential for finding records of a voter.</w:t>
      </w:r>
    </w:p>
    <w:p w14:paraId="14763A10" w14:textId="77777777" w:rsidR="00EC2DF1" w:rsidRPr="001A0B18" w:rsidRDefault="00EC2DF1" w:rsidP="00EC2DF1">
      <w:pPr>
        <w:rPr>
          <w:i/>
          <w:iCs/>
          <w:sz w:val="20"/>
          <w:szCs w:val="20"/>
        </w:rPr>
      </w:pPr>
      <w:r w:rsidRPr="001A0B18">
        <w:rPr>
          <w:noProof/>
          <w:sz w:val="20"/>
          <w:szCs w:val="20"/>
        </w:rPr>
        <w:lastRenderedPageBreak/>
        <w:drawing>
          <wp:inline distT="0" distB="0" distL="0" distR="0" wp14:anchorId="556F86E2" wp14:editId="32968004">
            <wp:extent cx="3350272" cy="1627949"/>
            <wp:effectExtent l="0" t="0" r="2540" b="0"/>
            <wp:docPr id="56035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53533" name=""/>
                    <pic:cNvPicPr/>
                  </pic:nvPicPr>
                  <pic:blipFill>
                    <a:blip r:embed="rId19"/>
                    <a:stretch>
                      <a:fillRect/>
                    </a:stretch>
                  </pic:blipFill>
                  <pic:spPr>
                    <a:xfrm>
                      <a:off x="0" y="0"/>
                      <a:ext cx="3366868" cy="1636013"/>
                    </a:xfrm>
                    <a:prstGeom prst="rect">
                      <a:avLst/>
                    </a:prstGeom>
                  </pic:spPr>
                </pic:pic>
              </a:graphicData>
            </a:graphic>
          </wp:inline>
        </w:drawing>
      </w:r>
    </w:p>
    <w:p w14:paraId="169E3748" w14:textId="7CA33A80" w:rsidR="00EC2DF1" w:rsidRPr="001A0B18" w:rsidRDefault="00EC2DF1" w:rsidP="00EC2DF1">
      <w:pPr>
        <w:rPr>
          <w:i/>
          <w:iCs/>
          <w:sz w:val="20"/>
          <w:szCs w:val="20"/>
        </w:rPr>
      </w:pPr>
      <w:r w:rsidRPr="001A0B18">
        <w:rPr>
          <w:i/>
          <w:iCs/>
          <w:sz w:val="20"/>
          <w:szCs w:val="20"/>
        </w:rPr>
        <w:t xml:space="preserve">Figure </w:t>
      </w:r>
      <w:r w:rsidR="00133AB1">
        <w:rPr>
          <w:i/>
          <w:iCs/>
          <w:sz w:val="20"/>
          <w:szCs w:val="20"/>
        </w:rPr>
        <w:t>14</w:t>
      </w:r>
      <w:r w:rsidR="00634CF8">
        <w:rPr>
          <w:i/>
          <w:iCs/>
          <w:sz w:val="20"/>
          <w:szCs w:val="20"/>
        </w:rPr>
        <w:t xml:space="preserve"> – SDI Hash Determinism Test Code</w:t>
      </w:r>
    </w:p>
    <w:p w14:paraId="4EBB72DD" w14:textId="77777777" w:rsidR="00EC2DF1" w:rsidRPr="001A0B18" w:rsidRDefault="00EC2DF1" w:rsidP="00EC2DF1">
      <w:pPr>
        <w:rPr>
          <w:i/>
          <w:iCs/>
          <w:sz w:val="20"/>
          <w:szCs w:val="20"/>
        </w:rPr>
      </w:pPr>
      <w:r w:rsidRPr="001A0B18">
        <w:rPr>
          <w:noProof/>
          <w:sz w:val="20"/>
          <w:szCs w:val="20"/>
        </w:rPr>
        <w:drawing>
          <wp:inline distT="0" distB="0" distL="0" distR="0" wp14:anchorId="52B9F337" wp14:editId="42B4760C">
            <wp:extent cx="5731510" cy="1368425"/>
            <wp:effectExtent l="0" t="0" r="2540" b="3175"/>
            <wp:docPr id="113211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16706" name=""/>
                    <pic:cNvPicPr/>
                  </pic:nvPicPr>
                  <pic:blipFill>
                    <a:blip r:embed="rId20"/>
                    <a:stretch>
                      <a:fillRect/>
                    </a:stretch>
                  </pic:blipFill>
                  <pic:spPr>
                    <a:xfrm>
                      <a:off x="0" y="0"/>
                      <a:ext cx="5731510" cy="1368425"/>
                    </a:xfrm>
                    <a:prstGeom prst="rect">
                      <a:avLst/>
                    </a:prstGeom>
                  </pic:spPr>
                </pic:pic>
              </a:graphicData>
            </a:graphic>
          </wp:inline>
        </w:drawing>
      </w:r>
    </w:p>
    <w:p w14:paraId="08325A7C" w14:textId="31E1D879" w:rsidR="00EC2DF1" w:rsidRPr="00173FD1" w:rsidRDefault="00EC2DF1" w:rsidP="00EC2DF1">
      <w:pPr>
        <w:rPr>
          <w:i/>
          <w:iCs/>
          <w:sz w:val="20"/>
          <w:szCs w:val="20"/>
        </w:rPr>
      </w:pPr>
      <w:r w:rsidRPr="001A0B18">
        <w:rPr>
          <w:i/>
          <w:iCs/>
          <w:sz w:val="20"/>
          <w:szCs w:val="20"/>
        </w:rPr>
        <w:t>Figure</w:t>
      </w:r>
      <w:r w:rsidR="00133AB1">
        <w:rPr>
          <w:i/>
          <w:iCs/>
          <w:sz w:val="20"/>
          <w:szCs w:val="20"/>
        </w:rPr>
        <w:t xml:space="preserve"> 15</w:t>
      </w:r>
      <w:r w:rsidRPr="001A0B18">
        <w:rPr>
          <w:i/>
          <w:iCs/>
          <w:sz w:val="20"/>
          <w:szCs w:val="20"/>
        </w:rPr>
        <w:t xml:space="preserve"> </w:t>
      </w:r>
      <w:r w:rsidR="00634CF8">
        <w:rPr>
          <w:i/>
          <w:iCs/>
          <w:sz w:val="20"/>
          <w:szCs w:val="20"/>
        </w:rPr>
        <w:t xml:space="preserve">– SDI Hash Determinism Test Output </w:t>
      </w:r>
    </w:p>
    <w:p w14:paraId="0EC6047E" w14:textId="77777777" w:rsidR="00EC2DF1" w:rsidRPr="001A0B18" w:rsidRDefault="00EC2DF1" w:rsidP="00EC2DF1">
      <w:pPr>
        <w:rPr>
          <w:sz w:val="20"/>
          <w:szCs w:val="20"/>
        </w:rPr>
      </w:pPr>
      <w:r w:rsidRPr="001A0B18">
        <w:rPr>
          <w:sz w:val="20"/>
          <w:szCs w:val="20"/>
        </w:rPr>
        <w:t>6.3.6 Duplicate Fingerprint Detection</w:t>
      </w:r>
    </w:p>
    <w:p w14:paraId="5DA70726" w14:textId="77777777" w:rsidR="00EC2DF1" w:rsidRPr="001A0B18" w:rsidRDefault="00EC2DF1" w:rsidP="00EC2DF1">
      <w:pPr>
        <w:rPr>
          <w:sz w:val="20"/>
          <w:szCs w:val="20"/>
        </w:rPr>
      </w:pPr>
      <w:r w:rsidRPr="001A0B18">
        <w:rPr>
          <w:sz w:val="20"/>
          <w:szCs w:val="20"/>
        </w:rPr>
        <w:t>To address the duplicate fingerprint risk, a full pairwise comparison algorithm was implemented within the server. When an official requests this operation, the server fetches every registered fingerprint and decrypts each one in turn. It then constructs a list of voter and fingerprint template pairs using two parallel arrays of equal length. This structure allows matched fingerprints to be grouped efficiently as comparisons are made.</w:t>
      </w:r>
    </w:p>
    <w:p w14:paraId="6BCA318A" w14:textId="77777777" w:rsidR="00EC2DF1" w:rsidRDefault="00EC2DF1" w:rsidP="00EC2DF1">
      <w:pPr>
        <w:rPr>
          <w:sz w:val="20"/>
          <w:szCs w:val="20"/>
        </w:rPr>
      </w:pPr>
      <w:r w:rsidRPr="001A0B18">
        <w:rPr>
          <w:noProof/>
          <w:sz w:val="20"/>
          <w:szCs w:val="20"/>
        </w:rPr>
        <w:drawing>
          <wp:inline distT="0" distB="0" distL="0" distR="0" wp14:anchorId="202187DF" wp14:editId="416643DD">
            <wp:extent cx="4210050" cy="2769230"/>
            <wp:effectExtent l="0" t="0" r="0" b="0"/>
            <wp:docPr id="205663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33666" name=""/>
                    <pic:cNvPicPr/>
                  </pic:nvPicPr>
                  <pic:blipFill>
                    <a:blip r:embed="rId21"/>
                    <a:stretch>
                      <a:fillRect/>
                    </a:stretch>
                  </pic:blipFill>
                  <pic:spPr>
                    <a:xfrm>
                      <a:off x="0" y="0"/>
                      <a:ext cx="4222649" cy="2777517"/>
                    </a:xfrm>
                    <a:prstGeom prst="rect">
                      <a:avLst/>
                    </a:prstGeom>
                  </pic:spPr>
                </pic:pic>
              </a:graphicData>
            </a:graphic>
          </wp:inline>
        </w:drawing>
      </w:r>
    </w:p>
    <w:p w14:paraId="365A491D" w14:textId="56517824" w:rsidR="00634CF8" w:rsidRPr="001A0B18" w:rsidRDefault="00634CF8" w:rsidP="00EC2DF1">
      <w:pPr>
        <w:rPr>
          <w:sz w:val="20"/>
          <w:szCs w:val="20"/>
        </w:rPr>
      </w:pPr>
      <w:r>
        <w:rPr>
          <w:sz w:val="20"/>
          <w:szCs w:val="20"/>
        </w:rPr>
        <w:t xml:space="preserve">Figure </w:t>
      </w:r>
      <w:r w:rsidR="00EB054D">
        <w:rPr>
          <w:sz w:val="20"/>
          <w:szCs w:val="20"/>
        </w:rPr>
        <w:t>16</w:t>
      </w:r>
      <w:r>
        <w:rPr>
          <w:sz w:val="20"/>
          <w:szCs w:val="20"/>
        </w:rPr>
        <w:t xml:space="preserve"> – Duplicate Fingerprint detection Algorithm </w:t>
      </w:r>
    </w:p>
    <w:p w14:paraId="46DB7B2F" w14:textId="77777777" w:rsidR="00EC2DF1" w:rsidRPr="001A0B18" w:rsidRDefault="00EC2DF1" w:rsidP="00EC2DF1">
      <w:pPr>
        <w:rPr>
          <w:sz w:val="20"/>
          <w:szCs w:val="20"/>
        </w:rPr>
      </w:pPr>
      <w:r w:rsidRPr="001A0B18">
        <w:rPr>
          <w:sz w:val="20"/>
          <w:szCs w:val="20"/>
        </w:rPr>
        <w:t xml:space="preserve">Every template is compared against every other using </w:t>
      </w:r>
      <w:proofErr w:type="spellStart"/>
      <w:r w:rsidRPr="001A0B18">
        <w:rPr>
          <w:sz w:val="20"/>
          <w:szCs w:val="20"/>
        </w:rPr>
        <w:t>SourceAFIS</w:t>
      </w:r>
      <w:proofErr w:type="spellEnd"/>
      <w:r w:rsidRPr="001A0B18">
        <w:rPr>
          <w:sz w:val="20"/>
          <w:szCs w:val="20"/>
        </w:rPr>
        <w:t xml:space="preserve">. When a duplicate is detected, the corresponding voters are grouped together and the </w:t>
      </w:r>
      <w:proofErr w:type="spellStart"/>
      <w:r w:rsidRPr="001A0B18">
        <w:rPr>
          <w:sz w:val="20"/>
          <w:szCs w:val="20"/>
        </w:rPr>
        <w:t>UnderSuspicion</w:t>
      </w:r>
      <w:proofErr w:type="spellEnd"/>
      <w:r w:rsidRPr="001A0B18">
        <w:rPr>
          <w:sz w:val="20"/>
          <w:szCs w:val="20"/>
        </w:rPr>
        <w:t xml:space="preserve"> field for all affected records is set to true within the database. Once all comparisons are complete, the groups of suspected duplicates are returned to the Official App. The information returned includes the names and National Insurance </w:t>
      </w:r>
      <w:r w:rsidRPr="001A0B18">
        <w:rPr>
          <w:sz w:val="20"/>
          <w:szCs w:val="20"/>
        </w:rPr>
        <w:lastRenderedPageBreak/>
        <w:t>numbers of the flagged voters, allowing the official to investigate and resolve each case before polling day.</w:t>
      </w:r>
    </w:p>
    <w:p w14:paraId="6D11A43F" w14:textId="77777777" w:rsidR="00EC2DF1" w:rsidRPr="001A0B18" w:rsidRDefault="00EC2DF1" w:rsidP="00EC2DF1">
      <w:pPr>
        <w:rPr>
          <w:sz w:val="20"/>
          <w:szCs w:val="20"/>
        </w:rPr>
      </w:pPr>
      <w:r w:rsidRPr="001A0B18">
        <w:rPr>
          <w:sz w:val="20"/>
          <w:szCs w:val="20"/>
        </w:rPr>
        <w:t>The algorithm operates at a time complexity of O(n²), where n is the number of registered voters. This is a recognised limitation of the current implementation. For a national deployment involving millions of registered voters, further development of this algorithm would be necessary.</w:t>
      </w:r>
    </w:p>
    <w:p w14:paraId="58D6ED7C" w14:textId="77777777" w:rsidR="00EC2DF1" w:rsidRPr="001A0B18" w:rsidRDefault="00EC2DF1" w:rsidP="00EC2DF1">
      <w:pPr>
        <w:rPr>
          <w:sz w:val="20"/>
          <w:szCs w:val="20"/>
        </w:rPr>
      </w:pPr>
      <w:r w:rsidRPr="001A0B18">
        <w:rPr>
          <w:sz w:val="20"/>
          <w:szCs w:val="20"/>
        </w:rPr>
        <w:t>6.4 Official app</w:t>
      </w:r>
    </w:p>
    <w:p w14:paraId="48619DC4" w14:textId="77777777" w:rsidR="00EC2DF1" w:rsidRPr="001A0B18" w:rsidRDefault="00EC2DF1" w:rsidP="00EC2DF1">
      <w:pPr>
        <w:rPr>
          <w:sz w:val="20"/>
          <w:szCs w:val="20"/>
        </w:rPr>
      </w:pPr>
      <w:r w:rsidRPr="001A0B18">
        <w:rPr>
          <w:sz w:val="20"/>
          <w:szCs w:val="20"/>
        </w:rPr>
        <w:t>6.4.1 Avalonia and MVVM Architecture</w:t>
      </w:r>
    </w:p>
    <w:p w14:paraId="63EE3B5F" w14:textId="77777777" w:rsidR="00EC2DF1" w:rsidRPr="001A0B18" w:rsidRDefault="00EC2DF1" w:rsidP="00EC2DF1">
      <w:pPr>
        <w:rPr>
          <w:sz w:val="20"/>
          <w:szCs w:val="20"/>
        </w:rPr>
      </w:pPr>
      <w:r w:rsidRPr="001A0B18">
        <w:rPr>
          <w:sz w:val="20"/>
          <w:szCs w:val="20"/>
        </w:rPr>
        <w:t xml:space="preserve">The official application is a desktop system built using Avalonia UI, a cross platform .NET framework, and follows the Model View </w:t>
      </w:r>
      <w:proofErr w:type="spellStart"/>
      <w:r w:rsidRPr="001A0B18">
        <w:rPr>
          <w:sz w:val="20"/>
          <w:szCs w:val="20"/>
        </w:rPr>
        <w:t>ViewModel</w:t>
      </w:r>
      <w:proofErr w:type="spellEnd"/>
      <w:r w:rsidRPr="001A0B18">
        <w:rPr>
          <w:sz w:val="20"/>
          <w:szCs w:val="20"/>
        </w:rPr>
        <w:t xml:space="preserve"> (MVVM) architectural pattern implemented via the </w:t>
      </w:r>
      <w:proofErr w:type="spellStart"/>
      <w:r w:rsidRPr="001A0B18">
        <w:rPr>
          <w:sz w:val="20"/>
          <w:szCs w:val="20"/>
        </w:rPr>
        <w:t>CommunityToolkit.Mvvm</w:t>
      </w:r>
      <w:proofErr w:type="spellEnd"/>
      <w:r w:rsidRPr="001A0B18">
        <w:rPr>
          <w:sz w:val="20"/>
          <w:szCs w:val="20"/>
        </w:rPr>
        <w:t xml:space="preserve"> library. Neither Avalonia nor MVVM had been used by the researcher prior to this project. The selection was based on Avalonia’s suitability for cross platform desktop development in C#, and MVVM’s ability to clearly separate user interface concerns from business logic. Each screen consists of a View, responsible for the UI, and a corresponding </w:t>
      </w:r>
      <w:proofErr w:type="spellStart"/>
      <w:r w:rsidRPr="001A0B18">
        <w:rPr>
          <w:sz w:val="20"/>
          <w:szCs w:val="20"/>
        </w:rPr>
        <w:t>ViewModel</w:t>
      </w:r>
      <w:proofErr w:type="spellEnd"/>
      <w:r w:rsidRPr="001A0B18">
        <w:rPr>
          <w:sz w:val="20"/>
          <w:szCs w:val="20"/>
        </w:rPr>
        <w:t>, which handles the underlying logic.</w:t>
      </w:r>
    </w:p>
    <w:p w14:paraId="45689D2E" w14:textId="77777777" w:rsidR="00EC2DF1" w:rsidRPr="001A0B18" w:rsidRDefault="00EC2DF1" w:rsidP="00EC2DF1">
      <w:pPr>
        <w:rPr>
          <w:sz w:val="20"/>
          <w:szCs w:val="20"/>
        </w:rPr>
      </w:pPr>
      <w:r w:rsidRPr="001A0B18">
        <w:rPr>
          <w:sz w:val="20"/>
          <w:szCs w:val="20"/>
        </w:rPr>
        <w:t xml:space="preserve">6.4.2 Official app redesign </w:t>
      </w:r>
    </w:p>
    <w:p w14:paraId="5962B63E" w14:textId="77777777" w:rsidR="00EC2DF1" w:rsidRPr="001A0B18" w:rsidRDefault="00EC2DF1" w:rsidP="00EC2DF1">
      <w:pPr>
        <w:rPr>
          <w:sz w:val="20"/>
          <w:szCs w:val="20"/>
        </w:rPr>
      </w:pPr>
      <w:r w:rsidRPr="001A0B18">
        <w:rPr>
          <w:sz w:val="20"/>
          <w:szCs w:val="20"/>
        </w:rPr>
        <w:t>The polling station management screen is the primary interface used by election staff during live voting. Its purpose is to display all connected voter devices in real time, along with their current status, and to allow staff to remotely lock or unlock devices if suspicious activity is detected. Alongside the device list, a panel presents live vote counts, turnout percentages, and overall system state retrieved from the server. This screen received the most critical feedback during user surveys, with comments indicating that it was confusing and cluttered (Appendix G).</w:t>
      </w:r>
    </w:p>
    <w:p w14:paraId="3AF63BC5" w14:textId="77777777" w:rsidR="00EC2DF1" w:rsidRPr="001A0B18" w:rsidRDefault="00EC2DF1" w:rsidP="00EC2DF1">
      <w:pPr>
        <w:rPr>
          <w:sz w:val="20"/>
          <w:szCs w:val="20"/>
        </w:rPr>
      </w:pPr>
      <w:r w:rsidRPr="001A0B18">
        <w:rPr>
          <w:noProof/>
          <w:sz w:val="20"/>
          <w:szCs w:val="20"/>
        </w:rPr>
        <w:drawing>
          <wp:inline distT="0" distB="0" distL="0" distR="0" wp14:anchorId="0B464490" wp14:editId="21C10289">
            <wp:extent cx="2624344" cy="1514246"/>
            <wp:effectExtent l="0" t="0" r="5080" b="0"/>
            <wp:docPr id="1555885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70991" cy="1541161"/>
                    </a:xfrm>
                    <a:prstGeom prst="rect">
                      <a:avLst/>
                    </a:prstGeom>
                    <a:noFill/>
                    <a:ln>
                      <a:noFill/>
                    </a:ln>
                  </pic:spPr>
                </pic:pic>
              </a:graphicData>
            </a:graphic>
          </wp:inline>
        </w:drawing>
      </w:r>
    </w:p>
    <w:p w14:paraId="135FC6D7" w14:textId="34754CD4" w:rsidR="00EC2DF1" w:rsidRPr="001A0B18" w:rsidRDefault="00EC2DF1" w:rsidP="00EC2DF1">
      <w:pPr>
        <w:rPr>
          <w:sz w:val="20"/>
          <w:szCs w:val="20"/>
        </w:rPr>
      </w:pPr>
      <w:r w:rsidRPr="001A0B18">
        <w:rPr>
          <w:sz w:val="20"/>
          <w:szCs w:val="20"/>
        </w:rPr>
        <w:t xml:space="preserve">Figure </w:t>
      </w:r>
      <w:r w:rsidR="009F74E7">
        <w:rPr>
          <w:sz w:val="20"/>
          <w:szCs w:val="20"/>
        </w:rPr>
        <w:t>17</w:t>
      </w:r>
      <w:r w:rsidR="00B93A60">
        <w:rPr>
          <w:sz w:val="20"/>
          <w:szCs w:val="20"/>
        </w:rPr>
        <w:t>- High Fidelity of Poling Station Management screen</w:t>
      </w:r>
    </w:p>
    <w:p w14:paraId="5C5BEA83" w14:textId="77777777" w:rsidR="00EC2DF1" w:rsidRPr="001A0B18" w:rsidRDefault="00EC2DF1" w:rsidP="00EC2DF1">
      <w:pPr>
        <w:rPr>
          <w:sz w:val="20"/>
          <w:szCs w:val="20"/>
        </w:rPr>
      </w:pPr>
      <w:r w:rsidRPr="001A0B18">
        <w:rPr>
          <w:noProof/>
          <w:sz w:val="20"/>
          <w:szCs w:val="20"/>
        </w:rPr>
        <w:drawing>
          <wp:inline distT="0" distB="0" distL="0" distR="0" wp14:anchorId="048AFA6B" wp14:editId="62B59AA2">
            <wp:extent cx="3682465" cy="1360627"/>
            <wp:effectExtent l="0" t="0" r="0" b="0"/>
            <wp:docPr id="171082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26081" name=""/>
                    <pic:cNvPicPr/>
                  </pic:nvPicPr>
                  <pic:blipFill>
                    <a:blip r:embed="rId23"/>
                    <a:stretch>
                      <a:fillRect/>
                    </a:stretch>
                  </pic:blipFill>
                  <pic:spPr>
                    <a:xfrm>
                      <a:off x="0" y="0"/>
                      <a:ext cx="3736360" cy="1380541"/>
                    </a:xfrm>
                    <a:prstGeom prst="rect">
                      <a:avLst/>
                    </a:prstGeom>
                  </pic:spPr>
                </pic:pic>
              </a:graphicData>
            </a:graphic>
          </wp:inline>
        </w:drawing>
      </w:r>
    </w:p>
    <w:p w14:paraId="6759949A" w14:textId="77777777" w:rsidR="00B93A60" w:rsidRPr="001A0B18" w:rsidRDefault="00EC2DF1" w:rsidP="00B93A60">
      <w:pPr>
        <w:rPr>
          <w:sz w:val="20"/>
          <w:szCs w:val="20"/>
        </w:rPr>
      </w:pPr>
      <w:r w:rsidRPr="001A0B18">
        <w:rPr>
          <w:sz w:val="20"/>
          <w:szCs w:val="20"/>
        </w:rPr>
        <w:t xml:space="preserve">Figure </w:t>
      </w:r>
      <w:r w:rsidR="009F74E7">
        <w:rPr>
          <w:sz w:val="20"/>
          <w:szCs w:val="20"/>
        </w:rPr>
        <w:t>18</w:t>
      </w:r>
      <w:r w:rsidR="00B93A60">
        <w:rPr>
          <w:sz w:val="20"/>
          <w:szCs w:val="20"/>
        </w:rPr>
        <w:t xml:space="preserve"> – Finaly Version of Poling Station Management screen</w:t>
      </w:r>
    </w:p>
    <w:p w14:paraId="4D409D93" w14:textId="72A6C6C3" w:rsidR="00EC2DF1" w:rsidRPr="001A0B18" w:rsidRDefault="00EC2DF1" w:rsidP="00EC2DF1">
      <w:pPr>
        <w:rPr>
          <w:sz w:val="20"/>
          <w:szCs w:val="20"/>
        </w:rPr>
      </w:pPr>
    </w:p>
    <w:p w14:paraId="42E9DF27" w14:textId="0DB48BC9" w:rsidR="00EC2DF1" w:rsidRDefault="00EC2DF1" w:rsidP="00EC2DF1">
      <w:pPr>
        <w:rPr>
          <w:sz w:val="20"/>
          <w:szCs w:val="20"/>
        </w:rPr>
      </w:pPr>
      <w:r w:rsidRPr="001A0B18">
        <w:rPr>
          <w:sz w:val="20"/>
          <w:szCs w:val="20"/>
        </w:rPr>
        <w:t xml:space="preserve">The initial design, shown in Figure </w:t>
      </w:r>
      <w:r w:rsidR="009F74E7">
        <w:rPr>
          <w:sz w:val="20"/>
          <w:szCs w:val="20"/>
        </w:rPr>
        <w:t>17</w:t>
      </w:r>
      <w:r w:rsidRPr="001A0B18">
        <w:rPr>
          <w:sz w:val="20"/>
          <w:szCs w:val="20"/>
        </w:rPr>
        <w:t>, was produced as a wireframe prior to implementation. Survey feedback highlighted several usability issues. The interface lacked contextual guidance, making it difficult for new users to understand functionality or interact with features. For example, there was no clear method for locking or unlocking a device</w:t>
      </w:r>
      <w:r>
        <w:rPr>
          <w:sz w:val="20"/>
          <w:szCs w:val="20"/>
        </w:rPr>
        <w:t>.</w:t>
      </w:r>
    </w:p>
    <w:p w14:paraId="2122B156" w14:textId="1F43D7AC" w:rsidR="00EC2DF1" w:rsidRPr="001A0B18" w:rsidRDefault="00EC2DF1" w:rsidP="00EC2DF1">
      <w:pPr>
        <w:rPr>
          <w:sz w:val="20"/>
          <w:szCs w:val="20"/>
        </w:rPr>
      </w:pPr>
      <w:r w:rsidRPr="001A0B18">
        <w:rPr>
          <w:sz w:val="20"/>
          <w:szCs w:val="20"/>
        </w:rPr>
        <w:lastRenderedPageBreak/>
        <w:t xml:space="preserve">The final design, shown in Figure </w:t>
      </w:r>
      <w:r w:rsidR="009F74E7">
        <w:rPr>
          <w:sz w:val="20"/>
          <w:szCs w:val="20"/>
        </w:rPr>
        <w:t>18</w:t>
      </w:r>
      <w:r w:rsidRPr="001A0B18">
        <w:rPr>
          <w:sz w:val="20"/>
          <w:szCs w:val="20"/>
        </w:rPr>
        <w:t xml:space="preserve">, incorporates feedback from both surveys. The layout was simplified into two distinct sections with connected devices on the left and polling station statistics on the right. The device interface was redesigned, replacing the previous colour based health indicators with clearly labelled status text. Additionally, explicit lock and unlock buttons were added to each device template, making these controls immediately visible and accessible. </w:t>
      </w:r>
    </w:p>
    <w:p w14:paraId="4AFA05BC" w14:textId="77777777" w:rsidR="00EC2DF1" w:rsidRPr="001A0B18" w:rsidRDefault="00EC2DF1" w:rsidP="00EC2DF1">
      <w:pPr>
        <w:rPr>
          <w:sz w:val="20"/>
          <w:szCs w:val="20"/>
        </w:rPr>
      </w:pPr>
      <w:r w:rsidRPr="001A0B18">
        <w:rPr>
          <w:sz w:val="20"/>
          <w:szCs w:val="20"/>
        </w:rPr>
        <w:t xml:space="preserve">6.4.3 Device Status and Locking </w:t>
      </w:r>
    </w:p>
    <w:p w14:paraId="74BAE0CC" w14:textId="77777777" w:rsidR="00EC2DF1" w:rsidRPr="001A0B18" w:rsidRDefault="00EC2DF1" w:rsidP="00EC2DF1">
      <w:pPr>
        <w:rPr>
          <w:sz w:val="20"/>
          <w:szCs w:val="20"/>
        </w:rPr>
      </w:pPr>
      <w:r w:rsidRPr="001A0B18">
        <w:rPr>
          <w:sz w:val="20"/>
          <w:szCs w:val="20"/>
        </w:rPr>
        <w:t xml:space="preserve">Each voter device connects to the server via </w:t>
      </w:r>
      <w:proofErr w:type="spellStart"/>
      <w:r w:rsidRPr="001A0B18">
        <w:rPr>
          <w:sz w:val="20"/>
          <w:szCs w:val="20"/>
        </w:rPr>
        <w:t>SignalR</w:t>
      </w:r>
      <w:proofErr w:type="spellEnd"/>
      <w:r w:rsidRPr="001A0B18">
        <w:rPr>
          <w:sz w:val="20"/>
          <w:szCs w:val="20"/>
        </w:rPr>
        <w:t xml:space="preserve"> and joins a group scoped to the voter's identity. When the connection is established or its status changes the server pushes a presence event to the official's client. This was not always the mechanism used</w:t>
      </w:r>
      <w:r>
        <w:rPr>
          <w:sz w:val="20"/>
          <w:szCs w:val="20"/>
        </w:rPr>
        <w:t>; t</w:t>
      </w:r>
      <w:r w:rsidRPr="001A0B18">
        <w:rPr>
          <w:sz w:val="20"/>
          <w:szCs w:val="20"/>
        </w:rPr>
        <w:t xml:space="preserve">he original implementation relied on HTTP polling where the official app requested device statuses on a fixed interval. When tested, the intervals created a gap between status updates of up to 20–30 seconds, which was unacceptable for a lock command when an official needed immediate action against an attacker. The migration to </w:t>
      </w:r>
      <w:proofErr w:type="spellStart"/>
      <w:r w:rsidRPr="001A0B18">
        <w:rPr>
          <w:sz w:val="20"/>
          <w:szCs w:val="20"/>
        </w:rPr>
        <w:t>SignalR</w:t>
      </w:r>
      <w:proofErr w:type="spellEnd"/>
      <w:r w:rsidRPr="001A0B18">
        <w:rPr>
          <w:sz w:val="20"/>
          <w:szCs w:val="20"/>
        </w:rPr>
        <w:t xml:space="preserve"> reduced this to near instant delivery and was the primary driver for adopting the persistent connection architecture.</w:t>
      </w:r>
    </w:p>
    <w:p w14:paraId="404EFAB4" w14:textId="77777777" w:rsidR="00EC2DF1" w:rsidRPr="001A0B18" w:rsidRDefault="00EC2DF1" w:rsidP="00EC2DF1">
      <w:pPr>
        <w:rPr>
          <w:sz w:val="20"/>
          <w:szCs w:val="20"/>
        </w:rPr>
      </w:pPr>
      <w:r w:rsidRPr="001A0B18">
        <w:rPr>
          <w:sz w:val="20"/>
          <w:szCs w:val="20"/>
        </w:rPr>
        <w:t xml:space="preserve">The lock command itself follows a three step flow, the officials </w:t>
      </w:r>
      <w:proofErr w:type="spellStart"/>
      <w:r w:rsidRPr="001A0B18">
        <w:rPr>
          <w:sz w:val="20"/>
          <w:szCs w:val="20"/>
        </w:rPr>
        <w:t>viewmodel</w:t>
      </w:r>
      <w:proofErr w:type="spellEnd"/>
      <w:r w:rsidRPr="001A0B18">
        <w:rPr>
          <w:sz w:val="20"/>
          <w:szCs w:val="20"/>
        </w:rPr>
        <w:t xml:space="preserve"> sends a </w:t>
      </w:r>
      <w:proofErr w:type="spellStart"/>
      <w:r w:rsidRPr="001A0B18">
        <w:rPr>
          <w:sz w:val="20"/>
          <w:szCs w:val="20"/>
        </w:rPr>
        <w:t>lock_device</w:t>
      </w:r>
      <w:proofErr w:type="spellEnd"/>
      <w:r w:rsidRPr="001A0B18">
        <w:rPr>
          <w:sz w:val="20"/>
          <w:szCs w:val="20"/>
        </w:rPr>
        <w:t xml:space="preserve"> command to the server via the API, the server then forwards it through </w:t>
      </w:r>
      <w:proofErr w:type="spellStart"/>
      <w:r w:rsidRPr="001A0B18">
        <w:rPr>
          <w:sz w:val="20"/>
          <w:szCs w:val="20"/>
        </w:rPr>
        <w:t>signalR</w:t>
      </w:r>
      <w:proofErr w:type="spellEnd"/>
      <w:r w:rsidRPr="001A0B18">
        <w:rPr>
          <w:sz w:val="20"/>
          <w:szCs w:val="20"/>
        </w:rPr>
        <w:t xml:space="preserve"> directly to the target device’s group. Then the devices status is reflected back to all subscribers including the official’s screen. The </w:t>
      </w:r>
      <w:proofErr w:type="spellStart"/>
      <w:r w:rsidRPr="001A0B18">
        <w:rPr>
          <w:sz w:val="20"/>
          <w:szCs w:val="20"/>
        </w:rPr>
        <w:t>viewmodel</w:t>
      </w:r>
      <w:proofErr w:type="spellEnd"/>
      <w:r w:rsidRPr="001A0B18">
        <w:rPr>
          <w:sz w:val="20"/>
          <w:szCs w:val="20"/>
        </w:rPr>
        <w:t xml:space="preserve"> then updates the device status to locked before any confirmation is sent. </w:t>
      </w:r>
    </w:p>
    <w:p w14:paraId="30F4AA53" w14:textId="77777777" w:rsidR="00EC2DF1" w:rsidRDefault="00EC2DF1" w:rsidP="00EC2DF1">
      <w:pPr>
        <w:rPr>
          <w:sz w:val="20"/>
          <w:szCs w:val="20"/>
        </w:rPr>
      </w:pPr>
      <w:r w:rsidRPr="001A0B18">
        <w:rPr>
          <w:noProof/>
          <w:sz w:val="20"/>
          <w:szCs w:val="20"/>
        </w:rPr>
        <w:drawing>
          <wp:inline distT="0" distB="0" distL="0" distR="0" wp14:anchorId="6BFA28CB" wp14:editId="76FBDBD2">
            <wp:extent cx="4133850" cy="2627051"/>
            <wp:effectExtent l="0" t="0" r="0" b="1905"/>
            <wp:docPr id="113689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98191" name=""/>
                    <pic:cNvPicPr/>
                  </pic:nvPicPr>
                  <pic:blipFill>
                    <a:blip r:embed="rId24"/>
                    <a:stretch>
                      <a:fillRect/>
                    </a:stretch>
                  </pic:blipFill>
                  <pic:spPr>
                    <a:xfrm>
                      <a:off x="0" y="0"/>
                      <a:ext cx="4146458" cy="2635063"/>
                    </a:xfrm>
                    <a:prstGeom prst="rect">
                      <a:avLst/>
                    </a:prstGeom>
                  </pic:spPr>
                </pic:pic>
              </a:graphicData>
            </a:graphic>
          </wp:inline>
        </w:drawing>
      </w:r>
    </w:p>
    <w:p w14:paraId="6C3ED169" w14:textId="7D52ECC7" w:rsidR="00634CF8" w:rsidRPr="001A0B18" w:rsidRDefault="00634CF8" w:rsidP="00EC2DF1">
      <w:pPr>
        <w:rPr>
          <w:sz w:val="20"/>
          <w:szCs w:val="20"/>
        </w:rPr>
      </w:pPr>
      <w:r>
        <w:rPr>
          <w:sz w:val="20"/>
          <w:szCs w:val="20"/>
        </w:rPr>
        <w:t xml:space="preserve">Figure </w:t>
      </w:r>
      <w:r w:rsidR="009F74E7">
        <w:rPr>
          <w:sz w:val="20"/>
          <w:szCs w:val="20"/>
        </w:rPr>
        <w:t>19</w:t>
      </w:r>
      <w:r>
        <w:rPr>
          <w:sz w:val="20"/>
          <w:szCs w:val="20"/>
        </w:rPr>
        <w:t xml:space="preserve"> – Device Lock Command Handler</w:t>
      </w:r>
    </w:p>
    <w:p w14:paraId="35371150" w14:textId="77777777" w:rsidR="00EC2DF1" w:rsidRDefault="00EC2DF1" w:rsidP="00EC2DF1">
      <w:pPr>
        <w:rPr>
          <w:sz w:val="20"/>
          <w:szCs w:val="20"/>
        </w:rPr>
      </w:pPr>
      <w:r w:rsidRPr="001A0B18">
        <w:rPr>
          <w:sz w:val="20"/>
          <w:szCs w:val="20"/>
        </w:rPr>
        <w:t>If the command to lock fails the status rolls back to its previous value on the official’s screen, this is so the official is not misled into thinking that the device is secured. When the lock is sent</w:t>
      </w:r>
      <w:r>
        <w:rPr>
          <w:sz w:val="20"/>
          <w:szCs w:val="20"/>
        </w:rPr>
        <w:t xml:space="preserve"> </w:t>
      </w:r>
      <w:r w:rsidRPr="001A0B18">
        <w:rPr>
          <w:sz w:val="20"/>
          <w:szCs w:val="20"/>
        </w:rPr>
        <w:t xml:space="preserve">successfully the voter device receives it via its own </w:t>
      </w:r>
      <w:proofErr w:type="spellStart"/>
      <w:r w:rsidRPr="001A0B18">
        <w:rPr>
          <w:sz w:val="20"/>
          <w:szCs w:val="20"/>
        </w:rPr>
        <w:t>SignalR</w:t>
      </w:r>
      <w:proofErr w:type="spellEnd"/>
      <w:r w:rsidRPr="001A0B18">
        <w:rPr>
          <w:sz w:val="20"/>
          <w:szCs w:val="20"/>
        </w:rPr>
        <w:t xml:space="preserve"> subscription and disables the voter interface, preventing further interaction until the unlock command is sent</w:t>
      </w:r>
      <w:r>
        <w:rPr>
          <w:sz w:val="20"/>
          <w:szCs w:val="20"/>
        </w:rPr>
        <w:t>.</w:t>
      </w:r>
    </w:p>
    <w:p w14:paraId="1C9FF7C4" w14:textId="77777777" w:rsidR="00EC2DF1" w:rsidRDefault="00EC2DF1" w:rsidP="00EC2DF1">
      <w:pPr>
        <w:rPr>
          <w:b/>
          <w:bCs/>
          <w:sz w:val="20"/>
          <w:szCs w:val="20"/>
        </w:rPr>
      </w:pPr>
      <w:r w:rsidRPr="00262534">
        <w:rPr>
          <w:b/>
          <w:bCs/>
          <w:sz w:val="20"/>
          <w:szCs w:val="20"/>
        </w:rPr>
        <w:t>6.5. Secure Vote App</w:t>
      </w:r>
    </w:p>
    <w:p w14:paraId="3FF0DB8A" w14:textId="77777777" w:rsidR="00EC2DF1" w:rsidRPr="00262534" w:rsidRDefault="00EC2DF1" w:rsidP="00EC2DF1">
      <w:pPr>
        <w:rPr>
          <w:b/>
          <w:bCs/>
          <w:sz w:val="20"/>
          <w:szCs w:val="20"/>
        </w:rPr>
      </w:pPr>
      <w:r w:rsidRPr="00262534">
        <w:rPr>
          <w:b/>
          <w:bCs/>
          <w:sz w:val="20"/>
          <w:szCs w:val="20"/>
        </w:rPr>
        <w:t>6.5.1 Design Choices</w:t>
      </w:r>
    </w:p>
    <w:p w14:paraId="162325F6" w14:textId="77777777" w:rsidR="00EC2DF1" w:rsidRPr="00366FA1" w:rsidRDefault="00EC2DF1" w:rsidP="00EC2DF1">
      <w:pPr>
        <w:rPr>
          <w:sz w:val="20"/>
          <w:szCs w:val="20"/>
        </w:rPr>
      </w:pPr>
      <w:r w:rsidRPr="00366FA1">
        <w:rPr>
          <w:sz w:val="20"/>
          <w:szCs w:val="20"/>
        </w:rPr>
        <w:t xml:space="preserve">The authentication screen underwent the most significant design changes during development. During user testing, participants consistently reached for the scanner immediately upon arriving at the screen, without realising they first needed to press a 'Start Scan' button to activate it. This occurred every time a new participant used the system and </w:t>
      </w:r>
      <w:r w:rsidRPr="001A0B18">
        <w:rPr>
          <w:sz w:val="20"/>
          <w:szCs w:val="20"/>
        </w:rPr>
        <w:t>showed</w:t>
      </w:r>
      <w:r w:rsidRPr="00366FA1">
        <w:rPr>
          <w:sz w:val="20"/>
          <w:szCs w:val="20"/>
        </w:rPr>
        <w:t xml:space="preserve"> a fundamental mismatch between user expectation and interface behaviour, requiring a redesign of how the scanner was activated.</w:t>
      </w:r>
    </w:p>
    <w:p w14:paraId="5D740643" w14:textId="77777777" w:rsidR="00EC2DF1" w:rsidRPr="00366FA1" w:rsidRDefault="00EC2DF1" w:rsidP="00EC2DF1">
      <w:pPr>
        <w:rPr>
          <w:sz w:val="20"/>
          <w:szCs w:val="20"/>
        </w:rPr>
      </w:pPr>
      <w:r w:rsidRPr="00366FA1">
        <w:rPr>
          <w:sz w:val="20"/>
          <w:szCs w:val="20"/>
        </w:rPr>
        <w:lastRenderedPageBreak/>
        <w:t>The redesign resolved this by making the scanner activate automatically as soon as the authentication screen is opened. The scanner runs continuously until a finger is detected and the capture quality is sufficient, removing the need for any manual initiation. If authentication fails, the scanner deactivates for five seconds before restarting automatically, giving the voter time to reposition their finger for a better placement. This cycle repeats up to three attempts before the session is ended. The cooldown period also serves a secondary purpose</w:t>
      </w:r>
      <w:r w:rsidRPr="001A0B18">
        <w:rPr>
          <w:sz w:val="20"/>
          <w:szCs w:val="20"/>
        </w:rPr>
        <w:t>,</w:t>
      </w:r>
      <w:r w:rsidRPr="00366FA1">
        <w:rPr>
          <w:sz w:val="20"/>
          <w:szCs w:val="20"/>
        </w:rPr>
        <w:t xml:space="preserve"> </w:t>
      </w:r>
      <w:r>
        <w:rPr>
          <w:sz w:val="20"/>
          <w:szCs w:val="20"/>
        </w:rPr>
        <w:t>preventing</w:t>
      </w:r>
      <w:r w:rsidRPr="00366FA1">
        <w:rPr>
          <w:sz w:val="20"/>
          <w:szCs w:val="20"/>
        </w:rPr>
        <w:t xml:space="preserve"> rapid repeated scan attempts that could </w:t>
      </w:r>
      <w:r w:rsidRPr="001A0B18">
        <w:rPr>
          <w:sz w:val="20"/>
          <w:szCs w:val="20"/>
        </w:rPr>
        <w:t>be used as</w:t>
      </w:r>
      <w:r w:rsidRPr="00366FA1">
        <w:rPr>
          <w:sz w:val="20"/>
          <w:szCs w:val="20"/>
        </w:rPr>
        <w:t xml:space="preserve"> a brute</w:t>
      </w:r>
      <w:r w:rsidRPr="001A0B18">
        <w:rPr>
          <w:sz w:val="20"/>
          <w:szCs w:val="20"/>
        </w:rPr>
        <w:t xml:space="preserve"> </w:t>
      </w:r>
      <w:r w:rsidRPr="00366FA1">
        <w:rPr>
          <w:sz w:val="20"/>
          <w:szCs w:val="20"/>
        </w:rPr>
        <w:t xml:space="preserve">force </w:t>
      </w:r>
      <w:r w:rsidRPr="001A0B18">
        <w:rPr>
          <w:sz w:val="20"/>
          <w:szCs w:val="20"/>
        </w:rPr>
        <w:t>attack</w:t>
      </w:r>
      <w:r w:rsidRPr="00366FA1">
        <w:rPr>
          <w:sz w:val="20"/>
          <w:szCs w:val="20"/>
        </w:rPr>
        <w:t>.</w:t>
      </w:r>
    </w:p>
    <w:p w14:paraId="5DA8DF04" w14:textId="6CE26FAA" w:rsidR="00EC2DF1" w:rsidRDefault="00EC2DF1" w:rsidP="00EC2DF1">
      <w:pPr>
        <w:rPr>
          <w:sz w:val="20"/>
          <w:szCs w:val="20"/>
        </w:rPr>
      </w:pPr>
      <w:r w:rsidRPr="00366FA1">
        <w:rPr>
          <w:sz w:val="20"/>
          <w:szCs w:val="20"/>
        </w:rPr>
        <w:t xml:space="preserve">A live fingerprint preview was also added to the screen, displaying the image being captured in real time. This gives the voter a visual of scan quality, allowing them to adjust their finger position before the capture completes rather </w:t>
      </w:r>
      <w:r>
        <w:rPr>
          <w:sz w:val="20"/>
          <w:szCs w:val="20"/>
        </w:rPr>
        <w:t xml:space="preserve">than only discovering a poor scan after a failed authentication attempt. </w:t>
      </w:r>
      <w:r w:rsidRPr="001A0B18">
        <w:rPr>
          <w:noProof/>
          <w:sz w:val="20"/>
          <w:szCs w:val="20"/>
        </w:rPr>
        <w:drawing>
          <wp:inline distT="0" distB="0" distL="0" distR="0" wp14:anchorId="372CECAB" wp14:editId="51802CD1">
            <wp:extent cx="1838578" cy="1501254"/>
            <wp:effectExtent l="0" t="0" r="9525" b="3810"/>
            <wp:docPr id="169810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05517" name=""/>
                    <pic:cNvPicPr/>
                  </pic:nvPicPr>
                  <pic:blipFill>
                    <a:blip r:embed="rId25"/>
                    <a:stretch>
                      <a:fillRect/>
                    </a:stretch>
                  </pic:blipFill>
                  <pic:spPr>
                    <a:xfrm>
                      <a:off x="0" y="0"/>
                      <a:ext cx="1840576" cy="1502886"/>
                    </a:xfrm>
                    <a:prstGeom prst="rect">
                      <a:avLst/>
                    </a:prstGeom>
                  </pic:spPr>
                </pic:pic>
              </a:graphicData>
            </a:graphic>
          </wp:inline>
        </w:drawing>
      </w:r>
    </w:p>
    <w:p w14:paraId="1DEFECA0" w14:textId="38CA97FA" w:rsidR="00B93A60" w:rsidRDefault="00B93A60" w:rsidP="00EC2DF1">
      <w:pPr>
        <w:rPr>
          <w:sz w:val="20"/>
          <w:szCs w:val="20"/>
        </w:rPr>
      </w:pPr>
      <w:r>
        <w:rPr>
          <w:sz w:val="20"/>
          <w:szCs w:val="20"/>
        </w:rPr>
        <w:t>Figure 20 – Fingerprint Scanning View</w:t>
      </w:r>
    </w:p>
    <w:p w14:paraId="328080C9" w14:textId="77777777" w:rsidR="00EC2DF1" w:rsidRPr="001A0B18" w:rsidRDefault="00EC2DF1" w:rsidP="00EC2DF1">
      <w:pPr>
        <w:rPr>
          <w:sz w:val="20"/>
          <w:szCs w:val="20"/>
        </w:rPr>
      </w:pPr>
      <w:r w:rsidRPr="001A0B18">
        <w:rPr>
          <w:sz w:val="20"/>
          <w:szCs w:val="20"/>
        </w:rPr>
        <w:t xml:space="preserve">6.5.2 scanner integration </w:t>
      </w:r>
    </w:p>
    <w:p w14:paraId="06D95AD1" w14:textId="5471B150" w:rsidR="00EC2DF1" w:rsidRPr="001A0B18" w:rsidRDefault="00EC2DF1" w:rsidP="00EC2DF1">
      <w:pPr>
        <w:rPr>
          <w:sz w:val="20"/>
          <w:szCs w:val="20"/>
        </w:rPr>
      </w:pPr>
      <w:r w:rsidRPr="00EC6F59">
        <w:rPr>
          <w:sz w:val="20"/>
          <w:szCs w:val="20"/>
        </w:rPr>
        <w:t xml:space="preserve">Integrating the </w:t>
      </w:r>
      <w:proofErr w:type="spellStart"/>
      <w:r w:rsidRPr="00EC6F59">
        <w:rPr>
          <w:sz w:val="20"/>
          <w:szCs w:val="20"/>
        </w:rPr>
        <w:t>IBScanUltimate</w:t>
      </w:r>
      <w:proofErr w:type="spellEnd"/>
      <w:r w:rsidRPr="00EC6F59">
        <w:rPr>
          <w:sz w:val="20"/>
          <w:szCs w:val="20"/>
        </w:rPr>
        <w:t xml:space="preserve"> Columbo scanner was one of the most time-consuming challenges in the project. The researcher had no prior experience integrating hardware into a software project, making each stage a learning experience that slowed development. The first step was contacting the SDK provider directly by email to obtain the development kit, after which a P/Invoke wrapper had to be written to allow the .NET applications to communicate with the scanner</w:t>
      </w:r>
      <w:r w:rsidR="009B36C8">
        <w:rPr>
          <w:sz w:val="20"/>
          <w:szCs w:val="20"/>
        </w:rPr>
        <w:t>.</w:t>
      </w:r>
    </w:p>
    <w:p w14:paraId="5B7DB574" w14:textId="79F2A750" w:rsidR="00EC2DF1" w:rsidRPr="001A0B18" w:rsidRDefault="00EC2DF1" w:rsidP="00EC2DF1">
      <w:pPr>
        <w:rPr>
          <w:sz w:val="20"/>
          <w:szCs w:val="20"/>
        </w:rPr>
      </w:pPr>
      <w:r w:rsidRPr="00EC6F59">
        <w:rPr>
          <w:sz w:val="20"/>
          <w:szCs w:val="20"/>
        </w:rPr>
        <w:t xml:space="preserve">Once the scanner was connected the application still did not function correctly, producing an error indicating that a template could not be captured. Significant time was spent debugging the wrapper code looking for mistakes. </w:t>
      </w:r>
      <w:r w:rsidRPr="007F2314">
        <w:rPr>
          <w:sz w:val="20"/>
          <w:szCs w:val="20"/>
        </w:rPr>
        <w:t>The underlying problem was unrelated to the code itself. The SDK had been set to request a higher</w:t>
      </w:r>
      <w:r w:rsidRPr="007F2314">
        <w:rPr>
          <w:sz w:val="20"/>
          <w:szCs w:val="20"/>
        </w:rPr>
        <w:noBreakHyphen/>
        <w:t>grade template than the Columbo hardware could generate, resulting in the device silently returning no data despite accepting the request. Adjusting the image type to the basic capture resolved the issue without further complications.</w:t>
      </w:r>
      <w:r w:rsidR="001B21B4">
        <w:rPr>
          <w:sz w:val="20"/>
          <w:szCs w:val="20"/>
        </w:rPr>
        <w:t xml:space="preserve"> </w:t>
      </w:r>
      <w:r w:rsidR="001B21B4" w:rsidRPr="001B21B4">
        <w:rPr>
          <w:sz w:val="20"/>
          <w:szCs w:val="20"/>
        </w:rPr>
        <w:t xml:space="preserve">A further limitation of the </w:t>
      </w:r>
      <w:proofErr w:type="spellStart"/>
      <w:r w:rsidR="001B21B4" w:rsidRPr="001B21B4">
        <w:rPr>
          <w:sz w:val="20"/>
          <w:szCs w:val="20"/>
        </w:rPr>
        <w:t>IBScan</w:t>
      </w:r>
      <w:proofErr w:type="spellEnd"/>
      <w:r w:rsidR="001B21B4" w:rsidRPr="001B21B4">
        <w:rPr>
          <w:sz w:val="20"/>
          <w:szCs w:val="20"/>
        </w:rPr>
        <w:t xml:space="preserve"> SDK is that it only provides drivers for Windows</w:t>
      </w:r>
      <w:r w:rsidR="001B21B4">
        <w:rPr>
          <w:sz w:val="20"/>
          <w:szCs w:val="20"/>
        </w:rPr>
        <w:t>, Linux and Android</w:t>
      </w:r>
      <w:r w:rsidR="001B21B4" w:rsidRPr="001B21B4">
        <w:rPr>
          <w:sz w:val="20"/>
          <w:szCs w:val="20"/>
        </w:rPr>
        <w:t xml:space="preserve">, meaning the scanner integration is not functional on macOS despite both applications otherwise running cross-platform via Avalonia. This constrains the current deployment to Windows </w:t>
      </w:r>
      <w:r w:rsidR="001B21B4">
        <w:rPr>
          <w:sz w:val="20"/>
          <w:szCs w:val="20"/>
        </w:rPr>
        <w:t xml:space="preserve">devices only if users wish to progress past authentication. </w:t>
      </w:r>
    </w:p>
    <w:p w14:paraId="00A6FF75" w14:textId="77777777" w:rsidR="00EC2DF1" w:rsidRPr="001A0B18" w:rsidRDefault="00EC2DF1" w:rsidP="00EC2DF1">
      <w:pPr>
        <w:rPr>
          <w:sz w:val="20"/>
          <w:szCs w:val="20"/>
        </w:rPr>
      </w:pPr>
      <w:r w:rsidRPr="001A0B18">
        <w:rPr>
          <w:sz w:val="20"/>
          <w:szCs w:val="20"/>
        </w:rPr>
        <w:t xml:space="preserve">A second compatibility problem appeared between what the scanner produces and what </w:t>
      </w:r>
      <w:proofErr w:type="spellStart"/>
      <w:r w:rsidRPr="001A0B18">
        <w:rPr>
          <w:sz w:val="20"/>
          <w:szCs w:val="20"/>
        </w:rPr>
        <w:t>SourceAFIS</w:t>
      </w:r>
      <w:proofErr w:type="spellEnd"/>
      <w:r w:rsidRPr="001A0B18">
        <w:rPr>
          <w:sz w:val="20"/>
          <w:szCs w:val="20"/>
        </w:rPr>
        <w:t xml:space="preserve"> accepts. The SDK delivers a raw 8 bit grayscale pixel buffer with metadata attached. A conversion step was needed so that every scan returns a PNG. </w:t>
      </w:r>
    </w:p>
    <w:p w14:paraId="21A2D697" w14:textId="77777777" w:rsidR="00EC2DF1" w:rsidRDefault="00EC2DF1" w:rsidP="00EC2DF1">
      <w:pPr>
        <w:rPr>
          <w:sz w:val="20"/>
          <w:szCs w:val="20"/>
        </w:rPr>
      </w:pPr>
      <w:r w:rsidRPr="001A0B18">
        <w:rPr>
          <w:noProof/>
          <w:sz w:val="20"/>
          <w:szCs w:val="20"/>
        </w:rPr>
        <w:drawing>
          <wp:inline distT="0" distB="0" distL="0" distR="0" wp14:anchorId="3D443FD1" wp14:editId="7E51125C">
            <wp:extent cx="3305586" cy="873457"/>
            <wp:effectExtent l="0" t="0" r="0" b="3175"/>
            <wp:docPr id="124771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11769" name=""/>
                    <pic:cNvPicPr/>
                  </pic:nvPicPr>
                  <pic:blipFill>
                    <a:blip r:embed="rId26"/>
                    <a:stretch>
                      <a:fillRect/>
                    </a:stretch>
                  </pic:blipFill>
                  <pic:spPr>
                    <a:xfrm>
                      <a:off x="0" y="0"/>
                      <a:ext cx="3330562" cy="880057"/>
                    </a:xfrm>
                    <a:prstGeom prst="rect">
                      <a:avLst/>
                    </a:prstGeom>
                  </pic:spPr>
                </pic:pic>
              </a:graphicData>
            </a:graphic>
          </wp:inline>
        </w:drawing>
      </w:r>
    </w:p>
    <w:p w14:paraId="4C04B1DE" w14:textId="679326C2" w:rsidR="00634CF8" w:rsidRPr="001A0B18" w:rsidRDefault="00634CF8" w:rsidP="00EC2DF1">
      <w:pPr>
        <w:rPr>
          <w:sz w:val="20"/>
          <w:szCs w:val="20"/>
        </w:rPr>
      </w:pPr>
      <w:r>
        <w:rPr>
          <w:sz w:val="20"/>
          <w:szCs w:val="20"/>
        </w:rPr>
        <w:t xml:space="preserve">Figure </w:t>
      </w:r>
      <w:r w:rsidR="009F74E7">
        <w:rPr>
          <w:sz w:val="20"/>
          <w:szCs w:val="20"/>
        </w:rPr>
        <w:t>2</w:t>
      </w:r>
      <w:r w:rsidR="00B93A60">
        <w:rPr>
          <w:sz w:val="20"/>
          <w:szCs w:val="20"/>
        </w:rPr>
        <w:t>1</w:t>
      </w:r>
      <w:r>
        <w:rPr>
          <w:sz w:val="20"/>
          <w:szCs w:val="20"/>
        </w:rPr>
        <w:t xml:space="preserve"> – Fingerprint Image Preprocessing Pipeline </w:t>
      </w:r>
    </w:p>
    <w:p w14:paraId="7F0F2356" w14:textId="77777777" w:rsidR="00EC2DF1" w:rsidRDefault="00EC2DF1" w:rsidP="00EC2DF1">
      <w:pPr>
        <w:rPr>
          <w:sz w:val="20"/>
          <w:szCs w:val="20"/>
        </w:rPr>
      </w:pPr>
      <w:r w:rsidRPr="001A0B18">
        <w:rPr>
          <w:sz w:val="20"/>
          <w:szCs w:val="20"/>
        </w:rPr>
        <w:t>This conversion runs at both registration and authentication, ensuring the stored and live fingerprint images are always in the same format</w:t>
      </w:r>
      <w:r>
        <w:rPr>
          <w:sz w:val="20"/>
          <w:szCs w:val="20"/>
        </w:rPr>
        <w:t>.</w:t>
      </w:r>
    </w:p>
    <w:p w14:paraId="67758629" w14:textId="77777777" w:rsidR="00324FC7" w:rsidRDefault="00324FC7" w:rsidP="00EC2DF1">
      <w:pPr>
        <w:rPr>
          <w:sz w:val="20"/>
          <w:szCs w:val="20"/>
        </w:rPr>
      </w:pPr>
    </w:p>
    <w:p w14:paraId="3F363498" w14:textId="77777777" w:rsidR="00324FC7" w:rsidRDefault="00324FC7" w:rsidP="00EC2DF1">
      <w:pPr>
        <w:rPr>
          <w:sz w:val="20"/>
          <w:szCs w:val="20"/>
        </w:rPr>
      </w:pPr>
    </w:p>
    <w:p w14:paraId="328605DF" w14:textId="77777777" w:rsidR="00324FC7" w:rsidRDefault="00324FC7" w:rsidP="00EC2DF1">
      <w:pPr>
        <w:rPr>
          <w:sz w:val="20"/>
          <w:szCs w:val="20"/>
        </w:rPr>
      </w:pPr>
    </w:p>
    <w:p w14:paraId="02CBA6B3" w14:textId="77777777" w:rsidR="00EC2DF1" w:rsidRPr="001A0B18" w:rsidRDefault="00EC2DF1" w:rsidP="00EC2DF1">
      <w:pPr>
        <w:rPr>
          <w:sz w:val="20"/>
          <w:szCs w:val="20"/>
        </w:rPr>
      </w:pPr>
      <w:r>
        <w:rPr>
          <w:sz w:val="20"/>
          <w:szCs w:val="20"/>
        </w:rPr>
        <w:t>6.6 AWS</w:t>
      </w:r>
    </w:p>
    <w:p w14:paraId="59C6D40D" w14:textId="77777777" w:rsidR="00EC2DF1" w:rsidRPr="001A0B18" w:rsidRDefault="00EC2DF1" w:rsidP="00EC2DF1">
      <w:pPr>
        <w:rPr>
          <w:sz w:val="20"/>
          <w:szCs w:val="20"/>
        </w:rPr>
      </w:pPr>
      <w:r w:rsidRPr="001A0B18">
        <w:rPr>
          <w:sz w:val="20"/>
          <w:szCs w:val="20"/>
        </w:rPr>
        <w:t>6.6.1 AWS Hosting</w:t>
      </w:r>
    </w:p>
    <w:p w14:paraId="3BC1EB50" w14:textId="77777777" w:rsidR="00EC2DF1" w:rsidRPr="001A0B18" w:rsidRDefault="00EC2DF1" w:rsidP="00EC2DF1">
      <w:pPr>
        <w:rPr>
          <w:sz w:val="20"/>
          <w:szCs w:val="20"/>
        </w:rPr>
      </w:pPr>
      <w:r w:rsidRPr="001A0B18">
        <w:rPr>
          <w:sz w:val="20"/>
          <w:szCs w:val="20"/>
        </w:rPr>
        <w:t>AWS was chosen as the hosting platform as it is the industry standard and provided the infrastructure needed to run the system as it was designed to operate. This was the researcher's first time deploying to a cloud environment. Two EC2 Linux instances were created, one running the ASP.NET Core server behind an Nginx reverse proxy, and a second hosting the PostgreSQL database. Elastic IPs were assigned to both instances to provide stable addresses that persist across restarts. Security groups were configured to restrict inbound traffic to only the necessary ports ensuring the instances were not unnecessarily exposed.</w:t>
      </w:r>
    </w:p>
    <w:p w14:paraId="196D3ED2" w14:textId="77777777" w:rsidR="00EC2DF1" w:rsidRPr="001A0B18" w:rsidRDefault="00EC2DF1" w:rsidP="00EC2DF1">
      <w:pPr>
        <w:rPr>
          <w:sz w:val="20"/>
          <w:szCs w:val="20"/>
        </w:rPr>
      </w:pPr>
      <w:r w:rsidRPr="001A0B18">
        <w:rPr>
          <w:sz w:val="20"/>
          <w:szCs w:val="20"/>
        </w:rPr>
        <w:t xml:space="preserve">6.6.2 AWS Security </w:t>
      </w:r>
    </w:p>
    <w:p w14:paraId="0F0FC134" w14:textId="77777777" w:rsidR="00EC2DF1" w:rsidRDefault="00EC2DF1" w:rsidP="00EC2DF1">
      <w:pPr>
        <w:rPr>
          <w:sz w:val="20"/>
          <w:szCs w:val="20"/>
        </w:rPr>
      </w:pPr>
      <w:r w:rsidRPr="001A0B18">
        <w:rPr>
          <w:sz w:val="20"/>
          <w:szCs w:val="20"/>
        </w:rPr>
        <w:t>All sensitive cryptographic material in the system is stored in AWS Secrets Manager rather than in configuration files or environment variables, which would risk exposure through source control or filesystem access. Three secrets are managed this way, the JWT signing secret, the SDI HMAC key and the RSA key pair used for envelope encryption. All three are fetched and cached in memory at server startup via Secrets Helper, so there is no per request latency from secret retrieval. A key pair validation step also runs at startup, the server derives the public key from the loaded private key, computes a SHA-256 fingerprint of both the derived public key and the separately stored public key, and compares them. If they do not match, a warning is logged before the server continues, catching any misconfiguration before it causes silent authentication failures at runtime.</w:t>
      </w:r>
    </w:p>
    <w:p w14:paraId="6F09995A" w14:textId="7F4F1393" w:rsidR="007F2167" w:rsidRDefault="007F2167" w:rsidP="00EC2DF1">
      <w:pPr>
        <w:rPr>
          <w:sz w:val="20"/>
          <w:szCs w:val="20"/>
        </w:rPr>
      </w:pPr>
      <w:r>
        <w:rPr>
          <w:sz w:val="20"/>
          <w:szCs w:val="20"/>
        </w:rPr>
        <w:t xml:space="preserve">6.7 Artificial Intelligence </w:t>
      </w:r>
    </w:p>
    <w:p w14:paraId="5478F338" w14:textId="679CB198" w:rsidR="009B36C8" w:rsidRPr="001A0B18" w:rsidRDefault="00A44091" w:rsidP="00EC6F59">
      <w:pPr>
        <w:rPr>
          <w:sz w:val="20"/>
          <w:szCs w:val="20"/>
        </w:rPr>
        <w:sectPr w:rsidR="009B36C8" w:rsidRPr="001A0B18" w:rsidSect="00EE2AEC">
          <w:type w:val="continuous"/>
          <w:pgSz w:w="11906" w:h="16838"/>
          <w:pgMar w:top="1440" w:right="1440" w:bottom="1440" w:left="1440" w:header="708" w:footer="708" w:gutter="0"/>
          <w:cols w:space="708"/>
          <w:docGrid w:linePitch="360"/>
        </w:sectPr>
      </w:pPr>
      <w:r>
        <w:rPr>
          <w:sz w:val="20"/>
          <w:szCs w:val="20"/>
        </w:rPr>
        <w:t>During</w:t>
      </w:r>
      <w:r w:rsidRPr="00A44091">
        <w:rPr>
          <w:sz w:val="20"/>
          <w:szCs w:val="20"/>
        </w:rPr>
        <w:t xml:space="preserve"> </w:t>
      </w:r>
      <w:r>
        <w:rPr>
          <w:sz w:val="20"/>
          <w:szCs w:val="20"/>
        </w:rPr>
        <w:t>implementation</w:t>
      </w:r>
      <w:r w:rsidRPr="00A44091">
        <w:rPr>
          <w:sz w:val="20"/>
          <w:szCs w:val="20"/>
        </w:rPr>
        <w:t xml:space="preserve">, Artificial Intelligence tools were used to accelerate development and support the learning of unfamiliar technologies, including Avalonia, </w:t>
      </w:r>
      <w:proofErr w:type="spellStart"/>
      <w:r w:rsidRPr="00A44091">
        <w:rPr>
          <w:sz w:val="20"/>
          <w:szCs w:val="20"/>
        </w:rPr>
        <w:t>SignalR</w:t>
      </w:r>
      <w:proofErr w:type="spellEnd"/>
      <w:r w:rsidRPr="00A44091">
        <w:rPr>
          <w:sz w:val="20"/>
          <w:szCs w:val="20"/>
        </w:rPr>
        <w:t>, and ASP.NET Core</w:t>
      </w:r>
      <w:r w:rsidR="000B4A68">
        <w:rPr>
          <w:sz w:val="20"/>
          <w:szCs w:val="20"/>
        </w:rPr>
        <w:t xml:space="preserve"> [62]</w:t>
      </w:r>
      <w:r w:rsidRPr="00A44091">
        <w:rPr>
          <w:sz w:val="20"/>
          <w:szCs w:val="20"/>
        </w:rPr>
        <w:t xml:space="preserve">. AI helped </w:t>
      </w:r>
      <w:r>
        <w:t xml:space="preserve">to </w:t>
      </w:r>
      <w:r w:rsidRPr="00A44091">
        <w:rPr>
          <w:sz w:val="20"/>
          <w:szCs w:val="20"/>
        </w:rPr>
        <w:t>reduce time spent on low</w:t>
      </w:r>
      <w:r>
        <w:rPr>
          <w:sz w:val="20"/>
          <w:szCs w:val="20"/>
        </w:rPr>
        <w:t xml:space="preserve"> </w:t>
      </w:r>
      <w:r w:rsidRPr="00A44091">
        <w:rPr>
          <w:sz w:val="20"/>
          <w:szCs w:val="20"/>
        </w:rPr>
        <w:t>level integration code, allowing development momentum to be maintained and new frameworks to be understood more quickly. In all cases, AI-generated output was reviewed, tested, and adapted by the researcher before being incorporated into the system.</w:t>
      </w:r>
    </w:p>
    <w:p w14:paraId="54E89B44" w14:textId="77777777" w:rsidR="00366FA1" w:rsidRPr="001A0B18" w:rsidRDefault="00366FA1" w:rsidP="00EC6F59">
      <w:pPr>
        <w:rPr>
          <w:sz w:val="20"/>
          <w:szCs w:val="20"/>
        </w:rPr>
      </w:pPr>
    </w:p>
    <w:p w14:paraId="69156F45" w14:textId="77777777" w:rsidR="00366FA1" w:rsidRPr="001A0B18" w:rsidRDefault="00366FA1" w:rsidP="00EC6F59">
      <w:pPr>
        <w:rPr>
          <w:sz w:val="20"/>
          <w:szCs w:val="20"/>
        </w:rPr>
      </w:pPr>
    </w:p>
    <w:p w14:paraId="0A2425B7" w14:textId="77777777" w:rsidR="00366FA1" w:rsidRPr="001A0B18" w:rsidRDefault="00366FA1" w:rsidP="00EC6F59">
      <w:pPr>
        <w:rPr>
          <w:sz w:val="20"/>
          <w:szCs w:val="20"/>
        </w:rPr>
      </w:pPr>
    </w:p>
    <w:p w14:paraId="2DEE5A3B" w14:textId="77777777" w:rsidR="00366FA1" w:rsidRPr="001A0B18" w:rsidRDefault="00366FA1" w:rsidP="00EC6F59">
      <w:pPr>
        <w:rPr>
          <w:sz w:val="20"/>
          <w:szCs w:val="20"/>
        </w:rPr>
      </w:pPr>
    </w:p>
    <w:p w14:paraId="59AB7115" w14:textId="77777777" w:rsidR="002A0E3E" w:rsidRPr="00E75FF9" w:rsidRDefault="002A0E3E" w:rsidP="002A0E3E">
      <w:pPr>
        <w:rPr>
          <w:b/>
          <w:bCs/>
          <w:sz w:val="20"/>
          <w:szCs w:val="20"/>
        </w:rPr>
      </w:pPr>
      <w:r w:rsidRPr="00E75FF9">
        <w:rPr>
          <w:b/>
          <w:bCs/>
          <w:sz w:val="20"/>
          <w:szCs w:val="20"/>
        </w:rPr>
        <w:t>7. Evaluation</w:t>
      </w:r>
    </w:p>
    <w:p w14:paraId="211E147D" w14:textId="77777777" w:rsidR="002A0E3E" w:rsidRPr="00E75FF9" w:rsidRDefault="002A0E3E" w:rsidP="002A0E3E">
      <w:pPr>
        <w:rPr>
          <w:b/>
          <w:bCs/>
          <w:sz w:val="20"/>
          <w:szCs w:val="20"/>
        </w:rPr>
      </w:pPr>
      <w:r w:rsidRPr="00E75FF9">
        <w:rPr>
          <w:b/>
          <w:bCs/>
          <w:sz w:val="20"/>
          <w:szCs w:val="20"/>
        </w:rPr>
        <w:t>7.1 User Evaluation Methodology</w:t>
      </w:r>
    </w:p>
    <w:p w14:paraId="1A04BB6E" w14:textId="77777777" w:rsidR="002A0E3E" w:rsidRDefault="002A0E3E" w:rsidP="002A0E3E">
      <w:pPr>
        <w:rPr>
          <w:sz w:val="20"/>
          <w:szCs w:val="20"/>
        </w:rPr>
      </w:pPr>
      <w:r w:rsidRPr="00BE2E2C">
        <w:rPr>
          <w:sz w:val="20"/>
          <w:szCs w:val="20"/>
        </w:rPr>
        <w:t>To evaluate the system, two surveys were conducted at different stages of development. The first was conducted on the high</w:t>
      </w:r>
      <w:r>
        <w:rPr>
          <w:sz w:val="20"/>
          <w:szCs w:val="20"/>
        </w:rPr>
        <w:t>-</w:t>
      </w:r>
      <w:r w:rsidRPr="00BE2E2C">
        <w:rPr>
          <w:sz w:val="20"/>
          <w:szCs w:val="20"/>
        </w:rPr>
        <w:t>fidelity mock-ups (Appendix A) to gather feedback on the interface design. The second was conducted after the redesign that resulted from the first survey's feedback. Both surveys used the same questionnaire (Appendix J), consisting of five</w:t>
      </w:r>
      <w:r>
        <w:rPr>
          <w:sz w:val="20"/>
          <w:szCs w:val="20"/>
        </w:rPr>
        <w:t xml:space="preserve"> </w:t>
      </w:r>
      <w:r w:rsidRPr="00BE2E2C">
        <w:rPr>
          <w:sz w:val="20"/>
          <w:szCs w:val="20"/>
        </w:rPr>
        <w:t xml:space="preserve">point ratings and open-ended text responses. </w:t>
      </w:r>
      <w:r w:rsidRPr="00A75F01">
        <w:rPr>
          <w:sz w:val="20"/>
          <w:szCs w:val="20"/>
        </w:rPr>
        <w:t xml:space="preserve">Participants were briefed on the anonymous nature of the data collection process and were given a consent form to review and sign (Appendix L). </w:t>
      </w:r>
      <w:r w:rsidRPr="00BE2E2C">
        <w:rPr>
          <w:sz w:val="20"/>
          <w:szCs w:val="20"/>
        </w:rPr>
        <w:t>The full results of both surveys are available in Appendix G.</w:t>
      </w:r>
    </w:p>
    <w:p w14:paraId="42973165" w14:textId="77777777" w:rsidR="002A0E3E" w:rsidRPr="00454876" w:rsidRDefault="002A0E3E" w:rsidP="002A0E3E">
      <w:pPr>
        <w:rPr>
          <w:b/>
          <w:bCs/>
          <w:sz w:val="20"/>
          <w:szCs w:val="20"/>
        </w:rPr>
      </w:pPr>
      <w:r w:rsidRPr="00454876">
        <w:rPr>
          <w:b/>
          <w:bCs/>
          <w:sz w:val="20"/>
          <w:szCs w:val="20"/>
        </w:rPr>
        <w:t>7.2.1 Survey One</w:t>
      </w:r>
    </w:p>
    <w:p w14:paraId="3D4EBFA4" w14:textId="77777777" w:rsidR="002A0E3E" w:rsidRDefault="002A0E3E" w:rsidP="002A0E3E">
      <w:pPr>
        <w:rPr>
          <w:sz w:val="20"/>
          <w:szCs w:val="20"/>
        </w:rPr>
      </w:pPr>
      <w:r w:rsidRPr="0068251C">
        <w:rPr>
          <w:sz w:val="20"/>
          <w:szCs w:val="20"/>
        </w:rPr>
        <w:lastRenderedPageBreak/>
        <w:t xml:space="preserve">The first survey identified significant usability issues with the Official Polling Manager screen. When participants were asked to rate the difficulty of Task 4 (see Appendix J), which focuses on use of the Polling Manager screen, 64% of responses rated it as very difficult. The most common open-ended response cited the layout as unintuitive or overly complex. One participant noted that they would not have known device locking was possible had the task not specified it. These comments directly affected the redesign. </w:t>
      </w:r>
      <w:r w:rsidRPr="00A75F01">
        <w:rPr>
          <w:sz w:val="20"/>
          <w:szCs w:val="20"/>
        </w:rPr>
        <w:t>Participants reported that the voter app was intuitive and that the overall flow was clear.</w:t>
      </w:r>
    </w:p>
    <w:p w14:paraId="1FD6477A" w14:textId="77777777" w:rsidR="004348C1" w:rsidRPr="0068251C" w:rsidRDefault="004348C1" w:rsidP="002A0E3E">
      <w:pPr>
        <w:rPr>
          <w:sz w:val="20"/>
          <w:szCs w:val="20"/>
        </w:rPr>
      </w:pPr>
    </w:p>
    <w:p w14:paraId="111AC927" w14:textId="77777777" w:rsidR="002A0E3E" w:rsidRPr="00454876" w:rsidRDefault="002A0E3E" w:rsidP="002A0E3E">
      <w:pPr>
        <w:rPr>
          <w:b/>
          <w:bCs/>
          <w:sz w:val="20"/>
          <w:szCs w:val="20"/>
        </w:rPr>
      </w:pPr>
      <w:r w:rsidRPr="00454876">
        <w:rPr>
          <w:b/>
          <w:bCs/>
          <w:sz w:val="20"/>
          <w:szCs w:val="20"/>
        </w:rPr>
        <w:t>7.2.2 Survey Two</w:t>
      </w:r>
    </w:p>
    <w:p w14:paraId="4BA39716" w14:textId="77777777" w:rsidR="002A0E3E" w:rsidRPr="0068251C" w:rsidRDefault="002A0E3E" w:rsidP="002A0E3E">
      <w:pPr>
        <w:rPr>
          <w:sz w:val="20"/>
          <w:szCs w:val="20"/>
        </w:rPr>
      </w:pPr>
      <w:r w:rsidRPr="0068251C">
        <w:rPr>
          <w:sz w:val="20"/>
          <w:szCs w:val="20"/>
        </w:rPr>
        <w:t xml:space="preserve">Following the redesign, the same questionnaire was repeated on the live system. The second survey shifted focus away from the Polling Manager screen, with responses raising new issues primarily around the user interface and fingerprint scanning. </w:t>
      </w:r>
      <w:r w:rsidRPr="00A75F01">
        <w:rPr>
          <w:sz w:val="20"/>
          <w:szCs w:val="20"/>
        </w:rPr>
        <w:t xml:space="preserve">Feedback on the Official App indicated that the process of linking a voter device was unclear, and that an average user would be unlikely to complete this step without assistance. </w:t>
      </w:r>
      <w:r w:rsidRPr="0068251C">
        <w:rPr>
          <w:sz w:val="20"/>
          <w:szCs w:val="20"/>
        </w:rPr>
        <w:t>Across both apps, the most commonly cited difficulty was the requirement to press a start scan button to initiate fingerprint capture. Several participants left the open-ended difficulty questions blank, suggesting the redesign had successfully addressed the core usability concerns raised in the first survey.</w:t>
      </w:r>
    </w:p>
    <w:p w14:paraId="5DE8107D" w14:textId="77777777" w:rsidR="002A0E3E" w:rsidRPr="00454876" w:rsidRDefault="002A0E3E" w:rsidP="002A0E3E">
      <w:pPr>
        <w:rPr>
          <w:b/>
          <w:bCs/>
          <w:sz w:val="20"/>
          <w:szCs w:val="20"/>
        </w:rPr>
      </w:pPr>
      <w:r w:rsidRPr="00454876">
        <w:rPr>
          <w:b/>
          <w:bCs/>
          <w:sz w:val="20"/>
          <w:szCs w:val="20"/>
        </w:rPr>
        <w:t>7.2.3 Evaluation of Surveys</w:t>
      </w:r>
    </w:p>
    <w:p w14:paraId="2ACD8206" w14:textId="77777777" w:rsidR="002A0E3E" w:rsidRDefault="002A0E3E" w:rsidP="002A0E3E">
      <w:pPr>
        <w:rPr>
          <w:sz w:val="20"/>
          <w:szCs w:val="20"/>
        </w:rPr>
      </w:pPr>
      <w:r w:rsidRPr="0068251C">
        <w:rPr>
          <w:sz w:val="20"/>
          <w:szCs w:val="20"/>
        </w:rPr>
        <w:t xml:space="preserve">Whilst the surveys aided in improving the design of both applications, the sample size of eleven participants limits the </w:t>
      </w:r>
      <w:r>
        <w:rPr>
          <w:sz w:val="20"/>
          <w:szCs w:val="20"/>
        </w:rPr>
        <w:t>ability to generalise</w:t>
      </w:r>
      <w:r w:rsidRPr="0068251C">
        <w:rPr>
          <w:sz w:val="20"/>
          <w:szCs w:val="20"/>
        </w:rPr>
        <w:t xml:space="preserve"> the results. </w:t>
      </w:r>
      <w:r w:rsidRPr="00A75F01">
        <w:rPr>
          <w:sz w:val="20"/>
          <w:szCs w:val="20"/>
        </w:rPr>
        <w:t>All participants possessed some level of computing knowledge, which excludes users who may struggle with technology and who are likely to represent a portion of both polling station staff and voters in real</w:t>
      </w:r>
      <w:r w:rsidRPr="00A75F01">
        <w:rPr>
          <w:sz w:val="20"/>
          <w:szCs w:val="20"/>
        </w:rPr>
        <w:noBreakHyphen/>
        <w:t>world settings.</w:t>
      </w:r>
      <w:r>
        <w:rPr>
          <w:sz w:val="20"/>
          <w:szCs w:val="20"/>
        </w:rPr>
        <w:t xml:space="preserve"> </w:t>
      </w:r>
      <w:r w:rsidRPr="0068251C">
        <w:rPr>
          <w:sz w:val="20"/>
          <w:szCs w:val="20"/>
        </w:rPr>
        <w:t>The results suggest that a structured demonstration or training session would significantly improve an official's ability to operate the system, particularly for the device</w:t>
      </w:r>
      <w:r>
        <w:rPr>
          <w:sz w:val="20"/>
          <w:szCs w:val="20"/>
        </w:rPr>
        <w:t xml:space="preserve"> </w:t>
      </w:r>
      <w:r w:rsidRPr="0068251C">
        <w:rPr>
          <w:sz w:val="20"/>
          <w:szCs w:val="20"/>
        </w:rPr>
        <w:t>linking process which requires prior knowledge of the workflow. To properly evaluate the system, election officials would need to be involved in user testing to identify the real skill gap and inform any necessary training materials.</w:t>
      </w:r>
    </w:p>
    <w:p w14:paraId="2901E843" w14:textId="77777777" w:rsidR="002A0E3E" w:rsidRPr="00A12FA7" w:rsidRDefault="002A0E3E" w:rsidP="002A0E3E">
      <w:pPr>
        <w:rPr>
          <w:b/>
          <w:bCs/>
          <w:sz w:val="20"/>
          <w:szCs w:val="20"/>
        </w:rPr>
      </w:pPr>
      <w:r w:rsidRPr="00A12FA7">
        <w:rPr>
          <w:b/>
          <w:bCs/>
          <w:sz w:val="20"/>
          <w:szCs w:val="20"/>
        </w:rPr>
        <w:t xml:space="preserve">7.3 Methodology Evaluation </w:t>
      </w:r>
    </w:p>
    <w:p w14:paraId="49382223" w14:textId="77777777" w:rsidR="002A0E3E" w:rsidRDefault="002A0E3E" w:rsidP="002A0E3E">
      <w:pPr>
        <w:rPr>
          <w:sz w:val="20"/>
          <w:szCs w:val="20"/>
        </w:rPr>
      </w:pPr>
      <w:r w:rsidRPr="0021437D">
        <w:rPr>
          <w:sz w:val="20"/>
          <w:szCs w:val="20"/>
        </w:rPr>
        <w:t xml:space="preserve">The </w:t>
      </w:r>
      <w:r>
        <w:rPr>
          <w:sz w:val="20"/>
          <w:szCs w:val="20"/>
        </w:rPr>
        <w:t>agile</w:t>
      </w:r>
      <w:r w:rsidRPr="0021437D">
        <w:rPr>
          <w:sz w:val="20"/>
          <w:szCs w:val="20"/>
        </w:rPr>
        <w:t xml:space="preserve"> development methodology adopted for this project proved broadly effective. Building the system layer by layer, starting with the database and progressing through the server and client applications, meant that each stage built on a stable foundation. Security decisions made early, such as envelope encryption and JWT configuration, did not need to be revisited as the system grew.</w:t>
      </w:r>
    </w:p>
    <w:p w14:paraId="098283B7" w14:textId="77777777" w:rsidR="002A0E3E" w:rsidRPr="00731BA4" w:rsidRDefault="002A0E3E" w:rsidP="002A0E3E">
      <w:pPr>
        <w:rPr>
          <w:sz w:val="20"/>
          <w:szCs w:val="20"/>
        </w:rPr>
      </w:pPr>
      <w:r w:rsidRPr="00731BA4">
        <w:rPr>
          <w:sz w:val="20"/>
          <w:szCs w:val="20"/>
        </w:rPr>
        <w:t xml:space="preserve">A strength of the agile methodology was demonstrated when the system was switched from HTTP polling to a persistent </w:t>
      </w:r>
      <w:proofErr w:type="spellStart"/>
      <w:r w:rsidRPr="00731BA4">
        <w:rPr>
          <w:sz w:val="20"/>
          <w:szCs w:val="20"/>
        </w:rPr>
        <w:t>SignalR</w:t>
      </w:r>
      <w:proofErr w:type="spellEnd"/>
      <w:r w:rsidRPr="00731BA4">
        <w:rPr>
          <w:sz w:val="20"/>
          <w:szCs w:val="20"/>
        </w:rPr>
        <w:t xml:space="preserve"> connection. The need for this change was identified during development of the client applications, outside the server's development sprints. The flexible nature of agile allowed this to be factored into the following sprint, enabling a fast response to a significant architectural problem without disrupting the broader development timeline.</w:t>
      </w:r>
    </w:p>
    <w:p w14:paraId="6F03C5A4" w14:textId="77777777" w:rsidR="002A0E3E" w:rsidRDefault="002A0E3E" w:rsidP="002A0E3E">
      <w:pPr>
        <w:rPr>
          <w:sz w:val="20"/>
          <w:szCs w:val="20"/>
        </w:rPr>
      </w:pPr>
      <w:r w:rsidRPr="0021437D">
        <w:rPr>
          <w:sz w:val="20"/>
          <w:szCs w:val="20"/>
        </w:rPr>
        <w:t xml:space="preserve">The iterative approach also allowed user feedback from the first survey to directly inform implementation before the final system was built, which was one of its clearest practical benefits. Overall, the methodology suited an individual </w:t>
      </w:r>
      <w:r>
        <w:rPr>
          <w:sz w:val="20"/>
          <w:szCs w:val="20"/>
        </w:rPr>
        <w:t>scale of this project</w:t>
      </w:r>
      <w:r w:rsidRPr="0021437D">
        <w:rPr>
          <w:sz w:val="20"/>
          <w:szCs w:val="20"/>
        </w:rPr>
        <w:t xml:space="preserve">, though a more structured sprint review process would have helped identify architectural risks </w:t>
      </w:r>
      <w:r>
        <w:rPr>
          <w:sz w:val="20"/>
          <w:szCs w:val="20"/>
        </w:rPr>
        <w:t xml:space="preserve">like polling </w:t>
      </w:r>
      <w:r w:rsidRPr="0021437D">
        <w:rPr>
          <w:sz w:val="20"/>
          <w:szCs w:val="20"/>
        </w:rPr>
        <w:t>earlier.</w:t>
      </w:r>
    </w:p>
    <w:p w14:paraId="7EC20D53" w14:textId="77777777" w:rsidR="002A0E3E" w:rsidRPr="00A12FA7" w:rsidRDefault="002A0E3E" w:rsidP="002A0E3E">
      <w:pPr>
        <w:rPr>
          <w:b/>
          <w:bCs/>
          <w:sz w:val="20"/>
          <w:szCs w:val="20"/>
        </w:rPr>
      </w:pPr>
      <w:r w:rsidRPr="00A12FA7">
        <w:rPr>
          <w:b/>
          <w:bCs/>
          <w:sz w:val="20"/>
          <w:szCs w:val="20"/>
        </w:rPr>
        <w:t>7.4 Requirements Evaluation</w:t>
      </w:r>
    </w:p>
    <w:p w14:paraId="758626F4" w14:textId="77777777" w:rsidR="002A0E3E" w:rsidRPr="004B53D5" w:rsidRDefault="002A0E3E" w:rsidP="002A0E3E">
      <w:pPr>
        <w:rPr>
          <w:sz w:val="20"/>
          <w:szCs w:val="20"/>
        </w:rPr>
      </w:pPr>
      <w:r w:rsidRPr="004B53D5">
        <w:rPr>
          <w:sz w:val="20"/>
          <w:szCs w:val="20"/>
        </w:rPr>
        <w:t xml:space="preserve">The majority of the </w:t>
      </w:r>
      <w:r w:rsidRPr="00A75F01">
        <w:rPr>
          <w:i/>
          <w:iCs/>
          <w:sz w:val="20"/>
          <w:szCs w:val="20"/>
        </w:rPr>
        <w:t>must-have</w:t>
      </w:r>
      <w:r w:rsidRPr="004B53D5">
        <w:rPr>
          <w:sz w:val="20"/>
          <w:szCs w:val="20"/>
        </w:rPr>
        <w:t xml:space="preserve"> functional requirements across all three components were met. Both the Official App and Secure Vote App successfully encrypt all data in transit, authenticate via fingerprint, link to one another through a hashed access code, and communicate with the server through structured API endpoints over a persistent </w:t>
      </w:r>
      <w:proofErr w:type="spellStart"/>
      <w:r w:rsidRPr="004B53D5">
        <w:rPr>
          <w:sz w:val="20"/>
          <w:szCs w:val="20"/>
        </w:rPr>
        <w:t>SignalR</w:t>
      </w:r>
      <w:proofErr w:type="spellEnd"/>
      <w:r w:rsidRPr="004B53D5">
        <w:rPr>
          <w:sz w:val="20"/>
          <w:szCs w:val="20"/>
        </w:rPr>
        <w:t xml:space="preserve"> connection. The server correctly separates vote records from voter identity, verifies fingerprints against stored templates using </w:t>
      </w:r>
      <w:proofErr w:type="spellStart"/>
      <w:r w:rsidRPr="004B53D5">
        <w:rPr>
          <w:sz w:val="20"/>
          <w:szCs w:val="20"/>
        </w:rPr>
        <w:t>SourceAFIS</w:t>
      </w:r>
      <w:proofErr w:type="spellEnd"/>
      <w:r w:rsidRPr="004B53D5">
        <w:rPr>
          <w:sz w:val="20"/>
          <w:szCs w:val="20"/>
        </w:rPr>
        <w:t xml:space="preserve">, and distributes lock and unlock </w:t>
      </w:r>
      <w:r w:rsidRPr="004B53D5">
        <w:rPr>
          <w:sz w:val="20"/>
          <w:szCs w:val="20"/>
        </w:rPr>
        <w:lastRenderedPageBreak/>
        <w:t>commands to the correct linked voter devices. The duplicate fingerprint detection requirement was implemented and returns grouped results to the official on request</w:t>
      </w:r>
      <w:r>
        <w:rPr>
          <w:sz w:val="20"/>
          <w:szCs w:val="20"/>
        </w:rPr>
        <w:t>.</w:t>
      </w:r>
      <w:r w:rsidRPr="004B53D5">
        <w:rPr>
          <w:sz w:val="20"/>
          <w:szCs w:val="20"/>
        </w:rPr>
        <w:t xml:space="preserve"> </w:t>
      </w:r>
    </w:p>
    <w:p w14:paraId="36915DF2" w14:textId="77777777" w:rsidR="002A0E3E" w:rsidRPr="004B53D5" w:rsidRDefault="002A0E3E" w:rsidP="002A0E3E">
      <w:pPr>
        <w:rPr>
          <w:sz w:val="20"/>
          <w:szCs w:val="20"/>
        </w:rPr>
      </w:pPr>
      <w:r w:rsidRPr="004B53D5">
        <w:rPr>
          <w:sz w:val="20"/>
          <w:szCs w:val="20"/>
        </w:rPr>
        <w:t>The device locking requirements were fully met. The voter device locks automatically after three failed authentication attempts, the Official App can manually lock and unlock any connected device, and the lock state is enforced across all screens of the voter app at all times. The three</w:t>
      </w:r>
      <w:r>
        <w:rPr>
          <w:sz w:val="20"/>
          <w:szCs w:val="20"/>
        </w:rPr>
        <w:t xml:space="preserve"> </w:t>
      </w:r>
      <w:r w:rsidRPr="004B53D5">
        <w:rPr>
          <w:sz w:val="20"/>
          <w:szCs w:val="20"/>
        </w:rPr>
        <w:t>attempt limit, status messages to the official on failure, and confirmation of a successful vote submission were all implemented as specified.</w:t>
      </w:r>
    </w:p>
    <w:p w14:paraId="01CDD7C6" w14:textId="77777777" w:rsidR="002A0E3E" w:rsidRPr="004B53D5" w:rsidRDefault="002A0E3E" w:rsidP="002A0E3E">
      <w:pPr>
        <w:rPr>
          <w:sz w:val="20"/>
          <w:szCs w:val="20"/>
        </w:rPr>
      </w:pPr>
      <w:r w:rsidRPr="00A75F01">
        <w:rPr>
          <w:sz w:val="20"/>
          <w:szCs w:val="20"/>
        </w:rPr>
        <w:t xml:space="preserve">Several of the system’s </w:t>
      </w:r>
      <w:r w:rsidRPr="00A75F01">
        <w:rPr>
          <w:i/>
          <w:iCs/>
          <w:sz w:val="20"/>
          <w:szCs w:val="20"/>
        </w:rPr>
        <w:t>should</w:t>
      </w:r>
      <w:r w:rsidRPr="00A75F01">
        <w:rPr>
          <w:i/>
          <w:iCs/>
          <w:sz w:val="20"/>
          <w:szCs w:val="20"/>
        </w:rPr>
        <w:noBreakHyphen/>
        <w:t>have</w:t>
      </w:r>
      <w:r w:rsidRPr="00A75F01">
        <w:rPr>
          <w:sz w:val="20"/>
          <w:szCs w:val="20"/>
        </w:rPr>
        <w:t xml:space="preserve"> requirements were also achieved. </w:t>
      </w:r>
      <w:r w:rsidRPr="004B53D5">
        <w:rPr>
          <w:sz w:val="20"/>
          <w:szCs w:val="20"/>
        </w:rPr>
        <w:t>Proxy voting is supported, officials can log out and terminate their session, and JWT tokens expire after eight hours as specified. The Avalonia framework satisfies the cross</w:t>
      </w:r>
      <w:r>
        <w:rPr>
          <w:sz w:val="20"/>
          <w:szCs w:val="20"/>
        </w:rPr>
        <w:t>-platform</w:t>
      </w:r>
      <w:r w:rsidRPr="004B53D5">
        <w:rPr>
          <w:sz w:val="20"/>
          <w:szCs w:val="20"/>
        </w:rPr>
        <w:t xml:space="preserve"> requirement, with both applications running on Windows and macOS.</w:t>
      </w:r>
    </w:p>
    <w:p w14:paraId="50DB65A6" w14:textId="77777777" w:rsidR="002A0E3E" w:rsidRPr="004B53D5" w:rsidRDefault="002A0E3E" w:rsidP="002A0E3E">
      <w:pPr>
        <w:rPr>
          <w:sz w:val="20"/>
          <w:szCs w:val="20"/>
        </w:rPr>
      </w:pPr>
      <w:r>
        <w:rPr>
          <w:sz w:val="20"/>
          <w:szCs w:val="20"/>
        </w:rPr>
        <w:t>Three</w:t>
      </w:r>
      <w:r w:rsidRPr="004B53D5">
        <w:rPr>
          <w:sz w:val="20"/>
          <w:szCs w:val="20"/>
        </w:rPr>
        <w:t xml:space="preserve"> requirements were only partially addressed. The server requirement to delete or anonymise biometric data after a defined retention period in line with UK GDPR was not implemented in the current version. </w:t>
      </w:r>
      <w:r w:rsidRPr="00A869DF">
        <w:rPr>
          <w:sz w:val="20"/>
          <w:szCs w:val="20"/>
        </w:rPr>
        <w:t>The server audit log requirement was also not fully implemented as security relevant events such as failed authentications and lock commands are not logged except for a status update sent to the official management screen.</w:t>
      </w:r>
      <w:r>
        <w:rPr>
          <w:sz w:val="20"/>
          <w:szCs w:val="20"/>
        </w:rPr>
        <w:t xml:space="preserve"> </w:t>
      </w:r>
      <w:r w:rsidRPr="00324FC7">
        <w:rPr>
          <w:sz w:val="20"/>
          <w:szCs w:val="20"/>
        </w:rPr>
        <w:t xml:space="preserve">The cross-platform requirement was also only partially met. Although both applications run on Windows and macOS via the Avalonia framework, the </w:t>
      </w:r>
      <w:proofErr w:type="spellStart"/>
      <w:r w:rsidRPr="00324FC7">
        <w:rPr>
          <w:sz w:val="20"/>
          <w:szCs w:val="20"/>
        </w:rPr>
        <w:t>IBScan</w:t>
      </w:r>
      <w:proofErr w:type="spellEnd"/>
      <w:r w:rsidRPr="00324FC7">
        <w:rPr>
          <w:sz w:val="20"/>
          <w:szCs w:val="20"/>
        </w:rPr>
        <w:t xml:space="preserve"> </w:t>
      </w:r>
      <w:r>
        <w:rPr>
          <w:sz w:val="20"/>
          <w:szCs w:val="20"/>
        </w:rPr>
        <w:t xml:space="preserve">Columbo </w:t>
      </w:r>
      <w:r w:rsidRPr="00324FC7">
        <w:rPr>
          <w:sz w:val="20"/>
          <w:szCs w:val="20"/>
        </w:rPr>
        <w:t>fingerprint scanner SDK only provides drivers for Windows, meaning fingerprint capture is not functional on macOS in the current deployment.</w:t>
      </w:r>
    </w:p>
    <w:p w14:paraId="0BD77D48" w14:textId="77777777" w:rsidR="002A0E3E" w:rsidRDefault="002A0E3E" w:rsidP="002A0E3E">
      <w:pPr>
        <w:rPr>
          <w:sz w:val="20"/>
          <w:szCs w:val="20"/>
        </w:rPr>
      </w:pPr>
      <w:r w:rsidRPr="00694D11">
        <w:rPr>
          <w:sz w:val="20"/>
          <w:szCs w:val="20"/>
        </w:rPr>
        <w:t xml:space="preserve">The non-functional requirement to support over 10,000 concurrent connections was not met. Load testing demonstrated that the server could reliably sustain just under 1,000 simultaneous connections, beyond which connection failures increased significantly (see Appendix K). This limitation is </w:t>
      </w:r>
      <w:r>
        <w:rPr>
          <w:sz w:val="20"/>
          <w:szCs w:val="20"/>
        </w:rPr>
        <w:t>due</w:t>
      </w:r>
      <w:r w:rsidRPr="00694D11">
        <w:rPr>
          <w:sz w:val="20"/>
          <w:szCs w:val="20"/>
        </w:rPr>
        <w:t xml:space="preserve"> to the constraints of the EC2 instance tier used for deployment rather than a fundamental flaw in the application architecture</w:t>
      </w:r>
      <w:r>
        <w:rPr>
          <w:sz w:val="20"/>
          <w:szCs w:val="20"/>
        </w:rPr>
        <w:t xml:space="preserve">. </w:t>
      </w:r>
      <w:r w:rsidRPr="00694D11">
        <w:rPr>
          <w:sz w:val="20"/>
          <w:szCs w:val="20"/>
        </w:rPr>
        <w:t>A further performance consideration is the fingerprint duplicate detection algorithm</w:t>
      </w:r>
      <w:r>
        <w:rPr>
          <w:sz w:val="20"/>
          <w:szCs w:val="20"/>
        </w:rPr>
        <w:t>,</w:t>
      </w:r>
      <w:r w:rsidRPr="00694D11">
        <w:rPr>
          <w:sz w:val="20"/>
          <w:szCs w:val="20"/>
        </w:rPr>
        <w:t xml:space="preserve"> while functionally correct, its time complexity is O(n²), meaning it scales poorly as the voter database grows and would require before deployment at national scale.</w:t>
      </w:r>
    </w:p>
    <w:p w14:paraId="64EDF3D1" w14:textId="77777777" w:rsidR="002A0E3E" w:rsidRPr="00A12FA7" w:rsidRDefault="002A0E3E" w:rsidP="002A0E3E">
      <w:pPr>
        <w:rPr>
          <w:b/>
          <w:bCs/>
          <w:sz w:val="20"/>
          <w:szCs w:val="20"/>
        </w:rPr>
      </w:pPr>
      <w:r w:rsidRPr="00A12FA7">
        <w:rPr>
          <w:b/>
          <w:bCs/>
          <w:sz w:val="20"/>
          <w:szCs w:val="20"/>
        </w:rPr>
        <w:t>8</w:t>
      </w:r>
      <w:r>
        <w:rPr>
          <w:b/>
          <w:bCs/>
          <w:sz w:val="20"/>
          <w:szCs w:val="20"/>
        </w:rPr>
        <w:t>.</w:t>
      </w:r>
      <w:r w:rsidRPr="00A12FA7">
        <w:rPr>
          <w:b/>
          <w:bCs/>
          <w:sz w:val="20"/>
          <w:szCs w:val="20"/>
        </w:rPr>
        <w:t xml:space="preserve"> Description of Final Product </w:t>
      </w:r>
    </w:p>
    <w:p w14:paraId="17AF8FC4" w14:textId="77777777" w:rsidR="002A0E3E" w:rsidRPr="00A12FA7" w:rsidRDefault="002A0E3E" w:rsidP="002A0E3E">
      <w:pPr>
        <w:rPr>
          <w:b/>
          <w:bCs/>
          <w:sz w:val="20"/>
          <w:szCs w:val="20"/>
        </w:rPr>
      </w:pPr>
      <w:r w:rsidRPr="00A12FA7">
        <w:rPr>
          <w:b/>
          <w:bCs/>
          <w:sz w:val="20"/>
          <w:szCs w:val="20"/>
        </w:rPr>
        <w:t xml:space="preserve">8.1 System Overview </w:t>
      </w:r>
    </w:p>
    <w:p w14:paraId="452B08D3" w14:textId="77777777" w:rsidR="002A0E3E" w:rsidRDefault="002A0E3E" w:rsidP="002A0E3E">
      <w:pPr>
        <w:rPr>
          <w:sz w:val="20"/>
          <w:szCs w:val="20"/>
        </w:rPr>
      </w:pPr>
      <w:r>
        <w:rPr>
          <w:sz w:val="20"/>
          <w:szCs w:val="20"/>
        </w:rPr>
        <w:t>The final product is an Electronic Voting System that uses Biometric Authentication to verify a voter. The system consists of two desktop applications a cloud-hosted Server on AWS and a cloud-hosted database on AWS.</w:t>
      </w:r>
      <w:r w:rsidRPr="00186FE6">
        <w:rPr>
          <w:sz w:val="20"/>
          <w:szCs w:val="20"/>
        </w:rPr>
        <w:t xml:space="preserve"> The Official App is operated by polling station staff, and the </w:t>
      </w:r>
      <w:proofErr w:type="spellStart"/>
      <w:r w:rsidRPr="00186FE6">
        <w:rPr>
          <w:sz w:val="20"/>
          <w:szCs w:val="20"/>
        </w:rPr>
        <w:t>SecureVote</w:t>
      </w:r>
      <w:proofErr w:type="spellEnd"/>
      <w:r w:rsidRPr="00186FE6">
        <w:rPr>
          <w:sz w:val="20"/>
          <w:szCs w:val="20"/>
        </w:rPr>
        <w:t xml:space="preserve"> App is used by voters to cast their ballot</w:t>
      </w:r>
      <w:r>
        <w:rPr>
          <w:sz w:val="20"/>
          <w:szCs w:val="20"/>
        </w:rPr>
        <w:t xml:space="preserve">. Both apps are built with Avalonia and run on Windows and macOS. The server runs as an ASP.NET Core API on an AWS EC2 instance, accessible to both applications over HTTPS via a persistent </w:t>
      </w:r>
      <w:proofErr w:type="spellStart"/>
      <w:r>
        <w:rPr>
          <w:sz w:val="20"/>
          <w:szCs w:val="20"/>
        </w:rPr>
        <w:t>SignalR</w:t>
      </w:r>
      <w:proofErr w:type="spellEnd"/>
      <w:r>
        <w:rPr>
          <w:sz w:val="20"/>
          <w:szCs w:val="20"/>
        </w:rPr>
        <w:t xml:space="preserve"> connection. </w:t>
      </w:r>
    </w:p>
    <w:p w14:paraId="1EFE7074" w14:textId="77777777" w:rsidR="002A0E3E" w:rsidRPr="00A12FA7" w:rsidRDefault="002A0E3E" w:rsidP="002A0E3E">
      <w:pPr>
        <w:rPr>
          <w:b/>
          <w:bCs/>
          <w:sz w:val="20"/>
          <w:szCs w:val="20"/>
        </w:rPr>
      </w:pPr>
      <w:r w:rsidRPr="00A12FA7">
        <w:rPr>
          <w:b/>
          <w:bCs/>
          <w:sz w:val="20"/>
          <w:szCs w:val="20"/>
        </w:rPr>
        <w:t xml:space="preserve">8.2 Major Areas of Functionality </w:t>
      </w:r>
    </w:p>
    <w:p w14:paraId="222CD7E7" w14:textId="77777777" w:rsidR="002A0E3E" w:rsidRDefault="002A0E3E" w:rsidP="002A0E3E">
      <w:pPr>
        <w:rPr>
          <w:sz w:val="20"/>
          <w:szCs w:val="20"/>
        </w:rPr>
      </w:pPr>
      <w:r>
        <w:rPr>
          <w:sz w:val="20"/>
          <w:szCs w:val="20"/>
        </w:rPr>
        <w:t>Two</w:t>
      </w:r>
      <w:r w:rsidRPr="00634DD9">
        <w:rPr>
          <w:sz w:val="20"/>
          <w:szCs w:val="20"/>
        </w:rPr>
        <w:t xml:space="preserve"> key areas of functionality have been selected to demonstrate how the components interact: device linking and status updates. Together, these illustrate how the Official App and </w:t>
      </w:r>
      <w:proofErr w:type="spellStart"/>
      <w:r w:rsidRPr="00634DD9">
        <w:rPr>
          <w:sz w:val="20"/>
          <w:szCs w:val="20"/>
        </w:rPr>
        <w:t>SecureVote</w:t>
      </w:r>
      <w:proofErr w:type="spellEnd"/>
      <w:r w:rsidRPr="00634DD9">
        <w:rPr>
          <w:sz w:val="20"/>
          <w:szCs w:val="20"/>
        </w:rPr>
        <w:t xml:space="preserve"> App communicate through the server, and how actions taken by an official directly affect a connected voter device.</w:t>
      </w:r>
    </w:p>
    <w:p w14:paraId="2D637084" w14:textId="77777777" w:rsidR="002A0E3E" w:rsidRPr="00132055" w:rsidRDefault="002A0E3E" w:rsidP="002A0E3E">
      <w:pPr>
        <w:rPr>
          <w:sz w:val="20"/>
          <w:szCs w:val="20"/>
        </w:rPr>
      </w:pPr>
      <w:r>
        <w:rPr>
          <w:b/>
          <w:bCs/>
          <w:sz w:val="20"/>
          <w:szCs w:val="20"/>
        </w:rPr>
        <w:t>8</w:t>
      </w:r>
      <w:r w:rsidRPr="00132055">
        <w:rPr>
          <w:b/>
          <w:bCs/>
          <w:sz w:val="20"/>
          <w:szCs w:val="20"/>
        </w:rPr>
        <w:t>.2.1 Linking a Device</w:t>
      </w:r>
    </w:p>
    <w:p w14:paraId="5AE04940" w14:textId="478DB069" w:rsidR="002A0E3E" w:rsidRPr="00132055" w:rsidRDefault="002A0E3E" w:rsidP="002A0E3E">
      <w:pPr>
        <w:rPr>
          <w:sz w:val="20"/>
          <w:szCs w:val="20"/>
        </w:rPr>
      </w:pPr>
      <w:r w:rsidRPr="00132055">
        <w:rPr>
          <w:sz w:val="20"/>
          <w:szCs w:val="20"/>
        </w:rPr>
        <w:t xml:space="preserve">Before any ballot can be cast, the </w:t>
      </w:r>
      <w:proofErr w:type="spellStart"/>
      <w:r w:rsidRPr="00132055">
        <w:rPr>
          <w:sz w:val="20"/>
          <w:szCs w:val="20"/>
        </w:rPr>
        <w:t>SecureVote</w:t>
      </w:r>
      <w:proofErr w:type="spellEnd"/>
      <w:r w:rsidRPr="00132055">
        <w:rPr>
          <w:sz w:val="20"/>
          <w:szCs w:val="20"/>
        </w:rPr>
        <w:t xml:space="preserve"> App must be linked to the Official App. This is achieved through an access code generated by the official. As shown in Figure </w:t>
      </w:r>
      <w:r w:rsidR="009F74E7">
        <w:rPr>
          <w:sz w:val="20"/>
          <w:szCs w:val="20"/>
        </w:rPr>
        <w:t>2</w:t>
      </w:r>
      <w:r w:rsidR="00B93A60">
        <w:rPr>
          <w:sz w:val="20"/>
          <w:szCs w:val="20"/>
        </w:rPr>
        <w:t>2</w:t>
      </w:r>
      <w:r w:rsidRPr="00132055">
        <w:rPr>
          <w:sz w:val="20"/>
          <w:szCs w:val="20"/>
        </w:rPr>
        <w:t>, the official enters a code of their choice through the access code generation view.</w:t>
      </w:r>
    </w:p>
    <w:p w14:paraId="6966F929" w14:textId="77777777" w:rsidR="002A0E3E" w:rsidRDefault="002A0E3E" w:rsidP="002A0E3E">
      <w:pPr>
        <w:rPr>
          <w:sz w:val="20"/>
          <w:szCs w:val="20"/>
        </w:rPr>
      </w:pPr>
      <w:r w:rsidRPr="003D09F3">
        <w:rPr>
          <w:noProof/>
        </w:rPr>
        <w:lastRenderedPageBreak/>
        <w:drawing>
          <wp:inline distT="0" distB="0" distL="0" distR="0" wp14:anchorId="40B1DFA6" wp14:editId="02DDB8E0">
            <wp:extent cx="3427997" cy="1716657"/>
            <wp:effectExtent l="0" t="0" r="1270" b="0"/>
            <wp:docPr id="194243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37558" name=""/>
                    <pic:cNvPicPr/>
                  </pic:nvPicPr>
                  <pic:blipFill>
                    <a:blip r:embed="rId27"/>
                    <a:stretch>
                      <a:fillRect/>
                    </a:stretch>
                  </pic:blipFill>
                  <pic:spPr>
                    <a:xfrm>
                      <a:off x="0" y="0"/>
                      <a:ext cx="3444036" cy="1724689"/>
                    </a:xfrm>
                    <a:prstGeom prst="rect">
                      <a:avLst/>
                    </a:prstGeom>
                  </pic:spPr>
                </pic:pic>
              </a:graphicData>
            </a:graphic>
          </wp:inline>
        </w:drawing>
      </w:r>
    </w:p>
    <w:p w14:paraId="2E717CBA" w14:textId="5433309F" w:rsidR="002A0E3E" w:rsidRDefault="002A0E3E" w:rsidP="002A0E3E">
      <w:pPr>
        <w:rPr>
          <w:sz w:val="20"/>
          <w:szCs w:val="20"/>
        </w:rPr>
      </w:pPr>
      <w:r>
        <w:rPr>
          <w:sz w:val="20"/>
          <w:szCs w:val="20"/>
        </w:rPr>
        <w:t xml:space="preserve">Figure </w:t>
      </w:r>
      <w:r w:rsidR="009F74E7">
        <w:rPr>
          <w:sz w:val="20"/>
          <w:szCs w:val="20"/>
        </w:rPr>
        <w:t>2</w:t>
      </w:r>
      <w:r w:rsidR="00B93A60">
        <w:rPr>
          <w:sz w:val="20"/>
          <w:szCs w:val="20"/>
        </w:rPr>
        <w:t>2</w:t>
      </w:r>
      <w:r>
        <w:rPr>
          <w:sz w:val="20"/>
          <w:szCs w:val="20"/>
        </w:rPr>
        <w:t xml:space="preserve"> – Generate Access Code View in Official App</w:t>
      </w:r>
    </w:p>
    <w:p w14:paraId="52CAB573" w14:textId="49EDBCB9" w:rsidR="002A0E3E" w:rsidRDefault="002A0E3E" w:rsidP="002A0E3E">
      <w:pPr>
        <w:rPr>
          <w:sz w:val="20"/>
          <w:szCs w:val="20"/>
        </w:rPr>
      </w:pPr>
      <w:r w:rsidRPr="00132055">
        <w:rPr>
          <w:sz w:val="20"/>
          <w:szCs w:val="20"/>
        </w:rPr>
        <w:t xml:space="preserve">When the generate button is pressed, the code is checked against the database. If an identical code already exists, the official is prompted to enter a different one. Once a unique code is confirmed, it is hashed and the corresponding polling station record is updated. The voter then launches the </w:t>
      </w:r>
      <w:proofErr w:type="spellStart"/>
      <w:r w:rsidRPr="00132055">
        <w:rPr>
          <w:sz w:val="20"/>
          <w:szCs w:val="20"/>
        </w:rPr>
        <w:t>SecureVote</w:t>
      </w:r>
      <w:proofErr w:type="spellEnd"/>
      <w:r w:rsidRPr="00132055">
        <w:rPr>
          <w:sz w:val="20"/>
          <w:szCs w:val="20"/>
        </w:rPr>
        <w:t xml:space="preserve"> App, which opens to the linking screen shown in Figure </w:t>
      </w:r>
      <w:r w:rsidR="008B5816">
        <w:rPr>
          <w:sz w:val="20"/>
          <w:szCs w:val="20"/>
        </w:rPr>
        <w:t>2</w:t>
      </w:r>
      <w:r w:rsidR="00B93A60">
        <w:rPr>
          <w:sz w:val="20"/>
          <w:szCs w:val="20"/>
        </w:rPr>
        <w:t>3</w:t>
      </w:r>
      <w:r w:rsidR="008B5816">
        <w:rPr>
          <w:sz w:val="20"/>
          <w:szCs w:val="20"/>
        </w:rPr>
        <w:t xml:space="preserve">. </w:t>
      </w:r>
      <w:r w:rsidRPr="00132055">
        <w:rPr>
          <w:sz w:val="20"/>
          <w:szCs w:val="20"/>
        </w:rPr>
        <w:t>The voter's county, constituency, and the code generated by the official must all be entered to establish the connection, ensuring that each device is tied to the correct polling station session.</w:t>
      </w:r>
    </w:p>
    <w:p w14:paraId="459FDA5D" w14:textId="77777777" w:rsidR="002A0E3E" w:rsidRDefault="002A0E3E" w:rsidP="002A0E3E">
      <w:pPr>
        <w:rPr>
          <w:sz w:val="20"/>
          <w:szCs w:val="20"/>
        </w:rPr>
      </w:pPr>
      <w:r w:rsidRPr="003D09F3">
        <w:rPr>
          <w:noProof/>
        </w:rPr>
        <w:drawing>
          <wp:inline distT="0" distB="0" distL="0" distR="0" wp14:anchorId="0F0A2D7D" wp14:editId="147FCC2A">
            <wp:extent cx="3541504" cy="1794294"/>
            <wp:effectExtent l="0" t="0" r="1905" b="0"/>
            <wp:docPr id="44237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78373" name=""/>
                    <pic:cNvPicPr/>
                  </pic:nvPicPr>
                  <pic:blipFill>
                    <a:blip r:embed="rId28"/>
                    <a:stretch>
                      <a:fillRect/>
                    </a:stretch>
                  </pic:blipFill>
                  <pic:spPr>
                    <a:xfrm>
                      <a:off x="0" y="0"/>
                      <a:ext cx="3564486" cy="1805938"/>
                    </a:xfrm>
                    <a:prstGeom prst="rect">
                      <a:avLst/>
                    </a:prstGeom>
                  </pic:spPr>
                </pic:pic>
              </a:graphicData>
            </a:graphic>
          </wp:inline>
        </w:drawing>
      </w:r>
    </w:p>
    <w:p w14:paraId="2088F69B" w14:textId="2F30D6D9" w:rsidR="002A0E3E" w:rsidRDefault="002A0E3E" w:rsidP="002A0E3E">
      <w:pPr>
        <w:rPr>
          <w:sz w:val="20"/>
          <w:szCs w:val="20"/>
        </w:rPr>
      </w:pPr>
      <w:r>
        <w:rPr>
          <w:sz w:val="20"/>
          <w:szCs w:val="20"/>
        </w:rPr>
        <w:t xml:space="preserve">Figure </w:t>
      </w:r>
      <w:r w:rsidR="009F74E7">
        <w:rPr>
          <w:sz w:val="20"/>
          <w:szCs w:val="20"/>
        </w:rPr>
        <w:t>2</w:t>
      </w:r>
      <w:r w:rsidR="00B93A60">
        <w:rPr>
          <w:sz w:val="20"/>
          <w:szCs w:val="20"/>
        </w:rPr>
        <w:t>3</w:t>
      </w:r>
      <w:r>
        <w:rPr>
          <w:sz w:val="20"/>
          <w:szCs w:val="20"/>
        </w:rPr>
        <w:t xml:space="preserve"> – Voter App Linking Screen </w:t>
      </w:r>
    </w:p>
    <w:p w14:paraId="41696376" w14:textId="503B363D" w:rsidR="002A0E3E" w:rsidRDefault="002A0E3E" w:rsidP="002A0E3E">
      <w:pPr>
        <w:rPr>
          <w:sz w:val="20"/>
          <w:szCs w:val="20"/>
        </w:rPr>
      </w:pPr>
      <w:r w:rsidRPr="007B7FE4">
        <w:rPr>
          <w:sz w:val="20"/>
          <w:szCs w:val="20"/>
        </w:rPr>
        <w:t xml:space="preserve">Figure </w:t>
      </w:r>
      <w:r w:rsidR="008B5816">
        <w:rPr>
          <w:sz w:val="20"/>
          <w:szCs w:val="20"/>
        </w:rPr>
        <w:t>2</w:t>
      </w:r>
      <w:r w:rsidR="00B93A60">
        <w:rPr>
          <w:sz w:val="20"/>
          <w:szCs w:val="20"/>
        </w:rPr>
        <w:t>3</w:t>
      </w:r>
      <w:r w:rsidRPr="007B7FE4">
        <w:rPr>
          <w:sz w:val="20"/>
          <w:szCs w:val="20"/>
        </w:rPr>
        <w:t xml:space="preserve"> illustrates the initial linking screen displayed upon launching the </w:t>
      </w:r>
      <w:proofErr w:type="spellStart"/>
      <w:r w:rsidRPr="007B7FE4">
        <w:rPr>
          <w:sz w:val="20"/>
          <w:szCs w:val="20"/>
        </w:rPr>
        <w:t>SecureVote</w:t>
      </w:r>
      <w:proofErr w:type="spellEnd"/>
      <w:r w:rsidRPr="007B7FE4">
        <w:rPr>
          <w:sz w:val="20"/>
          <w:szCs w:val="20"/>
        </w:rPr>
        <w:t xml:space="preserve"> App. Establishing a connection requires the user to input the county, constituency, and the unique code generated in Figure </w:t>
      </w:r>
      <w:r w:rsidR="009F74E7">
        <w:rPr>
          <w:sz w:val="20"/>
          <w:szCs w:val="20"/>
        </w:rPr>
        <w:t>21</w:t>
      </w:r>
      <w:r w:rsidRPr="007B7FE4">
        <w:rPr>
          <w:sz w:val="20"/>
          <w:szCs w:val="20"/>
        </w:rPr>
        <w:t xml:space="preserve">. </w:t>
      </w:r>
    </w:p>
    <w:p w14:paraId="031986D4" w14:textId="77777777" w:rsidR="002A0E3E" w:rsidRPr="00B92465" w:rsidRDefault="002A0E3E" w:rsidP="002A0E3E">
      <w:pPr>
        <w:rPr>
          <w:b/>
          <w:bCs/>
          <w:sz w:val="20"/>
          <w:szCs w:val="20"/>
        </w:rPr>
      </w:pPr>
      <w:r w:rsidRPr="00B92465">
        <w:rPr>
          <w:b/>
          <w:bCs/>
          <w:sz w:val="20"/>
          <w:szCs w:val="20"/>
        </w:rPr>
        <w:t>8.2.2 Status update when voter has voted</w:t>
      </w:r>
    </w:p>
    <w:p w14:paraId="05562825" w14:textId="38949595" w:rsidR="002A0E3E" w:rsidRDefault="002A0E3E" w:rsidP="002A0E3E">
      <w:pPr>
        <w:rPr>
          <w:sz w:val="20"/>
          <w:szCs w:val="20"/>
        </w:rPr>
      </w:pPr>
      <w:r w:rsidRPr="00132055">
        <w:rPr>
          <w:sz w:val="20"/>
          <w:szCs w:val="20"/>
        </w:rPr>
        <w:t xml:space="preserve">The second area of functionality demonstrates how the system responds to potential electoral fraud. If a voter attempts to cast a second ballot, the system identifies this as a duplicate submission. The voter's screen is immediately locked, as shown in Figure </w:t>
      </w:r>
      <w:r w:rsidR="0055720D">
        <w:rPr>
          <w:sz w:val="20"/>
          <w:szCs w:val="20"/>
        </w:rPr>
        <w:t>2</w:t>
      </w:r>
      <w:r w:rsidR="00B93A60">
        <w:rPr>
          <w:sz w:val="20"/>
          <w:szCs w:val="20"/>
        </w:rPr>
        <w:t>4</w:t>
      </w:r>
      <w:r w:rsidRPr="00132055">
        <w:rPr>
          <w:sz w:val="20"/>
          <w:szCs w:val="20"/>
        </w:rPr>
        <w:t>, preventing any further interaction with the system and stopping the fraudulent attempt.</w:t>
      </w:r>
    </w:p>
    <w:p w14:paraId="554EBE9A" w14:textId="77777777" w:rsidR="002A0E3E" w:rsidRDefault="002A0E3E" w:rsidP="002A0E3E">
      <w:pPr>
        <w:rPr>
          <w:sz w:val="20"/>
          <w:szCs w:val="20"/>
        </w:rPr>
      </w:pPr>
      <w:r w:rsidRPr="000746F6">
        <w:rPr>
          <w:noProof/>
        </w:rPr>
        <w:drawing>
          <wp:inline distT="0" distB="0" distL="0" distR="0" wp14:anchorId="05C810C6" wp14:editId="6738212B">
            <wp:extent cx="3533751" cy="1785668"/>
            <wp:effectExtent l="0" t="0" r="0" b="5080"/>
            <wp:docPr id="117144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47010" name=""/>
                    <pic:cNvPicPr/>
                  </pic:nvPicPr>
                  <pic:blipFill>
                    <a:blip r:embed="rId29"/>
                    <a:stretch>
                      <a:fillRect/>
                    </a:stretch>
                  </pic:blipFill>
                  <pic:spPr>
                    <a:xfrm>
                      <a:off x="0" y="0"/>
                      <a:ext cx="3553423" cy="1795609"/>
                    </a:xfrm>
                    <a:prstGeom prst="rect">
                      <a:avLst/>
                    </a:prstGeom>
                  </pic:spPr>
                </pic:pic>
              </a:graphicData>
            </a:graphic>
          </wp:inline>
        </w:drawing>
      </w:r>
    </w:p>
    <w:p w14:paraId="48F2FC64" w14:textId="6524A73F" w:rsidR="002A0E3E" w:rsidRDefault="002A0E3E" w:rsidP="002A0E3E">
      <w:pPr>
        <w:rPr>
          <w:sz w:val="20"/>
          <w:szCs w:val="20"/>
        </w:rPr>
      </w:pPr>
      <w:r>
        <w:rPr>
          <w:sz w:val="20"/>
          <w:szCs w:val="20"/>
        </w:rPr>
        <w:lastRenderedPageBreak/>
        <w:t xml:space="preserve">Figure </w:t>
      </w:r>
      <w:r w:rsidR="00B93A60">
        <w:rPr>
          <w:sz w:val="20"/>
          <w:szCs w:val="20"/>
        </w:rPr>
        <w:t>24</w:t>
      </w:r>
      <w:r>
        <w:rPr>
          <w:sz w:val="20"/>
          <w:szCs w:val="20"/>
        </w:rPr>
        <w:t xml:space="preserve"> – Enter Voter Information Screen Locked by Second Vote Attempt</w:t>
      </w:r>
    </w:p>
    <w:p w14:paraId="2CC96CCF" w14:textId="77856674" w:rsidR="002A0E3E" w:rsidRDefault="002A0E3E" w:rsidP="002A0E3E">
      <w:pPr>
        <w:rPr>
          <w:sz w:val="20"/>
          <w:szCs w:val="20"/>
        </w:rPr>
      </w:pPr>
      <w:r w:rsidRPr="007B7FE4">
        <w:rPr>
          <w:sz w:val="20"/>
          <w:szCs w:val="20"/>
        </w:rPr>
        <w:t xml:space="preserve">Simultaneously, the Official App is updated with the device’s status, notifying the polling official of the suspicious behaviour. This enables an appropriate response, such as manually locking the device via the Polling Manager interface illustrated in Figure </w:t>
      </w:r>
      <w:r w:rsidR="008B5816">
        <w:rPr>
          <w:sz w:val="20"/>
          <w:szCs w:val="20"/>
        </w:rPr>
        <w:t>2</w:t>
      </w:r>
      <w:r w:rsidR="00B93A60">
        <w:rPr>
          <w:sz w:val="20"/>
          <w:szCs w:val="20"/>
        </w:rPr>
        <w:t>5</w:t>
      </w:r>
      <w:r w:rsidRPr="007B7FE4">
        <w:rPr>
          <w:sz w:val="20"/>
          <w:szCs w:val="20"/>
        </w:rPr>
        <w:t>.</w:t>
      </w:r>
    </w:p>
    <w:p w14:paraId="46600AEE" w14:textId="77777777" w:rsidR="002A0E3E" w:rsidRDefault="002A0E3E" w:rsidP="002A0E3E">
      <w:pPr>
        <w:rPr>
          <w:sz w:val="20"/>
          <w:szCs w:val="20"/>
        </w:rPr>
      </w:pPr>
      <w:r w:rsidRPr="000746F6">
        <w:rPr>
          <w:noProof/>
        </w:rPr>
        <w:drawing>
          <wp:inline distT="0" distB="0" distL="0" distR="0" wp14:anchorId="6F5D5306" wp14:editId="6A46F64D">
            <wp:extent cx="3508694" cy="1759789"/>
            <wp:effectExtent l="0" t="0" r="0" b="0"/>
            <wp:docPr id="94906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63194" name=""/>
                    <pic:cNvPicPr/>
                  </pic:nvPicPr>
                  <pic:blipFill>
                    <a:blip r:embed="rId30"/>
                    <a:stretch>
                      <a:fillRect/>
                    </a:stretch>
                  </pic:blipFill>
                  <pic:spPr>
                    <a:xfrm>
                      <a:off x="0" y="0"/>
                      <a:ext cx="3529980" cy="1770465"/>
                    </a:xfrm>
                    <a:prstGeom prst="rect">
                      <a:avLst/>
                    </a:prstGeom>
                  </pic:spPr>
                </pic:pic>
              </a:graphicData>
            </a:graphic>
          </wp:inline>
        </w:drawing>
      </w:r>
    </w:p>
    <w:p w14:paraId="6D901C1B" w14:textId="11F4D882" w:rsidR="002A0E3E" w:rsidRDefault="002A0E3E" w:rsidP="002A0E3E">
      <w:pPr>
        <w:rPr>
          <w:sz w:val="20"/>
          <w:szCs w:val="20"/>
        </w:rPr>
      </w:pPr>
      <w:r>
        <w:rPr>
          <w:sz w:val="20"/>
          <w:szCs w:val="20"/>
        </w:rPr>
        <w:t xml:space="preserve">Figure </w:t>
      </w:r>
      <w:r w:rsidR="008B5816">
        <w:rPr>
          <w:sz w:val="20"/>
          <w:szCs w:val="20"/>
        </w:rPr>
        <w:t>2</w:t>
      </w:r>
      <w:r w:rsidR="00B93A60">
        <w:rPr>
          <w:sz w:val="20"/>
          <w:szCs w:val="20"/>
        </w:rPr>
        <w:t>5</w:t>
      </w:r>
      <w:r>
        <w:rPr>
          <w:sz w:val="20"/>
          <w:szCs w:val="20"/>
        </w:rPr>
        <w:t xml:space="preserve"> – Official Polling Manager Screen Having Locked a Voting Device </w:t>
      </w:r>
    </w:p>
    <w:p w14:paraId="4C933B3B" w14:textId="66BD6613" w:rsidR="002A0E3E" w:rsidRPr="001A0B18" w:rsidRDefault="002A0E3E" w:rsidP="002A0E3E">
      <w:pPr>
        <w:rPr>
          <w:sz w:val="20"/>
          <w:szCs w:val="20"/>
        </w:rPr>
      </w:pPr>
      <w:r w:rsidRPr="00132055">
        <w:rPr>
          <w:sz w:val="20"/>
          <w:szCs w:val="20"/>
        </w:rPr>
        <w:t xml:space="preserve">When the lock command is issued, it is sent from the Official App to the server, which forwards it directly to the target device via </w:t>
      </w:r>
      <w:proofErr w:type="spellStart"/>
      <w:r w:rsidRPr="00132055">
        <w:rPr>
          <w:sz w:val="20"/>
          <w:szCs w:val="20"/>
        </w:rPr>
        <w:t>SignalR</w:t>
      </w:r>
      <w:proofErr w:type="spellEnd"/>
      <w:r w:rsidRPr="00132055">
        <w:rPr>
          <w:sz w:val="20"/>
          <w:szCs w:val="20"/>
        </w:rPr>
        <w:t xml:space="preserve">. The voter device is then redirected to the linking screen, as shown in Figure </w:t>
      </w:r>
      <w:r w:rsidR="008B5816">
        <w:rPr>
          <w:sz w:val="20"/>
          <w:szCs w:val="20"/>
        </w:rPr>
        <w:t>2</w:t>
      </w:r>
      <w:r w:rsidR="00B93A60">
        <w:rPr>
          <w:sz w:val="20"/>
          <w:szCs w:val="20"/>
        </w:rPr>
        <w:t>6</w:t>
      </w:r>
      <w:r>
        <w:rPr>
          <w:sz w:val="20"/>
          <w:szCs w:val="20"/>
        </w:rPr>
        <w:t>.</w:t>
      </w:r>
    </w:p>
    <w:p w14:paraId="4754375A" w14:textId="77777777" w:rsidR="002A0E3E" w:rsidRPr="001A0B18" w:rsidRDefault="002A0E3E" w:rsidP="002A0E3E">
      <w:pPr>
        <w:rPr>
          <w:sz w:val="20"/>
          <w:szCs w:val="20"/>
        </w:rPr>
      </w:pPr>
      <w:r w:rsidRPr="000746F6">
        <w:rPr>
          <w:noProof/>
        </w:rPr>
        <w:drawing>
          <wp:inline distT="0" distB="0" distL="0" distR="0" wp14:anchorId="3F63E22E" wp14:editId="75E8E25D">
            <wp:extent cx="3512061" cy="1777042"/>
            <wp:effectExtent l="0" t="0" r="0" b="0"/>
            <wp:docPr id="93031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10104" name=""/>
                    <pic:cNvPicPr/>
                  </pic:nvPicPr>
                  <pic:blipFill>
                    <a:blip r:embed="rId31"/>
                    <a:stretch>
                      <a:fillRect/>
                    </a:stretch>
                  </pic:blipFill>
                  <pic:spPr>
                    <a:xfrm>
                      <a:off x="0" y="0"/>
                      <a:ext cx="3521747" cy="1781943"/>
                    </a:xfrm>
                    <a:prstGeom prst="rect">
                      <a:avLst/>
                    </a:prstGeom>
                  </pic:spPr>
                </pic:pic>
              </a:graphicData>
            </a:graphic>
          </wp:inline>
        </w:drawing>
      </w:r>
    </w:p>
    <w:p w14:paraId="04DC4746" w14:textId="449B13F2" w:rsidR="002A0E3E" w:rsidRDefault="002A0E3E" w:rsidP="002A0E3E">
      <w:pPr>
        <w:rPr>
          <w:sz w:val="20"/>
          <w:szCs w:val="20"/>
        </w:rPr>
      </w:pPr>
      <w:r>
        <w:rPr>
          <w:sz w:val="20"/>
          <w:szCs w:val="20"/>
        </w:rPr>
        <w:t xml:space="preserve">Figure </w:t>
      </w:r>
      <w:r w:rsidR="008B5816">
        <w:rPr>
          <w:sz w:val="20"/>
          <w:szCs w:val="20"/>
        </w:rPr>
        <w:t>2</w:t>
      </w:r>
      <w:r w:rsidR="00B93A60">
        <w:rPr>
          <w:sz w:val="20"/>
          <w:szCs w:val="20"/>
        </w:rPr>
        <w:t>6</w:t>
      </w:r>
      <w:r>
        <w:rPr>
          <w:sz w:val="20"/>
          <w:szCs w:val="20"/>
        </w:rPr>
        <w:t xml:space="preserve"> –Voter Device Screen Locked by Official</w:t>
      </w:r>
    </w:p>
    <w:p w14:paraId="11A6F82A" w14:textId="77777777" w:rsidR="002A0E3E" w:rsidRDefault="002A0E3E" w:rsidP="002A0E3E">
      <w:pPr>
        <w:rPr>
          <w:sz w:val="20"/>
          <w:szCs w:val="20"/>
        </w:rPr>
      </w:pPr>
      <w:r w:rsidRPr="00132055">
        <w:rPr>
          <w:sz w:val="20"/>
          <w:szCs w:val="20"/>
        </w:rPr>
        <w:t>Once locked, the voter device is fully disabled. Although the JWT token and server connection remain valid, the voter cannot enter any information or submit a linking request, with any such attempt being rejected at the server. The official retains the ability to unlock the device remotely, which would allow the session to be re-established and voting to resume if appropriate.</w:t>
      </w:r>
    </w:p>
    <w:p w14:paraId="4D8B0B6B" w14:textId="77777777" w:rsidR="002A0E3E" w:rsidRPr="00B92465" w:rsidRDefault="002A0E3E" w:rsidP="002A0E3E">
      <w:pPr>
        <w:rPr>
          <w:b/>
          <w:bCs/>
          <w:sz w:val="20"/>
          <w:szCs w:val="20"/>
        </w:rPr>
      </w:pPr>
      <w:r w:rsidRPr="00B92465">
        <w:rPr>
          <w:b/>
          <w:bCs/>
          <w:sz w:val="20"/>
          <w:szCs w:val="20"/>
        </w:rPr>
        <w:t xml:space="preserve">9. Appraisal </w:t>
      </w:r>
    </w:p>
    <w:p w14:paraId="6A41EF7F" w14:textId="77777777" w:rsidR="002A0E3E" w:rsidRPr="00A869DF" w:rsidRDefault="002A0E3E" w:rsidP="002A0E3E">
      <w:pPr>
        <w:rPr>
          <w:sz w:val="20"/>
          <w:szCs w:val="20"/>
        </w:rPr>
      </w:pPr>
      <w:r w:rsidRPr="00A869DF">
        <w:rPr>
          <w:sz w:val="20"/>
          <w:szCs w:val="20"/>
        </w:rPr>
        <w:t>When appraising the project, it was concluded that the development process had run relatively smoothly overall, and there was a high level of satisfaction with the final product and its functionality. In reflecting on what could be improved if the project were undertaken again, two key areas were identified: server design and the structure of user surveys.</w:t>
      </w:r>
    </w:p>
    <w:p w14:paraId="7E8DBCFD" w14:textId="77777777" w:rsidR="002A0E3E" w:rsidRPr="00A869DF" w:rsidRDefault="002A0E3E" w:rsidP="002A0E3E">
      <w:pPr>
        <w:rPr>
          <w:sz w:val="20"/>
          <w:szCs w:val="20"/>
        </w:rPr>
      </w:pPr>
      <w:r w:rsidRPr="00A869DF">
        <w:rPr>
          <w:sz w:val="20"/>
          <w:szCs w:val="20"/>
        </w:rPr>
        <w:t xml:space="preserve">The first area concerned server design. With no prior experience in building an ASP.NET server, the project encountered a steep learning curve in understanding the framework and its conventions. This inexperience contributed to the inappropriate selection of polling as the server’s communication </w:t>
      </w:r>
      <w:r>
        <w:rPr>
          <w:sz w:val="20"/>
          <w:szCs w:val="20"/>
        </w:rPr>
        <w:t>structure</w:t>
      </w:r>
      <w:r w:rsidRPr="00A869DF">
        <w:rPr>
          <w:sz w:val="20"/>
          <w:szCs w:val="20"/>
        </w:rPr>
        <w:t>, which significantly delayed implementation. In retrospect, incorporating an initial experimental phase into the project plan would have allowed time to test unfamiliar technologies before committing to architectural decisions.</w:t>
      </w:r>
    </w:p>
    <w:p w14:paraId="1E983EA8" w14:textId="77777777" w:rsidR="002A0E3E" w:rsidRPr="00A869DF" w:rsidRDefault="002A0E3E" w:rsidP="002A0E3E">
      <w:pPr>
        <w:rPr>
          <w:sz w:val="20"/>
          <w:szCs w:val="20"/>
        </w:rPr>
      </w:pPr>
      <w:r w:rsidRPr="00A869DF">
        <w:rPr>
          <w:sz w:val="20"/>
          <w:szCs w:val="20"/>
        </w:rPr>
        <w:lastRenderedPageBreak/>
        <w:t>The second area related to user surveys. Only two opportunities were allocated for collecting public feedback, which was sufficient for evaluating two stages of the user interface but did not allow for a final assessment of the completed system. A third survey would have provided valuable insight into how users interacted with the finished interface, offering a more comprehensive evaluation of its overall usability and effectiveness.</w:t>
      </w:r>
    </w:p>
    <w:p w14:paraId="51A8798A" w14:textId="77777777" w:rsidR="002A0E3E" w:rsidRPr="00B92465" w:rsidRDefault="002A0E3E" w:rsidP="002A0E3E">
      <w:pPr>
        <w:rPr>
          <w:b/>
          <w:bCs/>
          <w:sz w:val="20"/>
          <w:szCs w:val="20"/>
        </w:rPr>
      </w:pPr>
      <w:r w:rsidRPr="00B92465">
        <w:rPr>
          <w:b/>
          <w:bCs/>
          <w:sz w:val="20"/>
          <w:szCs w:val="20"/>
        </w:rPr>
        <w:t>10</w:t>
      </w:r>
      <w:r>
        <w:rPr>
          <w:b/>
          <w:bCs/>
          <w:sz w:val="20"/>
          <w:szCs w:val="20"/>
        </w:rPr>
        <w:t>.</w:t>
      </w:r>
      <w:r w:rsidRPr="00B92465">
        <w:rPr>
          <w:b/>
          <w:bCs/>
          <w:sz w:val="20"/>
          <w:szCs w:val="20"/>
        </w:rPr>
        <w:t xml:space="preserve"> Summary and Conclusion </w:t>
      </w:r>
    </w:p>
    <w:p w14:paraId="474B7A0D" w14:textId="77777777" w:rsidR="002A0E3E" w:rsidRPr="00A85DB5" w:rsidRDefault="002A0E3E" w:rsidP="002A0E3E">
      <w:pPr>
        <w:rPr>
          <w:sz w:val="20"/>
          <w:szCs w:val="20"/>
        </w:rPr>
      </w:pPr>
      <w:r w:rsidRPr="00A85DB5">
        <w:rPr>
          <w:sz w:val="20"/>
          <w:szCs w:val="20"/>
        </w:rPr>
        <w:t>This project set out to develop a fingerprint</w:t>
      </w:r>
      <w:r>
        <w:rPr>
          <w:sz w:val="20"/>
          <w:szCs w:val="20"/>
        </w:rPr>
        <w:t xml:space="preserve"> </w:t>
      </w:r>
      <w:r w:rsidRPr="00A85DB5">
        <w:rPr>
          <w:sz w:val="20"/>
          <w:szCs w:val="20"/>
        </w:rPr>
        <w:t xml:space="preserve">authenticated </w:t>
      </w:r>
      <w:r>
        <w:rPr>
          <w:sz w:val="20"/>
          <w:szCs w:val="20"/>
        </w:rPr>
        <w:t xml:space="preserve">electronic </w:t>
      </w:r>
      <w:r w:rsidRPr="00A85DB5">
        <w:rPr>
          <w:sz w:val="20"/>
          <w:szCs w:val="20"/>
        </w:rPr>
        <w:t xml:space="preserve">voting system capable of strengthening electoral integrity in the UK. </w:t>
      </w:r>
      <w:r w:rsidRPr="00A869DF">
        <w:rPr>
          <w:sz w:val="20"/>
          <w:szCs w:val="20"/>
        </w:rPr>
        <w:t>Through the literature, several structural weaknesses were identified within the existing paper</w:t>
      </w:r>
      <w:r w:rsidRPr="00A869DF">
        <w:rPr>
          <w:sz w:val="20"/>
          <w:szCs w:val="20"/>
        </w:rPr>
        <w:noBreakHyphen/>
        <w:t xml:space="preserve">based voting system, including susceptibility to voter impersonation, risks of ballot tampering, and delays associated with manual counting. On this basis, the purpose of the proposed system was defined </w:t>
      </w:r>
      <w:r>
        <w:rPr>
          <w:sz w:val="20"/>
          <w:szCs w:val="20"/>
        </w:rPr>
        <w:t>in the aim (</w:t>
      </w:r>
      <w:r w:rsidRPr="00A869DF">
        <w:rPr>
          <w:sz w:val="20"/>
          <w:szCs w:val="20"/>
        </w:rPr>
        <w:t>to verify voter identity through fingerprint authentication before a vote is cast, removing dependence on easily forged identifiers, whilst ensuring no vote can be linked back to the individual who cast it).</w:t>
      </w:r>
      <w:r>
        <w:rPr>
          <w:i/>
          <w:iCs/>
          <w:sz w:val="20"/>
          <w:szCs w:val="20"/>
        </w:rPr>
        <w:t xml:space="preserve"> </w:t>
      </w:r>
    </w:p>
    <w:p w14:paraId="3596132C" w14:textId="77777777" w:rsidR="002A0E3E" w:rsidRPr="00A85DB5" w:rsidRDefault="002A0E3E" w:rsidP="002A0E3E">
      <w:pPr>
        <w:rPr>
          <w:sz w:val="20"/>
          <w:szCs w:val="20"/>
        </w:rPr>
      </w:pPr>
      <w:r w:rsidRPr="00A85DB5">
        <w:rPr>
          <w:sz w:val="20"/>
          <w:szCs w:val="20"/>
        </w:rPr>
        <w:t>Following an examination of international precedents, fingerprint scanning was selected as the most suitable biometric modality, balancing cost</w:t>
      </w:r>
      <w:r>
        <w:rPr>
          <w:sz w:val="20"/>
          <w:szCs w:val="20"/>
        </w:rPr>
        <w:t xml:space="preserve"> </w:t>
      </w:r>
      <w:r w:rsidRPr="00A85DB5">
        <w:rPr>
          <w:sz w:val="20"/>
          <w:szCs w:val="20"/>
        </w:rPr>
        <w:t xml:space="preserve">effectiveness with a FAR below 0.1%. The system was built across three integrated components: the Official App, the </w:t>
      </w:r>
      <w:proofErr w:type="spellStart"/>
      <w:r w:rsidRPr="00A85DB5">
        <w:rPr>
          <w:sz w:val="20"/>
          <w:szCs w:val="20"/>
        </w:rPr>
        <w:t>SecureVote</w:t>
      </w:r>
      <w:proofErr w:type="spellEnd"/>
      <w:r w:rsidRPr="00A85DB5">
        <w:rPr>
          <w:sz w:val="20"/>
          <w:szCs w:val="20"/>
        </w:rPr>
        <w:t xml:space="preserve"> App, and a cloud-hosted server, protected by multi-layered encryption, TLS transport security, and structural ballot anonymity enforced at the database level.</w:t>
      </w:r>
    </w:p>
    <w:p w14:paraId="596A5FA4" w14:textId="77777777" w:rsidR="002A0E3E" w:rsidRDefault="002A0E3E" w:rsidP="002A0E3E">
      <w:pPr>
        <w:rPr>
          <w:sz w:val="20"/>
          <w:szCs w:val="20"/>
        </w:rPr>
      </w:pPr>
      <w:r w:rsidRPr="00A85DB5">
        <w:rPr>
          <w:sz w:val="20"/>
          <w:szCs w:val="20"/>
        </w:rPr>
        <w:t>Both rounds of user evaluation demonstrated that the system is functional and that the voting process itself is intuitive for users, with the Official App benefiting considerably from the redesign informed by participant feedback</w:t>
      </w:r>
      <w:r>
        <w:rPr>
          <w:sz w:val="20"/>
          <w:szCs w:val="20"/>
        </w:rPr>
        <w:t xml:space="preserve">. It was </w:t>
      </w:r>
      <w:r w:rsidRPr="00A85DB5">
        <w:rPr>
          <w:sz w:val="20"/>
          <w:szCs w:val="20"/>
        </w:rPr>
        <w:t>concluded that the system demonstrates genuine viability as a foundation for biometric e-voting in the UK, with accessibility, scalability, and GDPR-compliant data retention identified as the most critical areas requiring further development before national deployment.</w:t>
      </w:r>
    </w:p>
    <w:p w14:paraId="60E3FC8E" w14:textId="77777777" w:rsidR="002A0E3E" w:rsidRPr="00B92465" w:rsidRDefault="002A0E3E" w:rsidP="002A0E3E">
      <w:pPr>
        <w:rPr>
          <w:b/>
          <w:bCs/>
          <w:sz w:val="20"/>
          <w:szCs w:val="20"/>
        </w:rPr>
      </w:pPr>
      <w:r w:rsidRPr="00B92465">
        <w:rPr>
          <w:b/>
          <w:bCs/>
          <w:sz w:val="20"/>
          <w:szCs w:val="20"/>
        </w:rPr>
        <w:t>11. Recommendations for Future Work</w:t>
      </w:r>
    </w:p>
    <w:p w14:paraId="255CB598" w14:textId="77777777" w:rsidR="002A0E3E" w:rsidRPr="00666C72" w:rsidRDefault="002A0E3E" w:rsidP="002A0E3E">
      <w:pPr>
        <w:rPr>
          <w:sz w:val="20"/>
          <w:szCs w:val="20"/>
        </w:rPr>
      </w:pPr>
      <w:r w:rsidRPr="00666C72">
        <w:rPr>
          <w:sz w:val="20"/>
          <w:szCs w:val="20"/>
        </w:rPr>
        <w:t>The first recommendation is the addition of language options. Given the linguistic diversity of Britain's population, many users may not have English as their first language. Implementing a language selector would make the application significantly more inclusive and accessible to a wider audience.</w:t>
      </w:r>
    </w:p>
    <w:p w14:paraId="70AF522C" w14:textId="77777777" w:rsidR="002A0E3E" w:rsidRPr="00666C72" w:rsidRDefault="002A0E3E" w:rsidP="002A0E3E">
      <w:pPr>
        <w:rPr>
          <w:sz w:val="20"/>
          <w:szCs w:val="20"/>
        </w:rPr>
      </w:pPr>
      <w:r w:rsidRPr="00666C72">
        <w:rPr>
          <w:sz w:val="20"/>
          <w:szCs w:val="20"/>
        </w:rPr>
        <w:t>The second recommendation concerns the fingerprint scanner. The current implementation only functions on Windows, which represents a considerable limitation given the system's cross-platform requirements. A more robust solution would be to source and integrate a higher-quality fingerprint scanner with broader compatibility. In time, the system could even evolve to support dedicated hardware scanners, such as those Apple has built into a range of their laptops, offering both reliability and a more seamless user experience.</w:t>
      </w:r>
    </w:p>
    <w:p w14:paraId="10F0468B" w14:textId="77777777" w:rsidR="002A0E3E" w:rsidRDefault="002A0E3E" w:rsidP="002A0E3E">
      <w:pPr>
        <w:rPr>
          <w:sz w:val="20"/>
          <w:szCs w:val="20"/>
        </w:rPr>
      </w:pPr>
      <w:r>
        <w:rPr>
          <w:sz w:val="20"/>
          <w:szCs w:val="20"/>
        </w:rPr>
        <w:t xml:space="preserve">Another </w:t>
      </w:r>
      <w:r w:rsidRPr="00666C72">
        <w:rPr>
          <w:sz w:val="20"/>
          <w:szCs w:val="20"/>
        </w:rPr>
        <w:t>recommendation is for more extensive user testing. At present, the User Interface has been designed primarily based on the researcher's own judgement, informed by the feedback received during the project. However, this may not fully reflect the preferences and expectations of the wider public across Britain. A broader and more structured programme of user testing would help ensure the interface is as intuitive and accessible as possible for all potential users.</w:t>
      </w:r>
    </w:p>
    <w:p w14:paraId="6CCEECFA" w14:textId="77777777" w:rsidR="002A0E3E" w:rsidRDefault="002A0E3E" w:rsidP="002A0E3E">
      <w:pPr>
        <w:rPr>
          <w:sz w:val="20"/>
          <w:szCs w:val="20"/>
        </w:rPr>
      </w:pPr>
      <w:r>
        <w:rPr>
          <w:sz w:val="20"/>
          <w:szCs w:val="20"/>
        </w:rPr>
        <w:t xml:space="preserve">A final recommendation for future work would be to redesign the server to function over multiple instances. Currently it can only handle under 1,000 connections where it was required to handle 10,000. Splitting the load of connections across multiple EC2 instance would allow for more connections satisfying the requirement. </w:t>
      </w:r>
    </w:p>
    <w:p w14:paraId="21A67C9D" w14:textId="77777777" w:rsidR="000B4A68" w:rsidRDefault="000B4A68" w:rsidP="00D1215F">
      <w:pPr>
        <w:rPr>
          <w:sz w:val="20"/>
          <w:szCs w:val="20"/>
        </w:rPr>
      </w:pPr>
    </w:p>
    <w:p w14:paraId="3398A533" w14:textId="77777777" w:rsidR="000B4A68" w:rsidRDefault="000B4A68" w:rsidP="00D1215F">
      <w:pPr>
        <w:rPr>
          <w:sz w:val="20"/>
          <w:szCs w:val="20"/>
        </w:rPr>
      </w:pPr>
    </w:p>
    <w:p w14:paraId="4A10F029" w14:textId="77777777" w:rsidR="000B4A68" w:rsidRDefault="000B4A68" w:rsidP="00D1215F">
      <w:pPr>
        <w:rPr>
          <w:sz w:val="20"/>
          <w:szCs w:val="20"/>
        </w:rPr>
      </w:pPr>
    </w:p>
    <w:p w14:paraId="18CA7E20" w14:textId="77777777" w:rsidR="000B4A68" w:rsidRDefault="000B4A68" w:rsidP="000B4A68">
      <w:pPr>
        <w:rPr>
          <w:rFonts w:ascii="Times New Roman" w:hAnsi="Times New Roman" w:cs="Times New Roman"/>
          <w:b/>
          <w:bCs/>
          <w:sz w:val="20"/>
          <w:szCs w:val="20"/>
        </w:rPr>
        <w:sectPr w:rsidR="000B4A68" w:rsidSect="00EE2AEC">
          <w:type w:val="continuous"/>
          <w:pgSz w:w="11906" w:h="16838"/>
          <w:pgMar w:top="1440" w:right="1440" w:bottom="1440" w:left="1440" w:header="708" w:footer="708" w:gutter="0"/>
          <w:cols w:space="708"/>
          <w:docGrid w:linePitch="360"/>
        </w:sectPr>
      </w:pPr>
    </w:p>
    <w:p w14:paraId="1B0CEE81" w14:textId="77777777" w:rsidR="000B4A68" w:rsidRPr="000B4A68" w:rsidRDefault="000B4A68" w:rsidP="000B4A68">
      <w:pPr>
        <w:rPr>
          <w:rFonts w:ascii="Times New Roman" w:hAnsi="Times New Roman" w:cs="Times New Roman"/>
          <w:b/>
          <w:bCs/>
          <w:sz w:val="20"/>
          <w:szCs w:val="20"/>
        </w:rPr>
      </w:pPr>
      <w:r w:rsidRPr="000B4A68">
        <w:rPr>
          <w:rFonts w:ascii="Times New Roman" w:hAnsi="Times New Roman" w:cs="Times New Roman"/>
          <w:b/>
          <w:bCs/>
          <w:sz w:val="20"/>
          <w:szCs w:val="20"/>
        </w:rPr>
        <w:lastRenderedPageBreak/>
        <w:t>Bibliography</w:t>
      </w:r>
    </w:p>
    <w:p w14:paraId="5A269A36"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[1]</w:t>
      </w:r>
    </w:p>
    <w:p w14:paraId="15F6F12C"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M. Da Costa-Abreu and S. Smith, “Using biometric-based identification systems in Brazil: A review on low cost fingerprint techniques on-the-go,” </w:t>
      </w:r>
      <w:r w:rsidRPr="000B4A68">
        <w:rPr>
          <w:rFonts w:ascii="Times New Roman" w:hAnsi="Times New Roman" w:cs="Times New Roman"/>
          <w:i/>
          <w:iCs/>
          <w:sz w:val="20"/>
          <w:szCs w:val="20"/>
        </w:rPr>
        <w:t>Computer Law &amp; Security Review</w:t>
      </w:r>
      <w:r w:rsidRPr="000B4A68">
        <w:rPr>
          <w:rFonts w:ascii="Times New Roman" w:hAnsi="Times New Roman" w:cs="Times New Roman"/>
          <w:sz w:val="20"/>
          <w:szCs w:val="20"/>
        </w:rPr>
        <w:t xml:space="preserve">, vol. 33, no. 5, pp. 629–634, Oct. 2017,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https://doi.org/10.1016/j.clsr.2017.03.003.</w:t>
      </w:r>
    </w:p>
    <w:p w14:paraId="3D8ED982"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[2]</w:t>
      </w:r>
    </w:p>
    <w:p w14:paraId="2C3B36BB"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D. Sadhya and T. Sahu, “A critical survey of the security and privacy aspects of the Aadhaar framework,” </w:t>
      </w:r>
      <w:r w:rsidRPr="000B4A68">
        <w:rPr>
          <w:rFonts w:ascii="Times New Roman" w:hAnsi="Times New Roman" w:cs="Times New Roman"/>
          <w:i/>
          <w:iCs/>
          <w:sz w:val="20"/>
          <w:szCs w:val="20"/>
        </w:rPr>
        <w:t>Computers &amp; Security</w:t>
      </w:r>
      <w:r w:rsidRPr="000B4A68">
        <w:rPr>
          <w:rFonts w:ascii="Times New Roman" w:hAnsi="Times New Roman" w:cs="Times New Roman"/>
          <w:sz w:val="20"/>
          <w:szCs w:val="20"/>
        </w:rPr>
        <w:t xml:space="preserve">, vol. 140, p. 103782, May 2024,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https://doi.org/10.1016/j.cose.2024.103782.</w:t>
      </w:r>
    </w:p>
    <w:p w14:paraId="76AF69FD"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[3]</w:t>
      </w:r>
    </w:p>
    <w:p w14:paraId="428208BE"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O. S. Afolabi, “Biometric Technologies, Electoral Fraud and the Management of Elections in Nigeria and Zimbabwe,” </w:t>
      </w:r>
      <w:r w:rsidRPr="000B4A68">
        <w:rPr>
          <w:rFonts w:ascii="Times New Roman" w:hAnsi="Times New Roman" w:cs="Times New Roman"/>
          <w:i/>
          <w:iCs/>
          <w:sz w:val="20"/>
          <w:szCs w:val="20"/>
        </w:rPr>
        <w:t>Strategic Review for Southern Africa</w:t>
      </w:r>
      <w:r w:rsidRPr="000B4A68">
        <w:rPr>
          <w:rFonts w:ascii="Times New Roman" w:hAnsi="Times New Roman" w:cs="Times New Roman"/>
          <w:sz w:val="20"/>
          <w:szCs w:val="20"/>
        </w:rPr>
        <w:t xml:space="preserve">, vol. 42, no. 2, Dec. 2020,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https://doi.org/10.35293/srsa.v42i2.80.</w:t>
      </w:r>
    </w:p>
    <w:p w14:paraId="1196485A"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[4]</w:t>
      </w:r>
    </w:p>
    <w:p w14:paraId="4D626AAE"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S. Anwarul and S. Dahiya, “A Comprehensive Review on Face Recognition Methods and Factors Affecting Facial Recognition Accuracy,” </w:t>
      </w:r>
      <w:r w:rsidRPr="000B4A68">
        <w:rPr>
          <w:rFonts w:ascii="Times New Roman" w:hAnsi="Times New Roman" w:cs="Times New Roman"/>
          <w:i/>
          <w:iCs/>
          <w:sz w:val="20"/>
          <w:szCs w:val="20"/>
        </w:rPr>
        <w:t>Lecture Notes in Electrical Engineering</w:t>
      </w:r>
      <w:r w:rsidRPr="000B4A68">
        <w:rPr>
          <w:rFonts w:ascii="Times New Roman" w:hAnsi="Times New Roman" w:cs="Times New Roman"/>
          <w:sz w:val="20"/>
          <w:szCs w:val="20"/>
        </w:rPr>
        <w:t xml:space="preserve">, vol. 597, pp. 495–514, Nov. 2019,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https://doi.org/10.1007/978-3-030-29407-6_36.</w:t>
      </w:r>
    </w:p>
    <w:p w14:paraId="53A361B6"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[5]</w:t>
      </w:r>
    </w:p>
    <w:p w14:paraId="3DE86E6A"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Public Administration and Constitutional Affairs Committee, “Review of the 2024 general election,” House of Commons, Jul. 2024. Accessed: Jan. 09, 2026. [Online]. Available: https://publications.parliament.uk/pa/cm5901/cmselect/cmpubadm/487/report.html</w:t>
      </w:r>
    </w:p>
    <w:p w14:paraId="18E0B68C"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[6]</w:t>
      </w:r>
    </w:p>
    <w:p w14:paraId="7FC7CAC2"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M. C. Herron and D. A. Smith, “Postal delivery disruptions and the fragility of voting by mail: Lessons from Maine,” </w:t>
      </w:r>
      <w:r w:rsidRPr="000B4A68">
        <w:rPr>
          <w:rFonts w:ascii="Times New Roman" w:hAnsi="Times New Roman" w:cs="Times New Roman"/>
          <w:i/>
          <w:iCs/>
          <w:sz w:val="20"/>
          <w:szCs w:val="20"/>
        </w:rPr>
        <w:t>Research &amp; Politics</w:t>
      </w:r>
      <w:r w:rsidRPr="000B4A68">
        <w:rPr>
          <w:rFonts w:ascii="Times New Roman" w:hAnsi="Times New Roman" w:cs="Times New Roman"/>
          <w:sz w:val="20"/>
          <w:szCs w:val="20"/>
        </w:rPr>
        <w:t xml:space="preserve">, vol. 8, no. 1, p. 205316802098143, Jan. 2021,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https://doi.org/10.1177/2053168020981434.</w:t>
      </w:r>
    </w:p>
    <w:p w14:paraId="2EBA73A2"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[7]</w:t>
      </w:r>
    </w:p>
    <w:p w14:paraId="41F2CAC5"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E. Hill, M. Sobolewska, S. Wilks-Heeg, and M. Borkowska, “Explaining electoral fraud in an advanced democracy: Fraud vulnerabilities, opportunities and facilitating mechanisms in British elections,” </w:t>
      </w:r>
      <w:r w:rsidRPr="000B4A68">
        <w:rPr>
          <w:rFonts w:ascii="Times New Roman" w:hAnsi="Times New Roman" w:cs="Times New Roman"/>
          <w:i/>
          <w:iCs/>
          <w:sz w:val="20"/>
          <w:szCs w:val="20"/>
        </w:rPr>
        <w:t>The British Journal of Politics and International Relations</w:t>
      </w:r>
      <w:r w:rsidRPr="000B4A68">
        <w:rPr>
          <w:rFonts w:ascii="Times New Roman" w:hAnsi="Times New Roman" w:cs="Times New Roman"/>
          <w:sz w:val="20"/>
          <w:szCs w:val="20"/>
        </w:rPr>
        <w:t>, vol. 19, no. 4, pp. 772–</w:t>
      </w:r>
      <w:r w:rsidRPr="000B4A68">
        <w:rPr>
          <w:rFonts w:ascii="Times New Roman" w:hAnsi="Times New Roman" w:cs="Times New Roman"/>
          <w:sz w:val="20"/>
          <w:szCs w:val="20"/>
        </w:rPr>
        <w:t xml:space="preserve">789, Jun. 2017,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https://doi.org/10.1177/1369148117715222.</w:t>
      </w:r>
    </w:p>
    <w:p w14:paraId="1A59B4E5"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[8]</w:t>
      </w:r>
    </w:p>
    <w:p w14:paraId="7E7D7A0C"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P. Norris, “Will New Technology Boost Turnout? Evaluating Experiments in E-Voting v. All-Postal Voting Facilities in UK Local Elections,” Aug. 2003.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https://doi.org/10.2139/ssrn.437140.</w:t>
      </w:r>
    </w:p>
    <w:p w14:paraId="2EC01BCA"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[9]</w:t>
      </w:r>
    </w:p>
    <w:p w14:paraId="1AF6F0EC"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N. Johnston, “EU referendum - the count,” House of Commons Library, May 2016. Accessed: Apr. 09, 2026. [Online]. Available: https://researchbriefings.files.parliament.uk/documents/CBP-7588/CBP-7588.pdf</w:t>
      </w:r>
    </w:p>
    <w:p w14:paraId="0E854DBA"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[10]</w:t>
      </w:r>
    </w:p>
    <w:p w14:paraId="2B0390B1"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UK </w:t>
      </w:r>
      <w:proofErr w:type="spellStart"/>
      <w:r w:rsidRPr="000B4A68">
        <w:rPr>
          <w:rFonts w:ascii="Times New Roman" w:hAnsi="Times New Roman" w:cs="Times New Roman"/>
          <w:sz w:val="20"/>
          <w:szCs w:val="20"/>
        </w:rPr>
        <w:t>Goverment</w:t>
      </w:r>
      <w:proofErr w:type="spellEnd"/>
      <w:r w:rsidRPr="000B4A68">
        <w:rPr>
          <w:rFonts w:ascii="Times New Roman" w:hAnsi="Times New Roman" w:cs="Times New Roman"/>
          <w:sz w:val="20"/>
          <w:szCs w:val="20"/>
        </w:rPr>
        <w:t xml:space="preserve">, “Types of election, referendums, and who can vote,” </w:t>
      </w:r>
      <w:r w:rsidRPr="000B4A68">
        <w:rPr>
          <w:rFonts w:ascii="Times New Roman" w:hAnsi="Times New Roman" w:cs="Times New Roman"/>
          <w:i/>
          <w:iCs/>
          <w:sz w:val="20"/>
          <w:szCs w:val="20"/>
        </w:rPr>
        <w:t>GOV.UK</w:t>
      </w:r>
      <w:r w:rsidRPr="000B4A68">
        <w:rPr>
          <w:rFonts w:ascii="Times New Roman" w:hAnsi="Times New Roman" w:cs="Times New Roman"/>
          <w:sz w:val="20"/>
          <w:szCs w:val="20"/>
        </w:rPr>
        <w:t>. https://www.gov.uk/elections-in-the-uk/general-election (accessed Jan. 09, 2026).</w:t>
      </w:r>
    </w:p>
    <w:p w14:paraId="42D2B203"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[11]</w:t>
      </w:r>
    </w:p>
    <w:p w14:paraId="28040385"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K. K. </w:t>
      </w:r>
      <w:proofErr w:type="spellStart"/>
      <w:r w:rsidRPr="000B4A68">
        <w:rPr>
          <w:rFonts w:ascii="Times New Roman" w:hAnsi="Times New Roman" w:cs="Times New Roman"/>
          <w:sz w:val="20"/>
          <w:szCs w:val="20"/>
        </w:rPr>
        <w:t>Sadasivuni</w:t>
      </w:r>
      <w:proofErr w:type="spellEnd"/>
      <w:r w:rsidRPr="000B4A68">
        <w:rPr>
          <w:rFonts w:ascii="Times New Roman" w:hAnsi="Times New Roman" w:cs="Times New Roman"/>
          <w:sz w:val="20"/>
          <w:szCs w:val="20"/>
        </w:rPr>
        <w:t xml:space="preserve">, M. T. </w:t>
      </w:r>
      <w:proofErr w:type="spellStart"/>
      <w:r w:rsidRPr="000B4A68">
        <w:rPr>
          <w:rFonts w:ascii="Times New Roman" w:hAnsi="Times New Roman" w:cs="Times New Roman"/>
          <w:sz w:val="20"/>
          <w:szCs w:val="20"/>
        </w:rPr>
        <w:t>Houkan</w:t>
      </w:r>
      <w:proofErr w:type="spellEnd"/>
      <w:r w:rsidRPr="000B4A68">
        <w:rPr>
          <w:rFonts w:ascii="Times New Roman" w:hAnsi="Times New Roman" w:cs="Times New Roman"/>
          <w:sz w:val="20"/>
          <w:szCs w:val="20"/>
        </w:rPr>
        <w:t xml:space="preserve">, M. S. Taha, and J.-J. </w:t>
      </w:r>
      <w:proofErr w:type="spellStart"/>
      <w:r w:rsidRPr="000B4A68">
        <w:rPr>
          <w:rFonts w:ascii="Times New Roman" w:hAnsi="Times New Roman" w:cs="Times New Roman"/>
          <w:sz w:val="20"/>
          <w:szCs w:val="20"/>
        </w:rPr>
        <w:t>Cabibihan</w:t>
      </w:r>
      <w:proofErr w:type="spellEnd"/>
      <w:r w:rsidRPr="000B4A68">
        <w:rPr>
          <w:rFonts w:ascii="Times New Roman" w:hAnsi="Times New Roman" w:cs="Times New Roman"/>
          <w:sz w:val="20"/>
          <w:szCs w:val="20"/>
        </w:rPr>
        <w:t xml:space="preserve">, “Anti-spoofing device for biometric fingerprint scanners,” </w:t>
      </w:r>
      <w:r w:rsidRPr="000B4A68">
        <w:rPr>
          <w:rFonts w:ascii="Times New Roman" w:hAnsi="Times New Roman" w:cs="Times New Roman"/>
          <w:i/>
          <w:iCs/>
          <w:sz w:val="20"/>
          <w:szCs w:val="20"/>
        </w:rPr>
        <w:t>IEEE Xplore</w:t>
      </w:r>
      <w:r w:rsidRPr="000B4A68">
        <w:rPr>
          <w:rFonts w:ascii="Times New Roman" w:hAnsi="Times New Roman" w:cs="Times New Roman"/>
          <w:sz w:val="20"/>
          <w:szCs w:val="20"/>
        </w:rPr>
        <w:t>, Aug. 01, 2017. https://ieeexplore.ieee.org/abstract/document/8015898 (accessed Jan. 20, 2026).</w:t>
      </w:r>
    </w:p>
    <w:p w14:paraId="3D07C468"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[12]</w:t>
      </w:r>
    </w:p>
    <w:p w14:paraId="6E06A15F"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R. </w:t>
      </w:r>
      <w:proofErr w:type="spellStart"/>
      <w:r w:rsidRPr="000B4A68">
        <w:rPr>
          <w:rFonts w:ascii="Times New Roman" w:hAnsi="Times New Roman" w:cs="Times New Roman"/>
          <w:sz w:val="20"/>
          <w:szCs w:val="20"/>
        </w:rPr>
        <w:t>Alrawili</w:t>
      </w:r>
      <w:proofErr w:type="spellEnd"/>
      <w:r w:rsidRPr="000B4A68">
        <w:rPr>
          <w:rFonts w:ascii="Times New Roman" w:hAnsi="Times New Roman" w:cs="Times New Roman"/>
          <w:sz w:val="20"/>
          <w:szCs w:val="20"/>
        </w:rPr>
        <w:t xml:space="preserve">, A. A. S. AlQahtani, and M. K. Khan, “Comprehensive survey: Biometric user authentication application, evaluation, and discussion,” </w:t>
      </w:r>
      <w:r w:rsidRPr="000B4A68">
        <w:rPr>
          <w:rFonts w:ascii="Times New Roman" w:hAnsi="Times New Roman" w:cs="Times New Roman"/>
          <w:i/>
          <w:iCs/>
          <w:sz w:val="20"/>
          <w:szCs w:val="20"/>
        </w:rPr>
        <w:t>Computers and Electrical Engineering</w:t>
      </w:r>
      <w:r w:rsidRPr="000B4A68">
        <w:rPr>
          <w:rFonts w:ascii="Times New Roman" w:hAnsi="Times New Roman" w:cs="Times New Roman"/>
          <w:sz w:val="20"/>
          <w:szCs w:val="20"/>
        </w:rPr>
        <w:t xml:space="preserve">, vol. 119, no. A, p. 109485, Oct. 2024,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https://doi.org/10.1016/j.compeleceng.2024.109485.</w:t>
      </w:r>
    </w:p>
    <w:p w14:paraId="0F69A051"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[13]</w:t>
      </w:r>
    </w:p>
    <w:p w14:paraId="6237FEFE"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K. Nguyen, H. Proença, and F. Alonso-Fernandez, “Deep Learning for Iris Recognition: A Survey,” </w:t>
      </w:r>
      <w:r w:rsidRPr="000B4A68">
        <w:rPr>
          <w:rFonts w:ascii="Times New Roman" w:hAnsi="Times New Roman" w:cs="Times New Roman"/>
          <w:i/>
          <w:iCs/>
          <w:sz w:val="20"/>
          <w:szCs w:val="20"/>
        </w:rPr>
        <w:t>ACM computing surveys</w:t>
      </w:r>
      <w:r w:rsidRPr="000B4A68">
        <w:rPr>
          <w:rFonts w:ascii="Times New Roman" w:hAnsi="Times New Roman" w:cs="Times New Roman"/>
          <w:sz w:val="20"/>
          <w:szCs w:val="20"/>
        </w:rPr>
        <w:t xml:space="preserve">, vol. 56, no. 9, pp. 1–35, Apr. 2024,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https://doi.org/10.1145/3651306.</w:t>
      </w:r>
    </w:p>
    <w:p w14:paraId="193E3FA0"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[14]</w:t>
      </w:r>
    </w:p>
    <w:p w14:paraId="041B9F71"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S. Anwarul and S. Dahiya, “A Comprehensive Review on Face Recognition Methods and Factors Affecting Facial Recognition Accuracy,” </w:t>
      </w:r>
      <w:r w:rsidRPr="000B4A68">
        <w:rPr>
          <w:rFonts w:ascii="Times New Roman" w:hAnsi="Times New Roman" w:cs="Times New Roman"/>
          <w:i/>
          <w:iCs/>
          <w:sz w:val="20"/>
          <w:szCs w:val="20"/>
        </w:rPr>
        <w:t>Lecture Notes in Electrical Engineering</w:t>
      </w:r>
      <w:r w:rsidRPr="000B4A68">
        <w:rPr>
          <w:rFonts w:ascii="Times New Roman" w:hAnsi="Times New Roman" w:cs="Times New Roman"/>
          <w:sz w:val="20"/>
          <w:szCs w:val="20"/>
        </w:rPr>
        <w:t xml:space="preserve">, vol. 597, pp. 495–514, Nov. 2019,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https://doi.org/10.1007/978-3-030-29407-6_36.</w:t>
      </w:r>
    </w:p>
    <w:p w14:paraId="32C05C03"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lastRenderedPageBreak/>
        <w:t>[15]</w:t>
      </w:r>
    </w:p>
    <w:p w14:paraId="1896AE24"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Hosam El-</w:t>
      </w:r>
      <w:proofErr w:type="spellStart"/>
      <w:r w:rsidRPr="000B4A68">
        <w:rPr>
          <w:rFonts w:ascii="Times New Roman" w:hAnsi="Times New Roman" w:cs="Times New Roman"/>
          <w:sz w:val="20"/>
          <w:szCs w:val="20"/>
        </w:rPr>
        <w:t>Sofany</w:t>
      </w:r>
      <w:proofErr w:type="spellEnd"/>
      <w:r w:rsidRPr="000B4A68">
        <w:rPr>
          <w:rFonts w:ascii="Times New Roman" w:hAnsi="Times New Roman" w:cs="Times New Roman"/>
          <w:sz w:val="20"/>
          <w:szCs w:val="20"/>
        </w:rPr>
        <w:t xml:space="preserve">, Belgacem </w:t>
      </w:r>
      <w:proofErr w:type="spellStart"/>
      <w:r w:rsidRPr="000B4A68">
        <w:rPr>
          <w:rFonts w:ascii="Times New Roman" w:hAnsi="Times New Roman" w:cs="Times New Roman"/>
          <w:sz w:val="20"/>
          <w:szCs w:val="20"/>
        </w:rPr>
        <w:t>Bouallegue</w:t>
      </w:r>
      <w:proofErr w:type="spellEnd"/>
      <w:r w:rsidRPr="000B4A68">
        <w:rPr>
          <w:rFonts w:ascii="Times New Roman" w:hAnsi="Times New Roman" w:cs="Times New Roman"/>
          <w:sz w:val="20"/>
          <w:szCs w:val="20"/>
        </w:rPr>
        <w:t xml:space="preserve">, and Yasser M Abd El-Latif, “A Proposed Biometric Authentication Hybrid Approach Using Iris Recognition for Improving Cloud Security,” </w:t>
      </w:r>
      <w:proofErr w:type="spellStart"/>
      <w:r w:rsidRPr="000B4A68">
        <w:rPr>
          <w:rFonts w:ascii="Times New Roman" w:hAnsi="Times New Roman" w:cs="Times New Roman"/>
          <w:i/>
          <w:iCs/>
          <w:sz w:val="20"/>
          <w:szCs w:val="20"/>
        </w:rPr>
        <w:t>Heliyon</w:t>
      </w:r>
      <w:proofErr w:type="spellEnd"/>
      <w:r w:rsidRPr="000B4A68">
        <w:rPr>
          <w:rFonts w:ascii="Times New Roman" w:hAnsi="Times New Roman" w:cs="Times New Roman"/>
          <w:sz w:val="20"/>
          <w:szCs w:val="20"/>
        </w:rPr>
        <w:t xml:space="preserve">, vol. 10, no. 16, pp. e36390–e36390, Aug. 2024,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https://doi.org/10.1016/j.heliyon.2024.e36390.</w:t>
      </w:r>
    </w:p>
    <w:p w14:paraId="67A366C1"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[16]</w:t>
      </w:r>
    </w:p>
    <w:p w14:paraId="02A9E57D"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W. Yang, S. Wang, J. Hu, G. Zheng, and C. Valli, “Security and Accuracy of Fingerprint-Based Biometrics: A Review,” </w:t>
      </w:r>
      <w:r w:rsidRPr="000B4A68">
        <w:rPr>
          <w:rFonts w:ascii="Times New Roman" w:hAnsi="Times New Roman" w:cs="Times New Roman"/>
          <w:i/>
          <w:iCs/>
          <w:sz w:val="20"/>
          <w:szCs w:val="20"/>
        </w:rPr>
        <w:t>Symmetry</w:t>
      </w:r>
      <w:r w:rsidRPr="000B4A68">
        <w:rPr>
          <w:rFonts w:ascii="Times New Roman" w:hAnsi="Times New Roman" w:cs="Times New Roman"/>
          <w:sz w:val="20"/>
          <w:szCs w:val="20"/>
        </w:rPr>
        <w:t xml:space="preserve">, vol. 11, no. 2, p. 141, Jan. 2019,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https://doi.org/10.3390/sym11020141.</w:t>
      </w:r>
    </w:p>
    <w:p w14:paraId="4AD5AB0D"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[17]</w:t>
      </w:r>
    </w:p>
    <w:p w14:paraId="020FE5E0"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Y. Yu, Q. Niu, L. </w:t>
      </w:r>
      <w:proofErr w:type="spellStart"/>
      <w:r w:rsidRPr="000B4A68">
        <w:rPr>
          <w:rFonts w:ascii="Times New Roman" w:hAnsi="Times New Roman" w:cs="Times New Roman"/>
          <w:sz w:val="20"/>
          <w:szCs w:val="20"/>
        </w:rPr>
        <w:t>Xiaoshi</w:t>
      </w:r>
      <w:proofErr w:type="spellEnd"/>
      <w:r w:rsidRPr="000B4A68">
        <w:rPr>
          <w:rFonts w:ascii="Times New Roman" w:hAnsi="Times New Roman" w:cs="Times New Roman"/>
          <w:sz w:val="20"/>
          <w:szCs w:val="20"/>
        </w:rPr>
        <w:t xml:space="preserve">, J. Xue, W. Liu, and D. Lin, “A Review of Fingerprint Sensors: Mechanism, Characteristics, and Applications,” </w:t>
      </w:r>
      <w:r w:rsidRPr="000B4A68">
        <w:rPr>
          <w:rFonts w:ascii="Times New Roman" w:hAnsi="Times New Roman" w:cs="Times New Roman"/>
          <w:i/>
          <w:iCs/>
          <w:sz w:val="20"/>
          <w:szCs w:val="20"/>
        </w:rPr>
        <w:t>Micromachines (Basel)</w:t>
      </w:r>
      <w:r w:rsidRPr="000B4A68">
        <w:rPr>
          <w:rFonts w:ascii="Times New Roman" w:hAnsi="Times New Roman" w:cs="Times New Roman"/>
          <w:sz w:val="20"/>
          <w:szCs w:val="20"/>
        </w:rPr>
        <w:t xml:space="preserve">, vol. 14, no. 6, pp. 1253–1253, Jun. 2023,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https://doi.org/10.3390/mi14061253.</w:t>
      </w:r>
    </w:p>
    <w:p w14:paraId="36F265D1"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[18]</w:t>
      </w:r>
    </w:p>
    <w:p w14:paraId="0C38D98C"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L. Li, P. L. Correia, and A. Hadid, “Face recognition under spoofing attacks: countermeasures and research directions,” </w:t>
      </w:r>
      <w:r w:rsidRPr="000B4A68">
        <w:rPr>
          <w:rFonts w:ascii="Times New Roman" w:hAnsi="Times New Roman" w:cs="Times New Roman"/>
          <w:i/>
          <w:iCs/>
          <w:sz w:val="20"/>
          <w:szCs w:val="20"/>
        </w:rPr>
        <w:t>IET Biometrics</w:t>
      </w:r>
      <w:r w:rsidRPr="000B4A68">
        <w:rPr>
          <w:rFonts w:ascii="Times New Roman" w:hAnsi="Times New Roman" w:cs="Times New Roman"/>
          <w:sz w:val="20"/>
          <w:szCs w:val="20"/>
        </w:rPr>
        <w:t xml:space="preserve">, vol. 7, no. 1, pp. 3–14, Jan. 2018,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https://doi.org/10.1049/iet-bmt.2017.0089.</w:t>
      </w:r>
    </w:p>
    <w:p w14:paraId="7BFE9970"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[19]</w:t>
      </w:r>
    </w:p>
    <w:p w14:paraId="715145C3"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A. Devasia, “Biometric Access Control System Price: Full Guide (2024),” </w:t>
      </w:r>
      <w:r w:rsidRPr="000B4A68">
        <w:rPr>
          <w:rFonts w:ascii="Times New Roman" w:hAnsi="Times New Roman" w:cs="Times New Roman"/>
          <w:i/>
          <w:iCs/>
          <w:sz w:val="20"/>
          <w:szCs w:val="20"/>
        </w:rPr>
        <w:t>Safe and Sound Security</w:t>
      </w:r>
      <w:r w:rsidRPr="000B4A68">
        <w:rPr>
          <w:rFonts w:ascii="Times New Roman" w:hAnsi="Times New Roman" w:cs="Times New Roman"/>
          <w:sz w:val="20"/>
          <w:szCs w:val="20"/>
        </w:rPr>
        <w:t>, May 29, 2024. https://getsafeandsound.com/blog/biometric-access-control-system-price/</w:t>
      </w:r>
    </w:p>
    <w:p w14:paraId="55EE2F38"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[20]</w:t>
      </w:r>
    </w:p>
    <w:p w14:paraId="2D96480B"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D. Diaz-Sanchez, A. Marin-Lopez, F. A. Mendoza, P. A. </w:t>
      </w:r>
      <w:proofErr w:type="spellStart"/>
      <w:r w:rsidRPr="000B4A68">
        <w:rPr>
          <w:rFonts w:ascii="Times New Roman" w:hAnsi="Times New Roman" w:cs="Times New Roman"/>
          <w:sz w:val="20"/>
          <w:szCs w:val="20"/>
        </w:rPr>
        <w:t>Cabarcos</w:t>
      </w:r>
      <w:proofErr w:type="spellEnd"/>
      <w:r w:rsidRPr="000B4A68">
        <w:rPr>
          <w:rFonts w:ascii="Times New Roman" w:hAnsi="Times New Roman" w:cs="Times New Roman"/>
          <w:sz w:val="20"/>
          <w:szCs w:val="20"/>
        </w:rPr>
        <w:t xml:space="preserve">, and R. S. Sherratt, “TLS/PKI Challenges and Certificate Pinning Techniques for IoT and M2M Secure Communications,” </w:t>
      </w:r>
      <w:r w:rsidRPr="000B4A68">
        <w:rPr>
          <w:rFonts w:ascii="Times New Roman" w:hAnsi="Times New Roman" w:cs="Times New Roman"/>
          <w:i/>
          <w:iCs/>
          <w:sz w:val="20"/>
          <w:szCs w:val="20"/>
        </w:rPr>
        <w:t>IEEE Communications Surveys &amp; Tutorials</w:t>
      </w:r>
      <w:r w:rsidRPr="000B4A68">
        <w:rPr>
          <w:rFonts w:ascii="Times New Roman" w:hAnsi="Times New Roman" w:cs="Times New Roman"/>
          <w:sz w:val="20"/>
          <w:szCs w:val="20"/>
        </w:rPr>
        <w:t xml:space="preserve">, vol. 21, no. 4, pp. 3502–3531, 2019,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https://doi.org/10.1109/comst.2019.2914453.</w:t>
      </w:r>
    </w:p>
    <w:p w14:paraId="79569985"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[21]</w:t>
      </w:r>
    </w:p>
    <w:p w14:paraId="0A4C871E"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B.-Y. Sung, K.-B. Kim, and K.-W. Shin, “An AES-GCM authenticated encryption crypto-core for IoT security,” </w:t>
      </w:r>
      <w:r w:rsidRPr="000B4A68">
        <w:rPr>
          <w:rFonts w:ascii="Times New Roman" w:hAnsi="Times New Roman" w:cs="Times New Roman"/>
          <w:i/>
          <w:iCs/>
          <w:sz w:val="20"/>
          <w:szCs w:val="20"/>
        </w:rPr>
        <w:t>IEEE Xplore</w:t>
      </w:r>
      <w:r w:rsidRPr="000B4A68">
        <w:rPr>
          <w:rFonts w:ascii="Times New Roman" w:hAnsi="Times New Roman" w:cs="Times New Roman"/>
          <w:sz w:val="20"/>
          <w:szCs w:val="20"/>
        </w:rPr>
        <w:t>, Jan. 01, 2018. https://ieeexplore.ieee.org/abstract/document/8330586/ (accessed May 23, 2023).</w:t>
      </w:r>
    </w:p>
    <w:p w14:paraId="34E850DB"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[22]</w:t>
      </w:r>
    </w:p>
    <w:p w14:paraId="4F72BBEC"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O. Ethelbert, F. F. Moghaddam, P. Wieder, and R. </w:t>
      </w:r>
      <w:proofErr w:type="spellStart"/>
      <w:r w:rsidRPr="000B4A68">
        <w:rPr>
          <w:rFonts w:ascii="Times New Roman" w:hAnsi="Times New Roman" w:cs="Times New Roman"/>
          <w:sz w:val="20"/>
          <w:szCs w:val="20"/>
        </w:rPr>
        <w:t>Yahyapour</w:t>
      </w:r>
      <w:proofErr w:type="spellEnd"/>
      <w:r w:rsidRPr="000B4A68">
        <w:rPr>
          <w:rFonts w:ascii="Times New Roman" w:hAnsi="Times New Roman" w:cs="Times New Roman"/>
          <w:sz w:val="20"/>
          <w:szCs w:val="20"/>
        </w:rPr>
        <w:t xml:space="preserve">, “A JSON Token-Based Authentication and Access Management Schema for Cloud SaaS Applications,” </w:t>
      </w:r>
      <w:r w:rsidRPr="000B4A68">
        <w:rPr>
          <w:rFonts w:ascii="Times New Roman" w:hAnsi="Times New Roman" w:cs="Times New Roman"/>
          <w:i/>
          <w:iCs/>
          <w:sz w:val="20"/>
          <w:szCs w:val="20"/>
        </w:rPr>
        <w:t>IEEE Xplore</w:t>
      </w:r>
      <w:r w:rsidRPr="000B4A68">
        <w:rPr>
          <w:rFonts w:ascii="Times New Roman" w:hAnsi="Times New Roman" w:cs="Times New Roman"/>
          <w:sz w:val="20"/>
          <w:szCs w:val="20"/>
        </w:rPr>
        <w:t>, Aug. 01, 2017. https://ieeexplore.ieee.org/abstract/document/8114462</w:t>
      </w:r>
    </w:p>
    <w:p w14:paraId="7FA028D1"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[23]</w:t>
      </w:r>
    </w:p>
    <w:p w14:paraId="3E4AE332"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S. Ahmed and Q. Mahmood, “An authentication based scheme for applications using JSON web token,” </w:t>
      </w:r>
      <w:r w:rsidRPr="000B4A68">
        <w:rPr>
          <w:rFonts w:ascii="Times New Roman" w:hAnsi="Times New Roman" w:cs="Times New Roman"/>
          <w:i/>
          <w:iCs/>
          <w:sz w:val="20"/>
          <w:szCs w:val="20"/>
        </w:rPr>
        <w:t>2019 22nd International Multitopic Conference (INMIC)</w:t>
      </w:r>
      <w:r w:rsidRPr="000B4A68">
        <w:rPr>
          <w:rFonts w:ascii="Times New Roman" w:hAnsi="Times New Roman" w:cs="Times New Roman"/>
          <w:sz w:val="20"/>
          <w:szCs w:val="20"/>
        </w:rPr>
        <w:t xml:space="preserve">, Nov. 2019,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https://doi.org/10.1109/inmic48123.2019.9022766.</w:t>
      </w:r>
    </w:p>
    <w:p w14:paraId="59FAC603"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[24]</w:t>
      </w:r>
    </w:p>
    <w:p w14:paraId="048B3A8F"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A. Biryukov, D. Dinu, and D. </w:t>
      </w:r>
      <w:proofErr w:type="spellStart"/>
      <w:r w:rsidRPr="000B4A68">
        <w:rPr>
          <w:rFonts w:ascii="Times New Roman" w:hAnsi="Times New Roman" w:cs="Times New Roman"/>
          <w:sz w:val="20"/>
          <w:szCs w:val="20"/>
        </w:rPr>
        <w:t>Khovratovich</w:t>
      </w:r>
      <w:proofErr w:type="spellEnd"/>
      <w:r w:rsidRPr="000B4A68">
        <w:rPr>
          <w:rFonts w:ascii="Times New Roman" w:hAnsi="Times New Roman" w:cs="Times New Roman"/>
          <w:sz w:val="20"/>
          <w:szCs w:val="20"/>
        </w:rPr>
        <w:t xml:space="preserve">, “Argon2: New Generation of Memory-Hard Functions for Password Hashing and Other Applications,” </w:t>
      </w:r>
      <w:r w:rsidRPr="000B4A68">
        <w:rPr>
          <w:rFonts w:ascii="Times New Roman" w:hAnsi="Times New Roman" w:cs="Times New Roman"/>
          <w:i/>
          <w:iCs/>
          <w:sz w:val="20"/>
          <w:szCs w:val="20"/>
        </w:rPr>
        <w:t>2016 IEEE European Symposium on Security and Privacy (</w:t>
      </w:r>
      <w:proofErr w:type="spellStart"/>
      <w:r w:rsidRPr="000B4A68">
        <w:rPr>
          <w:rFonts w:ascii="Times New Roman" w:hAnsi="Times New Roman" w:cs="Times New Roman"/>
          <w:i/>
          <w:iCs/>
          <w:sz w:val="20"/>
          <w:szCs w:val="20"/>
        </w:rPr>
        <w:t>EuroS&amp;P</w:t>
      </w:r>
      <w:proofErr w:type="spellEnd"/>
      <w:r w:rsidRPr="000B4A68">
        <w:rPr>
          <w:rFonts w:ascii="Times New Roman" w:hAnsi="Times New Roman" w:cs="Times New Roman"/>
          <w:i/>
          <w:iCs/>
          <w:sz w:val="20"/>
          <w:szCs w:val="20"/>
        </w:rPr>
        <w:t>)</w:t>
      </w:r>
      <w:r w:rsidRPr="000B4A68">
        <w:rPr>
          <w:rFonts w:ascii="Times New Roman" w:hAnsi="Times New Roman" w:cs="Times New Roman"/>
          <w:sz w:val="20"/>
          <w:szCs w:val="20"/>
        </w:rPr>
        <w:t xml:space="preserve">, Mar. 2016,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https://doi.org/10.1109/eurosp.2016.31.</w:t>
      </w:r>
    </w:p>
    <w:p w14:paraId="6C522EC7"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[25]</w:t>
      </w:r>
    </w:p>
    <w:p w14:paraId="27D9764A"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L. Chen, K. Huang, M. </w:t>
      </w:r>
      <w:proofErr w:type="spellStart"/>
      <w:r w:rsidRPr="000B4A68">
        <w:rPr>
          <w:rFonts w:ascii="Times New Roman" w:hAnsi="Times New Roman" w:cs="Times New Roman"/>
          <w:sz w:val="20"/>
          <w:szCs w:val="20"/>
        </w:rPr>
        <w:t>Manulis</w:t>
      </w:r>
      <w:proofErr w:type="spellEnd"/>
      <w:r w:rsidRPr="000B4A68">
        <w:rPr>
          <w:rFonts w:ascii="Times New Roman" w:hAnsi="Times New Roman" w:cs="Times New Roman"/>
          <w:sz w:val="20"/>
          <w:szCs w:val="20"/>
        </w:rPr>
        <w:t xml:space="preserve">, and V. Sekar, “Password-authenticated searchable encryption,” </w:t>
      </w:r>
      <w:r w:rsidRPr="000B4A68">
        <w:rPr>
          <w:rFonts w:ascii="Times New Roman" w:hAnsi="Times New Roman" w:cs="Times New Roman"/>
          <w:i/>
          <w:iCs/>
          <w:sz w:val="20"/>
          <w:szCs w:val="20"/>
        </w:rPr>
        <w:t>International Journal of Information Security</w:t>
      </w:r>
      <w:r w:rsidRPr="000B4A68">
        <w:rPr>
          <w:rFonts w:ascii="Times New Roman" w:hAnsi="Times New Roman" w:cs="Times New Roman"/>
          <w:sz w:val="20"/>
          <w:szCs w:val="20"/>
        </w:rPr>
        <w:t xml:space="preserve">, Nov. 2020,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https://doi.org/10.1007/s10207-020-00524-5.</w:t>
      </w:r>
    </w:p>
    <w:p w14:paraId="5C9BC13C"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[26]</w:t>
      </w:r>
    </w:p>
    <w:p w14:paraId="5E50F828"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Google, “Envelope encryption,” </w:t>
      </w:r>
      <w:r w:rsidRPr="000B4A68">
        <w:rPr>
          <w:rFonts w:ascii="Times New Roman" w:hAnsi="Times New Roman" w:cs="Times New Roman"/>
          <w:i/>
          <w:iCs/>
          <w:sz w:val="20"/>
          <w:szCs w:val="20"/>
        </w:rPr>
        <w:t>Google Cloud Documentation</w:t>
      </w:r>
      <w:r w:rsidRPr="000B4A68">
        <w:rPr>
          <w:rFonts w:ascii="Times New Roman" w:hAnsi="Times New Roman" w:cs="Times New Roman"/>
          <w:sz w:val="20"/>
          <w:szCs w:val="20"/>
        </w:rPr>
        <w:t>, 2025. https://docs.cloud.google.com/kms/docs/envelope-encryption</w:t>
      </w:r>
    </w:p>
    <w:p w14:paraId="634CFCCE"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[27]</w:t>
      </w:r>
    </w:p>
    <w:p w14:paraId="1B8B68B8" w14:textId="77777777" w:rsidR="000B4A68" w:rsidRPr="000B4A68" w:rsidRDefault="000B4A68" w:rsidP="000B4A68">
      <w:pPr>
        <w:rPr>
          <w:rFonts w:ascii="Times New Roman" w:hAnsi="Times New Roman" w:cs="Times New Roman"/>
          <w:sz w:val="20"/>
          <w:szCs w:val="20"/>
        </w:rPr>
      </w:pPr>
      <w:proofErr w:type="spellStart"/>
      <w:r w:rsidRPr="000B4A68">
        <w:rPr>
          <w:rFonts w:ascii="Times New Roman" w:hAnsi="Times New Roman" w:cs="Times New Roman"/>
          <w:sz w:val="20"/>
          <w:szCs w:val="20"/>
        </w:rPr>
        <w:t>GraffersID</w:t>
      </w:r>
      <w:proofErr w:type="spellEnd"/>
      <w:r w:rsidRPr="000B4A68">
        <w:rPr>
          <w:rFonts w:ascii="Times New Roman" w:hAnsi="Times New Roman" w:cs="Times New Roman"/>
          <w:sz w:val="20"/>
          <w:szCs w:val="20"/>
        </w:rPr>
        <w:t xml:space="preserve">, “.NET Advantages and Disadvantages | App Development,” </w:t>
      </w:r>
      <w:proofErr w:type="spellStart"/>
      <w:r w:rsidRPr="000B4A68">
        <w:rPr>
          <w:rFonts w:ascii="Times New Roman" w:hAnsi="Times New Roman" w:cs="Times New Roman"/>
          <w:i/>
          <w:iCs/>
          <w:sz w:val="20"/>
          <w:szCs w:val="20"/>
        </w:rPr>
        <w:t>Graffersid</w:t>
      </w:r>
      <w:proofErr w:type="spellEnd"/>
      <w:r w:rsidRPr="000B4A68">
        <w:rPr>
          <w:rFonts w:ascii="Times New Roman" w:hAnsi="Times New Roman" w:cs="Times New Roman"/>
          <w:sz w:val="20"/>
          <w:szCs w:val="20"/>
        </w:rPr>
        <w:t>, Feb. 04, 2020. https://graffersid.com/advantages-and-disadvantages-of-using-net/</w:t>
      </w:r>
    </w:p>
    <w:p w14:paraId="4E3D1450"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[28]</w:t>
      </w:r>
    </w:p>
    <w:p w14:paraId="1841271E"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J. M. Aguilar, </w:t>
      </w:r>
      <w:proofErr w:type="spellStart"/>
      <w:r w:rsidRPr="000B4A68">
        <w:rPr>
          <w:rFonts w:ascii="Times New Roman" w:hAnsi="Times New Roman" w:cs="Times New Roman"/>
          <w:i/>
          <w:iCs/>
          <w:sz w:val="20"/>
          <w:szCs w:val="20"/>
        </w:rPr>
        <w:t>SignalR</w:t>
      </w:r>
      <w:proofErr w:type="spellEnd"/>
      <w:r w:rsidRPr="000B4A68">
        <w:rPr>
          <w:rFonts w:ascii="Times New Roman" w:hAnsi="Times New Roman" w:cs="Times New Roman"/>
          <w:i/>
          <w:iCs/>
          <w:sz w:val="20"/>
          <w:szCs w:val="20"/>
        </w:rPr>
        <w:t xml:space="preserve"> Programming in Microsoft ASP.NET</w:t>
      </w:r>
      <w:r w:rsidRPr="000B4A68">
        <w:rPr>
          <w:rFonts w:ascii="Times New Roman" w:hAnsi="Times New Roman" w:cs="Times New Roman"/>
          <w:sz w:val="20"/>
          <w:szCs w:val="20"/>
        </w:rPr>
        <w:t>. Microsoft, 2014.</w:t>
      </w:r>
    </w:p>
    <w:p w14:paraId="16866C83"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[29]</w:t>
      </w:r>
    </w:p>
    <w:p w14:paraId="3DFDA36C" w14:textId="77777777" w:rsidR="000B4A68" w:rsidRPr="000B4A68" w:rsidRDefault="000B4A68" w:rsidP="000B4A68">
      <w:pPr>
        <w:rPr>
          <w:rFonts w:ascii="Times New Roman" w:hAnsi="Times New Roman" w:cs="Times New Roman"/>
          <w:sz w:val="20"/>
          <w:szCs w:val="20"/>
        </w:rPr>
      </w:pPr>
      <w:proofErr w:type="spellStart"/>
      <w:r w:rsidRPr="000B4A68">
        <w:rPr>
          <w:rFonts w:ascii="Times New Roman" w:hAnsi="Times New Roman" w:cs="Times New Roman"/>
          <w:sz w:val="20"/>
          <w:szCs w:val="20"/>
        </w:rPr>
        <w:t>AvaloniaUI</w:t>
      </w:r>
      <w:proofErr w:type="spellEnd"/>
      <w:r w:rsidRPr="000B4A68">
        <w:rPr>
          <w:rFonts w:ascii="Times New Roman" w:hAnsi="Times New Roman" w:cs="Times New Roman"/>
          <w:sz w:val="20"/>
          <w:szCs w:val="20"/>
        </w:rPr>
        <w:t xml:space="preserve">, “Avalonia UI - Home,” </w:t>
      </w:r>
      <w:r w:rsidRPr="000B4A68">
        <w:rPr>
          <w:rFonts w:ascii="Times New Roman" w:hAnsi="Times New Roman" w:cs="Times New Roman"/>
          <w:i/>
          <w:iCs/>
          <w:sz w:val="20"/>
          <w:szCs w:val="20"/>
        </w:rPr>
        <w:t>avaloniaui.net</w:t>
      </w:r>
      <w:r w:rsidRPr="000B4A68">
        <w:rPr>
          <w:rFonts w:ascii="Times New Roman" w:hAnsi="Times New Roman" w:cs="Times New Roman"/>
          <w:sz w:val="20"/>
          <w:szCs w:val="20"/>
        </w:rPr>
        <w:t>. https://avaloniaui.net/</w:t>
      </w:r>
    </w:p>
    <w:p w14:paraId="46734B2A"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[30]</w:t>
      </w:r>
    </w:p>
    <w:p w14:paraId="5017576F"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lastRenderedPageBreak/>
        <w:t xml:space="preserve">M. Mahdhi, “Integrating Databases with EF Core,” </w:t>
      </w:r>
      <w:r w:rsidRPr="000B4A68">
        <w:rPr>
          <w:rFonts w:ascii="Times New Roman" w:hAnsi="Times New Roman" w:cs="Times New Roman"/>
          <w:i/>
          <w:iCs/>
          <w:sz w:val="20"/>
          <w:szCs w:val="20"/>
        </w:rPr>
        <w:t>Mastering ASP.NET Core 10</w:t>
      </w:r>
      <w:r w:rsidRPr="000B4A68">
        <w:rPr>
          <w:rFonts w:ascii="Times New Roman" w:hAnsi="Times New Roman" w:cs="Times New Roman"/>
          <w:sz w:val="20"/>
          <w:szCs w:val="20"/>
        </w:rPr>
        <w:t xml:space="preserve">, pp. 215–244, 2025,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https://doi.org/10.1007/979-8-8688-1892-9_11.</w:t>
      </w:r>
    </w:p>
    <w:p w14:paraId="2A821A9D"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[31]</w:t>
      </w:r>
    </w:p>
    <w:p w14:paraId="5C43B1FB"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S. M. Kumar, “The Potential Consequences of a Data Breach in Big Data Systems with Compromised Cyber Security and Privacy,” </w:t>
      </w:r>
      <w:r w:rsidRPr="000B4A68">
        <w:rPr>
          <w:rFonts w:ascii="Times New Roman" w:hAnsi="Times New Roman" w:cs="Times New Roman"/>
          <w:i/>
          <w:iCs/>
          <w:sz w:val="20"/>
          <w:szCs w:val="20"/>
        </w:rPr>
        <w:t>2025 IEEE 17th International Conference on Computational Intelligence and Communication Networks (CICN)</w:t>
      </w:r>
      <w:r w:rsidRPr="000B4A68">
        <w:rPr>
          <w:rFonts w:ascii="Times New Roman" w:hAnsi="Times New Roman" w:cs="Times New Roman"/>
          <w:sz w:val="20"/>
          <w:szCs w:val="20"/>
        </w:rPr>
        <w:t xml:space="preserve">, pp. 1072–1076, Dec. 2025,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https://doi.org/10.1109/cicn67655.2025.11368157.</w:t>
      </w:r>
    </w:p>
    <w:p w14:paraId="2C0FC5D3"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[32]</w:t>
      </w:r>
    </w:p>
    <w:p w14:paraId="7424E8BF"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ICO, “Information Commissioner’s Office,” </w:t>
      </w:r>
      <w:r w:rsidRPr="000B4A68">
        <w:rPr>
          <w:rFonts w:ascii="Times New Roman" w:hAnsi="Times New Roman" w:cs="Times New Roman"/>
          <w:i/>
          <w:iCs/>
          <w:sz w:val="20"/>
          <w:szCs w:val="20"/>
        </w:rPr>
        <w:t>Ico.org.uk</w:t>
      </w:r>
      <w:r w:rsidRPr="000B4A68">
        <w:rPr>
          <w:rFonts w:ascii="Times New Roman" w:hAnsi="Times New Roman" w:cs="Times New Roman"/>
          <w:sz w:val="20"/>
          <w:szCs w:val="20"/>
        </w:rPr>
        <w:t>, Mar. 21, 2023. https://ico.org.uk/</w:t>
      </w:r>
    </w:p>
    <w:p w14:paraId="4701D0F6"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[33]</w:t>
      </w:r>
    </w:p>
    <w:p w14:paraId="2BBA44A9"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J. </w:t>
      </w:r>
      <w:proofErr w:type="spellStart"/>
      <w:r w:rsidRPr="000B4A68">
        <w:rPr>
          <w:rFonts w:ascii="Times New Roman" w:hAnsi="Times New Roman" w:cs="Times New Roman"/>
          <w:sz w:val="20"/>
          <w:szCs w:val="20"/>
        </w:rPr>
        <w:t>Galbally</w:t>
      </w:r>
      <w:proofErr w:type="spellEnd"/>
      <w:r w:rsidRPr="000B4A68">
        <w:rPr>
          <w:rFonts w:ascii="Times New Roman" w:hAnsi="Times New Roman" w:cs="Times New Roman"/>
          <w:sz w:val="20"/>
          <w:szCs w:val="20"/>
        </w:rPr>
        <w:t xml:space="preserve">, R. Haraksim, and L. </w:t>
      </w:r>
      <w:proofErr w:type="spellStart"/>
      <w:r w:rsidRPr="000B4A68">
        <w:rPr>
          <w:rFonts w:ascii="Times New Roman" w:hAnsi="Times New Roman" w:cs="Times New Roman"/>
          <w:sz w:val="20"/>
          <w:szCs w:val="20"/>
        </w:rPr>
        <w:t>Beslay</w:t>
      </w:r>
      <w:proofErr w:type="spellEnd"/>
      <w:r w:rsidRPr="000B4A68">
        <w:rPr>
          <w:rFonts w:ascii="Times New Roman" w:hAnsi="Times New Roman" w:cs="Times New Roman"/>
          <w:sz w:val="20"/>
          <w:szCs w:val="20"/>
        </w:rPr>
        <w:t xml:space="preserve">, “A Study of Age and Ageing in Fingerprint Biometrics,” </w:t>
      </w:r>
      <w:r w:rsidRPr="000B4A68">
        <w:rPr>
          <w:rFonts w:ascii="Times New Roman" w:hAnsi="Times New Roman" w:cs="Times New Roman"/>
          <w:i/>
          <w:iCs/>
          <w:sz w:val="20"/>
          <w:szCs w:val="20"/>
        </w:rPr>
        <w:t>IEEE Transactions on Information Forensics and Security</w:t>
      </w:r>
      <w:r w:rsidRPr="000B4A68">
        <w:rPr>
          <w:rFonts w:ascii="Times New Roman" w:hAnsi="Times New Roman" w:cs="Times New Roman"/>
          <w:sz w:val="20"/>
          <w:szCs w:val="20"/>
        </w:rPr>
        <w:t xml:space="preserve">, vol. 14, no. 5, pp. 1351–1365, May 2019,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https://doi.org/10.1109/tifs.2018.2878160.</w:t>
      </w:r>
    </w:p>
    <w:p w14:paraId="23E8D253"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[34]</w:t>
      </w:r>
    </w:p>
    <w:p w14:paraId="35D98635"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S. Birch, “Perceptions of Electoral Fairness and Voter Turnout,” </w:t>
      </w:r>
      <w:r w:rsidRPr="000B4A68">
        <w:rPr>
          <w:rFonts w:ascii="Times New Roman" w:hAnsi="Times New Roman" w:cs="Times New Roman"/>
          <w:i/>
          <w:iCs/>
          <w:sz w:val="20"/>
          <w:szCs w:val="20"/>
        </w:rPr>
        <w:t>Comparative Political Studies</w:t>
      </w:r>
      <w:r w:rsidRPr="000B4A68">
        <w:rPr>
          <w:rFonts w:ascii="Times New Roman" w:hAnsi="Times New Roman" w:cs="Times New Roman"/>
          <w:sz w:val="20"/>
          <w:szCs w:val="20"/>
        </w:rPr>
        <w:t xml:space="preserve">, vol. 43, no. 12, pp. 1601–1622, Jul. 2010,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https://doi.org/10.1177/0010414010374021.</w:t>
      </w:r>
    </w:p>
    <w:p w14:paraId="74FE60BD"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[35]</w:t>
      </w:r>
    </w:p>
    <w:p w14:paraId="5DD2296C"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G. </w:t>
      </w:r>
      <w:proofErr w:type="spellStart"/>
      <w:r w:rsidRPr="000B4A68">
        <w:rPr>
          <w:rFonts w:ascii="Times New Roman" w:hAnsi="Times New Roman" w:cs="Times New Roman"/>
          <w:sz w:val="20"/>
          <w:szCs w:val="20"/>
        </w:rPr>
        <w:t>Marinthe</w:t>
      </w:r>
      <w:proofErr w:type="spellEnd"/>
      <w:r w:rsidRPr="000B4A68">
        <w:rPr>
          <w:rFonts w:ascii="Times New Roman" w:hAnsi="Times New Roman" w:cs="Times New Roman"/>
          <w:sz w:val="20"/>
          <w:szCs w:val="20"/>
        </w:rPr>
        <w:t xml:space="preserve">, F. Lalot, A. Kasper, E. </w:t>
      </w:r>
      <w:proofErr w:type="spellStart"/>
      <w:r w:rsidRPr="000B4A68">
        <w:rPr>
          <w:rFonts w:ascii="Times New Roman" w:hAnsi="Times New Roman" w:cs="Times New Roman"/>
          <w:sz w:val="20"/>
          <w:szCs w:val="20"/>
        </w:rPr>
        <w:t>Manunta</w:t>
      </w:r>
      <w:proofErr w:type="spellEnd"/>
      <w:r w:rsidRPr="000B4A68">
        <w:rPr>
          <w:rFonts w:ascii="Times New Roman" w:hAnsi="Times New Roman" w:cs="Times New Roman"/>
          <w:sz w:val="20"/>
          <w:szCs w:val="20"/>
        </w:rPr>
        <w:t xml:space="preserve">, and G. Brown, “Collective Action hinders the increase in post-election trust among election losers: Longitudinal evidence from the 2024 UK election,” </w:t>
      </w:r>
      <w:r w:rsidRPr="000B4A68">
        <w:rPr>
          <w:rFonts w:ascii="Times New Roman" w:hAnsi="Times New Roman" w:cs="Times New Roman"/>
          <w:i/>
          <w:iCs/>
          <w:sz w:val="20"/>
          <w:szCs w:val="20"/>
        </w:rPr>
        <w:t>advances.in/psychology</w:t>
      </w:r>
      <w:r w:rsidRPr="000B4A68">
        <w:rPr>
          <w:rFonts w:ascii="Times New Roman" w:hAnsi="Times New Roman" w:cs="Times New Roman"/>
          <w:sz w:val="20"/>
          <w:szCs w:val="20"/>
        </w:rPr>
        <w:t xml:space="preserve">, vol. 1, no. 1, p. e411811, 2026,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https://doi.org/10.56296/aip00048.</w:t>
      </w:r>
    </w:p>
    <w:p w14:paraId="628BEA53"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[36]</w:t>
      </w:r>
    </w:p>
    <w:p w14:paraId="2CA9670B"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B. </w:t>
      </w:r>
      <w:proofErr w:type="spellStart"/>
      <w:r w:rsidRPr="000B4A68">
        <w:rPr>
          <w:rFonts w:ascii="Times New Roman" w:hAnsi="Times New Roman" w:cs="Times New Roman"/>
          <w:sz w:val="20"/>
          <w:szCs w:val="20"/>
        </w:rPr>
        <w:t>Cunnie</w:t>
      </w:r>
      <w:proofErr w:type="spellEnd"/>
      <w:r w:rsidRPr="000B4A68">
        <w:rPr>
          <w:rFonts w:ascii="Times New Roman" w:hAnsi="Times New Roman" w:cs="Times New Roman"/>
          <w:sz w:val="20"/>
          <w:szCs w:val="20"/>
        </w:rPr>
        <w:t xml:space="preserve">, “Welcome to nip.io / sslip.io,” </w:t>
      </w:r>
      <w:r w:rsidRPr="000B4A68">
        <w:rPr>
          <w:rFonts w:ascii="Times New Roman" w:hAnsi="Times New Roman" w:cs="Times New Roman"/>
          <w:i/>
          <w:iCs/>
          <w:sz w:val="20"/>
          <w:szCs w:val="20"/>
        </w:rPr>
        <w:t>Sslip.io</w:t>
      </w:r>
      <w:r w:rsidRPr="000B4A68">
        <w:rPr>
          <w:rFonts w:ascii="Times New Roman" w:hAnsi="Times New Roman" w:cs="Times New Roman"/>
          <w:sz w:val="20"/>
          <w:szCs w:val="20"/>
        </w:rPr>
        <w:t>, 2026. https://sslip.io/ (accessed Apr. 16, 2026).</w:t>
      </w:r>
    </w:p>
    <w:p w14:paraId="79E2D241"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[37]</w:t>
      </w:r>
    </w:p>
    <w:p w14:paraId="0DA90FD6"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Sushil </w:t>
      </w:r>
      <w:proofErr w:type="spellStart"/>
      <w:r w:rsidRPr="000B4A68">
        <w:rPr>
          <w:rFonts w:ascii="Times New Roman" w:hAnsi="Times New Roman" w:cs="Times New Roman"/>
          <w:sz w:val="20"/>
          <w:szCs w:val="20"/>
        </w:rPr>
        <w:t>Jajodia</w:t>
      </w:r>
      <w:proofErr w:type="spellEnd"/>
      <w:r w:rsidRPr="000B4A68">
        <w:rPr>
          <w:rFonts w:ascii="Times New Roman" w:hAnsi="Times New Roman" w:cs="Times New Roman"/>
          <w:sz w:val="20"/>
          <w:szCs w:val="20"/>
        </w:rPr>
        <w:t xml:space="preserve"> and J. Zhou, </w:t>
      </w:r>
      <w:r w:rsidRPr="000B4A68">
        <w:rPr>
          <w:rFonts w:ascii="Times New Roman" w:hAnsi="Times New Roman" w:cs="Times New Roman"/>
          <w:i/>
          <w:iCs/>
          <w:sz w:val="20"/>
          <w:szCs w:val="20"/>
        </w:rPr>
        <w:t>Security and Privacy in Communication Networks</w:t>
      </w:r>
      <w:r w:rsidRPr="000B4A68">
        <w:rPr>
          <w:rFonts w:ascii="Times New Roman" w:hAnsi="Times New Roman" w:cs="Times New Roman"/>
          <w:sz w:val="20"/>
          <w:szCs w:val="20"/>
        </w:rPr>
        <w:t>. Springer Science &amp; Business Media, 2010.</w:t>
      </w:r>
    </w:p>
    <w:p w14:paraId="29D140E9"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[38]</w:t>
      </w:r>
    </w:p>
    <w:p w14:paraId="5BB3FF03"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R. A. Popa, C. M. S. Redfield, N. Zeldovich, and H. Balakrishnan, “</w:t>
      </w:r>
      <w:proofErr w:type="spellStart"/>
      <w:r w:rsidRPr="000B4A68">
        <w:rPr>
          <w:rFonts w:ascii="Times New Roman" w:hAnsi="Times New Roman" w:cs="Times New Roman"/>
          <w:sz w:val="20"/>
          <w:szCs w:val="20"/>
        </w:rPr>
        <w:t>CryptDB</w:t>
      </w:r>
      <w:proofErr w:type="spellEnd"/>
      <w:r w:rsidRPr="000B4A68">
        <w:rPr>
          <w:rFonts w:ascii="Times New Roman" w:hAnsi="Times New Roman" w:cs="Times New Roman"/>
          <w:sz w:val="20"/>
          <w:szCs w:val="20"/>
        </w:rPr>
        <w:t xml:space="preserve">,” </w:t>
      </w:r>
      <w:r w:rsidRPr="000B4A68">
        <w:rPr>
          <w:rFonts w:ascii="Times New Roman" w:hAnsi="Times New Roman" w:cs="Times New Roman"/>
          <w:i/>
          <w:iCs/>
          <w:sz w:val="20"/>
          <w:szCs w:val="20"/>
        </w:rPr>
        <w:t>Communications of the ACM</w:t>
      </w:r>
      <w:r w:rsidRPr="000B4A68">
        <w:rPr>
          <w:rFonts w:ascii="Times New Roman" w:hAnsi="Times New Roman" w:cs="Times New Roman"/>
          <w:sz w:val="20"/>
          <w:szCs w:val="20"/>
        </w:rPr>
        <w:t xml:space="preserve">, vol. 55, no. 9, pp. 103–111, Sep. 2012,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https://doi.org/10.1145/2330667.2330691.</w:t>
      </w:r>
    </w:p>
    <w:p w14:paraId="234B0429"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[39]</w:t>
      </w:r>
    </w:p>
    <w:p w14:paraId="0FEB6C38"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S. Perez, J. L. Hernandex-Ramos, D. Pedone, D. Rotondi, L. Straniero, and A. F. </w:t>
      </w:r>
      <w:proofErr w:type="spellStart"/>
      <w:r w:rsidRPr="000B4A68">
        <w:rPr>
          <w:rFonts w:ascii="Times New Roman" w:hAnsi="Times New Roman" w:cs="Times New Roman"/>
          <w:sz w:val="20"/>
          <w:szCs w:val="20"/>
        </w:rPr>
        <w:t>Skarmeta</w:t>
      </w:r>
      <w:proofErr w:type="spellEnd"/>
      <w:r w:rsidRPr="000B4A68">
        <w:rPr>
          <w:rFonts w:ascii="Times New Roman" w:hAnsi="Times New Roman" w:cs="Times New Roman"/>
          <w:sz w:val="20"/>
          <w:szCs w:val="20"/>
        </w:rPr>
        <w:t>, “A digital envelope approach using attribute-based encryption for secure data exchange in IoT scenarios,” presented at the 2017 Global Internet of Things Summit (</w:t>
      </w:r>
      <w:proofErr w:type="spellStart"/>
      <w:r w:rsidRPr="000B4A68">
        <w:rPr>
          <w:rFonts w:ascii="Times New Roman" w:hAnsi="Times New Roman" w:cs="Times New Roman"/>
          <w:sz w:val="20"/>
          <w:szCs w:val="20"/>
        </w:rPr>
        <w:t>GIoTS</w:t>
      </w:r>
      <w:proofErr w:type="spellEnd"/>
      <w:r w:rsidRPr="000B4A68">
        <w:rPr>
          <w:rFonts w:ascii="Times New Roman" w:hAnsi="Times New Roman" w:cs="Times New Roman"/>
          <w:sz w:val="20"/>
          <w:szCs w:val="20"/>
        </w:rPr>
        <w:t>), pp. 1–6. Accessed: Jan. 16, 2026. [Online]. Available: https://ieeexplore.ieee.org/abstract/document/8016281</w:t>
      </w:r>
    </w:p>
    <w:p w14:paraId="55A35338"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[40]</w:t>
      </w:r>
    </w:p>
    <w:p w14:paraId="75BC71FE"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OWASP, “Cryptographic Storage · OWASP Cheat Sheet Series,” </w:t>
      </w:r>
      <w:r w:rsidRPr="000B4A68">
        <w:rPr>
          <w:rFonts w:ascii="Times New Roman" w:hAnsi="Times New Roman" w:cs="Times New Roman"/>
          <w:i/>
          <w:iCs/>
          <w:sz w:val="20"/>
          <w:szCs w:val="20"/>
        </w:rPr>
        <w:t>Owasp.org</w:t>
      </w:r>
      <w:r w:rsidRPr="000B4A68">
        <w:rPr>
          <w:rFonts w:ascii="Times New Roman" w:hAnsi="Times New Roman" w:cs="Times New Roman"/>
          <w:sz w:val="20"/>
          <w:szCs w:val="20"/>
        </w:rPr>
        <w:t>, 2013. https://cheatsheetseries.owasp.org/cheatsheets/Cryptographic_Storage_Cheat_Sheet.html</w:t>
      </w:r>
    </w:p>
    <w:p w14:paraId="596E17A1"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[41]</w:t>
      </w:r>
    </w:p>
    <w:p w14:paraId="6F8D6D27"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“Baby names in England and Wales - Office for National Statistics,” </w:t>
      </w:r>
      <w:r w:rsidRPr="000B4A68">
        <w:rPr>
          <w:rFonts w:ascii="Times New Roman" w:hAnsi="Times New Roman" w:cs="Times New Roman"/>
          <w:i/>
          <w:iCs/>
          <w:sz w:val="20"/>
          <w:szCs w:val="20"/>
        </w:rPr>
        <w:t>www.ons.gov.uk</w:t>
      </w:r>
      <w:r w:rsidRPr="000B4A68">
        <w:rPr>
          <w:rFonts w:ascii="Times New Roman" w:hAnsi="Times New Roman" w:cs="Times New Roman"/>
          <w:sz w:val="20"/>
          <w:szCs w:val="20"/>
        </w:rPr>
        <w:t>. https://www.ons.gov.uk/peoplepopulationandcommunity/birthsdeathsandmarriages/livebirths/bulletins/babynamesenglandandwales/2021</w:t>
      </w:r>
    </w:p>
    <w:p w14:paraId="1FA16010"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[42]</w:t>
      </w:r>
    </w:p>
    <w:p w14:paraId="0CEF1910"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National Records of Scotland, “Names,” </w:t>
      </w:r>
      <w:r w:rsidRPr="000B4A68">
        <w:rPr>
          <w:rFonts w:ascii="Times New Roman" w:hAnsi="Times New Roman" w:cs="Times New Roman"/>
          <w:i/>
          <w:iCs/>
          <w:sz w:val="20"/>
          <w:szCs w:val="20"/>
        </w:rPr>
        <w:t>Nrscotland.gov.uk</w:t>
      </w:r>
      <w:r w:rsidRPr="000B4A68">
        <w:rPr>
          <w:rFonts w:ascii="Times New Roman" w:hAnsi="Times New Roman" w:cs="Times New Roman"/>
          <w:sz w:val="20"/>
          <w:szCs w:val="20"/>
        </w:rPr>
        <w:t>, 2019. https://www.nrscotland.gov.uk/statistics-and-data/names/ (accessed Apr. 16, 2026).</w:t>
      </w:r>
    </w:p>
    <w:p w14:paraId="4BA126B8"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[43]</w:t>
      </w:r>
    </w:p>
    <w:p w14:paraId="00574B9F"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NISRA, “Baby Names | Northern Ireland Statistics and Research Agency,” </w:t>
      </w:r>
      <w:r w:rsidRPr="000B4A68">
        <w:rPr>
          <w:rFonts w:ascii="Times New Roman" w:hAnsi="Times New Roman" w:cs="Times New Roman"/>
          <w:i/>
          <w:iCs/>
          <w:sz w:val="20"/>
          <w:szCs w:val="20"/>
        </w:rPr>
        <w:t>Nisra.gov.uk</w:t>
      </w:r>
      <w:r w:rsidRPr="000B4A68">
        <w:rPr>
          <w:rFonts w:ascii="Times New Roman" w:hAnsi="Times New Roman" w:cs="Times New Roman"/>
          <w:sz w:val="20"/>
          <w:szCs w:val="20"/>
        </w:rPr>
        <w:t>, Apr. 16, 2026. https://www.nisra.gov.uk/statistics/births/baby-names (accessed Apr. 16, 2026).</w:t>
      </w:r>
    </w:p>
    <w:p w14:paraId="2FFCC005"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[44]</w:t>
      </w:r>
    </w:p>
    <w:p w14:paraId="0E5F4E92"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F. McElduff, P. Mateos, A. Wade, and M. C. Borja, “What’s in a name? The frequency and geographic distributions of UK surnames,” </w:t>
      </w:r>
      <w:r w:rsidRPr="000B4A68">
        <w:rPr>
          <w:rFonts w:ascii="Times New Roman" w:hAnsi="Times New Roman" w:cs="Times New Roman"/>
          <w:i/>
          <w:iCs/>
          <w:sz w:val="20"/>
          <w:szCs w:val="20"/>
        </w:rPr>
        <w:t>Significance</w:t>
      </w:r>
      <w:r w:rsidRPr="000B4A68">
        <w:rPr>
          <w:rFonts w:ascii="Times New Roman" w:hAnsi="Times New Roman" w:cs="Times New Roman"/>
          <w:sz w:val="20"/>
          <w:szCs w:val="20"/>
        </w:rPr>
        <w:t xml:space="preserve">, vol. 5, no. 4, pp. 189–192, Dec. 2008,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https://doi.org/10.1111/j.1740-9713.2008.00332.x.</w:t>
      </w:r>
    </w:p>
    <w:p w14:paraId="7955F53A"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[45]</w:t>
      </w:r>
    </w:p>
    <w:p w14:paraId="71ADA921"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The Scottish Government, “Most popular names in Scotland,” </w:t>
      </w:r>
      <w:proofErr w:type="spellStart"/>
      <w:r w:rsidRPr="000B4A68">
        <w:rPr>
          <w:rFonts w:ascii="Times New Roman" w:hAnsi="Times New Roman" w:cs="Times New Roman"/>
          <w:i/>
          <w:iCs/>
          <w:sz w:val="20"/>
          <w:szCs w:val="20"/>
        </w:rPr>
        <w:t>Gov.scot</w:t>
      </w:r>
      <w:proofErr w:type="spellEnd"/>
      <w:r w:rsidRPr="000B4A68">
        <w:rPr>
          <w:rFonts w:ascii="Times New Roman" w:hAnsi="Times New Roman" w:cs="Times New Roman"/>
          <w:sz w:val="20"/>
          <w:szCs w:val="20"/>
        </w:rPr>
        <w:t>, Mar. 20, 2018. https://www.gov.scot/news/most-popular-names-in-scotland/</w:t>
      </w:r>
    </w:p>
    <w:p w14:paraId="2E3E48F5"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[46]</w:t>
      </w:r>
    </w:p>
    <w:p w14:paraId="26819D1F"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Office for National Statistics, “National life tables – life expectancy in the UK: 2021 to 2023 - Office for National Statistics,” </w:t>
      </w:r>
      <w:r w:rsidRPr="000B4A68">
        <w:rPr>
          <w:rFonts w:ascii="Times New Roman" w:hAnsi="Times New Roman" w:cs="Times New Roman"/>
          <w:i/>
          <w:iCs/>
          <w:sz w:val="20"/>
          <w:szCs w:val="20"/>
        </w:rPr>
        <w:t>Ons.gov.uk</w:t>
      </w:r>
      <w:r w:rsidRPr="000B4A68">
        <w:rPr>
          <w:rFonts w:ascii="Times New Roman" w:hAnsi="Times New Roman" w:cs="Times New Roman"/>
          <w:sz w:val="20"/>
          <w:szCs w:val="20"/>
        </w:rPr>
        <w:t>, 2021. https://www.ons.gov.uk/releases/nationallifetableslifeexpectancyintheuk20212023</w:t>
      </w:r>
    </w:p>
    <w:p w14:paraId="557577FD"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lastRenderedPageBreak/>
        <w:t>[47]</w:t>
      </w:r>
    </w:p>
    <w:p w14:paraId="16891AED"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Office for National Statistics, “Postal geography - Office for National Statistics,” </w:t>
      </w:r>
      <w:r w:rsidRPr="000B4A68">
        <w:rPr>
          <w:rFonts w:ascii="Times New Roman" w:hAnsi="Times New Roman" w:cs="Times New Roman"/>
          <w:i/>
          <w:iCs/>
          <w:sz w:val="20"/>
          <w:szCs w:val="20"/>
        </w:rPr>
        <w:t>www.ons.gov.uk</w:t>
      </w:r>
      <w:r w:rsidRPr="000B4A68">
        <w:rPr>
          <w:rFonts w:ascii="Times New Roman" w:hAnsi="Times New Roman" w:cs="Times New Roman"/>
          <w:sz w:val="20"/>
          <w:szCs w:val="20"/>
        </w:rPr>
        <w:t>, Jan. 03, 2023. https://www.ons.gov.uk/methodology/geography/ukgeographies/postalgeography</w:t>
      </w:r>
    </w:p>
    <w:p w14:paraId="24DAACCC"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[48]</w:t>
      </w:r>
    </w:p>
    <w:p w14:paraId="7423D883" w14:textId="77777777" w:rsidR="000B4A68" w:rsidRPr="000B4A68" w:rsidRDefault="000B4A68" w:rsidP="000B4A68">
      <w:pPr>
        <w:rPr>
          <w:rFonts w:ascii="Times New Roman" w:hAnsi="Times New Roman" w:cs="Times New Roman"/>
          <w:sz w:val="20"/>
          <w:szCs w:val="20"/>
        </w:rPr>
      </w:pPr>
      <w:proofErr w:type="spellStart"/>
      <w:r w:rsidRPr="000B4A68">
        <w:rPr>
          <w:rFonts w:ascii="Times New Roman" w:hAnsi="Times New Roman" w:cs="Times New Roman"/>
          <w:sz w:val="20"/>
          <w:szCs w:val="20"/>
        </w:rPr>
        <w:t>TownsList</w:t>
      </w:r>
      <w:proofErr w:type="spellEnd"/>
      <w:r w:rsidRPr="000B4A68">
        <w:rPr>
          <w:rFonts w:ascii="Times New Roman" w:hAnsi="Times New Roman" w:cs="Times New Roman"/>
          <w:sz w:val="20"/>
          <w:szCs w:val="20"/>
        </w:rPr>
        <w:t xml:space="preserve">, “Complete list of UK towns (Excel, SQL &amp; CSV download),” </w:t>
      </w:r>
      <w:r w:rsidRPr="000B4A68">
        <w:rPr>
          <w:rFonts w:ascii="Times New Roman" w:hAnsi="Times New Roman" w:cs="Times New Roman"/>
          <w:i/>
          <w:iCs/>
          <w:sz w:val="20"/>
          <w:szCs w:val="20"/>
        </w:rPr>
        <w:t>www.townslist.co.uk</w:t>
      </w:r>
      <w:r w:rsidRPr="000B4A68">
        <w:rPr>
          <w:rFonts w:ascii="Times New Roman" w:hAnsi="Times New Roman" w:cs="Times New Roman"/>
          <w:sz w:val="20"/>
          <w:szCs w:val="20"/>
        </w:rPr>
        <w:t>. https://www.townslist.co.uk/</w:t>
      </w:r>
    </w:p>
    <w:p w14:paraId="1E360198"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[49]</w:t>
      </w:r>
    </w:p>
    <w:p w14:paraId="18E7DC31"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P. K. Manadhata and J. M. Wing, “An Attack Surface Metric,” </w:t>
      </w:r>
      <w:r w:rsidRPr="000B4A68">
        <w:rPr>
          <w:rFonts w:ascii="Times New Roman" w:hAnsi="Times New Roman" w:cs="Times New Roman"/>
          <w:i/>
          <w:iCs/>
          <w:sz w:val="20"/>
          <w:szCs w:val="20"/>
        </w:rPr>
        <w:t>IEEE Transactions on Software Engineering</w:t>
      </w:r>
      <w:r w:rsidRPr="000B4A68">
        <w:rPr>
          <w:rFonts w:ascii="Times New Roman" w:hAnsi="Times New Roman" w:cs="Times New Roman"/>
          <w:sz w:val="20"/>
          <w:szCs w:val="20"/>
        </w:rPr>
        <w:t xml:space="preserve">, vol. 37, no. 3, pp. 371–386, May 2011,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https://doi.org/10.1109/tse.2010.60.</w:t>
      </w:r>
    </w:p>
    <w:p w14:paraId="11F71194"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[50]</w:t>
      </w:r>
    </w:p>
    <w:p w14:paraId="4E6A2312"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P. Norris, R. W. Frank, and Ferran Martínez I Coma, </w:t>
      </w:r>
      <w:r w:rsidRPr="000B4A68">
        <w:rPr>
          <w:rFonts w:ascii="Times New Roman" w:hAnsi="Times New Roman" w:cs="Times New Roman"/>
          <w:i/>
          <w:iCs/>
          <w:sz w:val="20"/>
          <w:szCs w:val="20"/>
        </w:rPr>
        <w:t>Advancing electoral integrity</w:t>
      </w:r>
      <w:r w:rsidRPr="000B4A68">
        <w:rPr>
          <w:rFonts w:ascii="Times New Roman" w:hAnsi="Times New Roman" w:cs="Times New Roman"/>
          <w:sz w:val="20"/>
          <w:szCs w:val="20"/>
        </w:rPr>
        <w:t>. Oxford ; New York: Oxford University Press, 2014.</w:t>
      </w:r>
    </w:p>
    <w:p w14:paraId="58D04E3E"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[51]</w:t>
      </w:r>
    </w:p>
    <w:p w14:paraId="4A567F28"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R. </w:t>
      </w:r>
      <w:proofErr w:type="spellStart"/>
      <w:r w:rsidRPr="000B4A68">
        <w:rPr>
          <w:rFonts w:ascii="Times New Roman" w:hAnsi="Times New Roman" w:cs="Times New Roman"/>
          <w:sz w:val="20"/>
          <w:szCs w:val="20"/>
        </w:rPr>
        <w:t>Važan</w:t>
      </w:r>
      <w:proofErr w:type="spellEnd"/>
      <w:r w:rsidRPr="000B4A68">
        <w:rPr>
          <w:rFonts w:ascii="Times New Roman" w:hAnsi="Times New Roman" w:cs="Times New Roman"/>
          <w:sz w:val="20"/>
          <w:szCs w:val="20"/>
        </w:rPr>
        <w:t>, “</w:t>
      </w:r>
      <w:proofErr w:type="spellStart"/>
      <w:r w:rsidRPr="000B4A68">
        <w:rPr>
          <w:rFonts w:ascii="Times New Roman" w:hAnsi="Times New Roman" w:cs="Times New Roman"/>
          <w:sz w:val="20"/>
          <w:szCs w:val="20"/>
        </w:rPr>
        <w:t>SourceAFIS</w:t>
      </w:r>
      <w:proofErr w:type="spellEnd"/>
      <w:r w:rsidRPr="000B4A68">
        <w:rPr>
          <w:rFonts w:ascii="Times New Roman" w:hAnsi="Times New Roman" w:cs="Times New Roman"/>
          <w:sz w:val="20"/>
          <w:szCs w:val="20"/>
        </w:rPr>
        <w:t xml:space="preserve"> - Opensource fingerprint matcher,” </w:t>
      </w:r>
      <w:r w:rsidRPr="000B4A68">
        <w:rPr>
          <w:rFonts w:ascii="Times New Roman" w:hAnsi="Times New Roman" w:cs="Times New Roman"/>
          <w:i/>
          <w:iCs/>
          <w:sz w:val="20"/>
          <w:szCs w:val="20"/>
        </w:rPr>
        <w:t>Machinezoo.com</w:t>
      </w:r>
      <w:r w:rsidRPr="000B4A68">
        <w:rPr>
          <w:rFonts w:ascii="Times New Roman" w:hAnsi="Times New Roman" w:cs="Times New Roman"/>
          <w:sz w:val="20"/>
          <w:szCs w:val="20"/>
        </w:rPr>
        <w:t>, 2019. https://sourceafis.machinezoo.com/</w:t>
      </w:r>
    </w:p>
    <w:p w14:paraId="73590B2D"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[52]</w:t>
      </w:r>
    </w:p>
    <w:p w14:paraId="3A0EC1E6"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A. Gualberto, I. Araujo, </w:t>
      </w:r>
      <w:proofErr w:type="spellStart"/>
      <w:r w:rsidRPr="000B4A68">
        <w:rPr>
          <w:rFonts w:ascii="Times New Roman" w:hAnsi="Times New Roman" w:cs="Times New Roman"/>
          <w:sz w:val="20"/>
          <w:szCs w:val="20"/>
        </w:rPr>
        <w:t>Janduy</w:t>
      </w:r>
      <w:proofErr w:type="spellEnd"/>
      <w:r w:rsidRPr="000B4A68">
        <w:rPr>
          <w:rFonts w:ascii="Times New Roman" w:hAnsi="Times New Roman" w:cs="Times New Roman"/>
          <w:sz w:val="20"/>
          <w:szCs w:val="20"/>
        </w:rPr>
        <w:t xml:space="preserve"> Brasileiro, and P. Alves, “Analysis of a Genetic Algorithm-based Approach in the Optimization of the </w:t>
      </w:r>
      <w:proofErr w:type="spellStart"/>
      <w:r w:rsidRPr="000B4A68">
        <w:rPr>
          <w:rFonts w:ascii="Times New Roman" w:hAnsi="Times New Roman" w:cs="Times New Roman"/>
          <w:sz w:val="20"/>
          <w:szCs w:val="20"/>
        </w:rPr>
        <w:t>SourceAFIS’s</w:t>
      </w:r>
      <w:proofErr w:type="spellEnd"/>
      <w:r w:rsidRPr="000B4A68">
        <w:rPr>
          <w:rFonts w:ascii="Times New Roman" w:hAnsi="Times New Roman" w:cs="Times New Roman"/>
          <w:sz w:val="20"/>
          <w:szCs w:val="20"/>
        </w:rPr>
        <w:t xml:space="preserve"> Matching Algorithm,” </w:t>
      </w:r>
      <w:r w:rsidRPr="000B4A68">
        <w:rPr>
          <w:rFonts w:ascii="Times New Roman" w:hAnsi="Times New Roman" w:cs="Times New Roman"/>
          <w:i/>
          <w:iCs/>
          <w:sz w:val="20"/>
          <w:szCs w:val="20"/>
        </w:rPr>
        <w:t>Academia.edu</w:t>
      </w:r>
      <w:r w:rsidRPr="000B4A68">
        <w:rPr>
          <w:rFonts w:ascii="Times New Roman" w:hAnsi="Times New Roman" w:cs="Times New Roman"/>
          <w:sz w:val="20"/>
          <w:szCs w:val="20"/>
        </w:rPr>
        <w:t>, Feb. 13, 2016. https://www.academia.edu/21912688/Analysis_of_a_Genetic_Algorithm_based_Approach_in_the_Optimization_of_the_SourceAFISs_Matching_Algorithm (accessed Apr. 16, 2026).</w:t>
      </w:r>
    </w:p>
    <w:p w14:paraId="63315477"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[53]</w:t>
      </w:r>
    </w:p>
    <w:p w14:paraId="7682571B"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Amazon Web Service, “SEC03-BP02 Grant least privilege access - AWS Well-Architected Framework,” </w:t>
      </w:r>
      <w:r w:rsidRPr="000B4A68">
        <w:rPr>
          <w:rFonts w:ascii="Times New Roman" w:hAnsi="Times New Roman" w:cs="Times New Roman"/>
          <w:i/>
          <w:iCs/>
          <w:sz w:val="20"/>
          <w:szCs w:val="20"/>
        </w:rPr>
        <w:t>docs.aws.amazon.com</w:t>
      </w:r>
      <w:r w:rsidRPr="000B4A68">
        <w:rPr>
          <w:rFonts w:ascii="Times New Roman" w:hAnsi="Times New Roman" w:cs="Times New Roman"/>
          <w:sz w:val="20"/>
          <w:szCs w:val="20"/>
        </w:rPr>
        <w:t>. https://docs.aws.amazon.com/wellarchitected/latest/framework/sec_permissions_least_privileges.html</w:t>
      </w:r>
    </w:p>
    <w:p w14:paraId="0154AD02"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[54]</w:t>
      </w:r>
    </w:p>
    <w:p w14:paraId="287DE57E"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H. Gilbert and H. Handschuh, “Security Analysis of SHA-256 and Sisters,” in </w:t>
      </w:r>
      <w:r w:rsidRPr="000B4A68">
        <w:rPr>
          <w:rFonts w:ascii="Times New Roman" w:hAnsi="Times New Roman" w:cs="Times New Roman"/>
          <w:i/>
          <w:iCs/>
          <w:sz w:val="20"/>
          <w:szCs w:val="20"/>
        </w:rPr>
        <w:t xml:space="preserve">Selected Areas in </w:t>
      </w:r>
      <w:r w:rsidRPr="000B4A68">
        <w:rPr>
          <w:rFonts w:ascii="Times New Roman" w:hAnsi="Times New Roman" w:cs="Times New Roman"/>
          <w:i/>
          <w:iCs/>
          <w:sz w:val="20"/>
          <w:szCs w:val="20"/>
        </w:rPr>
        <w:t>Cryptography. SAC 2003</w:t>
      </w:r>
      <w:r w:rsidRPr="000B4A68">
        <w:rPr>
          <w:rFonts w:ascii="Times New Roman" w:hAnsi="Times New Roman" w:cs="Times New Roman"/>
          <w:sz w:val="20"/>
          <w:szCs w:val="20"/>
        </w:rPr>
        <w:t>, M. Matsui and R. J. Zuccherato, Eds., Berlin, Heidelberg: Springer.</w:t>
      </w:r>
    </w:p>
    <w:p w14:paraId="00D9DC5C"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[55]</w:t>
      </w:r>
    </w:p>
    <w:p w14:paraId="40E75C46"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K. Salev, “HOW DOES THE FINGERPRINT DOOR LOCK WORK?,” </w:t>
      </w:r>
      <w:r w:rsidRPr="000B4A68">
        <w:rPr>
          <w:rFonts w:ascii="Times New Roman" w:hAnsi="Times New Roman" w:cs="Times New Roman"/>
          <w:i/>
          <w:iCs/>
          <w:sz w:val="20"/>
          <w:szCs w:val="20"/>
        </w:rPr>
        <w:t>Science Of Gadgets</w:t>
      </w:r>
      <w:r w:rsidRPr="000B4A68">
        <w:rPr>
          <w:rFonts w:ascii="Times New Roman" w:hAnsi="Times New Roman" w:cs="Times New Roman"/>
          <w:sz w:val="20"/>
          <w:szCs w:val="20"/>
        </w:rPr>
        <w:t>, Oct. 01, 2022. https://www.scienceofgadgets.com/post/how-does-the-fingerprint-door-lock-work</w:t>
      </w:r>
    </w:p>
    <w:p w14:paraId="06CBB706"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[56]</w:t>
      </w:r>
    </w:p>
    <w:p w14:paraId="50391062"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J. </w:t>
      </w:r>
      <w:proofErr w:type="spellStart"/>
      <w:r w:rsidRPr="000B4A68">
        <w:rPr>
          <w:rFonts w:ascii="Times New Roman" w:hAnsi="Times New Roman" w:cs="Times New Roman"/>
          <w:sz w:val="20"/>
          <w:szCs w:val="20"/>
        </w:rPr>
        <w:t>Galbally</w:t>
      </w:r>
      <w:proofErr w:type="spellEnd"/>
      <w:r w:rsidRPr="000B4A68">
        <w:rPr>
          <w:rFonts w:ascii="Times New Roman" w:hAnsi="Times New Roman" w:cs="Times New Roman"/>
          <w:sz w:val="20"/>
          <w:szCs w:val="20"/>
        </w:rPr>
        <w:t xml:space="preserve">, A. </w:t>
      </w:r>
      <w:proofErr w:type="spellStart"/>
      <w:r w:rsidRPr="000B4A68">
        <w:rPr>
          <w:rFonts w:ascii="Times New Roman" w:hAnsi="Times New Roman" w:cs="Times New Roman"/>
          <w:sz w:val="20"/>
          <w:szCs w:val="20"/>
        </w:rPr>
        <w:t>Cepilovs</w:t>
      </w:r>
      <w:proofErr w:type="spellEnd"/>
      <w:r w:rsidRPr="000B4A68">
        <w:rPr>
          <w:rFonts w:ascii="Times New Roman" w:hAnsi="Times New Roman" w:cs="Times New Roman"/>
          <w:sz w:val="20"/>
          <w:szCs w:val="20"/>
        </w:rPr>
        <w:t xml:space="preserve">, R. Blanco-Gonzalo, G. Ormiston, O. Miguel-Hurtado, and I. </w:t>
      </w:r>
      <w:proofErr w:type="spellStart"/>
      <w:r w:rsidRPr="000B4A68">
        <w:rPr>
          <w:rFonts w:ascii="Times New Roman" w:hAnsi="Times New Roman" w:cs="Times New Roman"/>
          <w:sz w:val="20"/>
          <w:szCs w:val="20"/>
        </w:rPr>
        <w:t>Sz</w:t>
      </w:r>
      <w:proofErr w:type="spellEnd"/>
      <w:r w:rsidRPr="000B4A68">
        <w:rPr>
          <w:rFonts w:ascii="Times New Roman" w:hAnsi="Times New Roman" w:cs="Times New Roman"/>
          <w:sz w:val="20"/>
          <w:szCs w:val="20"/>
        </w:rPr>
        <w:t xml:space="preserve">. Racz, “Fingerprint quality per individual finger type: A large-scale study on real operational data,” Apr. 2023,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https://doi.org/10.1109/iwbf57495.2023.10157166.</w:t>
      </w:r>
    </w:p>
    <w:p w14:paraId="38366A13"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[57]</w:t>
      </w:r>
    </w:p>
    <w:p w14:paraId="1A903904"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U. Senarath, “Waterfall Methodology, Prototyping and Agile Development,” </w:t>
      </w:r>
      <w:r w:rsidRPr="000B4A68">
        <w:rPr>
          <w:rFonts w:ascii="Times New Roman" w:hAnsi="Times New Roman" w:cs="Times New Roman"/>
          <w:i/>
          <w:iCs/>
          <w:sz w:val="20"/>
          <w:szCs w:val="20"/>
        </w:rPr>
        <w:t>Waterfall Methodology, Prototyping and Agile Development</w:t>
      </w:r>
      <w:r w:rsidRPr="000B4A68">
        <w:rPr>
          <w:rFonts w:ascii="Times New Roman" w:hAnsi="Times New Roman" w:cs="Times New Roman"/>
          <w:sz w:val="20"/>
          <w:szCs w:val="20"/>
        </w:rPr>
        <w:t xml:space="preserve">, Jun. 2021,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https://doi.org/10.13140/RG.2.2.17918.72001.</w:t>
      </w:r>
    </w:p>
    <w:p w14:paraId="29E80753"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[58]</w:t>
      </w:r>
    </w:p>
    <w:p w14:paraId="456DCFD2"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N. S. Vijayakumar, K. Prasad, and </w:t>
      </w:r>
      <w:proofErr w:type="spellStart"/>
      <w:r w:rsidRPr="000B4A68">
        <w:rPr>
          <w:rFonts w:ascii="Times New Roman" w:hAnsi="Times New Roman" w:cs="Times New Roman"/>
          <w:sz w:val="20"/>
          <w:szCs w:val="20"/>
        </w:rPr>
        <w:t>Raviraja</w:t>
      </w:r>
      <w:proofErr w:type="spellEnd"/>
      <w:r w:rsidRPr="000B4A68">
        <w:rPr>
          <w:rFonts w:ascii="Times New Roman" w:hAnsi="Times New Roman" w:cs="Times New Roman"/>
          <w:sz w:val="20"/>
          <w:szCs w:val="20"/>
        </w:rPr>
        <w:t xml:space="preserve"> Holla M, “Assessing the Effectiveness of </w:t>
      </w:r>
      <w:proofErr w:type="spellStart"/>
      <w:r w:rsidRPr="000B4A68">
        <w:rPr>
          <w:rFonts w:ascii="Times New Roman" w:hAnsi="Times New Roman" w:cs="Times New Roman"/>
          <w:sz w:val="20"/>
          <w:szCs w:val="20"/>
        </w:rPr>
        <w:t>MoSCoW</w:t>
      </w:r>
      <w:proofErr w:type="spellEnd"/>
      <w:r w:rsidRPr="000B4A68">
        <w:rPr>
          <w:rFonts w:ascii="Times New Roman" w:hAnsi="Times New Roman" w:cs="Times New Roman"/>
          <w:sz w:val="20"/>
          <w:szCs w:val="20"/>
        </w:rPr>
        <w:t xml:space="preserve"> Prioritization in Software Development: A Holistic Analysis across Methodologies,” </w:t>
      </w:r>
      <w:r w:rsidRPr="000B4A68">
        <w:rPr>
          <w:rFonts w:ascii="Times New Roman" w:hAnsi="Times New Roman" w:cs="Times New Roman"/>
          <w:i/>
          <w:iCs/>
          <w:sz w:val="20"/>
          <w:szCs w:val="20"/>
        </w:rPr>
        <w:t>EAI Endorsed Transactions on Internet of Things</w:t>
      </w:r>
      <w:r w:rsidRPr="000B4A68">
        <w:rPr>
          <w:rFonts w:ascii="Times New Roman" w:hAnsi="Times New Roman" w:cs="Times New Roman"/>
          <w:sz w:val="20"/>
          <w:szCs w:val="20"/>
        </w:rPr>
        <w:t xml:space="preserve">, vol. 10, Oct. 2024,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https://doi.org/10.4108/eetiot.6515.</w:t>
      </w:r>
    </w:p>
    <w:p w14:paraId="20CA8EDF"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[59]</w:t>
      </w:r>
    </w:p>
    <w:p w14:paraId="15D7C3DA"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A. A. Alyousif, A. A. Yassin, and H. M. Mohammed, “Enhancing Searchable Symmetric Encryption Performance through Optimal Locality,” </w:t>
      </w:r>
      <w:r w:rsidRPr="000B4A68">
        <w:rPr>
          <w:rFonts w:ascii="Times New Roman" w:hAnsi="Times New Roman" w:cs="Times New Roman"/>
          <w:i/>
          <w:iCs/>
          <w:sz w:val="20"/>
          <w:szCs w:val="20"/>
        </w:rPr>
        <w:t>Informatica</w:t>
      </w:r>
      <w:r w:rsidRPr="000B4A68">
        <w:rPr>
          <w:rFonts w:ascii="Times New Roman" w:hAnsi="Times New Roman" w:cs="Times New Roman"/>
          <w:sz w:val="20"/>
          <w:szCs w:val="20"/>
        </w:rPr>
        <w:t xml:space="preserve">, vol. 49, no. 7, Feb. 2025, </w:t>
      </w:r>
      <w:proofErr w:type="spellStart"/>
      <w:r w:rsidRPr="000B4A68">
        <w:rPr>
          <w:rFonts w:ascii="Times New Roman" w:hAnsi="Times New Roman" w:cs="Times New Roman"/>
          <w:sz w:val="20"/>
          <w:szCs w:val="20"/>
        </w:rPr>
        <w:t>doi</w:t>
      </w:r>
      <w:proofErr w:type="spellEnd"/>
      <w:r w:rsidRPr="000B4A68">
        <w:rPr>
          <w:rFonts w:ascii="Times New Roman" w:hAnsi="Times New Roman" w:cs="Times New Roman"/>
          <w:sz w:val="20"/>
          <w:szCs w:val="20"/>
        </w:rPr>
        <w:t>: https://doi.org/10.31449/inf.v49i7.5925.</w:t>
      </w:r>
    </w:p>
    <w:p w14:paraId="11813693"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[60]</w:t>
      </w:r>
    </w:p>
    <w:p w14:paraId="2517579B" w14:textId="77777777" w:rsidR="000B4A68" w:rsidRPr="000B4A68" w:rsidRDefault="000B4A68" w:rsidP="000B4A68">
      <w:pPr>
        <w:rPr>
          <w:rFonts w:ascii="Times New Roman" w:hAnsi="Times New Roman" w:cs="Times New Roman"/>
          <w:sz w:val="20"/>
          <w:szCs w:val="20"/>
        </w:rPr>
      </w:pPr>
      <w:proofErr w:type="spellStart"/>
      <w:r w:rsidRPr="000B4A68">
        <w:rPr>
          <w:rFonts w:ascii="Times New Roman" w:hAnsi="Times New Roman" w:cs="Times New Roman"/>
          <w:sz w:val="20"/>
          <w:szCs w:val="20"/>
        </w:rPr>
        <w:t>ruizgara</w:t>
      </w:r>
      <w:proofErr w:type="spellEnd"/>
      <w:r w:rsidRPr="000B4A68">
        <w:rPr>
          <w:rFonts w:ascii="Times New Roman" w:hAnsi="Times New Roman" w:cs="Times New Roman"/>
          <w:sz w:val="20"/>
          <w:szCs w:val="20"/>
        </w:rPr>
        <w:t>, “Sokoto Coventry Fingerprint Dataset (</w:t>
      </w:r>
      <w:proofErr w:type="spellStart"/>
      <w:r w:rsidRPr="000B4A68">
        <w:rPr>
          <w:rFonts w:ascii="Times New Roman" w:hAnsi="Times New Roman" w:cs="Times New Roman"/>
          <w:sz w:val="20"/>
          <w:szCs w:val="20"/>
        </w:rPr>
        <w:t>SOCOFing</w:t>
      </w:r>
      <w:proofErr w:type="spellEnd"/>
      <w:r w:rsidRPr="000B4A68">
        <w:rPr>
          <w:rFonts w:ascii="Times New Roman" w:hAnsi="Times New Roman" w:cs="Times New Roman"/>
          <w:sz w:val="20"/>
          <w:szCs w:val="20"/>
        </w:rPr>
        <w:t xml:space="preserve">),” </w:t>
      </w:r>
      <w:r w:rsidRPr="000B4A68">
        <w:rPr>
          <w:rFonts w:ascii="Times New Roman" w:hAnsi="Times New Roman" w:cs="Times New Roman"/>
          <w:i/>
          <w:iCs/>
          <w:sz w:val="20"/>
          <w:szCs w:val="20"/>
        </w:rPr>
        <w:t>Kaggle.com</w:t>
      </w:r>
      <w:r w:rsidRPr="000B4A68">
        <w:rPr>
          <w:rFonts w:ascii="Times New Roman" w:hAnsi="Times New Roman" w:cs="Times New Roman"/>
          <w:sz w:val="20"/>
          <w:szCs w:val="20"/>
        </w:rPr>
        <w:t>, 2018. https://www.kaggle.com/datasets/ruizgara/socofing?resource=download (accessed Apr. 19, 2026).</w:t>
      </w:r>
    </w:p>
    <w:p w14:paraId="0B88A39D"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[61]</w:t>
      </w:r>
    </w:p>
    <w:p w14:paraId="13F96A65" w14:textId="77777777" w:rsidR="000B4A68" w:rsidRPr="000B4A68" w:rsidRDefault="000B4A68" w:rsidP="000B4A68">
      <w:pPr>
        <w:rPr>
          <w:rFonts w:ascii="Times New Roman" w:hAnsi="Times New Roman" w:cs="Times New Roman"/>
          <w:sz w:val="20"/>
          <w:szCs w:val="20"/>
        </w:rPr>
      </w:pPr>
      <w:r w:rsidRPr="000B4A68">
        <w:rPr>
          <w:rFonts w:ascii="Times New Roman" w:hAnsi="Times New Roman" w:cs="Times New Roman"/>
          <w:sz w:val="20"/>
          <w:szCs w:val="20"/>
        </w:rPr>
        <w:t xml:space="preserve">N. S. Chauhan, “FVC2002 fingerprints,” </w:t>
      </w:r>
      <w:r w:rsidRPr="000B4A68">
        <w:rPr>
          <w:rFonts w:ascii="Times New Roman" w:hAnsi="Times New Roman" w:cs="Times New Roman"/>
          <w:i/>
          <w:iCs/>
          <w:sz w:val="20"/>
          <w:szCs w:val="20"/>
        </w:rPr>
        <w:t>Kaggle.com</w:t>
      </w:r>
      <w:r w:rsidRPr="000B4A68">
        <w:rPr>
          <w:rFonts w:ascii="Times New Roman" w:hAnsi="Times New Roman" w:cs="Times New Roman"/>
          <w:sz w:val="20"/>
          <w:szCs w:val="20"/>
        </w:rPr>
        <w:t>, 2025. https://www.kaggle.com/datasets/nageshsingh/fvc2002-fingerprints (accessed Apr. 19, 2026).</w:t>
      </w:r>
    </w:p>
    <w:p w14:paraId="2B553E5C" w14:textId="77777777" w:rsidR="000B4A68" w:rsidRDefault="000B4A68" w:rsidP="00D1215F">
      <w:pPr>
        <w:rPr>
          <w:sz w:val="32"/>
          <w:szCs w:val="32"/>
        </w:rPr>
        <w:sectPr w:rsidR="000B4A68" w:rsidSect="000B4A68">
          <w:type w:val="continuous"/>
          <w:pgSz w:w="11906" w:h="16838"/>
          <w:pgMar w:top="1440" w:right="1440" w:bottom="1440" w:left="1440" w:header="708" w:footer="708" w:gutter="0"/>
          <w:cols w:num="2" w:space="708"/>
          <w:docGrid w:linePitch="360"/>
        </w:sectPr>
      </w:pPr>
    </w:p>
    <w:p w14:paraId="1B70C621" w14:textId="3D51C4E4" w:rsidR="000B4A68" w:rsidRPr="000B4A68" w:rsidRDefault="000B4A68" w:rsidP="00D1215F">
      <w:pPr>
        <w:rPr>
          <w:rFonts w:ascii="Times New Roman" w:hAnsi="Times New Roman" w:cs="Times New Roman"/>
          <w:sz w:val="20"/>
          <w:szCs w:val="20"/>
        </w:rPr>
      </w:pPr>
      <w:r w:rsidRPr="000B4A68">
        <w:rPr>
          <w:rFonts w:ascii="Times New Roman" w:hAnsi="Times New Roman" w:cs="Times New Roman"/>
          <w:sz w:val="20"/>
          <w:szCs w:val="20"/>
        </w:rPr>
        <w:t>[62]</w:t>
      </w:r>
    </w:p>
    <w:p w14:paraId="0801F1AB" w14:textId="6DD7FF30" w:rsidR="000B4A68" w:rsidRPr="000B4A68" w:rsidRDefault="000B4A68" w:rsidP="00D1215F">
      <w:pPr>
        <w:rPr>
          <w:sz w:val="20"/>
          <w:szCs w:val="20"/>
        </w:rPr>
      </w:pPr>
      <w:r w:rsidRPr="000B4A68">
        <w:rPr>
          <w:sz w:val="20"/>
          <w:szCs w:val="20"/>
        </w:rPr>
        <w:t xml:space="preserve">Anthropic. (2025). </w:t>
      </w:r>
      <w:r w:rsidRPr="000B4A68">
        <w:rPr>
          <w:i/>
          <w:iCs/>
          <w:sz w:val="20"/>
          <w:szCs w:val="20"/>
        </w:rPr>
        <w:t>Claude</w:t>
      </w:r>
      <w:r w:rsidRPr="000B4A68">
        <w:rPr>
          <w:sz w:val="20"/>
          <w:szCs w:val="20"/>
        </w:rPr>
        <w:t xml:space="preserve"> (claude-sonnet-4-6) [Large language model]. </w:t>
      </w:r>
      <w:hyperlink r:id="rId32" w:history="1">
        <w:r w:rsidRPr="000B4A68">
          <w:rPr>
            <w:rStyle w:val="Hyperlink"/>
            <w:sz w:val="20"/>
            <w:szCs w:val="20"/>
          </w:rPr>
          <w:t>https://www.claude.ai</w:t>
        </w:r>
      </w:hyperlink>
    </w:p>
    <w:p w14:paraId="0062B28E" w14:textId="164C4BBB" w:rsidR="00D1215F" w:rsidRPr="000B4A68" w:rsidRDefault="002906A6" w:rsidP="00D1215F">
      <w:pPr>
        <w:rPr>
          <w:sz w:val="32"/>
          <w:szCs w:val="32"/>
        </w:rPr>
      </w:pPr>
      <w:r w:rsidRPr="000B4A68">
        <w:rPr>
          <w:sz w:val="32"/>
          <w:szCs w:val="32"/>
        </w:rPr>
        <w:lastRenderedPageBreak/>
        <w:t xml:space="preserve">Appendix </w:t>
      </w:r>
    </w:p>
    <w:p w14:paraId="7CDD71BF" w14:textId="69692124" w:rsidR="002906A6" w:rsidRPr="006B7D92" w:rsidRDefault="002906A6" w:rsidP="00D1215F">
      <w:pPr>
        <w:rPr>
          <w:sz w:val="20"/>
          <w:szCs w:val="20"/>
        </w:rPr>
      </w:pPr>
      <w:r w:rsidRPr="006B7D92">
        <w:rPr>
          <w:sz w:val="20"/>
          <w:szCs w:val="20"/>
        </w:rPr>
        <w:t xml:space="preserve">Appendix A - High </w:t>
      </w:r>
      <w:proofErr w:type="spellStart"/>
      <w:r w:rsidRPr="006B7D92">
        <w:rPr>
          <w:sz w:val="20"/>
          <w:szCs w:val="20"/>
        </w:rPr>
        <w:t>Fedelity</w:t>
      </w:r>
      <w:proofErr w:type="spellEnd"/>
      <w:r w:rsidRPr="006B7D92">
        <w:rPr>
          <w:sz w:val="20"/>
          <w:szCs w:val="20"/>
        </w:rPr>
        <w:t xml:space="preserve"> </w:t>
      </w:r>
      <w:proofErr w:type="spellStart"/>
      <w:r w:rsidRPr="006B7D92">
        <w:rPr>
          <w:sz w:val="20"/>
          <w:szCs w:val="20"/>
        </w:rPr>
        <w:t>Mockups</w:t>
      </w:r>
      <w:proofErr w:type="spellEnd"/>
    </w:p>
    <w:p w14:paraId="28F49520" w14:textId="10D26CD2" w:rsidR="002906A6" w:rsidRPr="006B7D92" w:rsidRDefault="002906A6" w:rsidP="00D1215F">
      <w:pPr>
        <w:rPr>
          <w:sz w:val="20"/>
          <w:szCs w:val="20"/>
        </w:rPr>
      </w:pPr>
      <w:r w:rsidRPr="006B7D92">
        <w:rPr>
          <w:sz w:val="20"/>
          <w:szCs w:val="20"/>
        </w:rPr>
        <w:t xml:space="preserve">Appendix B </w:t>
      </w:r>
      <w:r w:rsidR="006B7D92">
        <w:rPr>
          <w:sz w:val="20"/>
          <w:szCs w:val="20"/>
        </w:rPr>
        <w:t>-</w:t>
      </w:r>
      <w:r w:rsidRPr="006B7D92">
        <w:rPr>
          <w:sz w:val="20"/>
          <w:szCs w:val="20"/>
        </w:rPr>
        <w:t xml:space="preserve"> </w:t>
      </w:r>
      <w:proofErr w:type="spellStart"/>
      <w:r w:rsidRPr="006B7D92">
        <w:rPr>
          <w:sz w:val="20"/>
          <w:szCs w:val="20"/>
        </w:rPr>
        <w:t>MoSCoW</w:t>
      </w:r>
      <w:proofErr w:type="spellEnd"/>
      <w:r w:rsidRPr="006B7D92">
        <w:rPr>
          <w:sz w:val="20"/>
          <w:szCs w:val="20"/>
        </w:rPr>
        <w:t xml:space="preserve"> Requirements</w:t>
      </w:r>
    </w:p>
    <w:p w14:paraId="6FF09125" w14:textId="12614EFB" w:rsidR="002906A6" w:rsidRPr="006B7D92" w:rsidRDefault="002906A6" w:rsidP="00D1215F">
      <w:pPr>
        <w:rPr>
          <w:sz w:val="20"/>
          <w:szCs w:val="20"/>
        </w:rPr>
      </w:pPr>
      <w:r w:rsidRPr="006B7D92">
        <w:rPr>
          <w:sz w:val="20"/>
          <w:szCs w:val="20"/>
        </w:rPr>
        <w:t>Appendix C - User Stories</w:t>
      </w:r>
    </w:p>
    <w:p w14:paraId="61104152" w14:textId="2CAA0EF2" w:rsidR="0087739C" w:rsidRPr="006B7D92" w:rsidRDefault="0087739C" w:rsidP="00D1215F">
      <w:pPr>
        <w:rPr>
          <w:sz w:val="20"/>
          <w:szCs w:val="20"/>
        </w:rPr>
      </w:pPr>
      <w:r w:rsidRPr="006B7D92">
        <w:rPr>
          <w:sz w:val="20"/>
          <w:szCs w:val="20"/>
        </w:rPr>
        <w:t xml:space="preserve">Appendix D </w:t>
      </w:r>
      <w:r w:rsidR="006B7D92">
        <w:rPr>
          <w:sz w:val="20"/>
          <w:szCs w:val="20"/>
        </w:rPr>
        <w:t>-</w:t>
      </w:r>
      <w:r w:rsidRPr="006B7D92">
        <w:rPr>
          <w:sz w:val="20"/>
          <w:szCs w:val="20"/>
        </w:rPr>
        <w:t xml:space="preserve"> Project Gannt chart </w:t>
      </w:r>
    </w:p>
    <w:p w14:paraId="240836BE" w14:textId="589D8C98" w:rsidR="000A6959" w:rsidRPr="006B7D92" w:rsidRDefault="000A6959" w:rsidP="00D1215F">
      <w:pPr>
        <w:rPr>
          <w:sz w:val="20"/>
          <w:szCs w:val="20"/>
        </w:rPr>
      </w:pPr>
      <w:r w:rsidRPr="006B7D92">
        <w:rPr>
          <w:sz w:val="20"/>
          <w:szCs w:val="20"/>
        </w:rPr>
        <w:t>Appendix E - Individual project Meeting minu</w:t>
      </w:r>
      <w:r w:rsidR="008537C9" w:rsidRPr="006B7D92">
        <w:rPr>
          <w:sz w:val="20"/>
          <w:szCs w:val="20"/>
        </w:rPr>
        <w:t>te</w:t>
      </w:r>
      <w:r w:rsidRPr="006B7D92">
        <w:rPr>
          <w:sz w:val="20"/>
          <w:szCs w:val="20"/>
        </w:rPr>
        <w:t>s</w:t>
      </w:r>
    </w:p>
    <w:p w14:paraId="0AA536CF" w14:textId="51DA7672" w:rsidR="00865416" w:rsidRPr="006B7D92" w:rsidRDefault="00865416" w:rsidP="00D1215F">
      <w:pPr>
        <w:rPr>
          <w:sz w:val="20"/>
          <w:szCs w:val="20"/>
        </w:rPr>
      </w:pPr>
      <w:r w:rsidRPr="006B7D92">
        <w:rPr>
          <w:sz w:val="20"/>
          <w:szCs w:val="20"/>
        </w:rPr>
        <w:t xml:space="preserve">Appendix F </w:t>
      </w:r>
      <w:r w:rsidR="006B7D92">
        <w:rPr>
          <w:sz w:val="20"/>
          <w:szCs w:val="20"/>
        </w:rPr>
        <w:t>-</w:t>
      </w:r>
      <w:r w:rsidRPr="006B7D92">
        <w:rPr>
          <w:sz w:val="20"/>
          <w:szCs w:val="20"/>
        </w:rPr>
        <w:t xml:space="preserve"> Sequence Diagrams</w:t>
      </w:r>
    </w:p>
    <w:p w14:paraId="30A0ADE2" w14:textId="20EE662B" w:rsidR="00C17153" w:rsidRPr="006B7D92" w:rsidRDefault="00C17153" w:rsidP="00D1215F">
      <w:pPr>
        <w:rPr>
          <w:sz w:val="20"/>
          <w:szCs w:val="20"/>
        </w:rPr>
      </w:pPr>
      <w:r w:rsidRPr="006B7D92">
        <w:rPr>
          <w:sz w:val="20"/>
          <w:szCs w:val="20"/>
        </w:rPr>
        <w:t>Appendix G - Research Questionnaire</w:t>
      </w:r>
      <w:r w:rsidR="0068251C" w:rsidRPr="006B7D92">
        <w:rPr>
          <w:sz w:val="20"/>
          <w:szCs w:val="20"/>
        </w:rPr>
        <w:t xml:space="preserve"> Results </w:t>
      </w:r>
    </w:p>
    <w:p w14:paraId="475973C7" w14:textId="7F73B881" w:rsidR="00073856" w:rsidRPr="006B7D92" w:rsidRDefault="00073856" w:rsidP="00D1215F">
      <w:pPr>
        <w:rPr>
          <w:sz w:val="20"/>
          <w:szCs w:val="20"/>
        </w:rPr>
      </w:pPr>
      <w:r w:rsidRPr="006B7D92">
        <w:rPr>
          <w:sz w:val="20"/>
          <w:szCs w:val="20"/>
        </w:rPr>
        <w:t xml:space="preserve">Appendix H </w:t>
      </w:r>
      <w:r w:rsidR="006B7D92">
        <w:rPr>
          <w:sz w:val="20"/>
          <w:szCs w:val="20"/>
        </w:rPr>
        <w:t>-</w:t>
      </w:r>
      <w:r w:rsidRPr="006B7D92">
        <w:rPr>
          <w:sz w:val="20"/>
          <w:szCs w:val="20"/>
        </w:rPr>
        <w:t xml:space="preserve"> benchmark_FVC2002_Combined</w:t>
      </w:r>
    </w:p>
    <w:p w14:paraId="4E220F9E" w14:textId="0350BAB3" w:rsidR="00073856" w:rsidRPr="006B7D92" w:rsidRDefault="00073856" w:rsidP="00D1215F">
      <w:pPr>
        <w:rPr>
          <w:sz w:val="20"/>
          <w:szCs w:val="20"/>
        </w:rPr>
      </w:pPr>
      <w:r w:rsidRPr="006B7D92">
        <w:rPr>
          <w:sz w:val="20"/>
          <w:szCs w:val="20"/>
        </w:rPr>
        <w:t xml:space="preserve">Appendix I - </w:t>
      </w:r>
      <w:proofErr w:type="spellStart"/>
      <w:r w:rsidRPr="006B7D92">
        <w:rPr>
          <w:sz w:val="20"/>
          <w:szCs w:val="20"/>
        </w:rPr>
        <w:t>benchmark_SOCOFing</w:t>
      </w:r>
      <w:proofErr w:type="spellEnd"/>
    </w:p>
    <w:p w14:paraId="18C7DBBA" w14:textId="4E2C02A8" w:rsidR="004A4E6B" w:rsidRPr="006B7D92" w:rsidRDefault="004A4E6B" w:rsidP="00D1215F">
      <w:pPr>
        <w:rPr>
          <w:sz w:val="20"/>
          <w:szCs w:val="20"/>
        </w:rPr>
      </w:pPr>
      <w:r w:rsidRPr="006B7D92">
        <w:rPr>
          <w:sz w:val="20"/>
          <w:szCs w:val="20"/>
        </w:rPr>
        <w:t xml:space="preserve">Appendix J </w:t>
      </w:r>
      <w:r w:rsidR="006B7D92">
        <w:rPr>
          <w:sz w:val="20"/>
          <w:szCs w:val="20"/>
        </w:rPr>
        <w:t>-</w:t>
      </w:r>
      <w:r w:rsidRPr="006B7D92">
        <w:rPr>
          <w:sz w:val="20"/>
          <w:szCs w:val="20"/>
        </w:rPr>
        <w:t xml:space="preserve"> </w:t>
      </w:r>
      <w:r w:rsidR="00177215" w:rsidRPr="006B7D92">
        <w:rPr>
          <w:sz w:val="20"/>
          <w:szCs w:val="20"/>
        </w:rPr>
        <w:t>Tasks and Questionnaire.docx</w:t>
      </w:r>
    </w:p>
    <w:p w14:paraId="71BCB279" w14:textId="79C769BA" w:rsidR="00CA0A6B" w:rsidRPr="006B7D92" w:rsidRDefault="00CA0A6B" w:rsidP="00D1215F">
      <w:pPr>
        <w:rPr>
          <w:sz w:val="20"/>
          <w:szCs w:val="20"/>
        </w:rPr>
      </w:pPr>
      <w:r w:rsidRPr="006B7D92">
        <w:rPr>
          <w:sz w:val="20"/>
          <w:szCs w:val="20"/>
        </w:rPr>
        <w:t xml:space="preserve">Appendix </w:t>
      </w:r>
      <w:r w:rsidR="00BE2E2C" w:rsidRPr="006B7D92">
        <w:rPr>
          <w:sz w:val="20"/>
          <w:szCs w:val="20"/>
        </w:rPr>
        <w:t>K</w:t>
      </w:r>
      <w:r w:rsidRPr="006B7D92">
        <w:rPr>
          <w:sz w:val="20"/>
          <w:szCs w:val="20"/>
        </w:rPr>
        <w:t xml:space="preserve"> </w:t>
      </w:r>
      <w:r w:rsidR="006B7D92">
        <w:rPr>
          <w:sz w:val="20"/>
          <w:szCs w:val="20"/>
        </w:rPr>
        <w:t>-</w:t>
      </w:r>
      <w:r w:rsidRPr="006B7D92">
        <w:rPr>
          <w:sz w:val="20"/>
          <w:szCs w:val="20"/>
        </w:rPr>
        <w:t xml:space="preserve"> Load Test Results </w:t>
      </w:r>
    </w:p>
    <w:p w14:paraId="1419FFEA" w14:textId="4D14EDAF" w:rsidR="00BE2E2C" w:rsidRPr="006B7D92" w:rsidRDefault="00BE2E2C" w:rsidP="00D1215F">
      <w:pPr>
        <w:rPr>
          <w:sz w:val="20"/>
          <w:szCs w:val="20"/>
        </w:rPr>
      </w:pPr>
      <w:r w:rsidRPr="006B7D92">
        <w:rPr>
          <w:sz w:val="20"/>
          <w:szCs w:val="20"/>
        </w:rPr>
        <w:t xml:space="preserve">Appendix L </w:t>
      </w:r>
      <w:r w:rsidR="006B7D92" w:rsidRPr="006B7D92">
        <w:rPr>
          <w:sz w:val="20"/>
          <w:szCs w:val="20"/>
        </w:rPr>
        <w:t>-</w:t>
      </w:r>
      <w:r w:rsidRPr="006B7D92">
        <w:rPr>
          <w:sz w:val="20"/>
          <w:szCs w:val="20"/>
        </w:rPr>
        <w:t xml:space="preserve"> Informed Consent Form</w:t>
      </w:r>
    </w:p>
    <w:p w14:paraId="396949FF" w14:textId="34375414" w:rsidR="006B7D92" w:rsidRDefault="006B7D92" w:rsidP="00D1215F">
      <w:pPr>
        <w:rPr>
          <w:sz w:val="20"/>
          <w:szCs w:val="20"/>
        </w:rPr>
      </w:pPr>
      <w:r w:rsidRPr="006B7D92">
        <w:rPr>
          <w:sz w:val="20"/>
          <w:szCs w:val="20"/>
        </w:rPr>
        <w:t xml:space="preserve">Appendix M </w:t>
      </w:r>
      <w:r>
        <w:rPr>
          <w:sz w:val="20"/>
          <w:szCs w:val="20"/>
        </w:rPr>
        <w:t>-</w:t>
      </w:r>
      <w:r w:rsidRPr="006B7D92">
        <w:rPr>
          <w:sz w:val="20"/>
          <w:szCs w:val="20"/>
        </w:rPr>
        <w:t xml:space="preserve"> Source Code</w:t>
      </w:r>
    </w:p>
    <w:p w14:paraId="5B48047F" w14:textId="303D6F10" w:rsidR="00F05445" w:rsidRDefault="006B7D92" w:rsidP="00D1215F">
      <w:pPr>
        <w:rPr>
          <w:sz w:val="20"/>
          <w:szCs w:val="20"/>
        </w:rPr>
      </w:pPr>
      <w:r>
        <w:rPr>
          <w:sz w:val="20"/>
          <w:szCs w:val="20"/>
        </w:rPr>
        <w:t xml:space="preserve">Appendix N </w:t>
      </w:r>
      <w:r w:rsidR="00F05445">
        <w:rPr>
          <w:sz w:val="20"/>
          <w:szCs w:val="20"/>
        </w:rPr>
        <w:t>-</w:t>
      </w:r>
      <w:r>
        <w:rPr>
          <w:sz w:val="20"/>
          <w:szCs w:val="20"/>
        </w:rPr>
        <w:t xml:space="preserve"> </w:t>
      </w:r>
      <w:r w:rsidRPr="006B7D92">
        <w:rPr>
          <w:sz w:val="20"/>
          <w:szCs w:val="20"/>
        </w:rPr>
        <w:t>Ethics Documents</w:t>
      </w:r>
    </w:p>
    <w:p w14:paraId="490B37D0" w14:textId="198F7B58" w:rsidR="00F05445" w:rsidRDefault="00F05445" w:rsidP="00D1215F">
      <w:pPr>
        <w:rPr>
          <w:sz w:val="20"/>
          <w:szCs w:val="20"/>
        </w:rPr>
      </w:pPr>
      <w:r>
        <w:rPr>
          <w:sz w:val="20"/>
          <w:szCs w:val="20"/>
        </w:rPr>
        <w:t xml:space="preserve">Appendix O </w:t>
      </w:r>
      <w:r w:rsidR="00F47D52">
        <w:rPr>
          <w:sz w:val="20"/>
          <w:szCs w:val="20"/>
        </w:rPr>
        <w:t>-</w:t>
      </w:r>
      <w:r>
        <w:rPr>
          <w:sz w:val="20"/>
          <w:szCs w:val="20"/>
        </w:rPr>
        <w:t xml:space="preserve"> </w:t>
      </w:r>
      <w:r w:rsidR="00F47D52">
        <w:rPr>
          <w:sz w:val="20"/>
          <w:szCs w:val="20"/>
        </w:rPr>
        <w:t>Pictures In Reports</w:t>
      </w:r>
    </w:p>
    <w:p w14:paraId="7D7F738A" w14:textId="65BFC2CC" w:rsidR="00F47D52" w:rsidRDefault="00F47D52" w:rsidP="00D1215F">
      <w:pPr>
        <w:rPr>
          <w:sz w:val="20"/>
          <w:szCs w:val="20"/>
        </w:rPr>
      </w:pPr>
      <w:r>
        <w:rPr>
          <w:sz w:val="20"/>
          <w:szCs w:val="20"/>
        </w:rPr>
        <w:t xml:space="preserve">Appendix P - InterimReport.pdf </w:t>
      </w:r>
    </w:p>
    <w:p w14:paraId="213A9A96" w14:textId="263F2825" w:rsidR="00F47D52" w:rsidRDefault="00F47D52" w:rsidP="00D1215F">
      <w:pPr>
        <w:rPr>
          <w:sz w:val="20"/>
          <w:szCs w:val="20"/>
        </w:rPr>
      </w:pPr>
      <w:r>
        <w:rPr>
          <w:sz w:val="20"/>
          <w:szCs w:val="20"/>
        </w:rPr>
        <w:t xml:space="preserve">Appendix Q – User Guid </w:t>
      </w:r>
    </w:p>
    <w:p w14:paraId="1C47E313" w14:textId="77777777" w:rsidR="006B7D92" w:rsidRPr="006B7D92" w:rsidRDefault="006B7D92" w:rsidP="00D1215F">
      <w:pPr>
        <w:rPr>
          <w:sz w:val="20"/>
          <w:szCs w:val="20"/>
        </w:rPr>
      </w:pPr>
    </w:p>
    <w:p w14:paraId="1E91C030" w14:textId="77777777" w:rsidR="000B4A68" w:rsidRDefault="000B4A68" w:rsidP="00D1215F">
      <w:pPr>
        <w:rPr>
          <w:sz w:val="20"/>
          <w:szCs w:val="20"/>
        </w:rPr>
      </w:pPr>
    </w:p>
    <w:p w14:paraId="4348B5F6" w14:textId="77777777" w:rsidR="000B4A68" w:rsidRDefault="000B4A68" w:rsidP="00D1215F">
      <w:pPr>
        <w:rPr>
          <w:sz w:val="20"/>
          <w:szCs w:val="20"/>
        </w:rPr>
      </w:pPr>
    </w:p>
    <w:p w14:paraId="68EE8778" w14:textId="2D937262" w:rsidR="000B4A68" w:rsidRPr="001A0B18" w:rsidRDefault="000B4A68" w:rsidP="00D1215F">
      <w:pPr>
        <w:rPr>
          <w:sz w:val="20"/>
          <w:szCs w:val="20"/>
        </w:rPr>
      </w:pPr>
    </w:p>
    <w:sectPr w:rsidR="000B4A68" w:rsidRPr="001A0B18" w:rsidSect="00EE2AEC">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267A"/>
    <w:multiLevelType w:val="multilevel"/>
    <w:tmpl w:val="AB3A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776A4"/>
    <w:multiLevelType w:val="hybridMultilevel"/>
    <w:tmpl w:val="7F7C31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E923F5"/>
    <w:multiLevelType w:val="multilevel"/>
    <w:tmpl w:val="5B0C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30406"/>
    <w:multiLevelType w:val="multilevel"/>
    <w:tmpl w:val="12FC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334CA0"/>
    <w:multiLevelType w:val="hybridMultilevel"/>
    <w:tmpl w:val="995A85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7951288"/>
    <w:multiLevelType w:val="multilevel"/>
    <w:tmpl w:val="49C4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991014"/>
    <w:multiLevelType w:val="multilevel"/>
    <w:tmpl w:val="01B2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C33AFC"/>
    <w:multiLevelType w:val="multilevel"/>
    <w:tmpl w:val="0FF8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95373">
    <w:abstractNumId w:val="2"/>
  </w:num>
  <w:num w:numId="2" w16cid:durableId="1263146936">
    <w:abstractNumId w:val="6"/>
  </w:num>
  <w:num w:numId="3" w16cid:durableId="1286891840">
    <w:abstractNumId w:val="1"/>
  </w:num>
  <w:num w:numId="4" w16cid:durableId="172456302">
    <w:abstractNumId w:val="4"/>
  </w:num>
  <w:num w:numId="5" w16cid:durableId="524910009">
    <w:abstractNumId w:val="7"/>
  </w:num>
  <w:num w:numId="6" w16cid:durableId="65300386">
    <w:abstractNumId w:val="5"/>
  </w:num>
  <w:num w:numId="7" w16cid:durableId="807743026">
    <w:abstractNumId w:val="3"/>
  </w:num>
  <w:num w:numId="8" w16cid:durableId="526411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593"/>
    <w:rsid w:val="00007032"/>
    <w:rsid w:val="000168FD"/>
    <w:rsid w:val="000255E0"/>
    <w:rsid w:val="0002566C"/>
    <w:rsid w:val="00040E14"/>
    <w:rsid w:val="00044307"/>
    <w:rsid w:val="00044DE7"/>
    <w:rsid w:val="0005507A"/>
    <w:rsid w:val="00060071"/>
    <w:rsid w:val="00060720"/>
    <w:rsid w:val="00065FBA"/>
    <w:rsid w:val="00067BE4"/>
    <w:rsid w:val="00073856"/>
    <w:rsid w:val="00077AB4"/>
    <w:rsid w:val="0008444A"/>
    <w:rsid w:val="0008732C"/>
    <w:rsid w:val="0009483E"/>
    <w:rsid w:val="000A0676"/>
    <w:rsid w:val="000A16B5"/>
    <w:rsid w:val="000A3AC5"/>
    <w:rsid w:val="000A6170"/>
    <w:rsid w:val="000A6959"/>
    <w:rsid w:val="000B4A68"/>
    <w:rsid w:val="000B52E4"/>
    <w:rsid w:val="000C03D0"/>
    <w:rsid w:val="000C1B7C"/>
    <w:rsid w:val="000C7D7E"/>
    <w:rsid w:val="000D6C1E"/>
    <w:rsid w:val="000E10C9"/>
    <w:rsid w:val="000E382A"/>
    <w:rsid w:val="000F38E0"/>
    <w:rsid w:val="0010208B"/>
    <w:rsid w:val="00112406"/>
    <w:rsid w:val="00113158"/>
    <w:rsid w:val="0011358D"/>
    <w:rsid w:val="00125D01"/>
    <w:rsid w:val="00131B9F"/>
    <w:rsid w:val="00132055"/>
    <w:rsid w:val="00133AB1"/>
    <w:rsid w:val="00137D1D"/>
    <w:rsid w:val="00150085"/>
    <w:rsid w:val="0015693A"/>
    <w:rsid w:val="00163788"/>
    <w:rsid w:val="001649F0"/>
    <w:rsid w:val="00177215"/>
    <w:rsid w:val="00186FE6"/>
    <w:rsid w:val="00187885"/>
    <w:rsid w:val="001946B1"/>
    <w:rsid w:val="00197995"/>
    <w:rsid w:val="001A0B18"/>
    <w:rsid w:val="001B063E"/>
    <w:rsid w:val="001B21B4"/>
    <w:rsid w:val="001B27C0"/>
    <w:rsid w:val="001C004A"/>
    <w:rsid w:val="001C0E91"/>
    <w:rsid w:val="001C167E"/>
    <w:rsid w:val="001D469C"/>
    <w:rsid w:val="001E2CE6"/>
    <w:rsid w:val="00200284"/>
    <w:rsid w:val="002023D9"/>
    <w:rsid w:val="0021437D"/>
    <w:rsid w:val="002216B8"/>
    <w:rsid w:val="00221D45"/>
    <w:rsid w:val="0023222E"/>
    <w:rsid w:val="002442D0"/>
    <w:rsid w:val="0024498D"/>
    <w:rsid w:val="00250130"/>
    <w:rsid w:val="0027677B"/>
    <w:rsid w:val="00284540"/>
    <w:rsid w:val="002862F2"/>
    <w:rsid w:val="00287C9E"/>
    <w:rsid w:val="002906A6"/>
    <w:rsid w:val="00292DD8"/>
    <w:rsid w:val="0029488C"/>
    <w:rsid w:val="002A0E3E"/>
    <w:rsid w:val="002A1DE8"/>
    <w:rsid w:val="002A39FA"/>
    <w:rsid w:val="002B0F03"/>
    <w:rsid w:val="002B1587"/>
    <w:rsid w:val="002B3EED"/>
    <w:rsid w:val="002C3AA1"/>
    <w:rsid w:val="002C6F30"/>
    <w:rsid w:val="002F10D4"/>
    <w:rsid w:val="002F301B"/>
    <w:rsid w:val="002F55F6"/>
    <w:rsid w:val="002F6D39"/>
    <w:rsid w:val="00310345"/>
    <w:rsid w:val="003172DB"/>
    <w:rsid w:val="00317C7F"/>
    <w:rsid w:val="003207DD"/>
    <w:rsid w:val="003222DC"/>
    <w:rsid w:val="00324FC7"/>
    <w:rsid w:val="0035048C"/>
    <w:rsid w:val="00362265"/>
    <w:rsid w:val="00366FA1"/>
    <w:rsid w:val="00391134"/>
    <w:rsid w:val="00393A45"/>
    <w:rsid w:val="00395389"/>
    <w:rsid w:val="00397985"/>
    <w:rsid w:val="003A1E9A"/>
    <w:rsid w:val="003B6217"/>
    <w:rsid w:val="003D359F"/>
    <w:rsid w:val="003D450E"/>
    <w:rsid w:val="003E2B46"/>
    <w:rsid w:val="003F0061"/>
    <w:rsid w:val="003F4677"/>
    <w:rsid w:val="003F520C"/>
    <w:rsid w:val="0040270B"/>
    <w:rsid w:val="00404B63"/>
    <w:rsid w:val="00413FC1"/>
    <w:rsid w:val="00416D77"/>
    <w:rsid w:val="00420DCD"/>
    <w:rsid w:val="004348C1"/>
    <w:rsid w:val="0044013F"/>
    <w:rsid w:val="00457B10"/>
    <w:rsid w:val="004603C3"/>
    <w:rsid w:val="00465CB8"/>
    <w:rsid w:val="00470848"/>
    <w:rsid w:val="00472720"/>
    <w:rsid w:val="0048785E"/>
    <w:rsid w:val="0049326A"/>
    <w:rsid w:val="00494D57"/>
    <w:rsid w:val="004A3647"/>
    <w:rsid w:val="004A46DE"/>
    <w:rsid w:val="004A4E6B"/>
    <w:rsid w:val="004A5590"/>
    <w:rsid w:val="004A5C64"/>
    <w:rsid w:val="004A5F1E"/>
    <w:rsid w:val="004A7473"/>
    <w:rsid w:val="004B0072"/>
    <w:rsid w:val="004B22DD"/>
    <w:rsid w:val="004B53D5"/>
    <w:rsid w:val="004D025D"/>
    <w:rsid w:val="004E17B1"/>
    <w:rsid w:val="004E7850"/>
    <w:rsid w:val="00505A0F"/>
    <w:rsid w:val="005064F0"/>
    <w:rsid w:val="00510BB5"/>
    <w:rsid w:val="0051213B"/>
    <w:rsid w:val="005130CE"/>
    <w:rsid w:val="00515F3D"/>
    <w:rsid w:val="0052315B"/>
    <w:rsid w:val="00526F16"/>
    <w:rsid w:val="00532174"/>
    <w:rsid w:val="005378EA"/>
    <w:rsid w:val="00545A36"/>
    <w:rsid w:val="00555DD3"/>
    <w:rsid w:val="00555F34"/>
    <w:rsid w:val="0055720D"/>
    <w:rsid w:val="00575C5C"/>
    <w:rsid w:val="0057606A"/>
    <w:rsid w:val="005802C4"/>
    <w:rsid w:val="0058541D"/>
    <w:rsid w:val="0058740B"/>
    <w:rsid w:val="00591EE7"/>
    <w:rsid w:val="00597D80"/>
    <w:rsid w:val="005B7D7B"/>
    <w:rsid w:val="005C12F5"/>
    <w:rsid w:val="005C63AF"/>
    <w:rsid w:val="005D173B"/>
    <w:rsid w:val="005E2D53"/>
    <w:rsid w:val="005F5C3A"/>
    <w:rsid w:val="0060281A"/>
    <w:rsid w:val="00626DF4"/>
    <w:rsid w:val="00634CF8"/>
    <w:rsid w:val="00634D4A"/>
    <w:rsid w:val="00634DD9"/>
    <w:rsid w:val="00636914"/>
    <w:rsid w:val="006372E4"/>
    <w:rsid w:val="0065141D"/>
    <w:rsid w:val="00663BAD"/>
    <w:rsid w:val="006649C0"/>
    <w:rsid w:val="00666C72"/>
    <w:rsid w:val="00667D6B"/>
    <w:rsid w:val="00673214"/>
    <w:rsid w:val="0068251C"/>
    <w:rsid w:val="0069151D"/>
    <w:rsid w:val="0069430B"/>
    <w:rsid w:val="00694A67"/>
    <w:rsid w:val="00694D11"/>
    <w:rsid w:val="006A0762"/>
    <w:rsid w:val="006A569E"/>
    <w:rsid w:val="006B7D92"/>
    <w:rsid w:val="006C2DE0"/>
    <w:rsid w:val="006D1218"/>
    <w:rsid w:val="006D40FF"/>
    <w:rsid w:val="006E02C6"/>
    <w:rsid w:val="006E27A1"/>
    <w:rsid w:val="006E4F36"/>
    <w:rsid w:val="006E4F38"/>
    <w:rsid w:val="006E645E"/>
    <w:rsid w:val="006F0D41"/>
    <w:rsid w:val="006F2CAD"/>
    <w:rsid w:val="00704514"/>
    <w:rsid w:val="0071538E"/>
    <w:rsid w:val="00717D22"/>
    <w:rsid w:val="0072388F"/>
    <w:rsid w:val="007239B2"/>
    <w:rsid w:val="00727C2B"/>
    <w:rsid w:val="00731BA4"/>
    <w:rsid w:val="00732898"/>
    <w:rsid w:val="00735F1E"/>
    <w:rsid w:val="0073700A"/>
    <w:rsid w:val="00743266"/>
    <w:rsid w:val="007502F1"/>
    <w:rsid w:val="00754722"/>
    <w:rsid w:val="007551FD"/>
    <w:rsid w:val="007558C5"/>
    <w:rsid w:val="007574A1"/>
    <w:rsid w:val="00765C1D"/>
    <w:rsid w:val="00774FE9"/>
    <w:rsid w:val="00780433"/>
    <w:rsid w:val="0078549B"/>
    <w:rsid w:val="00790633"/>
    <w:rsid w:val="007B7593"/>
    <w:rsid w:val="007C0E14"/>
    <w:rsid w:val="007E2321"/>
    <w:rsid w:val="007F1A10"/>
    <w:rsid w:val="007F2167"/>
    <w:rsid w:val="007F4432"/>
    <w:rsid w:val="007F66E3"/>
    <w:rsid w:val="00812C7D"/>
    <w:rsid w:val="00824474"/>
    <w:rsid w:val="00831D17"/>
    <w:rsid w:val="008408DC"/>
    <w:rsid w:val="00847205"/>
    <w:rsid w:val="008476E3"/>
    <w:rsid w:val="008512B9"/>
    <w:rsid w:val="008537C9"/>
    <w:rsid w:val="00865416"/>
    <w:rsid w:val="00876B6D"/>
    <w:rsid w:val="0087739C"/>
    <w:rsid w:val="00884090"/>
    <w:rsid w:val="008A4977"/>
    <w:rsid w:val="008A66ED"/>
    <w:rsid w:val="008B5816"/>
    <w:rsid w:val="008B6A03"/>
    <w:rsid w:val="008C3F49"/>
    <w:rsid w:val="008D0698"/>
    <w:rsid w:val="008D230F"/>
    <w:rsid w:val="008D265E"/>
    <w:rsid w:val="008E058A"/>
    <w:rsid w:val="008F1E90"/>
    <w:rsid w:val="008F233B"/>
    <w:rsid w:val="008F3F2E"/>
    <w:rsid w:val="008F7B02"/>
    <w:rsid w:val="0090101D"/>
    <w:rsid w:val="0093360D"/>
    <w:rsid w:val="009401B9"/>
    <w:rsid w:val="00947371"/>
    <w:rsid w:val="00950267"/>
    <w:rsid w:val="00953161"/>
    <w:rsid w:val="009608BD"/>
    <w:rsid w:val="00961BCE"/>
    <w:rsid w:val="00965293"/>
    <w:rsid w:val="00966B8E"/>
    <w:rsid w:val="009676B7"/>
    <w:rsid w:val="00967CCB"/>
    <w:rsid w:val="009700EF"/>
    <w:rsid w:val="00970A46"/>
    <w:rsid w:val="00970D55"/>
    <w:rsid w:val="009846A8"/>
    <w:rsid w:val="009866C2"/>
    <w:rsid w:val="009A21C7"/>
    <w:rsid w:val="009A23F5"/>
    <w:rsid w:val="009B0248"/>
    <w:rsid w:val="009B36C8"/>
    <w:rsid w:val="009C5A4E"/>
    <w:rsid w:val="009D31B5"/>
    <w:rsid w:val="009D5C72"/>
    <w:rsid w:val="009D6347"/>
    <w:rsid w:val="009E29F4"/>
    <w:rsid w:val="009E395C"/>
    <w:rsid w:val="009F74E7"/>
    <w:rsid w:val="009F7ED9"/>
    <w:rsid w:val="00A050CB"/>
    <w:rsid w:val="00A10EB1"/>
    <w:rsid w:val="00A11FA7"/>
    <w:rsid w:val="00A14B1F"/>
    <w:rsid w:val="00A14CE0"/>
    <w:rsid w:val="00A20660"/>
    <w:rsid w:val="00A27F0E"/>
    <w:rsid w:val="00A44091"/>
    <w:rsid w:val="00A5162A"/>
    <w:rsid w:val="00A51C17"/>
    <w:rsid w:val="00A55428"/>
    <w:rsid w:val="00A60384"/>
    <w:rsid w:val="00A64B27"/>
    <w:rsid w:val="00A739F1"/>
    <w:rsid w:val="00A82AD1"/>
    <w:rsid w:val="00A84ECE"/>
    <w:rsid w:val="00A85BF0"/>
    <w:rsid w:val="00A85DB5"/>
    <w:rsid w:val="00A939D3"/>
    <w:rsid w:val="00A94D65"/>
    <w:rsid w:val="00AB02D2"/>
    <w:rsid w:val="00AB078D"/>
    <w:rsid w:val="00AB1033"/>
    <w:rsid w:val="00AB5D00"/>
    <w:rsid w:val="00AC05E4"/>
    <w:rsid w:val="00AC39EC"/>
    <w:rsid w:val="00AC4C04"/>
    <w:rsid w:val="00AD173E"/>
    <w:rsid w:val="00AD659E"/>
    <w:rsid w:val="00AE06A3"/>
    <w:rsid w:val="00AF3731"/>
    <w:rsid w:val="00B01F08"/>
    <w:rsid w:val="00B022B2"/>
    <w:rsid w:val="00B06806"/>
    <w:rsid w:val="00B12996"/>
    <w:rsid w:val="00B12D4E"/>
    <w:rsid w:val="00B245B0"/>
    <w:rsid w:val="00B24D42"/>
    <w:rsid w:val="00B26944"/>
    <w:rsid w:val="00B30260"/>
    <w:rsid w:val="00B31A9D"/>
    <w:rsid w:val="00B324B7"/>
    <w:rsid w:val="00B35498"/>
    <w:rsid w:val="00B358C2"/>
    <w:rsid w:val="00B62985"/>
    <w:rsid w:val="00B732C2"/>
    <w:rsid w:val="00B8263E"/>
    <w:rsid w:val="00B829EB"/>
    <w:rsid w:val="00B834DD"/>
    <w:rsid w:val="00B90C84"/>
    <w:rsid w:val="00B93A60"/>
    <w:rsid w:val="00B955BB"/>
    <w:rsid w:val="00BA7610"/>
    <w:rsid w:val="00BB2E12"/>
    <w:rsid w:val="00BB5777"/>
    <w:rsid w:val="00BC17CD"/>
    <w:rsid w:val="00BD178B"/>
    <w:rsid w:val="00BD5D7F"/>
    <w:rsid w:val="00BE2E2C"/>
    <w:rsid w:val="00BE37DA"/>
    <w:rsid w:val="00BE38E2"/>
    <w:rsid w:val="00BE5C6E"/>
    <w:rsid w:val="00BE6477"/>
    <w:rsid w:val="00BF1370"/>
    <w:rsid w:val="00BF6C20"/>
    <w:rsid w:val="00C1443C"/>
    <w:rsid w:val="00C17153"/>
    <w:rsid w:val="00C2112A"/>
    <w:rsid w:val="00C22AF1"/>
    <w:rsid w:val="00C23321"/>
    <w:rsid w:val="00C33F41"/>
    <w:rsid w:val="00C356DC"/>
    <w:rsid w:val="00C401DB"/>
    <w:rsid w:val="00C44E14"/>
    <w:rsid w:val="00C53B0D"/>
    <w:rsid w:val="00C63DBA"/>
    <w:rsid w:val="00C65545"/>
    <w:rsid w:val="00C7177A"/>
    <w:rsid w:val="00C74579"/>
    <w:rsid w:val="00C805BA"/>
    <w:rsid w:val="00C839FB"/>
    <w:rsid w:val="00C9104E"/>
    <w:rsid w:val="00CA0A6B"/>
    <w:rsid w:val="00CA1A56"/>
    <w:rsid w:val="00CC6BDC"/>
    <w:rsid w:val="00CD5AD7"/>
    <w:rsid w:val="00CD7BEF"/>
    <w:rsid w:val="00CE2D20"/>
    <w:rsid w:val="00CF3405"/>
    <w:rsid w:val="00CF4F29"/>
    <w:rsid w:val="00D04876"/>
    <w:rsid w:val="00D1215F"/>
    <w:rsid w:val="00D154B9"/>
    <w:rsid w:val="00D31D70"/>
    <w:rsid w:val="00D44760"/>
    <w:rsid w:val="00D51AA6"/>
    <w:rsid w:val="00D577DC"/>
    <w:rsid w:val="00D72A97"/>
    <w:rsid w:val="00D833E0"/>
    <w:rsid w:val="00DA3AB7"/>
    <w:rsid w:val="00DB06F9"/>
    <w:rsid w:val="00DB23A1"/>
    <w:rsid w:val="00DB7CFB"/>
    <w:rsid w:val="00DC48CC"/>
    <w:rsid w:val="00DC5739"/>
    <w:rsid w:val="00DD2919"/>
    <w:rsid w:val="00DE40DD"/>
    <w:rsid w:val="00E05851"/>
    <w:rsid w:val="00E073A2"/>
    <w:rsid w:val="00E20C96"/>
    <w:rsid w:val="00E246FE"/>
    <w:rsid w:val="00E30DBE"/>
    <w:rsid w:val="00E31EFE"/>
    <w:rsid w:val="00E33BFA"/>
    <w:rsid w:val="00E445CB"/>
    <w:rsid w:val="00E45DB1"/>
    <w:rsid w:val="00E50A1A"/>
    <w:rsid w:val="00E65849"/>
    <w:rsid w:val="00E75981"/>
    <w:rsid w:val="00E815CC"/>
    <w:rsid w:val="00E92E84"/>
    <w:rsid w:val="00EA72E3"/>
    <w:rsid w:val="00EB054D"/>
    <w:rsid w:val="00EC02FC"/>
    <w:rsid w:val="00EC2DF1"/>
    <w:rsid w:val="00EC6F59"/>
    <w:rsid w:val="00EE2AEC"/>
    <w:rsid w:val="00EF0A7F"/>
    <w:rsid w:val="00EF4E26"/>
    <w:rsid w:val="00F04D0B"/>
    <w:rsid w:val="00F05445"/>
    <w:rsid w:val="00F11CE4"/>
    <w:rsid w:val="00F16ED5"/>
    <w:rsid w:val="00F21E0A"/>
    <w:rsid w:val="00F21F09"/>
    <w:rsid w:val="00F331B5"/>
    <w:rsid w:val="00F363B5"/>
    <w:rsid w:val="00F41612"/>
    <w:rsid w:val="00F47D52"/>
    <w:rsid w:val="00F55C86"/>
    <w:rsid w:val="00F66019"/>
    <w:rsid w:val="00F70677"/>
    <w:rsid w:val="00F77A14"/>
    <w:rsid w:val="00F77C30"/>
    <w:rsid w:val="00F77CE7"/>
    <w:rsid w:val="00F94F7A"/>
    <w:rsid w:val="00F9608D"/>
    <w:rsid w:val="00FA6916"/>
    <w:rsid w:val="00FC262E"/>
    <w:rsid w:val="00FD135C"/>
    <w:rsid w:val="00FD2652"/>
    <w:rsid w:val="00FD57CD"/>
    <w:rsid w:val="00FE2326"/>
    <w:rsid w:val="00FE6205"/>
    <w:rsid w:val="00FE75A5"/>
    <w:rsid w:val="00FF12F8"/>
    <w:rsid w:val="00FF76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F8E5A"/>
  <w15:chartTrackingRefBased/>
  <w15:docId w15:val="{3142AA11-6BAB-4551-9E80-CDD29F789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7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75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5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5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5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75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75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5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5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593"/>
    <w:rPr>
      <w:rFonts w:eastAsiaTheme="majorEastAsia" w:cstheme="majorBidi"/>
      <w:color w:val="272727" w:themeColor="text1" w:themeTint="D8"/>
    </w:rPr>
  </w:style>
  <w:style w:type="paragraph" w:styleId="Title">
    <w:name w:val="Title"/>
    <w:basedOn w:val="Normal"/>
    <w:next w:val="Normal"/>
    <w:link w:val="TitleChar"/>
    <w:uiPriority w:val="10"/>
    <w:qFormat/>
    <w:rsid w:val="007B7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593"/>
    <w:pPr>
      <w:spacing w:before="160"/>
      <w:jc w:val="center"/>
    </w:pPr>
    <w:rPr>
      <w:i/>
      <w:iCs/>
      <w:color w:val="404040" w:themeColor="text1" w:themeTint="BF"/>
    </w:rPr>
  </w:style>
  <w:style w:type="character" w:customStyle="1" w:styleId="QuoteChar">
    <w:name w:val="Quote Char"/>
    <w:basedOn w:val="DefaultParagraphFont"/>
    <w:link w:val="Quote"/>
    <w:uiPriority w:val="29"/>
    <w:rsid w:val="007B7593"/>
    <w:rPr>
      <w:i/>
      <w:iCs/>
      <w:color w:val="404040" w:themeColor="text1" w:themeTint="BF"/>
    </w:rPr>
  </w:style>
  <w:style w:type="paragraph" w:styleId="ListParagraph">
    <w:name w:val="List Paragraph"/>
    <w:basedOn w:val="Normal"/>
    <w:uiPriority w:val="34"/>
    <w:qFormat/>
    <w:rsid w:val="007B7593"/>
    <w:pPr>
      <w:ind w:left="720"/>
      <w:contextualSpacing/>
    </w:pPr>
  </w:style>
  <w:style w:type="character" w:styleId="IntenseEmphasis">
    <w:name w:val="Intense Emphasis"/>
    <w:basedOn w:val="DefaultParagraphFont"/>
    <w:uiPriority w:val="21"/>
    <w:qFormat/>
    <w:rsid w:val="007B7593"/>
    <w:rPr>
      <w:i/>
      <w:iCs/>
      <w:color w:val="0F4761" w:themeColor="accent1" w:themeShade="BF"/>
    </w:rPr>
  </w:style>
  <w:style w:type="paragraph" w:styleId="IntenseQuote">
    <w:name w:val="Intense Quote"/>
    <w:basedOn w:val="Normal"/>
    <w:next w:val="Normal"/>
    <w:link w:val="IntenseQuoteChar"/>
    <w:uiPriority w:val="30"/>
    <w:qFormat/>
    <w:rsid w:val="007B7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593"/>
    <w:rPr>
      <w:i/>
      <w:iCs/>
      <w:color w:val="0F4761" w:themeColor="accent1" w:themeShade="BF"/>
    </w:rPr>
  </w:style>
  <w:style w:type="character" w:styleId="IntenseReference">
    <w:name w:val="Intense Reference"/>
    <w:basedOn w:val="DefaultParagraphFont"/>
    <w:uiPriority w:val="32"/>
    <w:qFormat/>
    <w:rsid w:val="007B7593"/>
    <w:rPr>
      <w:b/>
      <w:bCs/>
      <w:smallCaps/>
      <w:color w:val="0F4761" w:themeColor="accent1" w:themeShade="BF"/>
      <w:spacing w:val="5"/>
    </w:rPr>
  </w:style>
  <w:style w:type="paragraph" w:styleId="NormalWeb">
    <w:name w:val="Normal (Web)"/>
    <w:basedOn w:val="Normal"/>
    <w:uiPriority w:val="99"/>
    <w:unhideWhenUsed/>
    <w:rsid w:val="004A364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TableGrid">
    <w:name w:val="Table Grid"/>
    <w:basedOn w:val="TableNormal"/>
    <w:uiPriority w:val="39"/>
    <w:rsid w:val="00B35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40E14"/>
    <w:rPr>
      <w:sz w:val="16"/>
      <w:szCs w:val="16"/>
    </w:rPr>
  </w:style>
  <w:style w:type="paragraph" w:styleId="CommentText">
    <w:name w:val="annotation text"/>
    <w:basedOn w:val="Normal"/>
    <w:link w:val="CommentTextChar"/>
    <w:uiPriority w:val="99"/>
    <w:unhideWhenUsed/>
    <w:rsid w:val="00040E14"/>
    <w:pPr>
      <w:spacing w:line="240" w:lineRule="auto"/>
    </w:pPr>
    <w:rPr>
      <w:sz w:val="20"/>
      <w:szCs w:val="20"/>
    </w:rPr>
  </w:style>
  <w:style w:type="character" w:customStyle="1" w:styleId="CommentTextChar">
    <w:name w:val="Comment Text Char"/>
    <w:basedOn w:val="DefaultParagraphFont"/>
    <w:link w:val="CommentText"/>
    <w:uiPriority w:val="99"/>
    <w:rsid w:val="00040E14"/>
    <w:rPr>
      <w:sz w:val="20"/>
      <w:szCs w:val="20"/>
    </w:rPr>
  </w:style>
  <w:style w:type="character" w:styleId="PlaceholderText">
    <w:name w:val="Placeholder Text"/>
    <w:basedOn w:val="DefaultParagraphFont"/>
    <w:uiPriority w:val="99"/>
    <w:semiHidden/>
    <w:rsid w:val="005064F0"/>
    <w:rPr>
      <w:color w:val="666666"/>
    </w:rPr>
  </w:style>
  <w:style w:type="paragraph" w:styleId="CommentSubject">
    <w:name w:val="annotation subject"/>
    <w:basedOn w:val="CommentText"/>
    <w:next w:val="CommentText"/>
    <w:link w:val="CommentSubjectChar"/>
    <w:uiPriority w:val="99"/>
    <w:semiHidden/>
    <w:unhideWhenUsed/>
    <w:rsid w:val="009D5C72"/>
    <w:rPr>
      <w:b/>
      <w:bCs/>
    </w:rPr>
  </w:style>
  <w:style w:type="character" w:customStyle="1" w:styleId="CommentSubjectChar">
    <w:name w:val="Comment Subject Char"/>
    <w:basedOn w:val="CommentTextChar"/>
    <w:link w:val="CommentSubject"/>
    <w:uiPriority w:val="99"/>
    <w:semiHidden/>
    <w:rsid w:val="009D5C72"/>
    <w:rPr>
      <w:b/>
      <w:bCs/>
      <w:sz w:val="20"/>
      <w:szCs w:val="20"/>
    </w:rPr>
  </w:style>
  <w:style w:type="character" w:styleId="Hyperlink">
    <w:name w:val="Hyperlink"/>
    <w:basedOn w:val="DefaultParagraphFont"/>
    <w:uiPriority w:val="99"/>
    <w:unhideWhenUsed/>
    <w:rsid w:val="00CF4F29"/>
    <w:rPr>
      <w:color w:val="467886" w:themeColor="hyperlink"/>
      <w:u w:val="single"/>
    </w:rPr>
  </w:style>
  <w:style w:type="character" w:styleId="UnresolvedMention">
    <w:name w:val="Unresolved Mention"/>
    <w:basedOn w:val="DefaultParagraphFont"/>
    <w:uiPriority w:val="99"/>
    <w:semiHidden/>
    <w:unhideWhenUsed/>
    <w:rsid w:val="00CF4F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www.claude.ai"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5BF4D-6CF4-4B17-9865-501E23A0F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7055</TotalTime>
  <Pages>38</Pages>
  <Words>16593</Words>
  <Characters>94583</Characters>
  <Application>Microsoft Office Word</Application>
  <DocSecurity>0</DocSecurity>
  <Lines>788</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Gordon (Student)</dc:creator>
  <cp:keywords/>
  <dc:description/>
  <cp:lastModifiedBy>Alexander Gordon (Student)</cp:lastModifiedBy>
  <cp:revision>115</cp:revision>
  <dcterms:created xsi:type="dcterms:W3CDTF">2026-04-07T18:49:00Z</dcterms:created>
  <dcterms:modified xsi:type="dcterms:W3CDTF">2026-04-26T20:58:00Z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2026-04-07T23:05:25Z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26b87760-2f11-4b70-acec-91e41e34d834</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